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C63" w:rsidRPr="007F2BDD" w:rsidRDefault="004D0C63" w:rsidP="005F43D9"/>
    <w:p w:rsidR="00B60939" w:rsidRPr="007F2BDD" w:rsidRDefault="009A3D65" w:rsidP="005F43D9">
      <w:pPr>
        <w:pStyle w:val="1-MainHeading"/>
      </w:pPr>
      <w:r w:rsidRPr="007F2BDD">
        <w:t>6</w:t>
      </w:r>
      <w:r w:rsidR="00433044" w:rsidRPr="007F2BDD">
        <w:t>.</w:t>
      </w:r>
      <w:r w:rsidRPr="007F2BDD">
        <w:t>04</w:t>
      </w:r>
      <w:r w:rsidR="00B60939" w:rsidRPr="007F2BDD">
        <w:tab/>
      </w:r>
      <w:r w:rsidR="009351ED" w:rsidRPr="00DB4C97">
        <w:t>INACTIVATED</w:t>
      </w:r>
      <w:r w:rsidR="009351ED" w:rsidRPr="007F2BDD">
        <w:t xml:space="preserve"> QUADRIVALENT INFLUENZA </w:t>
      </w:r>
      <w:r w:rsidR="00D24DEF" w:rsidRPr="007F2BDD">
        <w:t>VACCINE</w:t>
      </w:r>
      <w:r w:rsidR="004D0C63" w:rsidRPr="007F2BDD">
        <w:t xml:space="preserve"> </w:t>
      </w:r>
      <w:r w:rsidR="001A1D6B" w:rsidRPr="00DB4C97">
        <w:t>(SPLIT VIRION)</w:t>
      </w:r>
      <w:proofErr w:type="gramStart"/>
      <w:r w:rsidR="001A1D6B" w:rsidRPr="00DB4C97">
        <w:t>,</w:t>
      </w:r>
      <w:proofErr w:type="gramEnd"/>
      <w:r w:rsidR="001A1D6B" w:rsidRPr="00DB4C97">
        <w:br/>
      </w:r>
      <w:r w:rsidRPr="00DB4C97">
        <w:t>Injection 0.5 mL</w:t>
      </w:r>
      <w:r w:rsidR="001A1D6B" w:rsidRPr="00DB4C97">
        <w:t>,</w:t>
      </w:r>
      <w:r w:rsidR="001A1D6B" w:rsidRPr="00DB4C97">
        <w:br/>
      </w:r>
      <w:proofErr w:type="spellStart"/>
      <w:r w:rsidR="009351ED" w:rsidRPr="00DB4C97">
        <w:t>FluQuadri</w:t>
      </w:r>
      <w:proofErr w:type="spellEnd"/>
      <w:r w:rsidR="00F12649" w:rsidRPr="00DB4C97">
        <w:t>™</w:t>
      </w:r>
      <w:r w:rsidR="001A1D6B" w:rsidRPr="00DB4C97">
        <w:t>,</w:t>
      </w:r>
      <w:r w:rsidR="001A1D6B" w:rsidRPr="00DB4C97">
        <w:br/>
      </w:r>
      <w:r w:rsidR="00DD5090" w:rsidRPr="00DB4C97">
        <w:t>S</w:t>
      </w:r>
      <w:r w:rsidR="009351ED" w:rsidRPr="00DB4C97">
        <w:t>anofi</w:t>
      </w:r>
      <w:r w:rsidR="00AF1B1D" w:rsidRPr="00DB4C97">
        <w:t>-</w:t>
      </w:r>
      <w:r w:rsidR="00DD5090" w:rsidRPr="00DB4C97">
        <w:t>A</w:t>
      </w:r>
      <w:r w:rsidR="00795B85" w:rsidRPr="00DB4C97">
        <w:t>ventis</w:t>
      </w:r>
      <w:r w:rsidRPr="00DB4C97">
        <w:t xml:space="preserve"> Australia Pty Ltd</w:t>
      </w:r>
      <w:r w:rsidR="00B60939" w:rsidRPr="00DB4C97">
        <w:t>.</w:t>
      </w:r>
    </w:p>
    <w:p w:rsidR="00B50DB8" w:rsidRPr="007F2BDD" w:rsidRDefault="00B50DB8" w:rsidP="005F43D9">
      <w:pPr>
        <w:pStyle w:val="2-SectionHeading"/>
      </w:pPr>
      <w:bookmarkStart w:id="0" w:name="_Toc19617898"/>
      <w:r w:rsidRPr="007F2BDD">
        <w:t>Purpose of Application</w:t>
      </w:r>
      <w:bookmarkEnd w:id="0"/>
    </w:p>
    <w:p w:rsidR="00ED3527" w:rsidRPr="007F2BDD" w:rsidRDefault="00332E29" w:rsidP="005F43D9">
      <w:pPr>
        <w:pStyle w:val="3-BodyText"/>
      </w:pPr>
      <w:r w:rsidRPr="007F2BDD">
        <w:t xml:space="preserve">The submission (with clarification in the Pre-Sub-Committee Response (PSCR) requested an extension </w:t>
      </w:r>
      <w:r w:rsidR="00774268" w:rsidRPr="007F2BDD">
        <w:t>to</w:t>
      </w:r>
      <w:r w:rsidRPr="007F2BDD">
        <w:t xml:space="preserve"> the current listing of </w:t>
      </w:r>
      <w:proofErr w:type="spellStart"/>
      <w:r w:rsidRPr="007F2BDD">
        <w:t>quadrivalent</w:t>
      </w:r>
      <w:proofErr w:type="spellEnd"/>
      <w:r w:rsidRPr="007F2BDD">
        <w:t xml:space="preserve"> influenza vaccine (QIV) (split </w:t>
      </w:r>
      <w:proofErr w:type="spellStart"/>
      <w:r w:rsidRPr="007F2BDD">
        <w:t>virion</w:t>
      </w:r>
      <w:proofErr w:type="spellEnd"/>
      <w:r w:rsidRPr="007F2BDD">
        <w:t xml:space="preserve">, inactivated) </w:t>
      </w:r>
      <w:proofErr w:type="spellStart"/>
      <w:r w:rsidRPr="007F2BDD">
        <w:t>FluQuadri</w:t>
      </w:r>
      <w:r w:rsidRPr="007F2BDD">
        <w:rPr>
          <w:rFonts w:ascii="Arial Narrow" w:hAnsi="Arial Narrow"/>
          <w:vertAlign w:val="superscript"/>
        </w:rPr>
        <w:t>TM</w:t>
      </w:r>
      <w:proofErr w:type="spellEnd"/>
      <w:r w:rsidRPr="007F2BDD">
        <w:t xml:space="preserve"> for the prevention of influenza on </w:t>
      </w:r>
      <w:r w:rsidR="00DD5090" w:rsidRPr="007F2BDD">
        <w:t>the National Immunisation Program (NIP)</w:t>
      </w:r>
      <w:r w:rsidRPr="007F2BDD">
        <w:t xml:space="preserve"> to include:</w:t>
      </w:r>
      <w:r w:rsidR="005140F3" w:rsidRPr="007F2BDD">
        <w:t xml:space="preserve"> </w:t>
      </w:r>
    </w:p>
    <w:p w:rsidR="00ED3527" w:rsidRPr="007F2BDD" w:rsidRDefault="00332E29" w:rsidP="005F43D9">
      <w:pPr>
        <w:numPr>
          <w:ilvl w:val="2"/>
          <w:numId w:val="13"/>
        </w:numPr>
        <w:snapToGrid w:val="0"/>
        <w:spacing w:after="160"/>
        <w:ind w:left="993" w:hanging="284"/>
        <w:jc w:val="both"/>
      </w:pPr>
      <w:r w:rsidRPr="007F2BDD">
        <w:t xml:space="preserve">At-risk children (i.e. children with certain medical conditions putting them at increased risk of severe influenza and complications, and all Aboriginal and Torres Strait Islander children) aged 6-35 months who are currently eligible for </w:t>
      </w:r>
      <w:proofErr w:type="spellStart"/>
      <w:r w:rsidRPr="007F2BDD">
        <w:t>FluQuadri</w:t>
      </w:r>
      <w:proofErr w:type="spellEnd"/>
      <w:r w:rsidRPr="007F2BDD">
        <w:t xml:space="preserve"> Junior on the NIP; and</w:t>
      </w:r>
    </w:p>
    <w:p w:rsidR="00980F13" w:rsidRPr="007F2BDD" w:rsidRDefault="00332E29" w:rsidP="005F43D9">
      <w:pPr>
        <w:numPr>
          <w:ilvl w:val="2"/>
          <w:numId w:val="13"/>
        </w:numPr>
        <w:snapToGrid w:val="0"/>
        <w:spacing w:after="160"/>
        <w:ind w:left="993" w:hanging="284"/>
        <w:jc w:val="both"/>
      </w:pPr>
      <w:r w:rsidRPr="007F2BDD">
        <w:t xml:space="preserve">Healthy children aged 6 months to &lt;5 years, in line with the PBAC’s July 2019 recommendation for </w:t>
      </w:r>
      <w:proofErr w:type="spellStart"/>
      <w:r w:rsidRPr="007F2BDD">
        <w:t>Vaxigrip</w:t>
      </w:r>
      <w:proofErr w:type="spellEnd"/>
      <w:r w:rsidRPr="007F2BDD">
        <w:t xml:space="preserve"> Tetra</w:t>
      </w:r>
      <w:r w:rsidR="00547E96" w:rsidRPr="007F2BDD">
        <w:rPr>
          <w:rFonts w:cs="Calibri"/>
        </w:rPr>
        <w:t>™</w:t>
      </w:r>
      <w:r w:rsidR="008D0415" w:rsidRPr="007F2BDD">
        <w:t xml:space="preserve"> (an alternative QIV manufactured by the same Sponsor) </w:t>
      </w:r>
      <w:r w:rsidRPr="007F2BDD">
        <w:t>which has not yet been listed on the NIP.</w:t>
      </w:r>
    </w:p>
    <w:p w:rsidR="00FF5B47" w:rsidRPr="007F2BDD" w:rsidRDefault="00980F13" w:rsidP="005F43D9">
      <w:pPr>
        <w:pStyle w:val="3-BodyText"/>
      </w:pPr>
      <w:r w:rsidRPr="007F2BDD">
        <w:t xml:space="preserve">The submission (with clarification in the PSCR) based the request for extending the current listing on a cost-minimisation basis compared with </w:t>
      </w:r>
      <w:proofErr w:type="spellStart"/>
      <w:r w:rsidRPr="007F2BDD">
        <w:t>FluQuadri</w:t>
      </w:r>
      <w:proofErr w:type="spellEnd"/>
      <w:r w:rsidRPr="007F2BDD">
        <w:t xml:space="preserve"> Junior</w:t>
      </w:r>
      <w:r w:rsidR="00774268" w:rsidRPr="007F2BDD">
        <w:t>,</w:t>
      </w:r>
      <w:r w:rsidRPr="007F2BDD">
        <w:t xml:space="preserve"> and the July 2019 PBAC recommendation for </w:t>
      </w:r>
      <w:proofErr w:type="spellStart"/>
      <w:r w:rsidRPr="007F2BDD">
        <w:t>Vaxigrip</w:t>
      </w:r>
      <w:proofErr w:type="spellEnd"/>
      <w:r w:rsidRPr="007F2BDD">
        <w:t xml:space="preserve"> Tetra</w:t>
      </w:r>
      <w:r w:rsidR="00C32ABB" w:rsidRPr="007F2BDD">
        <w:t xml:space="preserve"> (</w:t>
      </w:r>
      <w:proofErr w:type="spellStart"/>
      <w:r w:rsidR="00C32ABB" w:rsidRPr="007F2BDD">
        <w:t>Quadrivalent</w:t>
      </w:r>
      <w:proofErr w:type="spellEnd"/>
      <w:r w:rsidR="00C32ABB" w:rsidRPr="007F2BDD">
        <w:t xml:space="preserve"> influenza vaccine</w:t>
      </w:r>
      <w:r w:rsidR="0099582F" w:rsidRPr="007F2BDD">
        <w:t xml:space="preserve"> (QIV)</w:t>
      </w:r>
      <w:r w:rsidR="00474CE8" w:rsidRPr="007F2BDD">
        <w:t xml:space="preserve">, </w:t>
      </w:r>
      <w:proofErr w:type="spellStart"/>
      <w:r w:rsidR="00474CE8" w:rsidRPr="007F2BDD">
        <w:t>Vaxigrip</w:t>
      </w:r>
      <w:proofErr w:type="spellEnd"/>
      <w:r w:rsidR="00474CE8" w:rsidRPr="007F2BDD">
        <w:t xml:space="preserve"> Tetra</w:t>
      </w:r>
      <w:r w:rsidR="00C32ABB" w:rsidRPr="007F2BDD">
        <w:t>, Public Summary Document (PSD), July 2019 PBAC meeting)</w:t>
      </w:r>
      <w:r w:rsidRPr="007F2BDD">
        <w:t>.</w:t>
      </w:r>
    </w:p>
    <w:p w:rsidR="00D21895" w:rsidRPr="00CF0F3C" w:rsidRDefault="00D21895" w:rsidP="005F43D9">
      <w:pPr>
        <w:pStyle w:val="TableFigureHeading"/>
      </w:pPr>
      <w:r w:rsidRPr="00CF0F3C">
        <w:t xml:space="preserve">Table </w:t>
      </w:r>
      <w:r w:rsidR="007C3D0A" w:rsidRPr="00CF0F3C">
        <w:t>1</w:t>
      </w:r>
      <w:r w:rsidRPr="00CF0F3C">
        <w:t>:</w:t>
      </w:r>
      <w:r w:rsidR="00A66664" w:rsidRPr="00CF0F3C">
        <w:t xml:space="preserve"> Key c</w:t>
      </w:r>
      <w:r w:rsidRPr="00CF0F3C">
        <w:t>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7334"/>
      </w:tblGrid>
      <w:tr w:rsidR="005140F3" w:rsidRPr="007F2BDD" w:rsidTr="00CF0F3C">
        <w:trPr>
          <w:cantSplit/>
          <w:tblHeader/>
        </w:trPr>
        <w:tc>
          <w:tcPr>
            <w:tcW w:w="933" w:type="pct"/>
            <w:tcBorders>
              <w:top w:val="single" w:sz="4" w:space="0" w:color="auto"/>
              <w:left w:val="single" w:sz="4" w:space="0" w:color="auto"/>
              <w:bottom w:val="single" w:sz="4" w:space="0" w:color="auto"/>
              <w:right w:val="single" w:sz="4" w:space="0" w:color="auto"/>
            </w:tcBorders>
            <w:hideMark/>
          </w:tcPr>
          <w:p w:rsidR="005140F3" w:rsidRPr="00CF0F3C" w:rsidRDefault="005140F3" w:rsidP="005F43D9">
            <w:pPr>
              <w:pStyle w:val="TableText0"/>
              <w:rPr>
                <w:rFonts w:eastAsia="Calibri"/>
                <w:b/>
                <w:szCs w:val="20"/>
              </w:rPr>
            </w:pPr>
            <w:r w:rsidRPr="00CF0F3C">
              <w:rPr>
                <w:rFonts w:eastAsia="Calibri"/>
                <w:b/>
              </w:rPr>
              <w:t>Component</w:t>
            </w:r>
          </w:p>
        </w:tc>
        <w:tc>
          <w:tcPr>
            <w:tcW w:w="4067" w:type="pct"/>
            <w:tcBorders>
              <w:top w:val="single" w:sz="4" w:space="0" w:color="auto"/>
              <w:left w:val="single" w:sz="4" w:space="0" w:color="auto"/>
              <w:bottom w:val="single" w:sz="4" w:space="0" w:color="auto"/>
              <w:right w:val="single" w:sz="4" w:space="0" w:color="auto"/>
            </w:tcBorders>
            <w:hideMark/>
          </w:tcPr>
          <w:p w:rsidR="005140F3" w:rsidRPr="00CF0F3C" w:rsidRDefault="005140F3" w:rsidP="005F43D9">
            <w:pPr>
              <w:pStyle w:val="TableText0"/>
              <w:rPr>
                <w:rFonts w:eastAsia="Calibri"/>
                <w:b/>
              </w:rPr>
            </w:pPr>
            <w:r w:rsidRPr="00CF0F3C">
              <w:rPr>
                <w:rFonts w:eastAsia="Calibri"/>
                <w:b/>
              </w:rPr>
              <w:t>Description</w:t>
            </w:r>
          </w:p>
        </w:tc>
      </w:tr>
      <w:tr w:rsidR="005140F3" w:rsidRPr="007F2BDD" w:rsidTr="00CF0F3C">
        <w:trPr>
          <w:cantSplit/>
        </w:trPr>
        <w:tc>
          <w:tcPr>
            <w:tcW w:w="933"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rPr>
                <w:rFonts w:eastAsia="Calibri"/>
              </w:rPr>
            </w:pPr>
            <w:r w:rsidRPr="007F2BDD">
              <w:rPr>
                <w:rFonts w:eastAsia="Calibri"/>
              </w:rPr>
              <w:t>Population</w:t>
            </w:r>
          </w:p>
        </w:tc>
        <w:tc>
          <w:tcPr>
            <w:tcW w:w="4067" w:type="pct"/>
            <w:tcBorders>
              <w:top w:val="single" w:sz="4" w:space="0" w:color="auto"/>
              <w:left w:val="single" w:sz="4" w:space="0" w:color="auto"/>
              <w:bottom w:val="single" w:sz="4" w:space="0" w:color="auto"/>
              <w:right w:val="single" w:sz="4" w:space="0" w:color="auto"/>
            </w:tcBorders>
            <w:hideMark/>
          </w:tcPr>
          <w:p w:rsidR="005140F3" w:rsidRPr="007F2BDD" w:rsidRDefault="00F67051" w:rsidP="005F43D9">
            <w:pPr>
              <w:pStyle w:val="TableText0"/>
              <w:rPr>
                <w:rFonts w:eastAsia="Calibri"/>
              </w:rPr>
            </w:pPr>
            <w:r w:rsidRPr="007F2BDD">
              <w:rPr>
                <w:rFonts w:eastAsia="Calibri"/>
              </w:rPr>
              <w:t xml:space="preserve">All </w:t>
            </w:r>
            <w:r w:rsidR="00D11FFD" w:rsidRPr="007F2BDD">
              <w:rPr>
                <w:rFonts w:eastAsia="Calibri"/>
              </w:rPr>
              <w:t>c</w:t>
            </w:r>
            <w:r w:rsidR="008F53BB" w:rsidRPr="007F2BDD">
              <w:rPr>
                <w:rFonts w:eastAsia="Calibri"/>
              </w:rPr>
              <w:t xml:space="preserve">hildren </w:t>
            </w:r>
            <w:r w:rsidR="005140F3" w:rsidRPr="007F2BDD">
              <w:rPr>
                <w:rFonts w:eastAsia="Calibri"/>
              </w:rPr>
              <w:t xml:space="preserve">aged </w:t>
            </w:r>
            <w:r w:rsidR="00D11FFD" w:rsidRPr="007F2BDD">
              <w:rPr>
                <w:rFonts w:eastAsia="Calibri"/>
              </w:rPr>
              <w:t>≥</w:t>
            </w:r>
            <w:r w:rsidR="003B04D0" w:rsidRPr="007F2BDD">
              <w:rPr>
                <w:rFonts w:eastAsia="Calibri"/>
              </w:rPr>
              <w:t>6</w:t>
            </w:r>
            <w:r w:rsidR="002F5BB9" w:rsidRPr="007F2BDD">
              <w:rPr>
                <w:rFonts w:eastAsia="Calibri"/>
              </w:rPr>
              <w:t xml:space="preserve"> months to &lt;5 years</w:t>
            </w:r>
            <w:r w:rsidR="003B04D0" w:rsidRPr="007F2BDD">
              <w:rPr>
                <w:rFonts w:eastAsia="Calibri"/>
              </w:rPr>
              <w:t xml:space="preserve"> </w:t>
            </w:r>
          </w:p>
        </w:tc>
      </w:tr>
      <w:tr w:rsidR="005140F3" w:rsidRPr="007F2BDD" w:rsidTr="00CF0F3C">
        <w:trPr>
          <w:cantSplit/>
        </w:trPr>
        <w:tc>
          <w:tcPr>
            <w:tcW w:w="933"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rPr>
                <w:rFonts w:eastAsia="Calibri"/>
              </w:rPr>
            </w:pPr>
            <w:r w:rsidRPr="007F2BDD">
              <w:rPr>
                <w:rFonts w:eastAsia="Calibri"/>
              </w:rPr>
              <w:t>Intervention</w:t>
            </w:r>
          </w:p>
        </w:tc>
        <w:tc>
          <w:tcPr>
            <w:tcW w:w="406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rPr>
                <w:rFonts w:eastAsia="Calibri"/>
              </w:rPr>
            </w:pPr>
            <w:r w:rsidRPr="007F2BDD">
              <w:rPr>
                <w:rFonts w:eastAsia="Calibri"/>
              </w:rPr>
              <w:t xml:space="preserve">Inactivated </w:t>
            </w:r>
            <w:proofErr w:type="spellStart"/>
            <w:r w:rsidRPr="007F2BDD">
              <w:rPr>
                <w:rFonts w:eastAsia="Calibri"/>
              </w:rPr>
              <w:t>Quadrivalent</w:t>
            </w:r>
            <w:proofErr w:type="spellEnd"/>
            <w:r w:rsidRPr="007F2BDD">
              <w:rPr>
                <w:rFonts w:eastAsia="Calibri"/>
              </w:rPr>
              <w:t xml:space="preserve"> Influenza Vaccine (Split </w:t>
            </w:r>
            <w:proofErr w:type="spellStart"/>
            <w:r w:rsidRPr="007F2BDD">
              <w:rPr>
                <w:rFonts w:eastAsia="Calibri"/>
              </w:rPr>
              <w:t>Virion</w:t>
            </w:r>
            <w:proofErr w:type="spellEnd"/>
            <w:r w:rsidRPr="007F2BDD">
              <w:rPr>
                <w:rFonts w:eastAsia="Calibri"/>
              </w:rPr>
              <w:t>)</w:t>
            </w:r>
            <w:r w:rsidR="00D11FFD" w:rsidRPr="007F2BDD">
              <w:rPr>
                <w:rFonts w:eastAsia="Calibri"/>
              </w:rPr>
              <w:t xml:space="preserve">, </w:t>
            </w:r>
            <w:proofErr w:type="spellStart"/>
            <w:r w:rsidRPr="007F2BDD">
              <w:rPr>
                <w:rFonts w:eastAsia="Calibri"/>
              </w:rPr>
              <w:t>FluQuadri</w:t>
            </w:r>
            <w:proofErr w:type="spellEnd"/>
            <w:r w:rsidRPr="007F2BDD">
              <w:rPr>
                <w:rFonts w:eastAsia="Calibri"/>
              </w:rPr>
              <w:t xml:space="preserve"> </w:t>
            </w:r>
            <w:r w:rsidR="0004278B" w:rsidRPr="007F2BDD">
              <w:rPr>
                <w:rFonts w:eastAsia="Calibri"/>
              </w:rPr>
              <w:t>0.5 mL</w:t>
            </w:r>
          </w:p>
        </w:tc>
      </w:tr>
      <w:tr w:rsidR="005140F3" w:rsidRPr="007F2BDD" w:rsidTr="00CF0F3C">
        <w:trPr>
          <w:cantSplit/>
        </w:trPr>
        <w:tc>
          <w:tcPr>
            <w:tcW w:w="933"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rPr>
                <w:rFonts w:eastAsia="Calibri"/>
              </w:rPr>
            </w:pPr>
            <w:r w:rsidRPr="007F2BDD">
              <w:rPr>
                <w:rFonts w:eastAsia="Calibri"/>
              </w:rPr>
              <w:t>Comparator</w:t>
            </w:r>
          </w:p>
        </w:tc>
        <w:tc>
          <w:tcPr>
            <w:tcW w:w="4067" w:type="pct"/>
            <w:tcBorders>
              <w:top w:val="single" w:sz="4" w:space="0" w:color="auto"/>
              <w:left w:val="single" w:sz="4" w:space="0" w:color="auto"/>
              <w:bottom w:val="single" w:sz="4" w:space="0" w:color="auto"/>
              <w:right w:val="single" w:sz="4" w:space="0" w:color="auto"/>
            </w:tcBorders>
            <w:hideMark/>
          </w:tcPr>
          <w:p w:rsidR="00774268" w:rsidRPr="007F2BDD" w:rsidRDefault="000B1B19" w:rsidP="005F43D9">
            <w:pPr>
              <w:pStyle w:val="TableText0"/>
              <w:rPr>
                <w:rFonts w:eastAsia="Calibri"/>
              </w:rPr>
            </w:pPr>
            <w:r w:rsidRPr="007F2BDD">
              <w:rPr>
                <w:rFonts w:eastAsia="Calibri"/>
              </w:rPr>
              <w:t xml:space="preserve">Inactivated </w:t>
            </w:r>
            <w:proofErr w:type="spellStart"/>
            <w:r w:rsidRPr="007F2BDD">
              <w:rPr>
                <w:rFonts w:eastAsia="Calibri"/>
              </w:rPr>
              <w:t>Quadrivalent</w:t>
            </w:r>
            <w:proofErr w:type="spellEnd"/>
            <w:r w:rsidRPr="007F2BDD">
              <w:rPr>
                <w:rFonts w:eastAsia="Calibri"/>
              </w:rPr>
              <w:t xml:space="preserve"> Influenza Vaccine (Split </w:t>
            </w:r>
            <w:proofErr w:type="spellStart"/>
            <w:r w:rsidRPr="007F2BDD">
              <w:rPr>
                <w:rFonts w:eastAsia="Calibri"/>
              </w:rPr>
              <w:t>Virion</w:t>
            </w:r>
            <w:proofErr w:type="spellEnd"/>
            <w:r w:rsidRPr="007F2BDD">
              <w:rPr>
                <w:rFonts w:eastAsia="Calibri"/>
              </w:rPr>
              <w:t>)</w:t>
            </w:r>
            <w:r w:rsidR="00D11FFD" w:rsidRPr="007F2BDD">
              <w:rPr>
                <w:rFonts w:eastAsia="Calibri"/>
              </w:rPr>
              <w:t xml:space="preserve">, </w:t>
            </w:r>
            <w:proofErr w:type="spellStart"/>
            <w:r w:rsidR="005140F3" w:rsidRPr="007F2BDD">
              <w:rPr>
                <w:rFonts w:eastAsia="Calibri"/>
              </w:rPr>
              <w:t>FluQuadri</w:t>
            </w:r>
            <w:proofErr w:type="spellEnd"/>
            <w:r w:rsidR="005140F3" w:rsidRPr="007F2BDD">
              <w:rPr>
                <w:rFonts w:eastAsia="Calibri"/>
              </w:rPr>
              <w:t xml:space="preserve"> Junior 0.25 mL</w:t>
            </w:r>
            <w:r w:rsidR="00583968" w:rsidRPr="007F2BDD">
              <w:rPr>
                <w:rFonts w:eastAsia="Calibri"/>
              </w:rPr>
              <w:t xml:space="preserve"> </w:t>
            </w:r>
          </w:p>
          <w:p w:rsidR="005140F3" w:rsidRPr="007F2BDD" w:rsidRDefault="00583968" w:rsidP="005F43D9">
            <w:pPr>
              <w:pStyle w:val="TableText0"/>
              <w:rPr>
                <w:rFonts w:eastAsia="Calibri"/>
              </w:rPr>
            </w:pPr>
            <w:r w:rsidRPr="007F2BDD">
              <w:rPr>
                <w:rFonts w:eastAsia="Calibri"/>
              </w:rPr>
              <w:t xml:space="preserve">and </w:t>
            </w:r>
            <w:proofErr w:type="spellStart"/>
            <w:r w:rsidR="00774268" w:rsidRPr="007F2BDD">
              <w:rPr>
                <w:rFonts w:eastAsia="Calibri"/>
              </w:rPr>
              <w:t>Q</w:t>
            </w:r>
            <w:r w:rsidRPr="007F2BDD">
              <w:rPr>
                <w:rFonts w:eastAsia="Calibri"/>
              </w:rPr>
              <w:t>uadrivalent</w:t>
            </w:r>
            <w:proofErr w:type="spellEnd"/>
            <w:r w:rsidRPr="007F2BDD">
              <w:rPr>
                <w:rFonts w:eastAsia="Calibri"/>
              </w:rPr>
              <w:t xml:space="preserve"> </w:t>
            </w:r>
            <w:r w:rsidR="00774268" w:rsidRPr="007F2BDD">
              <w:rPr>
                <w:rFonts w:eastAsia="Calibri"/>
              </w:rPr>
              <w:t>I</w:t>
            </w:r>
            <w:r w:rsidRPr="007F2BDD">
              <w:rPr>
                <w:rFonts w:eastAsia="Calibri"/>
              </w:rPr>
              <w:t>nfluenza</w:t>
            </w:r>
            <w:r w:rsidR="00B01637" w:rsidRPr="007F2BDD">
              <w:rPr>
                <w:rFonts w:eastAsia="Calibri"/>
              </w:rPr>
              <w:t xml:space="preserve"> </w:t>
            </w:r>
            <w:r w:rsidR="00774268" w:rsidRPr="007F2BDD">
              <w:rPr>
                <w:rFonts w:eastAsia="Calibri"/>
              </w:rPr>
              <w:t>V</w:t>
            </w:r>
            <w:r w:rsidR="00B01637" w:rsidRPr="007F2BDD">
              <w:rPr>
                <w:rFonts w:eastAsia="Calibri"/>
              </w:rPr>
              <w:t xml:space="preserve">accine, </w:t>
            </w:r>
            <w:proofErr w:type="spellStart"/>
            <w:r w:rsidR="00B01637" w:rsidRPr="007F2BDD">
              <w:rPr>
                <w:rFonts w:eastAsia="Calibri"/>
              </w:rPr>
              <w:t>Vaxigrip</w:t>
            </w:r>
            <w:proofErr w:type="spellEnd"/>
            <w:r w:rsidR="00B01637" w:rsidRPr="007F2BDD">
              <w:rPr>
                <w:rFonts w:eastAsia="Calibri"/>
              </w:rPr>
              <w:t xml:space="preserve"> Tetra 0.5 mL</w:t>
            </w:r>
          </w:p>
        </w:tc>
      </w:tr>
      <w:tr w:rsidR="005140F3" w:rsidRPr="007F2BDD" w:rsidTr="00CF0F3C">
        <w:trPr>
          <w:cantSplit/>
        </w:trPr>
        <w:tc>
          <w:tcPr>
            <w:tcW w:w="933"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rPr>
                <w:rFonts w:eastAsia="Calibri"/>
              </w:rPr>
            </w:pPr>
            <w:r w:rsidRPr="007F2BDD">
              <w:rPr>
                <w:rFonts w:eastAsia="Calibri"/>
              </w:rPr>
              <w:t>Outcomes</w:t>
            </w:r>
          </w:p>
        </w:tc>
        <w:tc>
          <w:tcPr>
            <w:tcW w:w="406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rPr>
                <w:rFonts w:eastAsia="Calibri"/>
              </w:rPr>
            </w:pPr>
            <w:r w:rsidRPr="007F2BDD">
              <w:rPr>
                <w:rFonts w:eastAsia="Calibri"/>
              </w:rPr>
              <w:t>Rate of fever following vaccination</w:t>
            </w:r>
          </w:p>
          <w:p w:rsidR="005140F3" w:rsidRPr="007F2BDD" w:rsidRDefault="005140F3" w:rsidP="005F43D9">
            <w:pPr>
              <w:pStyle w:val="TableText0"/>
              <w:rPr>
                <w:rFonts w:eastAsia="Calibri"/>
              </w:rPr>
            </w:pPr>
            <w:r w:rsidRPr="007F2BDD">
              <w:rPr>
                <w:rFonts w:eastAsia="Calibri"/>
              </w:rPr>
              <w:t>GMTs of influenza vaccine antibodies</w:t>
            </w:r>
          </w:p>
          <w:p w:rsidR="005140F3" w:rsidRPr="007F2BDD" w:rsidRDefault="005140F3" w:rsidP="005F43D9">
            <w:pPr>
              <w:pStyle w:val="TableText0"/>
              <w:rPr>
                <w:rFonts w:eastAsia="Calibri"/>
              </w:rPr>
            </w:pPr>
            <w:r w:rsidRPr="007F2BDD">
              <w:rPr>
                <w:rFonts w:eastAsia="Calibri"/>
              </w:rPr>
              <w:t>Rate of seroconversion</w:t>
            </w:r>
          </w:p>
        </w:tc>
      </w:tr>
      <w:tr w:rsidR="005140F3" w:rsidRPr="007F2BDD" w:rsidTr="00CF0F3C">
        <w:trPr>
          <w:cantSplit/>
        </w:trPr>
        <w:tc>
          <w:tcPr>
            <w:tcW w:w="933"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rPr>
                <w:rFonts w:eastAsia="Calibri"/>
              </w:rPr>
            </w:pPr>
            <w:r w:rsidRPr="007F2BDD">
              <w:rPr>
                <w:rFonts w:eastAsia="Calibri"/>
              </w:rPr>
              <w:t>Clinical claim</w:t>
            </w:r>
          </w:p>
        </w:tc>
        <w:tc>
          <w:tcPr>
            <w:tcW w:w="406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rPr>
                <w:rFonts w:eastAsia="Calibri"/>
              </w:rPr>
            </w:pPr>
            <w:r w:rsidRPr="007F2BDD">
              <w:rPr>
                <w:rFonts w:eastAsia="Calibri"/>
              </w:rPr>
              <w:t>Non-inferior efficacy as assessed by immunogenicity outcomes of GMTs and seroconversion, and safety, in terms of fever rate following vaccination and other treatment-emergent adverse events</w:t>
            </w:r>
            <w:r w:rsidR="007F2BDD">
              <w:rPr>
                <w:rFonts w:eastAsia="Calibri"/>
              </w:rPr>
              <w:t xml:space="preserve">. </w:t>
            </w:r>
          </w:p>
        </w:tc>
      </w:tr>
    </w:tbl>
    <w:p w:rsidR="005140F3" w:rsidRPr="007F2BDD" w:rsidRDefault="005140F3" w:rsidP="005F43D9">
      <w:pPr>
        <w:pStyle w:val="TableFigureFooter"/>
        <w:widowControl/>
      </w:pPr>
      <w:r w:rsidRPr="007F2BDD">
        <w:t xml:space="preserve">GMT= geometric mean titres. </w:t>
      </w:r>
    </w:p>
    <w:p w:rsidR="005140F3" w:rsidRPr="007F2BDD" w:rsidRDefault="005140F3" w:rsidP="005F43D9">
      <w:pPr>
        <w:pStyle w:val="TableFigureFooter"/>
        <w:widowControl/>
      </w:pPr>
      <w:r w:rsidRPr="007F2BDD">
        <w:t xml:space="preserve">Source: </w:t>
      </w:r>
      <w:r w:rsidR="00952304" w:rsidRPr="007F2BDD">
        <w:t xml:space="preserve">Adapted from </w:t>
      </w:r>
      <w:r w:rsidRPr="007F2BDD">
        <w:t>Table 1.1.1, p13 of the submission</w:t>
      </w:r>
      <w:r w:rsidR="00774268" w:rsidRPr="007F2BDD">
        <w:t xml:space="preserve">, </w:t>
      </w:r>
      <w:r w:rsidR="00774268" w:rsidRPr="007F2BDD">
        <w:rPr>
          <w:iCs/>
        </w:rPr>
        <w:t>and edited during the preparation of the ESC Advice</w:t>
      </w:r>
      <w:r w:rsidR="00774268" w:rsidRPr="007F2BDD">
        <w:t>.</w:t>
      </w:r>
    </w:p>
    <w:p w:rsidR="007C3D0A" w:rsidRPr="007F2BDD" w:rsidRDefault="005140F3" w:rsidP="005F43D9">
      <w:pPr>
        <w:pStyle w:val="2-SectionHeading"/>
      </w:pPr>
      <w:bookmarkStart w:id="1" w:name="_Toc16586206"/>
      <w:bookmarkStart w:id="2" w:name="_Toc19617899"/>
      <w:r w:rsidRPr="007F2BDD">
        <w:t>Requested listing</w:t>
      </w:r>
      <w:bookmarkEnd w:id="1"/>
      <w:bookmarkEnd w:id="2"/>
    </w:p>
    <w:p w:rsidR="0028727B" w:rsidRDefault="00DF5309" w:rsidP="005F43D9">
      <w:pPr>
        <w:pStyle w:val="3-BodyText"/>
      </w:pPr>
      <w:r w:rsidRPr="007F2BDD">
        <w:lastRenderedPageBreak/>
        <w:t>The submission did not include the proposed wording for the NIP listing. The evaluation compiled the proposed listing for at-risk children aged 6-35 months. The ESC updated the proposed listing following clarification in the PSCR to include all children aged 6 months to &lt;5 years. Changes to the currently eligible population are identified with additions in italics</w:t>
      </w:r>
      <w:r w:rsidR="00FA5753" w:rsidRPr="007F2BDD">
        <w:t xml:space="preserve"> and</w:t>
      </w:r>
      <w:r w:rsidRPr="007F2BDD">
        <w:t xml:space="preserve"> deletions in strikethrough. </w:t>
      </w:r>
    </w:p>
    <w:p w:rsidR="0028727B" w:rsidRDefault="0028727B">
      <w:r>
        <w:br w:type="page"/>
      </w:r>
    </w:p>
    <w:tbl>
      <w:tblPr>
        <w:tblW w:w="5000" w:type="pct"/>
        <w:tblCellMar>
          <w:left w:w="28" w:type="dxa"/>
          <w:right w:w="28" w:type="dxa"/>
        </w:tblCellMar>
        <w:tblLook w:val="04A0" w:firstRow="1" w:lastRow="0" w:firstColumn="1" w:lastColumn="0" w:noHBand="0" w:noVBand="1"/>
      </w:tblPr>
      <w:tblGrid>
        <w:gridCol w:w="2265"/>
        <w:gridCol w:w="1136"/>
        <w:gridCol w:w="1094"/>
        <w:gridCol w:w="850"/>
        <w:gridCol w:w="1526"/>
        <w:gridCol w:w="2156"/>
      </w:tblGrid>
      <w:tr w:rsidR="005140F3" w:rsidRPr="00CF0F3C" w:rsidTr="004C1C15">
        <w:trPr>
          <w:cantSplit/>
          <w:trHeight w:val="463"/>
        </w:trPr>
        <w:tc>
          <w:tcPr>
            <w:tcW w:w="1884" w:type="pct"/>
            <w:gridSpan w:val="2"/>
            <w:tcBorders>
              <w:top w:val="single" w:sz="4" w:space="0" w:color="auto"/>
              <w:left w:val="nil"/>
              <w:bottom w:val="single" w:sz="4" w:space="0" w:color="auto"/>
              <w:right w:val="nil"/>
            </w:tcBorders>
            <w:vAlign w:val="center"/>
            <w:hideMark/>
          </w:tcPr>
          <w:p w:rsidR="005140F3" w:rsidRPr="00CF0F3C" w:rsidRDefault="005140F3" w:rsidP="005F43D9">
            <w:pPr>
              <w:keepNext/>
              <w:snapToGrid w:val="0"/>
              <w:rPr>
                <w:rFonts w:ascii="Arial Narrow" w:hAnsi="Arial Narrow"/>
                <w:b/>
                <w:sz w:val="20"/>
                <w:szCs w:val="20"/>
              </w:rPr>
            </w:pPr>
            <w:bookmarkStart w:id="3" w:name="_Hlk17980414"/>
            <w:r w:rsidRPr="00CF0F3C">
              <w:rPr>
                <w:rFonts w:ascii="Arial Narrow" w:hAnsi="Arial Narrow"/>
                <w:b/>
                <w:sz w:val="20"/>
                <w:szCs w:val="20"/>
              </w:rPr>
              <w:lastRenderedPageBreak/>
              <w:t>Name, Restriction,</w:t>
            </w:r>
          </w:p>
          <w:p w:rsidR="005140F3" w:rsidRPr="00CF0F3C" w:rsidRDefault="005140F3" w:rsidP="005F43D9">
            <w:pPr>
              <w:keepNext/>
              <w:snapToGrid w:val="0"/>
              <w:rPr>
                <w:rFonts w:ascii="Arial Narrow" w:hAnsi="Arial Narrow"/>
                <w:b/>
                <w:sz w:val="20"/>
                <w:szCs w:val="20"/>
              </w:rPr>
            </w:pPr>
            <w:r w:rsidRPr="00CF0F3C">
              <w:rPr>
                <w:rFonts w:ascii="Arial Narrow" w:hAnsi="Arial Narrow"/>
                <w:b/>
                <w:sz w:val="20"/>
                <w:szCs w:val="20"/>
              </w:rPr>
              <w:t>Manner of administration and form</w:t>
            </w:r>
          </w:p>
        </w:tc>
        <w:tc>
          <w:tcPr>
            <w:tcW w:w="606" w:type="pct"/>
            <w:tcBorders>
              <w:top w:val="single" w:sz="4" w:space="0" w:color="auto"/>
              <w:left w:val="nil"/>
              <w:bottom w:val="single" w:sz="4" w:space="0" w:color="auto"/>
              <w:right w:val="nil"/>
            </w:tcBorders>
            <w:vAlign w:val="center"/>
          </w:tcPr>
          <w:p w:rsidR="005140F3" w:rsidRPr="00CF0F3C" w:rsidRDefault="005140F3" w:rsidP="005F43D9">
            <w:pPr>
              <w:keepNext/>
              <w:snapToGrid w:val="0"/>
              <w:jc w:val="center"/>
              <w:rPr>
                <w:rFonts w:ascii="Arial Narrow" w:hAnsi="Arial Narrow"/>
                <w:b/>
                <w:sz w:val="20"/>
                <w:szCs w:val="20"/>
              </w:rPr>
            </w:pPr>
          </w:p>
        </w:tc>
        <w:tc>
          <w:tcPr>
            <w:tcW w:w="471" w:type="pct"/>
            <w:tcBorders>
              <w:top w:val="single" w:sz="4" w:space="0" w:color="auto"/>
              <w:left w:val="nil"/>
              <w:bottom w:val="single" w:sz="4" w:space="0" w:color="auto"/>
              <w:right w:val="nil"/>
            </w:tcBorders>
            <w:vAlign w:val="center"/>
          </w:tcPr>
          <w:p w:rsidR="005140F3" w:rsidRPr="00CF0F3C" w:rsidRDefault="005140F3" w:rsidP="005F43D9">
            <w:pPr>
              <w:keepNext/>
              <w:snapToGrid w:val="0"/>
              <w:jc w:val="center"/>
              <w:rPr>
                <w:rFonts w:ascii="Arial Narrow" w:hAnsi="Arial Narrow"/>
                <w:b/>
                <w:sz w:val="20"/>
                <w:szCs w:val="20"/>
              </w:rPr>
            </w:pPr>
          </w:p>
        </w:tc>
        <w:tc>
          <w:tcPr>
            <w:tcW w:w="845" w:type="pct"/>
            <w:tcBorders>
              <w:top w:val="single" w:sz="4" w:space="0" w:color="auto"/>
              <w:left w:val="nil"/>
              <w:bottom w:val="single" w:sz="4" w:space="0" w:color="auto"/>
              <w:right w:val="nil"/>
            </w:tcBorders>
            <w:vAlign w:val="center"/>
            <w:hideMark/>
          </w:tcPr>
          <w:p w:rsidR="005140F3" w:rsidRPr="00CF0F3C" w:rsidRDefault="005140F3" w:rsidP="005F43D9">
            <w:pPr>
              <w:keepNext/>
              <w:snapToGrid w:val="0"/>
              <w:jc w:val="center"/>
              <w:rPr>
                <w:rFonts w:ascii="Arial Narrow" w:hAnsi="Arial Narrow"/>
                <w:b/>
                <w:sz w:val="20"/>
                <w:szCs w:val="20"/>
              </w:rPr>
            </w:pPr>
            <w:r w:rsidRPr="00CF0F3C">
              <w:rPr>
                <w:rFonts w:ascii="Arial Narrow" w:hAnsi="Arial Narrow"/>
                <w:b/>
                <w:sz w:val="20"/>
                <w:szCs w:val="20"/>
              </w:rPr>
              <w:t>National</w:t>
            </w:r>
            <w:r w:rsidR="003214F8" w:rsidRPr="00CF0F3C">
              <w:rPr>
                <w:rFonts w:ascii="Arial Narrow" w:hAnsi="Arial Narrow"/>
                <w:b/>
                <w:sz w:val="20"/>
                <w:szCs w:val="20"/>
              </w:rPr>
              <w:t>ly</w:t>
            </w:r>
            <w:r w:rsidRPr="00CF0F3C">
              <w:rPr>
                <w:rFonts w:ascii="Arial Narrow" w:hAnsi="Arial Narrow"/>
                <w:b/>
                <w:sz w:val="20"/>
                <w:szCs w:val="20"/>
              </w:rPr>
              <w:t xml:space="preserve"> Negotiated Price</w:t>
            </w:r>
          </w:p>
        </w:tc>
        <w:tc>
          <w:tcPr>
            <w:tcW w:w="1194" w:type="pct"/>
            <w:tcBorders>
              <w:top w:val="single" w:sz="4" w:space="0" w:color="auto"/>
              <w:left w:val="nil"/>
              <w:bottom w:val="single" w:sz="4" w:space="0" w:color="auto"/>
              <w:right w:val="nil"/>
            </w:tcBorders>
            <w:vAlign w:val="center"/>
            <w:hideMark/>
          </w:tcPr>
          <w:p w:rsidR="005140F3" w:rsidRPr="00CF0F3C" w:rsidRDefault="005140F3" w:rsidP="005F43D9">
            <w:pPr>
              <w:keepNext/>
              <w:snapToGrid w:val="0"/>
              <w:jc w:val="center"/>
              <w:rPr>
                <w:rFonts w:ascii="Arial Narrow" w:hAnsi="Arial Narrow"/>
                <w:b/>
                <w:sz w:val="20"/>
                <w:szCs w:val="20"/>
              </w:rPr>
            </w:pPr>
            <w:r w:rsidRPr="00CF0F3C">
              <w:rPr>
                <w:rFonts w:ascii="Arial Narrow" w:hAnsi="Arial Narrow"/>
                <w:b/>
                <w:sz w:val="20"/>
                <w:szCs w:val="20"/>
              </w:rPr>
              <w:t>Proprietary Name and Manufacturer</w:t>
            </w:r>
          </w:p>
        </w:tc>
      </w:tr>
      <w:tr w:rsidR="00145C0F" w:rsidRPr="00CF0F3C" w:rsidTr="004C1C15">
        <w:trPr>
          <w:cantSplit/>
          <w:trHeight w:val="567"/>
        </w:trPr>
        <w:tc>
          <w:tcPr>
            <w:tcW w:w="1884" w:type="pct"/>
            <w:gridSpan w:val="2"/>
            <w:vAlign w:val="center"/>
            <w:hideMark/>
          </w:tcPr>
          <w:p w:rsidR="00145C0F" w:rsidRPr="00CF0F3C" w:rsidRDefault="00145C0F" w:rsidP="005F43D9">
            <w:pPr>
              <w:rPr>
                <w:rFonts w:ascii="Arial Narrow" w:hAnsi="Arial Narrow" w:cs="Times New Roman"/>
                <w:sz w:val="20"/>
                <w:szCs w:val="20"/>
              </w:rPr>
            </w:pPr>
            <w:r w:rsidRPr="00CF0F3C">
              <w:rPr>
                <w:rFonts w:ascii="Arial Narrow" w:hAnsi="Arial Narrow" w:cs="Times New Roman"/>
                <w:sz w:val="20"/>
                <w:szCs w:val="20"/>
              </w:rPr>
              <w:t xml:space="preserve">Inactivated </w:t>
            </w:r>
            <w:proofErr w:type="spellStart"/>
            <w:r w:rsidRPr="00CF0F3C">
              <w:rPr>
                <w:rFonts w:ascii="Arial Narrow" w:hAnsi="Arial Narrow" w:cs="Times New Roman"/>
                <w:sz w:val="20"/>
                <w:szCs w:val="20"/>
              </w:rPr>
              <w:t>Quadrivalent</w:t>
            </w:r>
            <w:proofErr w:type="spellEnd"/>
            <w:r w:rsidRPr="00CF0F3C">
              <w:rPr>
                <w:rFonts w:ascii="Arial Narrow" w:hAnsi="Arial Narrow" w:cs="Times New Roman"/>
                <w:sz w:val="20"/>
                <w:szCs w:val="20"/>
              </w:rPr>
              <w:t xml:space="preserve"> Influenza Vaccine (split </w:t>
            </w:r>
            <w:proofErr w:type="spellStart"/>
            <w:r w:rsidRPr="00CF0F3C">
              <w:rPr>
                <w:rFonts w:ascii="Arial Narrow" w:hAnsi="Arial Narrow" w:cs="Times New Roman"/>
                <w:sz w:val="20"/>
                <w:szCs w:val="20"/>
              </w:rPr>
              <w:t>virion</w:t>
            </w:r>
            <w:proofErr w:type="spellEnd"/>
            <w:r w:rsidRPr="00CF0F3C">
              <w:rPr>
                <w:rFonts w:ascii="Arial Narrow" w:hAnsi="Arial Narrow" w:cs="Times New Roman"/>
                <w:sz w:val="20"/>
                <w:szCs w:val="20"/>
              </w:rPr>
              <w:t>)</w:t>
            </w:r>
          </w:p>
          <w:p w:rsidR="00145C0F" w:rsidRPr="00CF0F3C" w:rsidRDefault="00145C0F" w:rsidP="005F43D9">
            <w:pPr>
              <w:rPr>
                <w:rFonts w:ascii="Arial Narrow" w:hAnsi="Arial Narrow" w:cs="Times New Roman"/>
                <w:sz w:val="20"/>
                <w:szCs w:val="20"/>
              </w:rPr>
            </w:pPr>
            <w:r w:rsidRPr="00CF0F3C">
              <w:rPr>
                <w:rFonts w:ascii="Arial Narrow" w:hAnsi="Arial Narrow" w:cs="Times New Roman"/>
                <w:sz w:val="20"/>
                <w:szCs w:val="20"/>
              </w:rPr>
              <w:t>Injection</w:t>
            </w:r>
            <w:r w:rsidR="00957E0A" w:rsidRPr="00CF0F3C">
              <w:rPr>
                <w:rFonts w:ascii="Arial Narrow" w:hAnsi="Arial Narrow" w:cs="Times New Roman"/>
                <w:sz w:val="20"/>
                <w:szCs w:val="20"/>
              </w:rPr>
              <w:t xml:space="preserve"> 0.5 mL</w:t>
            </w:r>
          </w:p>
        </w:tc>
        <w:tc>
          <w:tcPr>
            <w:tcW w:w="606" w:type="pct"/>
            <w:vAlign w:val="center"/>
          </w:tcPr>
          <w:p w:rsidR="00145C0F" w:rsidRPr="00CF0F3C" w:rsidRDefault="00145C0F" w:rsidP="005F43D9">
            <w:pPr>
              <w:keepNext/>
              <w:snapToGrid w:val="0"/>
              <w:jc w:val="center"/>
              <w:rPr>
                <w:rFonts w:ascii="Arial Narrow" w:hAnsi="Arial Narrow"/>
                <w:sz w:val="20"/>
                <w:szCs w:val="20"/>
              </w:rPr>
            </w:pPr>
          </w:p>
          <w:p w:rsidR="00145C0F" w:rsidRPr="00CF0F3C" w:rsidRDefault="00145C0F" w:rsidP="005F43D9">
            <w:pPr>
              <w:keepNext/>
              <w:snapToGrid w:val="0"/>
              <w:jc w:val="center"/>
              <w:rPr>
                <w:rFonts w:ascii="Arial Narrow" w:hAnsi="Arial Narrow"/>
                <w:sz w:val="20"/>
                <w:szCs w:val="20"/>
              </w:rPr>
            </w:pPr>
          </w:p>
        </w:tc>
        <w:tc>
          <w:tcPr>
            <w:tcW w:w="471" w:type="pct"/>
            <w:vAlign w:val="center"/>
          </w:tcPr>
          <w:p w:rsidR="00145C0F" w:rsidRPr="00CF0F3C" w:rsidRDefault="00145C0F" w:rsidP="005F43D9">
            <w:pPr>
              <w:keepNext/>
              <w:snapToGrid w:val="0"/>
              <w:jc w:val="center"/>
              <w:rPr>
                <w:rFonts w:ascii="Arial Narrow" w:hAnsi="Arial Narrow"/>
                <w:sz w:val="20"/>
                <w:szCs w:val="20"/>
              </w:rPr>
            </w:pPr>
          </w:p>
          <w:p w:rsidR="00145C0F" w:rsidRPr="00CF0F3C" w:rsidRDefault="00145C0F" w:rsidP="005F43D9">
            <w:pPr>
              <w:keepNext/>
              <w:snapToGrid w:val="0"/>
              <w:jc w:val="center"/>
              <w:rPr>
                <w:rFonts w:ascii="Arial Narrow" w:hAnsi="Arial Narrow"/>
                <w:sz w:val="20"/>
                <w:szCs w:val="20"/>
              </w:rPr>
            </w:pPr>
          </w:p>
        </w:tc>
        <w:tc>
          <w:tcPr>
            <w:tcW w:w="845" w:type="pct"/>
            <w:vAlign w:val="center"/>
          </w:tcPr>
          <w:p w:rsidR="00145C0F" w:rsidRPr="00CF0F3C" w:rsidRDefault="00145C0F" w:rsidP="005F43D9">
            <w:pPr>
              <w:keepNext/>
              <w:snapToGrid w:val="0"/>
              <w:jc w:val="center"/>
              <w:rPr>
                <w:rFonts w:ascii="Arial Narrow" w:hAnsi="Arial Narrow"/>
                <w:sz w:val="20"/>
                <w:szCs w:val="20"/>
              </w:rPr>
            </w:pPr>
            <w:r w:rsidRPr="00CF0F3C">
              <w:rPr>
                <w:rFonts w:ascii="Arial Narrow" w:hAnsi="Arial Narrow"/>
                <w:sz w:val="20"/>
                <w:szCs w:val="20"/>
              </w:rPr>
              <w:t>$</w:t>
            </w:r>
            <w:r w:rsidR="00AE73E9">
              <w:rPr>
                <w:rFonts w:ascii="Arial Narrow" w:hAnsi="Arial Narrow"/>
                <w:noProof/>
                <w:color w:val="000000"/>
                <w:sz w:val="20"/>
                <w:szCs w:val="20"/>
                <w:highlight w:val="black"/>
              </w:rPr>
              <w:t>'''''''''''</w:t>
            </w:r>
          </w:p>
          <w:p w:rsidR="00145C0F" w:rsidRPr="00CF0F3C" w:rsidRDefault="00145C0F" w:rsidP="005F43D9">
            <w:pPr>
              <w:keepNext/>
              <w:snapToGrid w:val="0"/>
              <w:jc w:val="center"/>
              <w:rPr>
                <w:rFonts w:ascii="Arial Narrow" w:hAnsi="Arial Narrow"/>
                <w:sz w:val="20"/>
                <w:szCs w:val="20"/>
              </w:rPr>
            </w:pPr>
          </w:p>
        </w:tc>
        <w:tc>
          <w:tcPr>
            <w:tcW w:w="1194" w:type="pct"/>
            <w:vAlign w:val="center"/>
          </w:tcPr>
          <w:p w:rsidR="00145C0F" w:rsidRPr="00CF0F3C" w:rsidRDefault="00145C0F" w:rsidP="005F43D9">
            <w:pPr>
              <w:rPr>
                <w:rFonts w:ascii="Arial Narrow" w:hAnsi="Arial Narrow" w:cs="Times New Roman"/>
                <w:sz w:val="20"/>
                <w:szCs w:val="20"/>
              </w:rPr>
            </w:pPr>
            <w:proofErr w:type="spellStart"/>
            <w:r w:rsidRPr="00CF0F3C">
              <w:rPr>
                <w:rFonts w:ascii="Arial Narrow" w:hAnsi="Arial Narrow" w:cs="Times New Roman"/>
                <w:sz w:val="20"/>
                <w:szCs w:val="20"/>
              </w:rPr>
              <w:t>FluQuadri</w:t>
            </w:r>
            <w:r w:rsidRPr="00CF0F3C">
              <w:rPr>
                <w:rFonts w:ascii="Arial Narrow" w:hAnsi="Arial Narrow" w:cs="Times New Roman"/>
                <w:sz w:val="20"/>
                <w:szCs w:val="20"/>
                <w:vertAlign w:val="superscript"/>
              </w:rPr>
              <w:t>TM</w:t>
            </w:r>
            <w:proofErr w:type="spellEnd"/>
            <w:r w:rsidRPr="00CF0F3C">
              <w:rPr>
                <w:rFonts w:ascii="Arial Narrow" w:hAnsi="Arial Narrow" w:cs="Times New Roman"/>
                <w:sz w:val="20"/>
                <w:szCs w:val="20"/>
              </w:rPr>
              <w:t xml:space="preserve"> </w:t>
            </w:r>
          </w:p>
          <w:p w:rsidR="00145C0F" w:rsidRPr="00CF0F3C" w:rsidRDefault="00077C4C" w:rsidP="005F43D9">
            <w:pPr>
              <w:rPr>
                <w:rFonts w:ascii="Arial Narrow" w:hAnsi="Arial Narrow" w:cs="Times New Roman"/>
                <w:sz w:val="20"/>
                <w:szCs w:val="20"/>
              </w:rPr>
            </w:pPr>
            <w:r w:rsidRPr="00CF0F3C">
              <w:rPr>
                <w:rFonts w:ascii="Arial Narrow" w:hAnsi="Arial Narrow" w:cs="Times New Roman"/>
                <w:sz w:val="20"/>
                <w:szCs w:val="20"/>
              </w:rPr>
              <w:t>S</w:t>
            </w:r>
            <w:r w:rsidR="00145C0F" w:rsidRPr="00CF0F3C">
              <w:rPr>
                <w:rFonts w:ascii="Arial Narrow" w:hAnsi="Arial Narrow" w:cs="Times New Roman"/>
                <w:sz w:val="20"/>
                <w:szCs w:val="20"/>
              </w:rPr>
              <w:t>anofi-</w:t>
            </w:r>
            <w:r w:rsidRPr="00CF0F3C">
              <w:rPr>
                <w:rFonts w:ascii="Arial Narrow" w:hAnsi="Arial Narrow" w:cs="Times New Roman"/>
                <w:sz w:val="20"/>
                <w:szCs w:val="20"/>
              </w:rPr>
              <w:t>A</w:t>
            </w:r>
            <w:r w:rsidR="00145C0F" w:rsidRPr="00CF0F3C">
              <w:rPr>
                <w:rFonts w:ascii="Arial Narrow" w:hAnsi="Arial Narrow" w:cs="Times New Roman"/>
                <w:sz w:val="20"/>
                <w:szCs w:val="20"/>
              </w:rPr>
              <w:t>ventis</w:t>
            </w:r>
          </w:p>
          <w:p w:rsidR="00145C0F" w:rsidRPr="00CF0F3C" w:rsidRDefault="00145C0F" w:rsidP="005F43D9">
            <w:pPr>
              <w:keepNext/>
              <w:snapToGrid w:val="0"/>
              <w:rPr>
                <w:rFonts w:ascii="Arial Narrow" w:hAnsi="Arial Narrow"/>
                <w:sz w:val="20"/>
                <w:szCs w:val="20"/>
              </w:rPr>
            </w:pPr>
            <w:r w:rsidRPr="00CF0F3C">
              <w:rPr>
                <w:rFonts w:ascii="Arial Narrow" w:hAnsi="Arial Narrow"/>
                <w:sz w:val="20"/>
                <w:szCs w:val="20"/>
              </w:rPr>
              <w:t>(Australia) Pty Ltd</w:t>
            </w:r>
          </w:p>
        </w:tc>
      </w:tr>
      <w:tr w:rsidR="005140F3" w:rsidRPr="00CF0F3C" w:rsidTr="004C1C15">
        <w:trPr>
          <w:cantSplit/>
          <w:trHeight w:val="20"/>
        </w:trPr>
        <w:tc>
          <w:tcPr>
            <w:tcW w:w="1255" w:type="pct"/>
            <w:tcBorders>
              <w:top w:val="single" w:sz="4" w:space="0" w:color="auto"/>
              <w:left w:val="single" w:sz="4" w:space="0" w:color="auto"/>
              <w:bottom w:val="single" w:sz="4" w:space="0" w:color="auto"/>
              <w:right w:val="single" w:sz="4" w:space="0" w:color="auto"/>
            </w:tcBorders>
            <w:hideMark/>
          </w:tcPr>
          <w:p w:rsidR="005140F3" w:rsidRPr="00CF0F3C" w:rsidRDefault="005140F3" w:rsidP="005F43D9">
            <w:pPr>
              <w:rPr>
                <w:rFonts w:ascii="Arial Narrow" w:hAnsi="Arial Narrow" w:cs="Times New Roman"/>
                <w:b/>
                <w:bCs/>
                <w:sz w:val="20"/>
                <w:szCs w:val="20"/>
              </w:rPr>
            </w:pPr>
            <w:r w:rsidRPr="00CF0F3C">
              <w:rPr>
                <w:rFonts w:ascii="Arial Narrow" w:hAnsi="Arial Narrow" w:cs="Times New Roman"/>
                <w:b/>
                <w:bCs/>
                <w:sz w:val="20"/>
                <w:szCs w:val="20"/>
              </w:rPr>
              <w:t>Category/Program</w:t>
            </w:r>
          </w:p>
        </w:tc>
        <w:tc>
          <w:tcPr>
            <w:tcW w:w="3745" w:type="pct"/>
            <w:gridSpan w:val="5"/>
            <w:tcBorders>
              <w:top w:val="single" w:sz="4" w:space="0" w:color="auto"/>
              <w:left w:val="single" w:sz="4" w:space="0" w:color="auto"/>
              <w:bottom w:val="single" w:sz="4" w:space="0" w:color="auto"/>
              <w:right w:val="single" w:sz="4" w:space="0" w:color="auto"/>
            </w:tcBorders>
            <w:hideMark/>
          </w:tcPr>
          <w:p w:rsidR="005140F3" w:rsidRPr="00CF0F3C" w:rsidRDefault="005140F3" w:rsidP="005F43D9">
            <w:pPr>
              <w:rPr>
                <w:rFonts w:ascii="Arial Narrow" w:hAnsi="Arial Narrow" w:cs="Times New Roman"/>
                <w:b/>
                <w:bCs/>
                <w:sz w:val="20"/>
                <w:szCs w:val="20"/>
              </w:rPr>
            </w:pPr>
            <w:r w:rsidRPr="00CF0F3C">
              <w:rPr>
                <w:rFonts w:ascii="Arial Narrow" w:hAnsi="Arial Narrow" w:cs="Times New Roman"/>
                <w:b/>
                <w:bCs/>
                <w:sz w:val="20"/>
                <w:szCs w:val="20"/>
              </w:rPr>
              <w:t>NIP</w:t>
            </w:r>
          </w:p>
        </w:tc>
      </w:tr>
      <w:tr w:rsidR="00C33325" w:rsidRPr="00CF0F3C" w:rsidTr="004C1C15">
        <w:trPr>
          <w:cantSplit/>
          <w:trHeight w:val="4242"/>
        </w:trPr>
        <w:tc>
          <w:tcPr>
            <w:tcW w:w="1255" w:type="pct"/>
            <w:tcBorders>
              <w:top w:val="single" w:sz="4" w:space="0" w:color="auto"/>
              <w:left w:val="single" w:sz="4" w:space="0" w:color="auto"/>
              <w:right w:val="single" w:sz="4" w:space="0" w:color="auto"/>
            </w:tcBorders>
            <w:hideMark/>
          </w:tcPr>
          <w:p w:rsidR="00C33325" w:rsidRPr="00CF0F3C" w:rsidRDefault="00C33325" w:rsidP="005F43D9">
            <w:pPr>
              <w:rPr>
                <w:rFonts w:ascii="Arial Narrow" w:hAnsi="Arial Narrow" w:cs="Times New Roman"/>
                <w:iCs/>
                <w:sz w:val="20"/>
                <w:szCs w:val="20"/>
              </w:rPr>
            </w:pPr>
            <w:r w:rsidRPr="00CF0F3C">
              <w:rPr>
                <w:rFonts w:ascii="Arial Narrow" w:hAnsi="Arial Narrow" w:cs="Times New Roman"/>
                <w:iCs/>
                <w:sz w:val="20"/>
                <w:szCs w:val="20"/>
              </w:rPr>
              <w:t xml:space="preserve">Groups eligible for the requested NIP listing of  </w:t>
            </w:r>
            <w:proofErr w:type="spellStart"/>
            <w:r w:rsidRPr="00CF0F3C">
              <w:rPr>
                <w:rFonts w:ascii="Arial Narrow" w:hAnsi="Arial Narrow" w:cs="Times New Roman"/>
                <w:iCs/>
                <w:sz w:val="20"/>
                <w:szCs w:val="20"/>
              </w:rPr>
              <w:t>FluQuadri</w:t>
            </w:r>
            <w:proofErr w:type="spellEnd"/>
            <w:r w:rsidRPr="00CF0F3C">
              <w:rPr>
                <w:rFonts w:ascii="Arial Narrow" w:hAnsi="Arial Narrow" w:cs="Times New Roman"/>
                <w:iCs/>
                <w:sz w:val="20"/>
                <w:szCs w:val="20"/>
              </w:rPr>
              <w:t xml:space="preserve"> </w:t>
            </w:r>
          </w:p>
          <w:p w:rsidR="00C33325" w:rsidRPr="00CF0F3C" w:rsidRDefault="00C33325" w:rsidP="005F43D9">
            <w:pPr>
              <w:rPr>
                <w:rFonts w:ascii="Arial Narrow" w:hAnsi="Arial Narrow" w:cs="Times New Roman"/>
                <w:i/>
                <w:iCs/>
                <w:sz w:val="20"/>
                <w:szCs w:val="20"/>
              </w:rPr>
            </w:pPr>
          </w:p>
          <w:p w:rsidR="00C33325" w:rsidRPr="00CF0F3C" w:rsidRDefault="00C33325" w:rsidP="005F43D9">
            <w:pPr>
              <w:rPr>
                <w:rFonts w:ascii="Arial Narrow" w:hAnsi="Arial Narrow" w:cs="Times New Roman"/>
                <w:i/>
                <w:iCs/>
                <w:sz w:val="20"/>
                <w:szCs w:val="20"/>
              </w:rPr>
            </w:pPr>
          </w:p>
        </w:tc>
        <w:tc>
          <w:tcPr>
            <w:tcW w:w="3745" w:type="pct"/>
            <w:gridSpan w:val="5"/>
            <w:tcBorders>
              <w:top w:val="single" w:sz="4" w:space="0" w:color="auto"/>
              <w:left w:val="single" w:sz="4" w:space="0" w:color="auto"/>
              <w:right w:val="single" w:sz="4" w:space="0" w:color="auto"/>
            </w:tcBorders>
            <w:hideMark/>
          </w:tcPr>
          <w:p w:rsidR="00EA3145" w:rsidRPr="00CF0F3C" w:rsidRDefault="00EA3145" w:rsidP="005F43D9">
            <w:pPr>
              <w:rPr>
                <w:rFonts w:ascii="Arial Narrow" w:hAnsi="Arial Narrow" w:cs="Times New Roman"/>
                <w:i/>
                <w:iCs/>
                <w:sz w:val="20"/>
                <w:szCs w:val="20"/>
              </w:rPr>
            </w:pPr>
            <w:r w:rsidRPr="00CF0F3C">
              <w:rPr>
                <w:rFonts w:ascii="Arial Narrow" w:hAnsi="Arial Narrow" w:cs="Times New Roman"/>
                <w:i/>
                <w:iCs/>
                <w:sz w:val="20"/>
                <w:szCs w:val="20"/>
              </w:rPr>
              <w:t xml:space="preserve">Children </w:t>
            </w:r>
            <w:r w:rsidR="00F74AD4" w:rsidRPr="00CF0F3C">
              <w:rPr>
                <w:rFonts w:ascii="Arial Narrow" w:hAnsi="Arial Narrow" w:cs="Times New Roman"/>
                <w:i/>
                <w:iCs/>
                <w:sz w:val="20"/>
                <w:szCs w:val="20"/>
              </w:rPr>
              <w:t>aged ≥</w:t>
            </w:r>
            <w:r w:rsidRPr="00CF0F3C">
              <w:rPr>
                <w:rFonts w:ascii="Arial Narrow" w:hAnsi="Arial Narrow" w:cs="Times New Roman"/>
                <w:i/>
                <w:iCs/>
                <w:sz w:val="20"/>
                <w:szCs w:val="20"/>
              </w:rPr>
              <w:t>6 months</w:t>
            </w:r>
            <w:r w:rsidR="002F5BB9" w:rsidRPr="00CF0F3C">
              <w:rPr>
                <w:rFonts w:ascii="Arial Narrow" w:hAnsi="Arial Narrow" w:cs="Times New Roman"/>
                <w:i/>
                <w:iCs/>
                <w:sz w:val="20"/>
                <w:szCs w:val="20"/>
              </w:rPr>
              <w:t xml:space="preserve"> to &lt;5 years</w:t>
            </w:r>
            <w:r w:rsidRPr="00CF0F3C">
              <w:rPr>
                <w:rFonts w:ascii="Arial Narrow" w:hAnsi="Arial Narrow" w:cs="Times New Roman"/>
                <w:i/>
                <w:iCs/>
                <w:sz w:val="20"/>
                <w:szCs w:val="20"/>
              </w:rPr>
              <w:t xml:space="preserve"> of age</w:t>
            </w:r>
          </w:p>
          <w:p w:rsidR="00C33325" w:rsidRPr="00CF0F3C" w:rsidRDefault="002961E7" w:rsidP="005F43D9">
            <w:pPr>
              <w:rPr>
                <w:rFonts w:ascii="Arial Narrow" w:hAnsi="Arial Narrow" w:cs="Times New Roman"/>
                <w:iCs/>
                <w:sz w:val="20"/>
                <w:szCs w:val="20"/>
              </w:rPr>
            </w:pPr>
            <w:r w:rsidRPr="00CF0F3C">
              <w:rPr>
                <w:rFonts w:ascii="Arial Narrow" w:hAnsi="Arial Narrow" w:cs="Times New Roman"/>
                <w:iCs/>
                <w:sz w:val="20"/>
                <w:szCs w:val="20"/>
              </w:rPr>
              <w:t>Persons</w:t>
            </w:r>
            <w:r w:rsidR="00C33325" w:rsidRPr="00CF0F3C">
              <w:rPr>
                <w:rFonts w:ascii="Arial Narrow" w:hAnsi="Arial Narrow" w:cs="Times New Roman"/>
                <w:iCs/>
                <w:sz w:val="20"/>
                <w:szCs w:val="20"/>
              </w:rPr>
              <w:t xml:space="preserve"> aged </w:t>
            </w:r>
            <w:r w:rsidRPr="00CF0F3C">
              <w:rPr>
                <w:rFonts w:ascii="Arial Narrow" w:hAnsi="Arial Narrow" w:cs="Times New Roman"/>
                <w:iCs/>
                <w:sz w:val="20"/>
                <w:szCs w:val="20"/>
              </w:rPr>
              <w:t>≥</w:t>
            </w:r>
            <w:r w:rsidR="00C33325" w:rsidRPr="00CF0F3C">
              <w:rPr>
                <w:rFonts w:ascii="Arial Narrow" w:hAnsi="Arial Narrow" w:cs="Times New Roman"/>
                <w:i/>
                <w:iCs/>
                <w:sz w:val="20"/>
                <w:szCs w:val="20"/>
              </w:rPr>
              <w:t>6 months</w:t>
            </w:r>
            <w:r w:rsidR="00C33325" w:rsidRPr="00CF0F3C">
              <w:rPr>
                <w:rFonts w:ascii="Arial Narrow" w:hAnsi="Arial Narrow" w:cs="Times New Roman"/>
                <w:iCs/>
                <w:sz w:val="20"/>
                <w:szCs w:val="20"/>
              </w:rPr>
              <w:t xml:space="preserve"> </w:t>
            </w:r>
            <w:r w:rsidR="004131E9" w:rsidRPr="00CF0F3C">
              <w:rPr>
                <w:rFonts w:ascii="Arial Narrow" w:hAnsi="Arial Narrow" w:cs="Times New Roman"/>
                <w:iCs/>
                <w:strike/>
                <w:sz w:val="20"/>
                <w:szCs w:val="20"/>
              </w:rPr>
              <w:t>3 years</w:t>
            </w:r>
            <w:r w:rsidR="004131E9" w:rsidRPr="00CF0F3C">
              <w:rPr>
                <w:rFonts w:ascii="Arial Narrow" w:hAnsi="Arial Narrow" w:cs="Times New Roman"/>
                <w:iCs/>
                <w:sz w:val="20"/>
                <w:szCs w:val="20"/>
              </w:rPr>
              <w:t xml:space="preserve"> </w:t>
            </w:r>
            <w:r w:rsidR="00C33325" w:rsidRPr="00CF0F3C">
              <w:rPr>
                <w:rFonts w:ascii="Arial Narrow" w:hAnsi="Arial Narrow" w:cs="Times New Roman"/>
                <w:iCs/>
                <w:sz w:val="20"/>
                <w:szCs w:val="20"/>
              </w:rPr>
              <w:t xml:space="preserve">who are at increased risk of influenza complications, specifically: </w:t>
            </w:r>
          </w:p>
          <w:p w:rsidR="00AB218E" w:rsidRPr="00CF0F3C" w:rsidRDefault="00C33325" w:rsidP="005F43D9">
            <w:pPr>
              <w:pStyle w:val="TableText0"/>
              <w:numPr>
                <w:ilvl w:val="0"/>
                <w:numId w:val="32"/>
              </w:numPr>
              <w:rPr>
                <w:szCs w:val="20"/>
              </w:rPr>
            </w:pPr>
            <w:r w:rsidRPr="00CF0F3C">
              <w:rPr>
                <w:szCs w:val="20"/>
              </w:rPr>
              <w:t>has cardiac disease including cyanotic congenital heart disease, coronary artery disease and congestive heart failure; or</w:t>
            </w:r>
          </w:p>
          <w:p w:rsidR="00AB218E" w:rsidRPr="00CF0F3C" w:rsidRDefault="00C33325" w:rsidP="005F43D9">
            <w:pPr>
              <w:pStyle w:val="TableText0"/>
              <w:numPr>
                <w:ilvl w:val="0"/>
                <w:numId w:val="32"/>
              </w:numPr>
              <w:rPr>
                <w:szCs w:val="20"/>
              </w:rPr>
            </w:pPr>
            <w:r w:rsidRPr="00CF0F3C">
              <w:rPr>
                <w:szCs w:val="20"/>
              </w:rPr>
              <w:t xml:space="preserve">has a chronic respiratory condition including </w:t>
            </w:r>
            <w:proofErr w:type="spellStart"/>
            <w:r w:rsidRPr="00CF0F3C">
              <w:rPr>
                <w:szCs w:val="20"/>
              </w:rPr>
              <w:t>suppurative</w:t>
            </w:r>
            <w:proofErr w:type="spellEnd"/>
            <w:r w:rsidRPr="00CF0F3C">
              <w:rPr>
                <w:szCs w:val="20"/>
              </w:rPr>
              <w:t xml:space="preserve"> lung disease, bronchiectasis, cystic fibrosis, chronic obstructive pulmonary disease, chronic emphysema and severe asthma; or</w:t>
            </w:r>
          </w:p>
          <w:p w:rsidR="00AB218E" w:rsidRPr="00CF0F3C" w:rsidRDefault="00C33325" w:rsidP="005F43D9">
            <w:pPr>
              <w:pStyle w:val="TableText0"/>
              <w:numPr>
                <w:ilvl w:val="0"/>
                <w:numId w:val="32"/>
              </w:numPr>
              <w:rPr>
                <w:szCs w:val="20"/>
              </w:rPr>
            </w:pPr>
            <w:r w:rsidRPr="00CF0F3C">
              <w:rPr>
                <w:szCs w:val="20"/>
              </w:rPr>
              <w:t xml:space="preserve">has another chronic illness requiring regular medical follow up or hospitalisation in the preceding year, including diabetes mellitus, chronic metabolic diseases, chronic renal failure, </w:t>
            </w:r>
            <w:proofErr w:type="spellStart"/>
            <w:r w:rsidRPr="00CF0F3C">
              <w:rPr>
                <w:szCs w:val="20"/>
              </w:rPr>
              <w:t>haemoglobinopathies</w:t>
            </w:r>
            <w:proofErr w:type="spellEnd"/>
            <w:r w:rsidRPr="00CF0F3C">
              <w:rPr>
                <w:szCs w:val="20"/>
              </w:rPr>
              <w:t xml:space="preserve"> and impaired immunity (including drug induced immune impairment); or</w:t>
            </w:r>
          </w:p>
          <w:p w:rsidR="00AB218E" w:rsidRPr="00CF0F3C" w:rsidRDefault="00C33325" w:rsidP="005F43D9">
            <w:pPr>
              <w:pStyle w:val="TableText0"/>
              <w:numPr>
                <w:ilvl w:val="0"/>
                <w:numId w:val="32"/>
              </w:numPr>
              <w:rPr>
                <w:szCs w:val="20"/>
              </w:rPr>
            </w:pPr>
            <w:r w:rsidRPr="00CF0F3C">
              <w:rPr>
                <w:szCs w:val="20"/>
              </w:rPr>
              <w:t>has a chronic neurological condition, including multiple sclerosis, spinal cord injuries, seizure disorders or other neuromuscular disorders; or</w:t>
            </w:r>
          </w:p>
          <w:p w:rsidR="00AB218E" w:rsidRPr="00CF0F3C" w:rsidRDefault="00C33325" w:rsidP="005F43D9">
            <w:pPr>
              <w:pStyle w:val="TableText0"/>
              <w:numPr>
                <w:ilvl w:val="0"/>
                <w:numId w:val="32"/>
              </w:numPr>
              <w:rPr>
                <w:szCs w:val="20"/>
              </w:rPr>
            </w:pPr>
            <w:r w:rsidRPr="00CF0F3C">
              <w:rPr>
                <w:szCs w:val="20"/>
              </w:rPr>
              <w:t>has impaired immunity, including HIV infection; or</w:t>
            </w:r>
          </w:p>
          <w:p w:rsidR="00C33325" w:rsidRPr="00CF0F3C" w:rsidRDefault="00C33325" w:rsidP="005F43D9">
            <w:pPr>
              <w:pStyle w:val="TableText0"/>
              <w:numPr>
                <w:ilvl w:val="0"/>
                <w:numId w:val="32"/>
              </w:numPr>
              <w:rPr>
                <w:szCs w:val="20"/>
              </w:rPr>
            </w:pPr>
            <w:r w:rsidRPr="00CF0F3C">
              <w:rPr>
                <w:szCs w:val="20"/>
              </w:rPr>
              <w:t>is a person aged less than 11 years and receiving long-term aspirin therapy</w:t>
            </w:r>
          </w:p>
          <w:p w:rsidR="00C33325" w:rsidRPr="00CF0F3C" w:rsidRDefault="00C33325" w:rsidP="005F43D9">
            <w:pPr>
              <w:rPr>
                <w:rFonts w:ascii="Arial Narrow" w:hAnsi="Arial Narrow" w:cs="Times New Roman"/>
                <w:iCs/>
                <w:sz w:val="20"/>
                <w:szCs w:val="20"/>
              </w:rPr>
            </w:pPr>
            <w:r w:rsidRPr="00CF0F3C">
              <w:rPr>
                <w:rFonts w:ascii="Arial Narrow" w:hAnsi="Arial Narrow" w:cs="Times New Roman"/>
                <w:iCs/>
                <w:sz w:val="20"/>
                <w:szCs w:val="20"/>
              </w:rPr>
              <w:t>Aboriginal and Torres Strait Islander people aged ≥</w:t>
            </w:r>
            <w:r w:rsidR="002961E7" w:rsidRPr="00CF0F3C">
              <w:rPr>
                <w:rFonts w:ascii="Arial Narrow" w:hAnsi="Arial Narrow" w:cs="Times New Roman"/>
                <w:i/>
                <w:iCs/>
                <w:sz w:val="20"/>
                <w:szCs w:val="20"/>
              </w:rPr>
              <w:t>6 months</w:t>
            </w:r>
            <w:r w:rsidR="004131E9" w:rsidRPr="00CF0F3C">
              <w:rPr>
                <w:rFonts w:ascii="Arial Narrow" w:hAnsi="Arial Narrow" w:cs="Times New Roman"/>
                <w:iCs/>
                <w:sz w:val="20"/>
                <w:szCs w:val="20"/>
              </w:rPr>
              <w:t xml:space="preserve"> </w:t>
            </w:r>
            <w:r w:rsidR="004131E9" w:rsidRPr="00CF0F3C">
              <w:rPr>
                <w:rFonts w:ascii="Arial Narrow" w:hAnsi="Arial Narrow" w:cs="Times New Roman"/>
                <w:iCs/>
                <w:strike/>
                <w:sz w:val="20"/>
                <w:szCs w:val="20"/>
              </w:rPr>
              <w:t>3 years</w:t>
            </w:r>
          </w:p>
          <w:p w:rsidR="00C33325" w:rsidRPr="00CF0F3C" w:rsidRDefault="00C33325" w:rsidP="005F43D9">
            <w:pPr>
              <w:rPr>
                <w:rFonts w:ascii="Arial Narrow" w:hAnsi="Arial Narrow" w:cs="Times New Roman"/>
                <w:iCs/>
                <w:sz w:val="20"/>
                <w:szCs w:val="20"/>
              </w:rPr>
            </w:pPr>
            <w:r w:rsidRPr="00CF0F3C">
              <w:rPr>
                <w:rFonts w:ascii="Arial Narrow" w:hAnsi="Arial Narrow" w:cs="Times New Roman"/>
                <w:iCs/>
                <w:sz w:val="20"/>
                <w:szCs w:val="20"/>
              </w:rPr>
              <w:t xml:space="preserve">Persons aged ≥65 years </w:t>
            </w:r>
          </w:p>
          <w:p w:rsidR="00C33325" w:rsidRPr="00CF0F3C" w:rsidRDefault="00C33325" w:rsidP="005F43D9">
            <w:pPr>
              <w:rPr>
                <w:rFonts w:ascii="Arial Narrow" w:hAnsi="Arial Narrow" w:cs="Times New Roman"/>
                <w:i/>
                <w:iCs/>
                <w:sz w:val="20"/>
                <w:szCs w:val="20"/>
              </w:rPr>
            </w:pPr>
            <w:r w:rsidRPr="00CF0F3C">
              <w:rPr>
                <w:rFonts w:ascii="Arial Narrow" w:hAnsi="Arial Narrow" w:cs="Times New Roman"/>
                <w:iCs/>
                <w:sz w:val="20"/>
                <w:szCs w:val="20"/>
              </w:rPr>
              <w:t>Pregnant women</w:t>
            </w:r>
          </w:p>
        </w:tc>
      </w:tr>
      <w:tr w:rsidR="005140F3" w:rsidRPr="00CF0F3C" w:rsidTr="004C1C15">
        <w:trPr>
          <w:cantSplit/>
          <w:trHeight w:val="20"/>
        </w:trPr>
        <w:tc>
          <w:tcPr>
            <w:tcW w:w="1255" w:type="pct"/>
            <w:tcBorders>
              <w:top w:val="single" w:sz="4" w:space="0" w:color="auto"/>
              <w:left w:val="single" w:sz="4" w:space="0" w:color="auto"/>
              <w:bottom w:val="single" w:sz="4" w:space="0" w:color="auto"/>
              <w:right w:val="single" w:sz="4" w:space="0" w:color="auto"/>
            </w:tcBorders>
            <w:hideMark/>
          </w:tcPr>
          <w:p w:rsidR="005140F3" w:rsidRPr="00CF0F3C" w:rsidRDefault="005140F3" w:rsidP="005F43D9">
            <w:pPr>
              <w:rPr>
                <w:rFonts w:ascii="Arial Narrow" w:hAnsi="Arial Narrow" w:cs="Times New Roman"/>
                <w:sz w:val="20"/>
                <w:szCs w:val="20"/>
              </w:rPr>
            </w:pPr>
            <w:r w:rsidRPr="00CF0F3C">
              <w:rPr>
                <w:rFonts w:ascii="Arial Narrow" w:hAnsi="Arial Narrow" w:cs="Times New Roman"/>
                <w:sz w:val="20"/>
                <w:szCs w:val="20"/>
              </w:rPr>
              <w:t>Number and timing of doses</w:t>
            </w:r>
          </w:p>
        </w:tc>
        <w:tc>
          <w:tcPr>
            <w:tcW w:w="3745" w:type="pct"/>
            <w:gridSpan w:val="5"/>
            <w:tcBorders>
              <w:top w:val="single" w:sz="4" w:space="0" w:color="auto"/>
              <w:left w:val="single" w:sz="4" w:space="0" w:color="auto"/>
              <w:bottom w:val="single" w:sz="4" w:space="0" w:color="auto"/>
              <w:right w:val="single" w:sz="4" w:space="0" w:color="auto"/>
            </w:tcBorders>
            <w:hideMark/>
          </w:tcPr>
          <w:p w:rsidR="005140F3" w:rsidRPr="00CF0F3C" w:rsidRDefault="005140F3" w:rsidP="005F43D9">
            <w:pPr>
              <w:rPr>
                <w:rFonts w:ascii="Arial Narrow" w:hAnsi="Arial Narrow" w:cs="Times New Roman"/>
                <w:sz w:val="20"/>
                <w:szCs w:val="20"/>
              </w:rPr>
            </w:pPr>
            <w:r w:rsidRPr="00CF0F3C">
              <w:rPr>
                <w:rFonts w:ascii="Arial Narrow" w:hAnsi="Arial Narrow" w:cs="Times New Roman"/>
                <w:sz w:val="20"/>
                <w:szCs w:val="20"/>
              </w:rPr>
              <w:t>Should be administered in accordance with the national recommendation as per the current Immunisation Handbook:</w:t>
            </w:r>
          </w:p>
          <w:p w:rsidR="005140F3" w:rsidRPr="00CF0F3C" w:rsidRDefault="005140F3" w:rsidP="005F43D9">
            <w:pPr>
              <w:rPr>
                <w:rFonts w:ascii="Arial Narrow" w:hAnsi="Arial Narrow" w:cs="Times New Roman"/>
                <w:sz w:val="20"/>
                <w:szCs w:val="20"/>
              </w:rPr>
            </w:pPr>
            <w:r w:rsidRPr="00CF0F3C">
              <w:rPr>
                <w:rFonts w:ascii="Arial Narrow" w:hAnsi="Arial Narrow" w:cs="Times New Roman"/>
                <w:sz w:val="20"/>
                <w:szCs w:val="20"/>
              </w:rPr>
              <w:t xml:space="preserve">Children </w:t>
            </w:r>
            <w:r w:rsidR="00D11FFD" w:rsidRPr="00CF0F3C">
              <w:rPr>
                <w:rFonts w:ascii="Arial Narrow" w:hAnsi="Arial Narrow" w:cs="Times New Roman"/>
                <w:i/>
                <w:iCs/>
                <w:sz w:val="20"/>
                <w:szCs w:val="20"/>
              </w:rPr>
              <w:t>≥</w:t>
            </w:r>
            <w:r w:rsidRPr="00CF0F3C">
              <w:rPr>
                <w:rFonts w:ascii="Arial Narrow" w:hAnsi="Arial Narrow" w:cs="Times New Roman"/>
                <w:sz w:val="20"/>
                <w:szCs w:val="20"/>
              </w:rPr>
              <w:t>6 months to &lt;9 years of age:</w:t>
            </w:r>
          </w:p>
          <w:p w:rsidR="005140F3" w:rsidRPr="00CF0F3C" w:rsidRDefault="005140F3" w:rsidP="005F43D9">
            <w:pPr>
              <w:pStyle w:val="TableText0"/>
              <w:numPr>
                <w:ilvl w:val="0"/>
                <w:numId w:val="32"/>
              </w:numPr>
              <w:rPr>
                <w:szCs w:val="20"/>
              </w:rPr>
            </w:pPr>
            <w:r w:rsidRPr="00CF0F3C">
              <w:rPr>
                <w:szCs w:val="20"/>
              </w:rPr>
              <w:t>If the child has not previously been vaccinated: two 0.5 ml injections at least one month apart.</w:t>
            </w:r>
          </w:p>
          <w:p w:rsidR="005140F3" w:rsidRPr="00CF0F3C" w:rsidRDefault="005140F3" w:rsidP="005F43D9">
            <w:pPr>
              <w:pStyle w:val="TableText0"/>
              <w:numPr>
                <w:ilvl w:val="0"/>
                <w:numId w:val="32"/>
              </w:numPr>
              <w:rPr>
                <w:i/>
                <w:szCs w:val="20"/>
              </w:rPr>
            </w:pPr>
            <w:r w:rsidRPr="00CF0F3C">
              <w:rPr>
                <w:szCs w:val="20"/>
              </w:rPr>
              <w:t>If the child has been previously vaccinated: a single 0.5 ml injection.</w:t>
            </w:r>
          </w:p>
        </w:tc>
      </w:tr>
    </w:tbl>
    <w:bookmarkEnd w:id="3"/>
    <w:p w:rsidR="005140F3" w:rsidRPr="007F2BDD" w:rsidRDefault="005140F3" w:rsidP="005F43D9">
      <w:pPr>
        <w:pStyle w:val="TableFigureFooter"/>
        <w:widowControl/>
        <w:spacing w:after="120"/>
        <w:contextualSpacing/>
      </w:pPr>
      <w:r w:rsidRPr="007F2BDD">
        <w:t xml:space="preserve">NIP = National Immunisation Program; </w:t>
      </w:r>
      <w:r w:rsidR="00727C8C" w:rsidRPr="007F2BDD">
        <w:t>HIV = Human Immunodeficiency Virus</w:t>
      </w:r>
    </w:p>
    <w:p w:rsidR="00154491" w:rsidRPr="007F2BDD" w:rsidRDefault="005140F3" w:rsidP="005F43D9">
      <w:pPr>
        <w:pStyle w:val="TableFigureFooter"/>
        <w:widowControl/>
        <w:spacing w:after="120"/>
        <w:contextualSpacing/>
      </w:pPr>
      <w:r w:rsidRPr="007F2BDD">
        <w:t xml:space="preserve">Source: </w:t>
      </w:r>
      <w:r w:rsidR="007B52B3" w:rsidRPr="007F2BDD">
        <w:rPr>
          <w:iCs/>
        </w:rPr>
        <w:t>Compiled during the evaluation</w:t>
      </w:r>
      <w:r w:rsidR="00D11FFD" w:rsidRPr="007F2BDD">
        <w:rPr>
          <w:iCs/>
        </w:rPr>
        <w:t xml:space="preserve"> and edited during the preparation of the ESC Advice</w:t>
      </w:r>
      <w:r w:rsidR="007B52B3" w:rsidRPr="007F2BDD">
        <w:t xml:space="preserve">. </w:t>
      </w:r>
      <w:r w:rsidR="00444299" w:rsidRPr="007F2BDD">
        <w:t xml:space="preserve">Adapted from </w:t>
      </w:r>
      <w:r w:rsidRPr="007F2BDD">
        <w:t xml:space="preserve">Tables 1.1.4 and 1.4.1, p18 and p22 of the submission; </w:t>
      </w:r>
      <w:r w:rsidRPr="007F2BDD">
        <w:rPr>
          <w:i/>
        </w:rPr>
        <w:t>National Health (Immunisation Program – Designated Vaccines) Determination 2014 (No.1)</w:t>
      </w:r>
      <w:r w:rsidRPr="007F2BDD">
        <w:t xml:space="preserve"> (compiled 10 January 2019). </w:t>
      </w:r>
    </w:p>
    <w:p w:rsidR="000B1B19" w:rsidRPr="007F2BDD" w:rsidRDefault="0094182C" w:rsidP="005F43D9">
      <w:pPr>
        <w:pStyle w:val="3-BodyText"/>
      </w:pPr>
      <w:r w:rsidRPr="007F2BDD">
        <w:t>The submission stated that using the same dose of vaccine across all ages, instead of the two current doses for different age groups (</w:t>
      </w:r>
      <w:proofErr w:type="spellStart"/>
      <w:r w:rsidRPr="007F2BDD">
        <w:t>FluQuadri</w:t>
      </w:r>
      <w:proofErr w:type="spellEnd"/>
      <w:r w:rsidRPr="007F2BDD">
        <w:t xml:space="preserve"> Junior 0.25 mL and </w:t>
      </w:r>
      <w:proofErr w:type="spellStart"/>
      <w:r w:rsidRPr="007F2BDD">
        <w:t>FluQuadri</w:t>
      </w:r>
      <w:proofErr w:type="spellEnd"/>
      <w:r w:rsidRPr="007F2BDD">
        <w:t xml:space="preserve"> 0.5 mL), would simplify purchasing for healthcare providers, and reduce wastage and administration errors.</w:t>
      </w:r>
    </w:p>
    <w:p w:rsidR="00A443AC" w:rsidRPr="007F2BDD" w:rsidRDefault="005140F3" w:rsidP="005F43D9">
      <w:pPr>
        <w:pStyle w:val="3-BodyText"/>
      </w:pPr>
      <w:r w:rsidRPr="007F2BDD">
        <w:t>The submission proposed an ex-manufacturer price of $</w:t>
      </w:r>
      <w:r w:rsidR="00AE73E9">
        <w:rPr>
          <w:noProof/>
          <w:color w:val="000000"/>
          <w:highlight w:val="black"/>
        </w:rPr>
        <w:t>''''''''</w:t>
      </w:r>
      <w:r w:rsidR="00E21A0C" w:rsidRPr="007F2BDD">
        <w:t xml:space="preserve"> for </w:t>
      </w:r>
      <w:proofErr w:type="spellStart"/>
      <w:r w:rsidR="00E21A0C" w:rsidRPr="007F2BDD">
        <w:t>FluQuadri</w:t>
      </w:r>
      <w:proofErr w:type="spellEnd"/>
      <w:r w:rsidRPr="007F2BDD">
        <w:t>, equal to the</w:t>
      </w:r>
      <w:r w:rsidR="004A4D4D" w:rsidRPr="007F2BDD">
        <w:t xml:space="preserve"> current</w:t>
      </w:r>
      <w:r w:rsidRPr="007F2BDD">
        <w:t xml:space="preserve"> nationally negotiated price</w:t>
      </w:r>
      <w:r w:rsidR="004A4D4D" w:rsidRPr="007F2BDD">
        <w:t>s</w:t>
      </w:r>
      <w:r w:rsidR="00C52EC3" w:rsidRPr="007F2BDD">
        <w:t xml:space="preserve"> (NNP)</w:t>
      </w:r>
      <w:r w:rsidRPr="007F2BDD">
        <w:t xml:space="preserve"> for </w:t>
      </w:r>
      <w:proofErr w:type="spellStart"/>
      <w:r w:rsidR="004A4D4D" w:rsidRPr="007F2BDD">
        <w:t>FluQuadri</w:t>
      </w:r>
      <w:proofErr w:type="spellEnd"/>
      <w:r w:rsidR="004A4D4D" w:rsidRPr="007F2BDD">
        <w:t xml:space="preserve">, </w:t>
      </w:r>
      <w:proofErr w:type="spellStart"/>
      <w:r w:rsidR="004A4D4D" w:rsidRPr="007F2BDD">
        <w:t>FluQuadri</w:t>
      </w:r>
      <w:proofErr w:type="spellEnd"/>
      <w:r w:rsidR="004A4D4D" w:rsidRPr="007F2BDD">
        <w:t xml:space="preserve"> Junior and </w:t>
      </w:r>
      <w:proofErr w:type="spellStart"/>
      <w:r w:rsidR="004A4D4D" w:rsidRPr="007F2BDD">
        <w:t>Vaxigrip</w:t>
      </w:r>
      <w:proofErr w:type="spellEnd"/>
      <w:r w:rsidR="004A4D4D" w:rsidRPr="007F2BDD">
        <w:t xml:space="preserve"> Tetra</w:t>
      </w:r>
      <w:r w:rsidRPr="007F2BDD">
        <w:t>.</w:t>
      </w:r>
    </w:p>
    <w:p w:rsidR="0056124A" w:rsidRPr="007F2BDD" w:rsidRDefault="0056124A" w:rsidP="005F43D9">
      <w:pPr>
        <w:pStyle w:val="3-BodyText"/>
        <w:numPr>
          <w:ilvl w:val="0"/>
          <w:numId w:val="0"/>
        </w:numPr>
        <w:ind w:left="720"/>
      </w:pPr>
      <w:r w:rsidRPr="007F2BDD">
        <w:rPr>
          <w:rFonts w:asciiTheme="minorHAnsi" w:hAnsiTheme="minorHAnsi"/>
          <w:i/>
        </w:rPr>
        <w:t>For more detail on PBAC’s view, see section 7 PBAC outcome.</w:t>
      </w:r>
    </w:p>
    <w:p w:rsidR="0028727B" w:rsidRDefault="0028727B">
      <w:pPr>
        <w:rPr>
          <w:rFonts w:asciiTheme="minorHAnsi" w:hAnsiTheme="minorHAnsi"/>
          <w:b/>
          <w:snapToGrid w:val="0"/>
          <w:sz w:val="32"/>
          <w:szCs w:val="32"/>
        </w:rPr>
      </w:pPr>
      <w:bookmarkStart w:id="4" w:name="_Toc16586207"/>
      <w:bookmarkStart w:id="5" w:name="_Toc19617900"/>
      <w:r>
        <w:br w:type="page"/>
      </w:r>
    </w:p>
    <w:p w:rsidR="005140F3" w:rsidRPr="007F2BDD" w:rsidRDefault="005140F3" w:rsidP="005F43D9">
      <w:pPr>
        <w:pStyle w:val="2-SectionHeading"/>
      </w:pPr>
      <w:r w:rsidRPr="007F2BDD">
        <w:lastRenderedPageBreak/>
        <w:t>Background</w:t>
      </w:r>
      <w:bookmarkEnd w:id="4"/>
      <w:bookmarkEnd w:id="5"/>
    </w:p>
    <w:p w:rsidR="005140F3" w:rsidRPr="007F2BDD" w:rsidRDefault="005140F3" w:rsidP="005F43D9">
      <w:pPr>
        <w:pStyle w:val="Heading2"/>
      </w:pPr>
      <w:r w:rsidRPr="007F2BDD">
        <w:t>Registration status</w:t>
      </w:r>
    </w:p>
    <w:p w:rsidR="002E76F2" w:rsidRPr="007F2BDD" w:rsidRDefault="00576C9A" w:rsidP="005F43D9">
      <w:pPr>
        <w:pStyle w:val="3-BodyText"/>
      </w:pPr>
      <w:proofErr w:type="spellStart"/>
      <w:r w:rsidRPr="007F2BDD">
        <w:t>FluQuadri</w:t>
      </w:r>
      <w:proofErr w:type="spellEnd"/>
      <w:r w:rsidRPr="007F2BDD">
        <w:t xml:space="preserve"> was TGA registered on 2 December 2014 for the prevention of influenza caused by Influenza Virus Types A and B for use in persons aged </w:t>
      </w:r>
      <w:r w:rsidRPr="007F2BDD">
        <w:rPr>
          <w:rFonts w:cs="Calibri"/>
        </w:rPr>
        <w:t>≥</w:t>
      </w:r>
      <w:r w:rsidRPr="007F2BDD">
        <w:t>3 years</w:t>
      </w:r>
      <w:r w:rsidR="00913140" w:rsidRPr="007F2BDD">
        <w:t xml:space="preserve"> for </w:t>
      </w:r>
      <w:r w:rsidR="00E97C00" w:rsidRPr="007F2BDD">
        <w:t xml:space="preserve">the </w:t>
      </w:r>
      <w:r w:rsidR="00913140" w:rsidRPr="007F2BDD">
        <w:t>prevention of influenza</w:t>
      </w:r>
      <w:r w:rsidRPr="007F2BDD">
        <w:t xml:space="preserve">. </w:t>
      </w:r>
      <w:r w:rsidR="00362BC7" w:rsidRPr="007F2BDD">
        <w:rPr>
          <w:rFonts w:eastAsia="Calibri"/>
        </w:rPr>
        <w:t>On 15 August 2019, the</w:t>
      </w:r>
      <w:r w:rsidRPr="007F2BDD">
        <w:t xml:space="preserve"> </w:t>
      </w:r>
      <w:r w:rsidR="003173CC" w:rsidRPr="007F2BDD">
        <w:t xml:space="preserve">TGA </w:t>
      </w:r>
      <w:r w:rsidR="00362BC7" w:rsidRPr="007F2BDD">
        <w:t xml:space="preserve">approved </w:t>
      </w:r>
      <w:r w:rsidRPr="007F2BDD">
        <w:t>exten</w:t>
      </w:r>
      <w:r w:rsidR="00362BC7" w:rsidRPr="007F2BDD">
        <w:t>ding</w:t>
      </w:r>
      <w:r w:rsidRPr="007F2BDD">
        <w:t xml:space="preserve"> the indication to include children aged 6 to 35 months</w:t>
      </w:r>
      <w:r w:rsidR="00D45FB7" w:rsidRPr="007F2BDD">
        <w:t>. This</w:t>
      </w:r>
      <w:r w:rsidR="002F5BB9" w:rsidRPr="007F2BDD">
        <w:t xml:space="preserve"> </w:t>
      </w:r>
      <w:r w:rsidRPr="007F2BDD">
        <w:t>was effective on the</w:t>
      </w:r>
      <w:r w:rsidR="003173CC" w:rsidRPr="007F2BDD">
        <w:t xml:space="preserve"> </w:t>
      </w:r>
      <w:r w:rsidR="00EA57F9" w:rsidRPr="007F2BDD">
        <w:t xml:space="preserve">ARTG </w:t>
      </w:r>
      <w:r w:rsidRPr="007F2BDD">
        <w:t xml:space="preserve">from </w:t>
      </w:r>
      <w:r w:rsidR="00EA57F9" w:rsidRPr="007F2BDD">
        <w:t>2</w:t>
      </w:r>
      <w:r w:rsidR="002F5BB9" w:rsidRPr="007F2BDD">
        <w:t>2 August 20</w:t>
      </w:r>
      <w:r w:rsidR="00EA57F9" w:rsidRPr="007F2BDD">
        <w:t>19</w:t>
      </w:r>
      <w:r w:rsidR="007F2BDD">
        <w:t xml:space="preserve">. </w:t>
      </w:r>
    </w:p>
    <w:p w:rsidR="003774DD" w:rsidRPr="007F2BDD" w:rsidRDefault="003774DD" w:rsidP="005F43D9">
      <w:pPr>
        <w:pStyle w:val="Heading2"/>
      </w:pPr>
      <w:r w:rsidRPr="007F2BDD">
        <w:t>Previous PBAC considerations</w:t>
      </w:r>
    </w:p>
    <w:p w:rsidR="003774DD" w:rsidRPr="007F2BDD" w:rsidRDefault="003774DD" w:rsidP="005F43D9">
      <w:pPr>
        <w:pStyle w:val="3-BodyText"/>
      </w:pPr>
      <w:r w:rsidRPr="007F2BDD">
        <w:t>Currently two QIVs (</w:t>
      </w:r>
      <w:proofErr w:type="spellStart"/>
      <w:r w:rsidRPr="007F2BDD">
        <w:t>FluQuadri</w:t>
      </w:r>
      <w:proofErr w:type="spellEnd"/>
      <w:r w:rsidRPr="007F2BDD">
        <w:t xml:space="preserve"> Junior and </w:t>
      </w:r>
      <w:proofErr w:type="spellStart"/>
      <w:r w:rsidRPr="007F2BDD">
        <w:t>Fluarix</w:t>
      </w:r>
      <w:proofErr w:type="spellEnd"/>
      <w:r w:rsidRPr="007F2BDD">
        <w:t xml:space="preserve"> Tetra) are listed on the NIP for the at-risk population in the 6-35 month age group. </w:t>
      </w:r>
      <w:proofErr w:type="spellStart"/>
      <w:r w:rsidRPr="007F2BDD">
        <w:t>FluQuadri</w:t>
      </w:r>
      <w:proofErr w:type="spellEnd"/>
      <w:r w:rsidRPr="007F2BDD">
        <w:t xml:space="preserve"> Junior was recommended by the PBAC for children aged 6-35 months</w:t>
      </w:r>
      <w:r w:rsidRPr="007F2BDD">
        <w:rPr>
          <w:rFonts w:ascii="Arial Narrow" w:eastAsia="Calibri" w:hAnsi="Arial Narrow" w:cs="Times New Roman"/>
          <w:sz w:val="20"/>
        </w:rPr>
        <w:t xml:space="preserve"> </w:t>
      </w:r>
      <w:r w:rsidRPr="007F2BDD">
        <w:t>at increased risk of severe influenza and complications in July 2015</w:t>
      </w:r>
      <w:r w:rsidR="00547E96" w:rsidRPr="007F2BDD">
        <w:t xml:space="preserve"> (</w:t>
      </w:r>
      <w:r w:rsidR="00EB23A1" w:rsidRPr="007F2BDD">
        <w:t>QIV</w:t>
      </w:r>
      <w:r w:rsidR="00547E96" w:rsidRPr="007F2BDD">
        <w:t>,</w:t>
      </w:r>
      <w:r w:rsidR="00474CE8" w:rsidRPr="007F2BDD">
        <w:t xml:space="preserve"> </w:t>
      </w:r>
      <w:proofErr w:type="spellStart"/>
      <w:r w:rsidR="00474CE8" w:rsidRPr="007F2BDD">
        <w:t>FluQuadri</w:t>
      </w:r>
      <w:proofErr w:type="spellEnd"/>
      <w:r w:rsidR="00474CE8" w:rsidRPr="007F2BDD">
        <w:t>,</w:t>
      </w:r>
      <w:r w:rsidR="00547E96" w:rsidRPr="007F2BDD">
        <w:t xml:space="preserve"> PSD, July 2015 PBAC meeting)</w:t>
      </w:r>
      <w:r w:rsidRPr="007F2BDD">
        <w:t xml:space="preserve">. </w:t>
      </w:r>
      <w:proofErr w:type="spellStart"/>
      <w:r w:rsidRPr="007F2BDD">
        <w:t>Fluarix</w:t>
      </w:r>
      <w:proofErr w:type="spellEnd"/>
      <w:r w:rsidRPr="007F2BDD">
        <w:t xml:space="preserve"> Tetra was recommended by PBAC for NIP listing in children aged </w:t>
      </w:r>
      <w:r w:rsidRPr="007F2BDD">
        <w:rPr>
          <w:rFonts w:cs="Calibri"/>
        </w:rPr>
        <w:t>≥</w:t>
      </w:r>
      <w:r w:rsidRPr="007F2BDD">
        <w:t>6 months at increased risk of severe influenza and complications</w:t>
      </w:r>
      <w:r w:rsidR="00547E96" w:rsidRPr="007F2BDD">
        <w:t>,</w:t>
      </w:r>
      <w:r w:rsidRPr="007F2BDD">
        <w:t xml:space="preserve"> and all Aboriginal and Torres Strait Islander people aged </w:t>
      </w:r>
      <w:r w:rsidRPr="007F2BDD">
        <w:rPr>
          <w:rFonts w:cs="Calibri"/>
        </w:rPr>
        <w:t>≥</w:t>
      </w:r>
      <w:r w:rsidRPr="007F2BDD">
        <w:t>6 months in March 2019</w:t>
      </w:r>
      <w:r w:rsidR="00547E96" w:rsidRPr="007F2BDD">
        <w:t xml:space="preserve"> (</w:t>
      </w:r>
      <w:r w:rsidR="00EB23A1" w:rsidRPr="007F2BDD">
        <w:t>QIV</w:t>
      </w:r>
      <w:r w:rsidR="00547E96" w:rsidRPr="007F2BDD">
        <w:t>,</w:t>
      </w:r>
      <w:r w:rsidR="00474CE8" w:rsidRPr="007F2BDD">
        <w:t xml:space="preserve"> </w:t>
      </w:r>
      <w:proofErr w:type="spellStart"/>
      <w:r w:rsidR="00474CE8" w:rsidRPr="007F2BDD">
        <w:t>Fluarix</w:t>
      </w:r>
      <w:proofErr w:type="spellEnd"/>
      <w:r w:rsidR="00474CE8" w:rsidRPr="007F2BDD">
        <w:t xml:space="preserve"> Tetra,</w:t>
      </w:r>
      <w:r w:rsidR="00547E96" w:rsidRPr="007F2BDD">
        <w:t xml:space="preserve"> PSD, March 2019 PBAC meeting)</w:t>
      </w:r>
      <w:r w:rsidRPr="007F2BDD">
        <w:t xml:space="preserve">. </w:t>
      </w:r>
    </w:p>
    <w:p w:rsidR="003774DD" w:rsidRPr="007F2BDD" w:rsidRDefault="003774DD" w:rsidP="005F43D9">
      <w:pPr>
        <w:pStyle w:val="3-BodyText"/>
      </w:pPr>
      <w:r w:rsidRPr="007F2BDD">
        <w:t xml:space="preserve">In July 2019 the PBAC recommended </w:t>
      </w:r>
      <w:proofErr w:type="spellStart"/>
      <w:r w:rsidRPr="007F2BDD">
        <w:t>Vaxigrip</w:t>
      </w:r>
      <w:proofErr w:type="spellEnd"/>
      <w:r w:rsidRPr="007F2BDD">
        <w:t xml:space="preserve"> Tetra for listing on the NIP for all children aged 6 months to &lt;5 years, as well as in at-risk individuals who were then eligible for vaccination through the NIP, under the same provisions</w:t>
      </w:r>
      <w:r w:rsidR="004C1638" w:rsidRPr="007F2BDD">
        <w:t xml:space="preserve"> (QIV, </w:t>
      </w:r>
      <w:proofErr w:type="spellStart"/>
      <w:r w:rsidR="004C1638" w:rsidRPr="007F2BDD">
        <w:t>Vaxigrip</w:t>
      </w:r>
      <w:proofErr w:type="spellEnd"/>
      <w:r w:rsidR="004C1638" w:rsidRPr="007F2BDD">
        <w:t xml:space="preserve"> Tetra, PSD, July 2019 PBAC meeting)</w:t>
      </w:r>
      <w:r w:rsidRPr="007F2BDD">
        <w:t xml:space="preserve">. The PBAC’s recommendation for listing was based on, among other matters, its assessment, that: </w:t>
      </w:r>
    </w:p>
    <w:p w:rsidR="003774DD" w:rsidRPr="007F2BDD" w:rsidRDefault="003774DD" w:rsidP="005F43D9">
      <w:pPr>
        <w:numPr>
          <w:ilvl w:val="0"/>
          <w:numId w:val="16"/>
        </w:numPr>
        <w:spacing w:after="120"/>
        <w:ind w:left="993" w:hanging="284"/>
        <w:jc w:val="both"/>
      </w:pPr>
      <w:proofErr w:type="spellStart"/>
      <w:r w:rsidRPr="007F2BDD">
        <w:t>Vaxigrip</w:t>
      </w:r>
      <w:proofErr w:type="spellEnd"/>
      <w:r w:rsidRPr="007F2BDD">
        <w:t xml:space="preserve"> Tetra</w:t>
      </w:r>
      <w:r w:rsidRPr="007F2BDD">
        <w:rPr>
          <w:rFonts w:asciiTheme="minorHAnsi" w:hAnsiTheme="minorHAnsi"/>
          <w:bCs/>
        </w:rPr>
        <w:t xml:space="preserve"> provides, for some patients, a significant improvement in efficacy over placebo</w:t>
      </w:r>
      <w:r w:rsidR="00EA3547" w:rsidRPr="007F2BDD">
        <w:rPr>
          <w:rFonts w:asciiTheme="minorHAnsi" w:hAnsiTheme="minorHAnsi"/>
          <w:bCs/>
        </w:rPr>
        <w:t>,</w:t>
      </w:r>
      <w:r w:rsidRPr="007F2BDD">
        <w:t xml:space="preserve"> and was likely to be acceptably cost-effective at the price proposed by the submission (i.e. the same NNP as </w:t>
      </w:r>
      <w:proofErr w:type="spellStart"/>
      <w:r w:rsidRPr="007F2BDD">
        <w:t>FluQuadri</w:t>
      </w:r>
      <w:proofErr w:type="spellEnd"/>
      <w:r w:rsidRPr="007F2BDD">
        <w:t xml:space="preserve"> and </w:t>
      </w:r>
      <w:proofErr w:type="spellStart"/>
      <w:r w:rsidRPr="007F2BDD">
        <w:t>FluQuadri</w:t>
      </w:r>
      <w:proofErr w:type="spellEnd"/>
      <w:r w:rsidRPr="007F2BDD">
        <w:t xml:space="preserve"> Junior of $</w:t>
      </w:r>
      <w:r w:rsidR="00AE73E9">
        <w:rPr>
          <w:noProof/>
          <w:color w:val="000000"/>
          <w:highlight w:val="black"/>
        </w:rPr>
        <w:t>''''''''</w:t>
      </w:r>
      <w:r w:rsidRPr="007F2BDD">
        <w:t xml:space="preserve">) for children aged 6 months to &lt;5 years who are not currently eligible through the NIP; and </w:t>
      </w:r>
    </w:p>
    <w:p w:rsidR="003774DD" w:rsidRPr="007F2BDD" w:rsidRDefault="003774DD" w:rsidP="005F43D9">
      <w:pPr>
        <w:numPr>
          <w:ilvl w:val="0"/>
          <w:numId w:val="16"/>
        </w:numPr>
        <w:snapToGrid w:val="0"/>
        <w:spacing w:after="160"/>
        <w:ind w:left="993" w:hanging="284"/>
        <w:jc w:val="both"/>
      </w:pPr>
      <w:r w:rsidRPr="007F2BDD">
        <w:t>QIV (</w:t>
      </w:r>
      <w:proofErr w:type="spellStart"/>
      <w:r w:rsidRPr="007F2BDD">
        <w:t>Vaxigrip</w:t>
      </w:r>
      <w:proofErr w:type="spellEnd"/>
      <w:r w:rsidRPr="007F2BDD">
        <w:t xml:space="preserve"> Tetra) is non-inferior to currently listed QIVs for the population currently eligible through the NIP, with the equi-effective doses being one dose of 0.5 mL </w:t>
      </w:r>
      <w:proofErr w:type="spellStart"/>
      <w:r w:rsidRPr="007F2BDD">
        <w:t>Vaxigrip</w:t>
      </w:r>
      <w:proofErr w:type="spellEnd"/>
      <w:r w:rsidRPr="007F2BDD">
        <w:t xml:space="preserve"> Tetra and one dose of an alternative QIV, such as 0.5 mL </w:t>
      </w:r>
      <w:proofErr w:type="spellStart"/>
      <w:r w:rsidRPr="007F2BDD">
        <w:t>FluQuadri</w:t>
      </w:r>
      <w:proofErr w:type="spellEnd"/>
      <w:r w:rsidRPr="007F2BDD">
        <w:t xml:space="preserve"> or 0.25 mL </w:t>
      </w:r>
      <w:proofErr w:type="spellStart"/>
      <w:r w:rsidRPr="007F2BDD">
        <w:t>FluQuadri</w:t>
      </w:r>
      <w:proofErr w:type="spellEnd"/>
      <w:r w:rsidRPr="007F2BDD">
        <w:t xml:space="preserve"> Junior. </w:t>
      </w:r>
    </w:p>
    <w:p w:rsidR="0056124A" w:rsidRPr="007F2BDD" w:rsidRDefault="0056124A" w:rsidP="005F43D9">
      <w:pPr>
        <w:pStyle w:val="3-BodyText"/>
        <w:numPr>
          <w:ilvl w:val="0"/>
          <w:numId w:val="0"/>
        </w:numPr>
        <w:ind w:left="720"/>
      </w:pPr>
      <w:r w:rsidRPr="007F2BDD">
        <w:rPr>
          <w:rFonts w:asciiTheme="minorHAnsi" w:hAnsiTheme="minorHAnsi"/>
          <w:i/>
        </w:rPr>
        <w:t>For more detail on PBAC’s view, see section 7 PBAC outcome.</w:t>
      </w:r>
    </w:p>
    <w:p w:rsidR="00154491" w:rsidRPr="007F2BDD" w:rsidRDefault="00A62B4D" w:rsidP="005F43D9">
      <w:pPr>
        <w:pStyle w:val="2-SectionHeading"/>
        <w:numPr>
          <w:ilvl w:val="0"/>
          <w:numId w:val="11"/>
        </w:numPr>
      </w:pPr>
      <w:bookmarkStart w:id="6" w:name="_Toc19009791"/>
      <w:bookmarkStart w:id="7" w:name="_Toc19009792"/>
      <w:bookmarkStart w:id="8" w:name="_Toc19009793"/>
      <w:bookmarkStart w:id="9" w:name="_Hlk17979415"/>
      <w:bookmarkEnd w:id="6"/>
      <w:bookmarkEnd w:id="7"/>
      <w:bookmarkEnd w:id="8"/>
      <w:r w:rsidRPr="007F2BDD">
        <w:t>Population and disease</w:t>
      </w:r>
    </w:p>
    <w:p w:rsidR="008B50B8" w:rsidRPr="007F2BDD" w:rsidRDefault="005140F3" w:rsidP="005F43D9">
      <w:pPr>
        <w:pStyle w:val="3-BodyText"/>
      </w:pPr>
      <w:r w:rsidRPr="007F2BDD">
        <w:t xml:space="preserve">Influenza is a highly contagious viral infection that can spread rapidly from person-to-person by inhalation of virus-laden air particles or by other means of direct contact. </w:t>
      </w:r>
      <w:r w:rsidR="00DD3CD6" w:rsidRPr="007F2BDD">
        <w:t xml:space="preserve">Systemic symptoms include malaise, fever, chills, headache, anorexia, and myalgia, and may be accompanied by a cough, nasal discharge, and sneezing. </w:t>
      </w:r>
      <w:r w:rsidR="00DA0E58" w:rsidRPr="007F2BDD">
        <w:t xml:space="preserve">Influenza symptoms typically resolve within one week after infection. Pneumonia leading to </w:t>
      </w:r>
      <w:r w:rsidR="00DA0E58" w:rsidRPr="007F2BDD">
        <w:lastRenderedPageBreak/>
        <w:t xml:space="preserve">respiratory failure and death is the most severe influenza-related complication. Other rare complications include acute myositis, neurological conditions, transverse myelitis, encephalopathy, </w:t>
      </w:r>
      <w:proofErr w:type="spellStart"/>
      <w:r w:rsidR="00DA0E58" w:rsidRPr="007F2BDD">
        <w:t>Guillain-Barré</w:t>
      </w:r>
      <w:proofErr w:type="spellEnd"/>
      <w:r w:rsidR="00DA0E58" w:rsidRPr="007F2BDD">
        <w:t xml:space="preserve"> syndrome (GBS) and </w:t>
      </w:r>
      <w:proofErr w:type="spellStart"/>
      <w:r w:rsidR="00DA0E58" w:rsidRPr="007F2BDD">
        <w:t>myopericarditis</w:t>
      </w:r>
      <w:proofErr w:type="spellEnd"/>
      <w:r w:rsidR="00DA0E58" w:rsidRPr="007F2BDD">
        <w:t>.</w:t>
      </w:r>
    </w:p>
    <w:p w:rsidR="005140F3" w:rsidRPr="007F2BDD" w:rsidRDefault="00DD3CD6" w:rsidP="005F43D9">
      <w:pPr>
        <w:pStyle w:val="3-BodyText"/>
      </w:pPr>
      <w:r w:rsidRPr="007F2BDD">
        <w:t xml:space="preserve">Severe disease is more likely in at-risk </w:t>
      </w:r>
      <w:r w:rsidR="005140F3" w:rsidRPr="007F2BDD">
        <w:t xml:space="preserve">people </w:t>
      </w:r>
      <w:r w:rsidR="003214F8" w:rsidRPr="007F2BDD">
        <w:t>as identified in the A</w:t>
      </w:r>
      <w:r w:rsidR="00C403D0" w:rsidRPr="007F2BDD">
        <w:t xml:space="preserve">ustralian </w:t>
      </w:r>
      <w:r w:rsidR="003214F8" w:rsidRPr="007F2BDD">
        <w:t>I</w:t>
      </w:r>
      <w:r w:rsidR="00C403D0" w:rsidRPr="007F2BDD">
        <w:t xml:space="preserve">mmunisation </w:t>
      </w:r>
      <w:r w:rsidR="003214F8" w:rsidRPr="007F2BDD">
        <w:t>H</w:t>
      </w:r>
      <w:r w:rsidR="00C403D0" w:rsidRPr="007F2BDD">
        <w:t>andbook</w:t>
      </w:r>
      <w:r w:rsidR="008305C2" w:rsidRPr="007F2BDD">
        <w:rPr>
          <w:rStyle w:val="FootnoteReference"/>
        </w:rPr>
        <w:footnoteReference w:id="1"/>
      </w:r>
      <w:bookmarkStart w:id="10" w:name="_Hlk17963570"/>
      <w:r w:rsidR="009A24F4" w:rsidRPr="007F2BDD">
        <w:t>.</w:t>
      </w:r>
      <w:r w:rsidR="004A24E2" w:rsidRPr="007F2BDD">
        <w:t xml:space="preserve"> </w:t>
      </w:r>
      <w:r w:rsidR="0088394D" w:rsidRPr="007F2BDD">
        <w:t>One of t</w:t>
      </w:r>
      <w:r w:rsidR="005E433F" w:rsidRPr="007F2BDD">
        <w:t>he target population</w:t>
      </w:r>
      <w:r w:rsidR="0088394D" w:rsidRPr="007F2BDD">
        <w:t>s</w:t>
      </w:r>
      <w:r w:rsidR="005E433F" w:rsidRPr="007F2BDD">
        <w:t xml:space="preserve"> in the submission is children aged 6-35 months </w:t>
      </w:r>
      <w:r w:rsidRPr="007F2BDD">
        <w:t>who are at</w:t>
      </w:r>
      <w:r w:rsidR="0088394D" w:rsidRPr="007F2BDD">
        <w:t>-risk, which includes children with certain medical conditions who would be at</w:t>
      </w:r>
      <w:r w:rsidRPr="007F2BDD">
        <w:t xml:space="preserve"> increased risk of </w:t>
      </w:r>
      <w:r w:rsidR="005E433F" w:rsidRPr="007F2BDD">
        <w:t>influenza complications, and all Aboriginal and Torres Strait Islander children</w:t>
      </w:r>
      <w:bookmarkEnd w:id="10"/>
      <w:r w:rsidR="007F2BDD">
        <w:t xml:space="preserve">. </w:t>
      </w:r>
      <w:r w:rsidR="005140F3" w:rsidRPr="007F2BDD">
        <w:t xml:space="preserve"> </w:t>
      </w:r>
    </w:p>
    <w:p w:rsidR="005140F3" w:rsidRPr="007F2BDD" w:rsidRDefault="005140F3" w:rsidP="005F43D9">
      <w:pPr>
        <w:pStyle w:val="2-SectionHeading"/>
        <w:numPr>
          <w:ilvl w:val="0"/>
          <w:numId w:val="11"/>
        </w:numPr>
      </w:pPr>
      <w:bookmarkStart w:id="11" w:name="_Toc16586209"/>
      <w:bookmarkStart w:id="12" w:name="_Toc19617902"/>
      <w:bookmarkEnd w:id="9"/>
      <w:r w:rsidRPr="007F2BDD">
        <w:t>Comparator</w:t>
      </w:r>
      <w:bookmarkStart w:id="13" w:name="_GoBack"/>
      <w:bookmarkEnd w:id="11"/>
      <w:bookmarkEnd w:id="12"/>
      <w:bookmarkEnd w:id="13"/>
    </w:p>
    <w:p w:rsidR="005140F3" w:rsidRPr="007F2BDD" w:rsidRDefault="00C52EC3" w:rsidP="005F43D9">
      <w:pPr>
        <w:pStyle w:val="3-BodyText"/>
      </w:pPr>
      <w:r w:rsidRPr="007F2BDD">
        <w:t>For at-risk children aged 6-35 months, t</w:t>
      </w:r>
      <w:r w:rsidR="005140F3" w:rsidRPr="007F2BDD">
        <w:t xml:space="preserve">he submission nominated </w:t>
      </w:r>
      <w:proofErr w:type="spellStart"/>
      <w:r w:rsidR="00415EEE" w:rsidRPr="007F2BDD">
        <w:t>FluQuadri</w:t>
      </w:r>
      <w:proofErr w:type="spellEnd"/>
      <w:r w:rsidR="00415EEE" w:rsidRPr="007F2BDD">
        <w:t xml:space="preserve"> Junior</w:t>
      </w:r>
      <w:r w:rsidR="00542B66" w:rsidRPr="007F2BDD">
        <w:t xml:space="preserve"> </w:t>
      </w:r>
      <w:r w:rsidR="005140F3" w:rsidRPr="007F2BDD">
        <w:t>as the comparator</w:t>
      </w:r>
      <w:r w:rsidR="007525DA" w:rsidRPr="007F2BDD">
        <w:t>. The ESC considere</w:t>
      </w:r>
      <w:r w:rsidR="0093260E" w:rsidRPr="007F2BDD">
        <w:t>d</w:t>
      </w:r>
      <w:r w:rsidR="006E3595" w:rsidRPr="007F2BDD">
        <w:t xml:space="preserve"> the nomination of</w:t>
      </w:r>
      <w:r w:rsidR="0093260E" w:rsidRPr="007F2BDD">
        <w:t xml:space="preserve"> </w:t>
      </w:r>
      <w:proofErr w:type="spellStart"/>
      <w:r w:rsidR="00F11E98" w:rsidRPr="007F2BDD">
        <w:rPr>
          <w:iCs/>
        </w:rPr>
        <w:t>FluQuadri</w:t>
      </w:r>
      <w:proofErr w:type="spellEnd"/>
      <w:r w:rsidR="005140F3" w:rsidRPr="007F2BDD">
        <w:rPr>
          <w:iCs/>
        </w:rPr>
        <w:t xml:space="preserve"> Junior</w:t>
      </w:r>
      <w:r w:rsidR="007525DA" w:rsidRPr="007F2BDD">
        <w:rPr>
          <w:iCs/>
        </w:rPr>
        <w:t xml:space="preserve"> </w:t>
      </w:r>
      <w:r w:rsidR="000320DE" w:rsidRPr="007F2BDD">
        <w:rPr>
          <w:iCs/>
        </w:rPr>
        <w:t>as the main</w:t>
      </w:r>
      <w:r w:rsidR="0093260E" w:rsidRPr="007F2BDD">
        <w:rPr>
          <w:iCs/>
        </w:rPr>
        <w:t xml:space="preserve"> comparator for this population</w:t>
      </w:r>
      <w:r w:rsidR="006E3595" w:rsidRPr="007F2BDD">
        <w:rPr>
          <w:iCs/>
        </w:rPr>
        <w:t xml:space="preserve"> was appropriate</w:t>
      </w:r>
      <w:r w:rsidR="005140F3" w:rsidRPr="007F2BDD">
        <w:t>.</w:t>
      </w:r>
      <w:r w:rsidR="00BD13E5" w:rsidRPr="007F2BDD">
        <w:t xml:space="preserve"> Alternative QIVs </w:t>
      </w:r>
      <w:r w:rsidR="006E3595" w:rsidRPr="007F2BDD">
        <w:t xml:space="preserve">that are either currently </w:t>
      </w:r>
      <w:r w:rsidR="00BD13E5" w:rsidRPr="007F2BDD">
        <w:t xml:space="preserve">listed or recommended for this population, </w:t>
      </w:r>
      <w:r w:rsidR="006E3595" w:rsidRPr="007F2BDD">
        <w:t xml:space="preserve">i.e., </w:t>
      </w:r>
      <w:proofErr w:type="spellStart"/>
      <w:r w:rsidR="00BD13E5" w:rsidRPr="007F2BDD">
        <w:t>Fluarix</w:t>
      </w:r>
      <w:proofErr w:type="spellEnd"/>
      <w:r w:rsidR="00BD13E5" w:rsidRPr="007F2BDD">
        <w:t xml:space="preserve"> Tetra and </w:t>
      </w:r>
      <w:proofErr w:type="spellStart"/>
      <w:r w:rsidR="00BD13E5" w:rsidRPr="007F2BDD">
        <w:t>Vaxigrip</w:t>
      </w:r>
      <w:proofErr w:type="spellEnd"/>
      <w:r w:rsidR="00BD13E5" w:rsidRPr="007F2BDD">
        <w:t xml:space="preserve"> Tetra</w:t>
      </w:r>
      <w:r w:rsidR="006E3595" w:rsidRPr="007F2BDD">
        <w:t>,</w:t>
      </w:r>
      <w:r w:rsidR="00BD13E5" w:rsidRPr="007F2BDD">
        <w:t xml:space="preserve"> </w:t>
      </w:r>
      <w:r w:rsidR="006E3595" w:rsidRPr="007F2BDD">
        <w:t xml:space="preserve">were also </w:t>
      </w:r>
      <w:r w:rsidR="00BD13E5" w:rsidRPr="007F2BDD">
        <w:t>appropriate comparators.</w:t>
      </w:r>
    </w:p>
    <w:p w:rsidR="00C52EC3" w:rsidRPr="007F2BDD" w:rsidRDefault="00C52EC3" w:rsidP="005F43D9">
      <w:pPr>
        <w:pStyle w:val="3-BodyText"/>
      </w:pPr>
      <w:r w:rsidRPr="007F2BDD">
        <w:rPr>
          <w:rStyle w:val="3-BodyTextChar"/>
        </w:rPr>
        <w:t xml:space="preserve">For the broader listing in children aged 6 months to &lt;5 years, the PSCR clarified </w:t>
      </w:r>
      <w:proofErr w:type="spellStart"/>
      <w:r w:rsidRPr="007F2BDD">
        <w:rPr>
          <w:rStyle w:val="3-BodyTextChar"/>
        </w:rPr>
        <w:t>Vaxigrip</w:t>
      </w:r>
      <w:proofErr w:type="spellEnd"/>
      <w:r w:rsidRPr="007F2BDD">
        <w:rPr>
          <w:rStyle w:val="3-BodyTextChar"/>
        </w:rPr>
        <w:t xml:space="preserve"> Tetra </w:t>
      </w:r>
      <w:r w:rsidR="0093260E" w:rsidRPr="007F2BDD">
        <w:rPr>
          <w:rStyle w:val="3-BodyTextChar"/>
        </w:rPr>
        <w:t xml:space="preserve">was </w:t>
      </w:r>
      <w:r w:rsidRPr="007F2BDD">
        <w:rPr>
          <w:rStyle w:val="3-BodyTextChar"/>
        </w:rPr>
        <w:t>the nominated comparator</w:t>
      </w:r>
      <w:r w:rsidR="008F1016" w:rsidRPr="007F2BDD">
        <w:rPr>
          <w:rStyle w:val="3-BodyTextChar"/>
        </w:rPr>
        <w:t xml:space="preserve"> </w:t>
      </w:r>
      <w:r w:rsidR="0068603A" w:rsidRPr="007F2BDD">
        <w:rPr>
          <w:rStyle w:val="3-BodyTextChar"/>
        </w:rPr>
        <w:t>being</w:t>
      </w:r>
      <w:r w:rsidR="008F1016" w:rsidRPr="007F2BDD">
        <w:rPr>
          <w:rStyle w:val="3-BodyTextChar"/>
        </w:rPr>
        <w:t xml:space="preserve"> the only vaccine which has received a positive PBAC recommendation for this </w:t>
      </w:r>
      <w:r w:rsidR="0093260E" w:rsidRPr="007F2BDD">
        <w:rPr>
          <w:rStyle w:val="3-BodyTextChar"/>
        </w:rPr>
        <w:t>population</w:t>
      </w:r>
      <w:r w:rsidR="008F1016" w:rsidRPr="007F2BDD">
        <w:rPr>
          <w:rStyle w:val="3-BodyTextChar"/>
        </w:rPr>
        <w:t xml:space="preserve">, though it has not yet been </w:t>
      </w:r>
      <w:r w:rsidR="0088394D" w:rsidRPr="007F2BDD">
        <w:rPr>
          <w:rStyle w:val="3-BodyTextChar"/>
        </w:rPr>
        <w:t>supplied</w:t>
      </w:r>
      <w:r w:rsidR="008F1016" w:rsidRPr="007F2BDD">
        <w:rPr>
          <w:rStyle w:val="3-BodyTextChar"/>
        </w:rPr>
        <w:t xml:space="preserve"> </w:t>
      </w:r>
      <w:r w:rsidR="0088394D" w:rsidRPr="007F2BDD">
        <w:rPr>
          <w:rStyle w:val="3-BodyTextChar"/>
        </w:rPr>
        <w:t>through</w:t>
      </w:r>
      <w:r w:rsidR="008F1016" w:rsidRPr="007F2BDD">
        <w:rPr>
          <w:rStyle w:val="3-BodyTextChar"/>
        </w:rPr>
        <w:t xml:space="preserve"> the NIP </w:t>
      </w:r>
      <w:r w:rsidR="0088394D" w:rsidRPr="007F2BDD">
        <w:rPr>
          <w:rStyle w:val="3-BodyTextChar"/>
        </w:rPr>
        <w:t>to this population since</w:t>
      </w:r>
      <w:r w:rsidR="008F1016" w:rsidRPr="007F2BDD">
        <w:rPr>
          <w:rStyle w:val="3-BodyTextChar"/>
        </w:rPr>
        <w:t xml:space="preserve"> the </w:t>
      </w:r>
      <w:r w:rsidR="0088394D" w:rsidRPr="007F2BDD">
        <w:rPr>
          <w:rStyle w:val="3-BodyTextChar"/>
        </w:rPr>
        <w:t xml:space="preserve">PBAC </w:t>
      </w:r>
      <w:r w:rsidR="008F1016" w:rsidRPr="007F2BDD">
        <w:rPr>
          <w:rStyle w:val="3-BodyTextChar"/>
        </w:rPr>
        <w:t>recommendation was made after the NIP for the 2019 influenza season was finalised</w:t>
      </w:r>
      <w:r w:rsidR="0088394D" w:rsidRPr="007F2BDD">
        <w:rPr>
          <w:rStyle w:val="3-BodyTextChar"/>
        </w:rPr>
        <w:t xml:space="preserve"> (i</w:t>
      </w:r>
      <w:r w:rsidR="007525DA" w:rsidRPr="007F2BDD">
        <w:rPr>
          <w:rStyle w:val="3-BodyTextChar"/>
        </w:rPr>
        <w:t>.</w:t>
      </w:r>
      <w:r w:rsidR="0088394D" w:rsidRPr="007F2BDD">
        <w:rPr>
          <w:rStyle w:val="3-BodyTextChar"/>
        </w:rPr>
        <w:t>e. July 2019)</w:t>
      </w:r>
      <w:r w:rsidRPr="007F2BDD">
        <w:rPr>
          <w:rStyle w:val="3-BodyTextChar"/>
        </w:rPr>
        <w:t>.</w:t>
      </w:r>
      <w:r w:rsidR="0093260E" w:rsidRPr="007F2BDD">
        <w:rPr>
          <w:rStyle w:val="3-BodyTextChar"/>
        </w:rPr>
        <w:t xml:space="preserve"> The ESC considered this was appropriate</w:t>
      </w:r>
      <w:r w:rsidR="0068603A" w:rsidRPr="007F2BDD">
        <w:rPr>
          <w:rStyle w:val="3-BodyTextChar"/>
        </w:rPr>
        <w:t>, and</w:t>
      </w:r>
      <w:r w:rsidR="0093260E" w:rsidRPr="007F2BDD">
        <w:t xml:space="preserve"> </w:t>
      </w:r>
      <w:r w:rsidR="0068603A" w:rsidRPr="007F2BDD">
        <w:t xml:space="preserve">that </w:t>
      </w:r>
      <w:proofErr w:type="spellStart"/>
      <w:r w:rsidR="0093260E" w:rsidRPr="007F2BDD">
        <w:rPr>
          <w:iCs/>
        </w:rPr>
        <w:t>Vaxigrip</w:t>
      </w:r>
      <w:proofErr w:type="spellEnd"/>
      <w:r w:rsidR="0093260E" w:rsidRPr="007F2BDD">
        <w:rPr>
          <w:iCs/>
        </w:rPr>
        <w:t xml:space="preserve"> Tetra was the appropriate comparator for this population</w:t>
      </w:r>
      <w:r w:rsidR="0093260E" w:rsidRPr="007F2BDD">
        <w:t>.</w:t>
      </w:r>
    </w:p>
    <w:p w:rsidR="0056124A" w:rsidRPr="007F2BDD" w:rsidRDefault="0056124A" w:rsidP="005F43D9">
      <w:pPr>
        <w:pStyle w:val="3-BodyText"/>
        <w:numPr>
          <w:ilvl w:val="0"/>
          <w:numId w:val="0"/>
        </w:numPr>
        <w:ind w:left="720"/>
        <w:rPr>
          <w:i/>
        </w:rPr>
      </w:pPr>
      <w:r w:rsidRPr="007F2BDD">
        <w:rPr>
          <w:rFonts w:asciiTheme="minorHAnsi" w:hAnsiTheme="minorHAnsi"/>
          <w:i/>
        </w:rPr>
        <w:t>For more detail on PBAC’s view, see section 7 PBAC outcome.</w:t>
      </w:r>
    </w:p>
    <w:p w:rsidR="005140F3" w:rsidRPr="007F2BDD" w:rsidRDefault="005140F3" w:rsidP="005F43D9">
      <w:pPr>
        <w:pStyle w:val="2-SectionHeading"/>
        <w:numPr>
          <w:ilvl w:val="0"/>
          <w:numId w:val="11"/>
        </w:numPr>
      </w:pPr>
      <w:bookmarkStart w:id="14" w:name="_Toc16586210"/>
      <w:bookmarkStart w:id="15" w:name="_Toc19617903"/>
      <w:r w:rsidRPr="007F2BDD">
        <w:t>Consideration of the evidence</w:t>
      </w:r>
      <w:bookmarkEnd w:id="14"/>
      <w:bookmarkEnd w:id="15"/>
    </w:p>
    <w:p w:rsidR="0056124A" w:rsidRPr="007F2BDD" w:rsidRDefault="0056124A" w:rsidP="005F43D9">
      <w:pPr>
        <w:pStyle w:val="4-SubsectionHeading"/>
        <w:rPr>
          <w:snapToGrid w:val="0"/>
        </w:rPr>
      </w:pPr>
      <w:bookmarkStart w:id="16" w:name="_Toc16586211"/>
      <w:bookmarkStart w:id="17" w:name="_Toc19617904"/>
      <w:r w:rsidRPr="007F2BDD">
        <w:rPr>
          <w:snapToGrid w:val="0"/>
        </w:rPr>
        <w:t>Sponsor hearing</w:t>
      </w:r>
    </w:p>
    <w:p w:rsidR="0056124A" w:rsidRPr="007F2BDD" w:rsidRDefault="0056124A" w:rsidP="005F43D9">
      <w:pPr>
        <w:pStyle w:val="3-BodyText"/>
        <w:rPr>
          <w:snapToGrid w:val="0"/>
        </w:rPr>
      </w:pPr>
      <w:r w:rsidRPr="007F2BDD">
        <w:rPr>
          <w:snapToGrid w:val="0"/>
        </w:rPr>
        <w:t>There was no hearing for this item.</w:t>
      </w:r>
    </w:p>
    <w:p w:rsidR="0056124A" w:rsidRPr="007F2BDD" w:rsidRDefault="0056124A" w:rsidP="005F43D9">
      <w:pPr>
        <w:pStyle w:val="4-SubsectionHeading"/>
        <w:rPr>
          <w:snapToGrid w:val="0"/>
        </w:rPr>
      </w:pPr>
      <w:r w:rsidRPr="007F2BDD">
        <w:rPr>
          <w:snapToGrid w:val="0"/>
        </w:rPr>
        <w:t>Consumer comments</w:t>
      </w:r>
    </w:p>
    <w:p w:rsidR="0056124A" w:rsidRPr="007F2BDD" w:rsidRDefault="0056124A" w:rsidP="005F43D9">
      <w:pPr>
        <w:pStyle w:val="3-BodyText"/>
        <w:rPr>
          <w:snapToGrid w:val="0"/>
        </w:rPr>
      </w:pPr>
      <w:r w:rsidRPr="007F2BDD">
        <w:rPr>
          <w:snapToGrid w:val="0"/>
        </w:rPr>
        <w:t>The PBAC noted that no consumer comments were received for this item.</w:t>
      </w:r>
    </w:p>
    <w:p w:rsidR="0028727B" w:rsidRDefault="0028727B">
      <w:pPr>
        <w:rPr>
          <w:rFonts w:asciiTheme="minorHAnsi" w:eastAsiaTheme="majorEastAsia" w:hAnsiTheme="minorHAnsi" w:cstheme="majorBidi"/>
          <w:b/>
          <w:i/>
          <w:spacing w:val="5"/>
          <w:kern w:val="28"/>
          <w:sz w:val="28"/>
          <w:szCs w:val="36"/>
        </w:rPr>
      </w:pPr>
      <w:r>
        <w:br w:type="page"/>
      </w:r>
    </w:p>
    <w:p w:rsidR="005140F3" w:rsidRPr="007F2BDD" w:rsidRDefault="005140F3" w:rsidP="005F43D9">
      <w:pPr>
        <w:pStyle w:val="4-SubsectionHeading"/>
      </w:pPr>
      <w:r w:rsidRPr="007F2BDD">
        <w:lastRenderedPageBreak/>
        <w:t>Clinical trials</w:t>
      </w:r>
      <w:bookmarkEnd w:id="16"/>
      <w:bookmarkEnd w:id="17"/>
    </w:p>
    <w:p w:rsidR="00512010" w:rsidRPr="007F2BDD" w:rsidRDefault="00512010" w:rsidP="005F43D9">
      <w:pPr>
        <w:pStyle w:val="Heading3"/>
        <w:rPr>
          <w:i w:val="0"/>
        </w:rPr>
      </w:pPr>
      <w:r w:rsidRPr="007F2BDD">
        <w:rPr>
          <w:i w:val="0"/>
        </w:rPr>
        <w:t xml:space="preserve">At-risk </w:t>
      </w:r>
      <w:r w:rsidR="00227B22" w:rsidRPr="007F2BDD">
        <w:rPr>
          <w:i w:val="0"/>
        </w:rPr>
        <w:t>children</w:t>
      </w:r>
      <w:r w:rsidRPr="007F2BDD">
        <w:rPr>
          <w:i w:val="0"/>
        </w:rPr>
        <w:t xml:space="preserve"> aged 6-35 months</w:t>
      </w:r>
    </w:p>
    <w:p w:rsidR="005140F3" w:rsidRPr="007F2BDD" w:rsidRDefault="005140F3" w:rsidP="005F43D9">
      <w:pPr>
        <w:pStyle w:val="3-BodyText"/>
        <w:rPr>
          <w:i/>
        </w:rPr>
      </w:pPr>
      <w:r w:rsidRPr="007F2BDD">
        <w:t xml:space="preserve">The submission presented one head-to-head </w:t>
      </w:r>
      <w:r w:rsidR="00166600" w:rsidRPr="007F2BDD">
        <w:t>randomi</w:t>
      </w:r>
      <w:r w:rsidR="00BD13E5" w:rsidRPr="007F2BDD">
        <w:t>s</w:t>
      </w:r>
      <w:r w:rsidR="00166600" w:rsidRPr="007F2BDD">
        <w:t>ed control trial</w:t>
      </w:r>
      <w:r w:rsidR="001B155F" w:rsidRPr="007F2BDD">
        <w:t xml:space="preserve"> (RCT)</w:t>
      </w:r>
      <w:r w:rsidR="00166600" w:rsidRPr="007F2BDD">
        <w:t xml:space="preserve"> </w:t>
      </w:r>
      <w:r w:rsidRPr="007F2BDD">
        <w:t>compar</w:t>
      </w:r>
      <w:r w:rsidR="00276E5A" w:rsidRPr="007F2BDD">
        <w:t>ing</w:t>
      </w:r>
      <w:r w:rsidRPr="007F2BDD">
        <w:t xml:space="preserve"> </w:t>
      </w:r>
      <w:proofErr w:type="spellStart"/>
      <w:r w:rsidR="00F11E98" w:rsidRPr="007F2BDD">
        <w:t>FluQuadri</w:t>
      </w:r>
      <w:proofErr w:type="spellEnd"/>
      <w:r w:rsidRPr="007F2BDD">
        <w:t xml:space="preserve"> to </w:t>
      </w:r>
      <w:proofErr w:type="spellStart"/>
      <w:r w:rsidR="00415EEE" w:rsidRPr="007F2BDD">
        <w:t>FluQuadri</w:t>
      </w:r>
      <w:proofErr w:type="spellEnd"/>
      <w:r w:rsidR="00415EEE" w:rsidRPr="007F2BDD">
        <w:t xml:space="preserve"> Junior</w:t>
      </w:r>
      <w:r w:rsidRPr="007F2BDD">
        <w:t xml:space="preserve"> in children aged 6</w:t>
      </w:r>
      <w:r w:rsidR="00463398" w:rsidRPr="007F2BDD">
        <w:t>-35</w:t>
      </w:r>
      <w:r w:rsidRPr="007F2BDD">
        <w:t xml:space="preserve"> months, who were healthy and had never been vaccinated against influenza</w:t>
      </w:r>
      <w:r w:rsidR="00BD13E5" w:rsidRPr="007F2BDD">
        <w:t>: GRC88 (N=2,190)</w:t>
      </w:r>
      <w:r w:rsidR="00227B22" w:rsidRPr="007F2BDD">
        <w:t>.</w:t>
      </w:r>
      <w:r w:rsidR="008023C3" w:rsidRPr="007F2BDD">
        <w:t xml:space="preserve"> </w:t>
      </w:r>
    </w:p>
    <w:p w:rsidR="005140F3" w:rsidRPr="007F2BDD" w:rsidRDefault="005140F3" w:rsidP="005F43D9">
      <w:pPr>
        <w:pStyle w:val="3-BodyText"/>
      </w:pPr>
      <w:r w:rsidRPr="007F2BDD">
        <w:t xml:space="preserve">A claim of non-inferiority was made </w:t>
      </w:r>
      <w:r w:rsidR="00235B99" w:rsidRPr="007F2BDD">
        <w:t>based on</w:t>
      </w:r>
      <w:r w:rsidRPr="007F2BDD">
        <w:t xml:space="preserve"> safety, in terms of fever rate</w:t>
      </w:r>
      <w:r w:rsidR="007A5837" w:rsidRPr="007F2BDD">
        <w:t>;</w:t>
      </w:r>
      <w:r w:rsidRPr="007F2BDD">
        <w:t xml:space="preserve"> and </w:t>
      </w:r>
      <w:r w:rsidR="00F8496D" w:rsidRPr="007F2BDD">
        <w:t xml:space="preserve">effectiveness, in terms of </w:t>
      </w:r>
      <w:r w:rsidRPr="007F2BDD">
        <w:t>immunogenicity outcomes of geometric mean titres (GMTs) and seroconversion</w:t>
      </w:r>
      <w:r w:rsidR="00F8496D" w:rsidRPr="007F2BDD">
        <w:t xml:space="preserve"> rates</w:t>
      </w:r>
      <w:r w:rsidR="00383503" w:rsidRPr="007F2BDD">
        <w:t xml:space="preserve"> (SCRs)</w:t>
      </w:r>
      <w:r w:rsidRPr="007F2BDD">
        <w:t xml:space="preserve">. </w:t>
      </w:r>
      <w:r w:rsidRPr="007F2BDD">
        <w:rPr>
          <w:iCs/>
        </w:rPr>
        <w:t xml:space="preserve">The PBAC has previously accepted surrogate outcomes (e.g. </w:t>
      </w:r>
      <w:proofErr w:type="spellStart"/>
      <w:r w:rsidRPr="007F2BDD">
        <w:rPr>
          <w:iCs/>
        </w:rPr>
        <w:t>haemagglutination</w:t>
      </w:r>
      <w:proofErr w:type="spellEnd"/>
      <w:r w:rsidRPr="007F2BDD">
        <w:rPr>
          <w:iCs/>
        </w:rPr>
        <w:t xml:space="preserve"> antibody GMT</w:t>
      </w:r>
      <w:r w:rsidR="006B3280" w:rsidRPr="007F2BDD">
        <w:rPr>
          <w:iCs/>
        </w:rPr>
        <w:t>s</w:t>
      </w:r>
      <w:r w:rsidRPr="007F2BDD">
        <w:rPr>
          <w:iCs/>
        </w:rPr>
        <w:t xml:space="preserve"> and </w:t>
      </w:r>
      <w:r w:rsidR="006B3280" w:rsidRPr="007F2BDD">
        <w:rPr>
          <w:iCs/>
        </w:rPr>
        <w:t>SCRs</w:t>
      </w:r>
      <w:r w:rsidRPr="007F2BDD">
        <w:rPr>
          <w:iCs/>
        </w:rPr>
        <w:t xml:space="preserve">) </w:t>
      </w:r>
      <w:r w:rsidR="00035BF9" w:rsidRPr="007F2BDD">
        <w:rPr>
          <w:iCs/>
        </w:rPr>
        <w:t xml:space="preserve">to support non-inferiority claims between </w:t>
      </w:r>
      <w:r w:rsidRPr="007F2BDD">
        <w:rPr>
          <w:iCs/>
        </w:rPr>
        <w:t>QIVs</w:t>
      </w:r>
      <w:r w:rsidR="00BD13E5" w:rsidRPr="007F2BDD">
        <w:rPr>
          <w:iCs/>
        </w:rPr>
        <w:t xml:space="preserve"> </w:t>
      </w:r>
      <w:r w:rsidR="002A7A7F" w:rsidRPr="007F2BDD">
        <w:rPr>
          <w:iCs/>
        </w:rPr>
        <w:t>(</w:t>
      </w:r>
      <w:r w:rsidRPr="007F2BDD">
        <w:rPr>
          <w:iCs/>
        </w:rPr>
        <w:t xml:space="preserve">e.g. </w:t>
      </w:r>
      <w:proofErr w:type="spellStart"/>
      <w:r w:rsidRPr="007F2BDD">
        <w:rPr>
          <w:iCs/>
        </w:rPr>
        <w:t>FluQuadri</w:t>
      </w:r>
      <w:proofErr w:type="spellEnd"/>
      <w:r w:rsidRPr="007F2BDD">
        <w:rPr>
          <w:iCs/>
        </w:rPr>
        <w:t xml:space="preserve"> compared with </w:t>
      </w:r>
      <w:proofErr w:type="spellStart"/>
      <w:r w:rsidRPr="007F2BDD">
        <w:rPr>
          <w:iCs/>
        </w:rPr>
        <w:t>Fluarix</w:t>
      </w:r>
      <w:proofErr w:type="spellEnd"/>
      <w:r w:rsidRPr="007F2BDD">
        <w:rPr>
          <w:iCs/>
        </w:rPr>
        <w:t xml:space="preserve"> Tetra (</w:t>
      </w:r>
      <w:r w:rsidR="00276E5A" w:rsidRPr="007F2BDD">
        <w:rPr>
          <w:iCs/>
        </w:rPr>
        <w:t xml:space="preserve">paragraph </w:t>
      </w:r>
      <w:r w:rsidR="007143E0" w:rsidRPr="007F2BDD">
        <w:rPr>
          <w:iCs/>
        </w:rPr>
        <w:t>6.6</w:t>
      </w:r>
      <w:r w:rsidR="007671E7" w:rsidRPr="007F2BDD">
        <w:rPr>
          <w:iCs/>
        </w:rPr>
        <w:t>,</w:t>
      </w:r>
      <w:r w:rsidR="00DE124B" w:rsidRPr="007F2BDD">
        <w:rPr>
          <w:iCs/>
        </w:rPr>
        <w:t xml:space="preserve"> </w:t>
      </w:r>
      <w:r w:rsidR="00EB23A1" w:rsidRPr="007F2BDD">
        <w:t>QIV</w:t>
      </w:r>
      <w:r w:rsidR="002A7A7F" w:rsidRPr="007F2BDD">
        <w:t xml:space="preserve">, </w:t>
      </w:r>
      <w:proofErr w:type="spellStart"/>
      <w:r w:rsidR="00DE124B" w:rsidRPr="007F2BDD">
        <w:rPr>
          <w:iCs/>
        </w:rPr>
        <w:t>FluQuadri</w:t>
      </w:r>
      <w:proofErr w:type="spellEnd"/>
      <w:r w:rsidR="002A7A7F" w:rsidRPr="007F2BDD">
        <w:rPr>
          <w:iCs/>
        </w:rPr>
        <w:t>,</w:t>
      </w:r>
      <w:r w:rsidR="007143E0" w:rsidRPr="007F2BDD">
        <w:rPr>
          <w:iCs/>
        </w:rPr>
        <w:t xml:space="preserve"> </w:t>
      </w:r>
      <w:r w:rsidRPr="007F2BDD">
        <w:rPr>
          <w:iCs/>
        </w:rPr>
        <w:t>PSD, July 2015</w:t>
      </w:r>
      <w:r w:rsidR="002A7A7F" w:rsidRPr="007F2BDD">
        <w:rPr>
          <w:iCs/>
        </w:rPr>
        <w:t xml:space="preserve"> PBAC meeting</w:t>
      </w:r>
      <w:r w:rsidR="005C0421" w:rsidRPr="007F2BDD">
        <w:rPr>
          <w:iCs/>
        </w:rPr>
        <w:t>)</w:t>
      </w:r>
      <w:r w:rsidR="00BD13E5" w:rsidRPr="007F2BDD">
        <w:rPr>
          <w:iCs/>
        </w:rPr>
        <w:t xml:space="preserve"> and </w:t>
      </w:r>
      <w:proofErr w:type="spellStart"/>
      <w:r w:rsidR="00BD13E5" w:rsidRPr="007F2BDD">
        <w:rPr>
          <w:iCs/>
        </w:rPr>
        <w:t>Vaxigrip</w:t>
      </w:r>
      <w:proofErr w:type="spellEnd"/>
      <w:r w:rsidR="00BD13E5" w:rsidRPr="007F2BDD">
        <w:rPr>
          <w:iCs/>
        </w:rPr>
        <w:t xml:space="preserve"> Tetra compared with </w:t>
      </w:r>
      <w:proofErr w:type="spellStart"/>
      <w:r w:rsidR="00BD13E5" w:rsidRPr="007F2BDD">
        <w:rPr>
          <w:iCs/>
        </w:rPr>
        <w:t>FluQuadri</w:t>
      </w:r>
      <w:proofErr w:type="spellEnd"/>
      <w:r w:rsidR="00BD13E5" w:rsidRPr="007F2BDD">
        <w:rPr>
          <w:iCs/>
        </w:rPr>
        <w:t xml:space="preserve"> (paragraph 7.12, </w:t>
      </w:r>
      <w:r w:rsidR="00EB23A1" w:rsidRPr="007F2BDD">
        <w:t>QIV</w:t>
      </w:r>
      <w:r w:rsidR="002A7A7F" w:rsidRPr="007F2BDD">
        <w:rPr>
          <w:iCs/>
        </w:rPr>
        <w:t xml:space="preserve">, </w:t>
      </w:r>
      <w:proofErr w:type="spellStart"/>
      <w:r w:rsidR="00BD13E5" w:rsidRPr="007F2BDD">
        <w:rPr>
          <w:iCs/>
        </w:rPr>
        <w:t>Vaxigrip</w:t>
      </w:r>
      <w:proofErr w:type="spellEnd"/>
      <w:r w:rsidR="00BD13E5" w:rsidRPr="007F2BDD">
        <w:rPr>
          <w:iCs/>
        </w:rPr>
        <w:t xml:space="preserve"> Tetra</w:t>
      </w:r>
      <w:r w:rsidR="002A7A7F" w:rsidRPr="007F2BDD">
        <w:rPr>
          <w:iCs/>
        </w:rPr>
        <w:t>,</w:t>
      </w:r>
      <w:r w:rsidR="00BD13E5" w:rsidRPr="007F2BDD">
        <w:rPr>
          <w:iCs/>
        </w:rPr>
        <w:t xml:space="preserve"> </w:t>
      </w:r>
      <w:r w:rsidR="005C0421" w:rsidRPr="007F2BDD">
        <w:rPr>
          <w:iCs/>
        </w:rPr>
        <w:t>PSD</w:t>
      </w:r>
      <w:r w:rsidR="00BD13E5" w:rsidRPr="007F2BDD">
        <w:rPr>
          <w:iCs/>
        </w:rPr>
        <w:t>, July 201</w:t>
      </w:r>
      <w:r w:rsidR="00CD7C2D" w:rsidRPr="007F2BDD">
        <w:rPr>
          <w:iCs/>
        </w:rPr>
        <w:t>9</w:t>
      </w:r>
      <w:r w:rsidR="002A7A7F" w:rsidRPr="007F2BDD">
        <w:rPr>
          <w:iCs/>
        </w:rPr>
        <w:t xml:space="preserve"> PBAC meeting</w:t>
      </w:r>
      <w:r w:rsidRPr="007F2BDD">
        <w:rPr>
          <w:iCs/>
        </w:rPr>
        <w:t>)</w:t>
      </w:r>
      <w:r w:rsidR="005C0421" w:rsidRPr="007F2BDD">
        <w:rPr>
          <w:iCs/>
        </w:rPr>
        <w:t>)</w:t>
      </w:r>
      <w:r w:rsidR="00235B99" w:rsidRPr="007F2BDD">
        <w:rPr>
          <w:iCs/>
        </w:rPr>
        <w:t xml:space="preserve">. </w:t>
      </w:r>
    </w:p>
    <w:p w:rsidR="009C2F5A" w:rsidRPr="007F2BDD" w:rsidRDefault="005140F3" w:rsidP="005F43D9">
      <w:pPr>
        <w:pStyle w:val="3-BodyText"/>
      </w:pPr>
      <w:r w:rsidRPr="007F2BDD">
        <w:t xml:space="preserve">Details of the trial presented in the submission are provided in Table 2. </w:t>
      </w:r>
    </w:p>
    <w:p w:rsidR="00A66664" w:rsidRPr="007F2BDD" w:rsidRDefault="00A66664" w:rsidP="005F43D9">
      <w:pPr>
        <w:pStyle w:val="TableFigureHeading"/>
      </w:pPr>
      <w:r w:rsidRPr="007F2BDD">
        <w:t xml:space="preserve">Table </w:t>
      </w:r>
      <w:r w:rsidR="007C3D0A" w:rsidRPr="007F2BDD">
        <w:t>2</w:t>
      </w:r>
      <w:r w:rsidRPr="007F2BDD">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5140F3" w:rsidRPr="007F2BDD" w:rsidTr="0028727B">
        <w:trPr>
          <w:tblHeader/>
        </w:trPr>
        <w:tc>
          <w:tcPr>
            <w:tcW w:w="795" w:type="pct"/>
            <w:tcBorders>
              <w:top w:val="single" w:sz="4" w:space="0" w:color="auto"/>
              <w:left w:val="single" w:sz="4" w:space="0" w:color="auto"/>
              <w:bottom w:val="single" w:sz="4" w:space="0" w:color="auto"/>
              <w:right w:val="single" w:sz="4" w:space="0" w:color="auto"/>
            </w:tcBorders>
            <w:vAlign w:val="center"/>
            <w:hideMark/>
          </w:tcPr>
          <w:p w:rsidR="005140F3" w:rsidRPr="00A2716E" w:rsidRDefault="005140F3" w:rsidP="005F43D9">
            <w:pPr>
              <w:pStyle w:val="TableText0"/>
              <w:rPr>
                <w:b/>
              </w:rPr>
            </w:pPr>
            <w:r w:rsidRPr="00A2716E">
              <w:rPr>
                <w:b/>
              </w:rPr>
              <w:t>Trial ID</w:t>
            </w:r>
          </w:p>
        </w:tc>
        <w:tc>
          <w:tcPr>
            <w:tcW w:w="2803" w:type="pct"/>
            <w:tcBorders>
              <w:top w:val="single" w:sz="4" w:space="0" w:color="auto"/>
              <w:left w:val="single" w:sz="4" w:space="0" w:color="auto"/>
              <w:bottom w:val="single" w:sz="4" w:space="0" w:color="auto"/>
              <w:right w:val="single" w:sz="4" w:space="0" w:color="auto"/>
            </w:tcBorders>
            <w:vAlign w:val="center"/>
            <w:hideMark/>
          </w:tcPr>
          <w:p w:rsidR="005140F3" w:rsidRPr="00A2716E" w:rsidRDefault="005140F3" w:rsidP="005F43D9">
            <w:pPr>
              <w:pStyle w:val="TableText0"/>
              <w:rPr>
                <w:b/>
              </w:rPr>
            </w:pPr>
            <w:r w:rsidRPr="00A2716E">
              <w:rPr>
                <w:b/>
              </w:rPr>
              <w:t>Protocol title/ Publication title</w:t>
            </w:r>
          </w:p>
        </w:tc>
        <w:tc>
          <w:tcPr>
            <w:tcW w:w="1402" w:type="pct"/>
            <w:tcBorders>
              <w:top w:val="single" w:sz="4" w:space="0" w:color="auto"/>
              <w:left w:val="single" w:sz="4" w:space="0" w:color="auto"/>
              <w:bottom w:val="single" w:sz="4" w:space="0" w:color="auto"/>
              <w:right w:val="single" w:sz="4" w:space="0" w:color="auto"/>
            </w:tcBorders>
            <w:vAlign w:val="center"/>
            <w:hideMark/>
          </w:tcPr>
          <w:p w:rsidR="005140F3" w:rsidRPr="00A2716E" w:rsidRDefault="005140F3" w:rsidP="005F43D9">
            <w:pPr>
              <w:pStyle w:val="TableText0"/>
              <w:rPr>
                <w:b/>
              </w:rPr>
            </w:pPr>
            <w:r w:rsidRPr="00A2716E">
              <w:rPr>
                <w:b/>
              </w:rPr>
              <w:t>Publication citation</w:t>
            </w:r>
          </w:p>
        </w:tc>
      </w:tr>
      <w:tr w:rsidR="005140F3" w:rsidRPr="007F2BDD" w:rsidTr="0028727B">
        <w:tc>
          <w:tcPr>
            <w:tcW w:w="79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rPr>
                <w:rFonts w:ascii="Times" w:hAnsi="Times"/>
              </w:rPr>
            </w:pPr>
            <w:r w:rsidRPr="007F2BDD">
              <w:t>GRC88 NCT02915302, referred to as GRC88</w:t>
            </w:r>
          </w:p>
        </w:tc>
        <w:tc>
          <w:tcPr>
            <w:tcW w:w="2803" w:type="pct"/>
            <w:tcBorders>
              <w:top w:val="single" w:sz="4" w:space="0" w:color="auto"/>
              <w:left w:val="single" w:sz="4" w:space="0" w:color="auto"/>
              <w:bottom w:val="single" w:sz="4" w:space="0" w:color="auto"/>
              <w:right w:val="single" w:sz="4" w:space="0" w:color="auto"/>
            </w:tcBorders>
            <w:vAlign w:val="center"/>
          </w:tcPr>
          <w:p w:rsidR="005140F3" w:rsidRPr="007F2BDD" w:rsidRDefault="000E4E87" w:rsidP="005F43D9">
            <w:pPr>
              <w:pStyle w:val="TableText0"/>
              <w:rPr>
                <w:szCs w:val="18"/>
              </w:rPr>
            </w:pPr>
            <w:r w:rsidRPr="007F2BDD">
              <w:rPr>
                <w:szCs w:val="18"/>
              </w:rPr>
              <w:t xml:space="preserve">Safety and immunogenicity of </w:t>
            </w:r>
            <w:proofErr w:type="spellStart"/>
            <w:r w:rsidRPr="007F2BDD">
              <w:rPr>
                <w:szCs w:val="18"/>
              </w:rPr>
              <w:t>Fluzone</w:t>
            </w:r>
            <w:proofErr w:type="spellEnd"/>
            <w:r w:rsidRPr="007F2BDD">
              <w:rPr>
                <w:szCs w:val="18"/>
                <w:vertAlign w:val="superscript"/>
              </w:rPr>
              <w:t>®</w:t>
            </w:r>
            <w:r w:rsidRPr="007F2BDD">
              <w:rPr>
                <w:szCs w:val="18"/>
              </w:rPr>
              <w:t xml:space="preserve"> </w:t>
            </w:r>
            <w:proofErr w:type="spellStart"/>
            <w:r w:rsidRPr="007F2BDD">
              <w:rPr>
                <w:szCs w:val="18"/>
              </w:rPr>
              <w:t>Quadrivalent</w:t>
            </w:r>
            <w:proofErr w:type="spellEnd"/>
            <w:r w:rsidRPr="007F2BDD">
              <w:rPr>
                <w:szCs w:val="18"/>
              </w:rPr>
              <w:t xml:space="preserve"> Vaccine* Administered to Health</w:t>
            </w:r>
            <w:r w:rsidR="00415EEE" w:rsidRPr="007F2BDD">
              <w:rPr>
                <w:szCs w:val="18"/>
              </w:rPr>
              <w:t>y</w:t>
            </w:r>
            <w:r w:rsidRPr="007F2BDD">
              <w:rPr>
                <w:szCs w:val="18"/>
              </w:rPr>
              <w:t xml:space="preserve"> Children 6 to &lt;36 Months of Age</w:t>
            </w:r>
          </w:p>
          <w:p w:rsidR="005140F3" w:rsidRPr="007F2BDD" w:rsidRDefault="005140F3" w:rsidP="005F43D9">
            <w:pPr>
              <w:pStyle w:val="TableText0"/>
              <w:rPr>
                <w:szCs w:val="18"/>
              </w:rPr>
            </w:pPr>
          </w:p>
          <w:p w:rsidR="005140F3" w:rsidRPr="007F2BDD" w:rsidRDefault="005140F3" w:rsidP="005F43D9">
            <w:pPr>
              <w:pStyle w:val="TableText0"/>
              <w:rPr>
                <w:szCs w:val="18"/>
              </w:rPr>
            </w:pPr>
            <w:r w:rsidRPr="007F2BDD">
              <w:rPr>
                <w:szCs w:val="18"/>
              </w:rPr>
              <w:t xml:space="preserve">Robertson CA, Mercer M, </w:t>
            </w:r>
            <w:proofErr w:type="spellStart"/>
            <w:r w:rsidRPr="007F2BDD">
              <w:rPr>
                <w:szCs w:val="18"/>
              </w:rPr>
              <w:t>Selmani</w:t>
            </w:r>
            <w:proofErr w:type="spellEnd"/>
            <w:r w:rsidRPr="007F2BDD">
              <w:rPr>
                <w:szCs w:val="18"/>
              </w:rPr>
              <w:t xml:space="preserve"> A, Klein NP, </w:t>
            </w:r>
            <w:proofErr w:type="spellStart"/>
            <w:r w:rsidRPr="007F2BDD">
              <w:rPr>
                <w:szCs w:val="18"/>
              </w:rPr>
              <w:t>Jeanfreau</w:t>
            </w:r>
            <w:proofErr w:type="spellEnd"/>
            <w:r w:rsidRPr="007F2BDD">
              <w:rPr>
                <w:szCs w:val="18"/>
              </w:rPr>
              <w:t xml:space="preserve"> R, Greenberg DP. Safety and Immunogenicity of a Full-dose, Split-</w:t>
            </w:r>
            <w:proofErr w:type="spellStart"/>
            <w:r w:rsidRPr="007F2BDD">
              <w:rPr>
                <w:szCs w:val="18"/>
              </w:rPr>
              <w:t>virion</w:t>
            </w:r>
            <w:proofErr w:type="spellEnd"/>
            <w:r w:rsidRPr="007F2BDD">
              <w:rPr>
                <w:szCs w:val="18"/>
              </w:rPr>
              <w:t xml:space="preserve">, Inactivated, </w:t>
            </w:r>
            <w:proofErr w:type="spellStart"/>
            <w:r w:rsidRPr="007F2BDD">
              <w:rPr>
                <w:szCs w:val="18"/>
              </w:rPr>
              <w:t>Quadrivalent</w:t>
            </w:r>
            <w:proofErr w:type="spellEnd"/>
            <w:r w:rsidRPr="007F2BDD">
              <w:rPr>
                <w:szCs w:val="18"/>
              </w:rPr>
              <w:t xml:space="preserve"> Influenza Vaccine in Healthy Children 6-35 Months of Age: A Randomized Controlled Clinical Trial. </w:t>
            </w:r>
          </w:p>
        </w:tc>
        <w:tc>
          <w:tcPr>
            <w:tcW w:w="1402" w:type="pct"/>
            <w:tcBorders>
              <w:top w:val="single" w:sz="4" w:space="0" w:color="auto"/>
              <w:left w:val="single" w:sz="4" w:space="0" w:color="auto"/>
              <w:bottom w:val="single" w:sz="4" w:space="0" w:color="auto"/>
              <w:right w:val="single" w:sz="4" w:space="0" w:color="auto"/>
            </w:tcBorders>
          </w:tcPr>
          <w:p w:rsidR="005140F3" w:rsidRPr="007F2BDD" w:rsidRDefault="005140F3" w:rsidP="005F43D9">
            <w:pPr>
              <w:pStyle w:val="TableText0"/>
            </w:pPr>
            <w:r w:rsidRPr="007F2BDD">
              <w:t>March 2017</w:t>
            </w:r>
          </w:p>
          <w:p w:rsidR="005140F3" w:rsidRPr="007F2BDD" w:rsidRDefault="005140F3" w:rsidP="005F43D9">
            <w:pPr>
              <w:pStyle w:val="TableText0"/>
            </w:pPr>
          </w:p>
          <w:p w:rsidR="005140F3" w:rsidRPr="007F2BDD" w:rsidRDefault="005140F3" w:rsidP="005F43D9">
            <w:pPr>
              <w:pStyle w:val="TableText0"/>
            </w:pPr>
          </w:p>
          <w:p w:rsidR="005140F3" w:rsidRPr="007F2BDD" w:rsidRDefault="00A013EB" w:rsidP="005F43D9">
            <w:pPr>
              <w:pStyle w:val="TableText0"/>
            </w:pPr>
            <w:r w:rsidRPr="007F2BDD">
              <w:t xml:space="preserve">The </w:t>
            </w:r>
            <w:proofErr w:type="spellStart"/>
            <w:r w:rsidRPr="007F2BDD">
              <w:t>Pediatric</w:t>
            </w:r>
            <w:proofErr w:type="spellEnd"/>
            <w:r w:rsidRPr="007F2BDD">
              <w:t xml:space="preserve"> Infectious Disease J</w:t>
            </w:r>
            <w:r w:rsidR="005140F3" w:rsidRPr="007F2BDD">
              <w:t>ournal. 2019 Mar;</w:t>
            </w:r>
            <w:r w:rsidRPr="007F2BDD">
              <w:t xml:space="preserve"> </w:t>
            </w:r>
            <w:r w:rsidR="005140F3" w:rsidRPr="007F2BDD">
              <w:t>38(3):323.</w:t>
            </w:r>
          </w:p>
        </w:tc>
      </w:tr>
    </w:tbl>
    <w:p w:rsidR="005140F3" w:rsidRPr="007F2BDD" w:rsidRDefault="000E4E87" w:rsidP="005F43D9">
      <w:pPr>
        <w:pStyle w:val="TableFigureFooter"/>
        <w:widowControl/>
        <w:spacing w:after="120"/>
        <w:contextualSpacing/>
      </w:pPr>
      <w:r w:rsidRPr="007F2BDD">
        <w:t>*</w:t>
      </w:r>
      <w:proofErr w:type="spellStart"/>
      <w:r w:rsidRPr="007F2BDD">
        <w:t>Fluzone</w:t>
      </w:r>
      <w:proofErr w:type="spellEnd"/>
      <w:r w:rsidRPr="007F2BDD">
        <w:t xml:space="preserve"> is the brand name for </w:t>
      </w:r>
      <w:proofErr w:type="spellStart"/>
      <w:r w:rsidRPr="007F2BDD">
        <w:t>FluQuadri</w:t>
      </w:r>
      <w:proofErr w:type="spellEnd"/>
      <w:r w:rsidRPr="007F2BDD">
        <w:t xml:space="preserve"> vaccine in the United States</w:t>
      </w:r>
    </w:p>
    <w:p w:rsidR="005F43D9" w:rsidRDefault="005140F3" w:rsidP="005F43D9">
      <w:pPr>
        <w:pStyle w:val="TableFigureFooter"/>
        <w:widowControl/>
        <w:spacing w:after="120"/>
        <w:contextualSpacing/>
      </w:pPr>
      <w:r w:rsidRPr="007F2BDD">
        <w:t xml:space="preserve">Source: Table 2.2.1, p28 of the submission. </w:t>
      </w:r>
    </w:p>
    <w:p w:rsidR="005140F3" w:rsidRPr="007F2BDD" w:rsidRDefault="005140F3" w:rsidP="005F43D9">
      <w:pPr>
        <w:pStyle w:val="3-BodyText"/>
      </w:pPr>
      <w:r w:rsidRPr="007F2BDD">
        <w:t>The key features of the direct randomised trial are summarised in Table 3.</w:t>
      </w:r>
    </w:p>
    <w:p w:rsidR="00A66664" w:rsidRPr="007F2BDD" w:rsidRDefault="00A66664" w:rsidP="005F43D9">
      <w:pPr>
        <w:pStyle w:val="TableFigureHeading"/>
      </w:pPr>
      <w:r w:rsidRPr="007F2BDD">
        <w:t xml:space="preserve">Table </w:t>
      </w:r>
      <w:r w:rsidR="007C3D0A" w:rsidRPr="007F2BDD">
        <w:t>3</w:t>
      </w:r>
      <w:r w:rsidRPr="007F2BDD">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1"/>
        <w:gridCol w:w="568"/>
        <w:gridCol w:w="1419"/>
        <w:gridCol w:w="709"/>
        <w:gridCol w:w="1986"/>
        <w:gridCol w:w="2694"/>
        <w:gridCol w:w="940"/>
      </w:tblGrid>
      <w:tr w:rsidR="00542B66" w:rsidRPr="007F2BDD" w:rsidTr="0028727B">
        <w:trPr>
          <w:tblHeader/>
        </w:trPr>
        <w:tc>
          <w:tcPr>
            <w:tcW w:w="389" w:type="pct"/>
            <w:tcBorders>
              <w:top w:val="single" w:sz="4" w:space="0" w:color="auto"/>
              <w:left w:val="single" w:sz="4" w:space="0" w:color="auto"/>
              <w:bottom w:val="single" w:sz="4" w:space="0" w:color="auto"/>
              <w:right w:val="single" w:sz="4" w:space="0" w:color="auto"/>
            </w:tcBorders>
            <w:vAlign w:val="center"/>
            <w:hideMark/>
          </w:tcPr>
          <w:p w:rsidR="005140F3" w:rsidRPr="00A2716E" w:rsidRDefault="005140F3" w:rsidP="005F43D9">
            <w:pPr>
              <w:pStyle w:val="TableText0"/>
              <w:rPr>
                <w:b/>
              </w:rPr>
            </w:pPr>
            <w:r w:rsidRPr="00A2716E">
              <w:rPr>
                <w:b/>
              </w:rPr>
              <w:t>Trial</w:t>
            </w:r>
          </w:p>
        </w:tc>
        <w:tc>
          <w:tcPr>
            <w:tcW w:w="315" w:type="pct"/>
            <w:tcBorders>
              <w:top w:val="single" w:sz="4" w:space="0" w:color="auto"/>
              <w:left w:val="single" w:sz="4" w:space="0" w:color="auto"/>
              <w:bottom w:val="single" w:sz="4" w:space="0" w:color="auto"/>
              <w:right w:val="single" w:sz="4" w:space="0" w:color="auto"/>
            </w:tcBorders>
            <w:vAlign w:val="center"/>
            <w:hideMark/>
          </w:tcPr>
          <w:p w:rsidR="005140F3" w:rsidRPr="00A2716E" w:rsidRDefault="005140F3" w:rsidP="005F43D9">
            <w:pPr>
              <w:pStyle w:val="TableText0"/>
              <w:rPr>
                <w:b/>
              </w:rPr>
            </w:pPr>
            <w:r w:rsidRPr="00A2716E">
              <w:rPr>
                <w:b/>
              </w:rPr>
              <w:t>N</w:t>
            </w:r>
          </w:p>
        </w:tc>
        <w:tc>
          <w:tcPr>
            <w:tcW w:w="787" w:type="pct"/>
            <w:tcBorders>
              <w:top w:val="single" w:sz="4" w:space="0" w:color="auto"/>
              <w:left w:val="single" w:sz="4" w:space="0" w:color="auto"/>
              <w:bottom w:val="single" w:sz="4" w:space="0" w:color="auto"/>
              <w:right w:val="single" w:sz="4" w:space="0" w:color="auto"/>
            </w:tcBorders>
            <w:vAlign w:val="center"/>
            <w:hideMark/>
          </w:tcPr>
          <w:p w:rsidR="005140F3" w:rsidRPr="00A2716E" w:rsidRDefault="005140F3" w:rsidP="005F43D9">
            <w:pPr>
              <w:pStyle w:val="TableText0"/>
              <w:rPr>
                <w:b/>
              </w:rPr>
            </w:pPr>
            <w:r w:rsidRPr="00A2716E">
              <w:rPr>
                <w:b/>
              </w:rPr>
              <w:t>Design/ duration</w:t>
            </w:r>
          </w:p>
        </w:tc>
        <w:tc>
          <w:tcPr>
            <w:tcW w:w="393" w:type="pct"/>
            <w:tcBorders>
              <w:top w:val="single" w:sz="4" w:space="0" w:color="auto"/>
              <w:left w:val="single" w:sz="4" w:space="0" w:color="auto"/>
              <w:bottom w:val="single" w:sz="4" w:space="0" w:color="auto"/>
              <w:right w:val="single" w:sz="4" w:space="0" w:color="auto"/>
            </w:tcBorders>
            <w:vAlign w:val="center"/>
            <w:hideMark/>
          </w:tcPr>
          <w:p w:rsidR="005140F3" w:rsidRPr="00A2716E" w:rsidRDefault="005140F3" w:rsidP="005F43D9">
            <w:pPr>
              <w:pStyle w:val="TableText0"/>
              <w:rPr>
                <w:b/>
              </w:rPr>
            </w:pPr>
            <w:r w:rsidRPr="00A2716E">
              <w:rPr>
                <w:b/>
              </w:rPr>
              <w:t>Risk of bias</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40F3" w:rsidRPr="00A2716E" w:rsidRDefault="005140F3" w:rsidP="005F43D9">
            <w:pPr>
              <w:pStyle w:val="TableText0"/>
              <w:rPr>
                <w:b/>
              </w:rPr>
            </w:pPr>
            <w:r w:rsidRPr="00A2716E">
              <w:rPr>
                <w:b/>
              </w:rPr>
              <w:t>Patient population</w:t>
            </w:r>
          </w:p>
        </w:tc>
        <w:tc>
          <w:tcPr>
            <w:tcW w:w="1494" w:type="pct"/>
            <w:tcBorders>
              <w:top w:val="single" w:sz="4" w:space="0" w:color="auto"/>
              <w:left w:val="single" w:sz="4" w:space="0" w:color="auto"/>
              <w:bottom w:val="single" w:sz="4" w:space="0" w:color="auto"/>
              <w:right w:val="single" w:sz="4" w:space="0" w:color="auto"/>
            </w:tcBorders>
            <w:vAlign w:val="center"/>
            <w:hideMark/>
          </w:tcPr>
          <w:p w:rsidR="005140F3" w:rsidRPr="00A2716E" w:rsidRDefault="005140F3" w:rsidP="005F43D9">
            <w:pPr>
              <w:pStyle w:val="TableText0"/>
              <w:rPr>
                <w:b/>
              </w:rPr>
            </w:pPr>
            <w:r w:rsidRPr="00A2716E">
              <w:rPr>
                <w:b/>
              </w:rPr>
              <w:t>Outcome(s)</w:t>
            </w:r>
          </w:p>
        </w:tc>
        <w:tc>
          <w:tcPr>
            <w:tcW w:w="521" w:type="pct"/>
            <w:tcBorders>
              <w:top w:val="single" w:sz="4" w:space="0" w:color="auto"/>
              <w:left w:val="single" w:sz="4" w:space="0" w:color="auto"/>
              <w:bottom w:val="single" w:sz="4" w:space="0" w:color="auto"/>
              <w:right w:val="single" w:sz="4" w:space="0" w:color="auto"/>
            </w:tcBorders>
            <w:vAlign w:val="center"/>
            <w:hideMark/>
          </w:tcPr>
          <w:p w:rsidR="005140F3" w:rsidRPr="00A2716E" w:rsidRDefault="005140F3" w:rsidP="005F43D9">
            <w:pPr>
              <w:pStyle w:val="TableText0"/>
              <w:rPr>
                <w:b/>
              </w:rPr>
            </w:pPr>
            <w:r w:rsidRPr="00A2716E">
              <w:rPr>
                <w:b/>
              </w:rPr>
              <w:t>Use in modelled evaluation</w:t>
            </w:r>
          </w:p>
        </w:tc>
      </w:tr>
      <w:tr w:rsidR="005140F3" w:rsidRPr="007F2BDD" w:rsidTr="0028727B">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5140F3" w:rsidRPr="00A2716E" w:rsidRDefault="00F11E98" w:rsidP="005F43D9">
            <w:pPr>
              <w:pStyle w:val="TableText0"/>
              <w:rPr>
                <w:b/>
              </w:rPr>
            </w:pPr>
            <w:proofErr w:type="spellStart"/>
            <w:r w:rsidRPr="00A2716E">
              <w:rPr>
                <w:b/>
              </w:rPr>
              <w:t>FluQuadri</w:t>
            </w:r>
            <w:proofErr w:type="spellEnd"/>
            <w:r w:rsidR="005140F3" w:rsidRPr="00A2716E">
              <w:rPr>
                <w:b/>
              </w:rPr>
              <w:t xml:space="preserve"> vs. </w:t>
            </w:r>
            <w:proofErr w:type="spellStart"/>
            <w:r w:rsidR="00415EEE" w:rsidRPr="00A2716E">
              <w:rPr>
                <w:b/>
              </w:rPr>
              <w:t>FluQuadri</w:t>
            </w:r>
            <w:proofErr w:type="spellEnd"/>
            <w:r w:rsidR="00415EEE" w:rsidRPr="00A2716E">
              <w:rPr>
                <w:b/>
              </w:rPr>
              <w:t xml:space="preserve"> Junior</w:t>
            </w:r>
          </w:p>
        </w:tc>
      </w:tr>
      <w:tr w:rsidR="00542B66" w:rsidRPr="007F2BDD" w:rsidTr="0028727B">
        <w:tc>
          <w:tcPr>
            <w:tcW w:w="389"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GRC 88</w:t>
            </w:r>
          </w:p>
        </w:tc>
        <w:tc>
          <w:tcPr>
            <w:tcW w:w="31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1950</w:t>
            </w:r>
          </w:p>
          <w:p w:rsidR="005140F3" w:rsidRPr="007F2BDD" w:rsidRDefault="005140F3" w:rsidP="005F43D9">
            <w:pPr>
              <w:pStyle w:val="TableText0"/>
            </w:pPr>
            <w:r w:rsidRPr="007F2BDD">
              <w:t>(SAS)</w:t>
            </w:r>
          </w:p>
        </w:tc>
        <w:tc>
          <w:tcPr>
            <w:tcW w:w="78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Randomised, modified double-blind, multi-centre,</w:t>
            </w:r>
            <w:r w:rsidR="00542B66" w:rsidRPr="007F2BDD">
              <w:t xml:space="preserve"> </w:t>
            </w:r>
            <w:r w:rsidRPr="007F2BDD">
              <w:t>6 months</w:t>
            </w:r>
          </w:p>
        </w:tc>
        <w:tc>
          <w:tcPr>
            <w:tcW w:w="393"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Low</w:t>
            </w:r>
          </w:p>
        </w:tc>
        <w:tc>
          <w:tcPr>
            <w:tcW w:w="1101"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 xml:space="preserve">Healthy children aged </w:t>
            </w:r>
            <w:r w:rsidR="008F53E2" w:rsidRPr="007F2BDD">
              <w:t>6-35</w:t>
            </w:r>
            <w:r w:rsidRPr="007F2BDD">
              <w:t xml:space="preserve"> months who have never been vaccinated against influenza</w:t>
            </w:r>
          </w:p>
        </w:tc>
        <w:tc>
          <w:tcPr>
            <w:tcW w:w="1494"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 xml:space="preserve">Primary: safety assessed by fever rate; Secondary: immunogenicity assessed by GMT ratios and SCR differences </w:t>
            </w:r>
          </w:p>
        </w:tc>
        <w:tc>
          <w:tcPr>
            <w:tcW w:w="521"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Not used</w:t>
            </w:r>
          </w:p>
        </w:tc>
      </w:tr>
    </w:tbl>
    <w:p w:rsidR="005140F3" w:rsidRPr="007F2BDD" w:rsidRDefault="005140F3" w:rsidP="005F43D9">
      <w:pPr>
        <w:pStyle w:val="TableFooter"/>
        <w:keepNext/>
        <w:keepLines/>
      </w:pPr>
      <w:r w:rsidRPr="007F2BDD">
        <w:t>GMT = geometric mean titre; SAS = Safety Analysis Set; SCR = seroconversion rate.</w:t>
      </w:r>
    </w:p>
    <w:p w:rsidR="005140F3" w:rsidRPr="007F2BDD" w:rsidRDefault="005140F3" w:rsidP="005F43D9">
      <w:pPr>
        <w:pStyle w:val="TableFooter"/>
        <w:keepNext/>
        <w:keepLines/>
      </w:pPr>
      <w:r w:rsidRPr="007F2BDD">
        <w:t>Source: Table 2.2.2, p28 of the submission; and compiled during the submission.</w:t>
      </w:r>
    </w:p>
    <w:p w:rsidR="00E12660" w:rsidRPr="007F2BDD" w:rsidRDefault="005140F3" w:rsidP="005F43D9">
      <w:pPr>
        <w:pStyle w:val="3-BodyText"/>
      </w:pPr>
      <w:r w:rsidRPr="007F2BDD">
        <w:t xml:space="preserve">The eligibility criteria of </w:t>
      </w:r>
      <w:r w:rsidR="00CD7C2D" w:rsidRPr="007F2BDD">
        <w:t>T</w:t>
      </w:r>
      <w:r w:rsidRPr="007F2BDD">
        <w:t xml:space="preserve">rial GRC88 </w:t>
      </w:r>
      <w:r w:rsidR="00CF1737" w:rsidRPr="007F2BDD">
        <w:t xml:space="preserve">was </w:t>
      </w:r>
      <w:r w:rsidR="00727918" w:rsidRPr="007F2BDD">
        <w:t xml:space="preserve">healthy children who were influenza vaccine </w:t>
      </w:r>
      <w:r w:rsidR="00CD7C2D" w:rsidRPr="007F2BDD">
        <w:t>naïve</w:t>
      </w:r>
      <w:r w:rsidR="00727918" w:rsidRPr="007F2BDD">
        <w:t xml:space="preserve">, which was </w:t>
      </w:r>
      <w:r w:rsidRPr="007F2BDD">
        <w:t xml:space="preserve">not consistent with the </w:t>
      </w:r>
      <w:r w:rsidR="00B746BF" w:rsidRPr="007F2BDD">
        <w:t xml:space="preserve">proposed NIP listing </w:t>
      </w:r>
      <w:r w:rsidRPr="007F2BDD">
        <w:t xml:space="preserve">for at-risk children currently eligible for influenza vaccination. </w:t>
      </w:r>
      <w:bookmarkStart w:id="18" w:name="_Hlk17992179"/>
      <w:r w:rsidR="000C5AAF" w:rsidRPr="007F2BDD">
        <w:t xml:space="preserve">However, this is </w:t>
      </w:r>
      <w:r w:rsidR="00727918" w:rsidRPr="007F2BDD">
        <w:t xml:space="preserve">a </w:t>
      </w:r>
      <w:r w:rsidR="000C5AAF" w:rsidRPr="007F2BDD">
        <w:t xml:space="preserve">common </w:t>
      </w:r>
      <w:r w:rsidR="00727918" w:rsidRPr="007F2BDD">
        <w:t xml:space="preserve">limitation </w:t>
      </w:r>
      <w:r w:rsidR="000C5AAF" w:rsidRPr="007F2BDD">
        <w:t xml:space="preserve">for influenza vaccine submissions to the PBAC, e.g. </w:t>
      </w:r>
      <w:proofErr w:type="spellStart"/>
      <w:r w:rsidR="000C5AAF" w:rsidRPr="007F2BDD">
        <w:t>Flu</w:t>
      </w:r>
      <w:r w:rsidR="00923FBC" w:rsidRPr="007F2BDD">
        <w:t>arix</w:t>
      </w:r>
      <w:proofErr w:type="spellEnd"/>
      <w:r w:rsidR="00923FBC" w:rsidRPr="007F2BDD">
        <w:t xml:space="preserve"> Tetra</w:t>
      </w:r>
      <w:r w:rsidR="000C5AAF" w:rsidRPr="007F2BDD">
        <w:t xml:space="preserve"> compared with </w:t>
      </w:r>
      <w:proofErr w:type="spellStart"/>
      <w:r w:rsidR="000C5AAF" w:rsidRPr="007F2BDD">
        <w:t>Fl</w:t>
      </w:r>
      <w:r w:rsidR="00923FBC" w:rsidRPr="007F2BDD">
        <w:t>uQuadri</w:t>
      </w:r>
      <w:proofErr w:type="spellEnd"/>
      <w:r w:rsidR="00923FBC" w:rsidRPr="007F2BDD">
        <w:t xml:space="preserve"> Junior </w:t>
      </w:r>
      <w:r w:rsidR="000C5AAF" w:rsidRPr="007F2BDD">
        <w:t>(</w:t>
      </w:r>
      <w:r w:rsidR="00B746BF" w:rsidRPr="007F2BDD">
        <w:t xml:space="preserve">paragraph </w:t>
      </w:r>
      <w:r w:rsidR="00923FBC" w:rsidRPr="007F2BDD">
        <w:t xml:space="preserve">5.3, </w:t>
      </w:r>
      <w:r w:rsidR="00BE39FF" w:rsidRPr="007F2BDD">
        <w:t xml:space="preserve">QIV, </w:t>
      </w:r>
      <w:proofErr w:type="spellStart"/>
      <w:r w:rsidR="00DE124B" w:rsidRPr="007F2BDD">
        <w:t>Fluarix</w:t>
      </w:r>
      <w:proofErr w:type="spellEnd"/>
      <w:r w:rsidR="00DE124B" w:rsidRPr="007F2BDD">
        <w:t xml:space="preserve"> Tetra</w:t>
      </w:r>
      <w:r w:rsidR="00BE39FF" w:rsidRPr="007F2BDD">
        <w:t>,</w:t>
      </w:r>
      <w:r w:rsidR="00DE124B" w:rsidRPr="007F2BDD">
        <w:t xml:space="preserve"> </w:t>
      </w:r>
      <w:r w:rsidR="000C5AAF" w:rsidRPr="007F2BDD">
        <w:t xml:space="preserve">PSD, </w:t>
      </w:r>
      <w:proofErr w:type="gramStart"/>
      <w:r w:rsidR="00923FBC" w:rsidRPr="007F2BDD">
        <w:t>March</w:t>
      </w:r>
      <w:proofErr w:type="gramEnd"/>
      <w:r w:rsidR="000C5AAF" w:rsidRPr="007F2BDD">
        <w:t xml:space="preserve"> 201</w:t>
      </w:r>
      <w:r w:rsidR="00923FBC" w:rsidRPr="007F2BDD">
        <w:t>9</w:t>
      </w:r>
      <w:r w:rsidR="000C5AAF" w:rsidRPr="007F2BDD">
        <w:t>)</w:t>
      </w:r>
      <w:r w:rsidR="00B746BF" w:rsidRPr="007F2BDD">
        <w:t xml:space="preserve"> and </w:t>
      </w:r>
      <w:proofErr w:type="spellStart"/>
      <w:r w:rsidR="00B746BF" w:rsidRPr="007F2BDD">
        <w:t>Vaxigrip</w:t>
      </w:r>
      <w:proofErr w:type="spellEnd"/>
      <w:r w:rsidR="00B746BF" w:rsidRPr="007F2BDD">
        <w:t xml:space="preserve"> Tetra </w:t>
      </w:r>
      <w:r w:rsidR="00B746BF" w:rsidRPr="007F2BDD">
        <w:lastRenderedPageBreak/>
        <w:t xml:space="preserve">compared with </w:t>
      </w:r>
      <w:proofErr w:type="spellStart"/>
      <w:r w:rsidR="00B746BF" w:rsidRPr="007F2BDD">
        <w:t>FluQuadri</w:t>
      </w:r>
      <w:proofErr w:type="spellEnd"/>
      <w:r w:rsidR="000C5AAF" w:rsidRPr="007F2BDD">
        <w:t>.</w:t>
      </w:r>
      <w:bookmarkEnd w:id="18"/>
      <w:r w:rsidR="00727918" w:rsidRPr="007F2BDD">
        <w:t xml:space="preserve"> In its consideration of </w:t>
      </w:r>
      <w:proofErr w:type="spellStart"/>
      <w:r w:rsidR="00727918" w:rsidRPr="007F2BDD">
        <w:t>Vaxigrip</w:t>
      </w:r>
      <w:proofErr w:type="spellEnd"/>
      <w:r w:rsidR="00727918" w:rsidRPr="007F2BDD">
        <w:t xml:space="preserve"> Tetra, the PBAC stated that it may be reasonable to expect that the vaccine efficacy in sub-populations is unlikely to vary significantly or to vary between the proposed listing and comparator already in use in the vaccinated cohort (paragraph 7.11, </w:t>
      </w:r>
      <w:r w:rsidR="00EB23A1" w:rsidRPr="007F2BDD">
        <w:t xml:space="preserve">QIV, </w:t>
      </w:r>
      <w:proofErr w:type="spellStart"/>
      <w:r w:rsidR="00727918" w:rsidRPr="007F2BDD">
        <w:t>Vaxigrip</w:t>
      </w:r>
      <w:proofErr w:type="spellEnd"/>
      <w:r w:rsidR="00727918" w:rsidRPr="007F2BDD">
        <w:t xml:space="preserve"> Tetra</w:t>
      </w:r>
      <w:r w:rsidR="00EB23A1" w:rsidRPr="007F2BDD">
        <w:t>,</w:t>
      </w:r>
      <w:r w:rsidR="00727918" w:rsidRPr="007F2BDD">
        <w:t xml:space="preserve"> </w:t>
      </w:r>
      <w:r w:rsidR="005C0421" w:rsidRPr="007F2BDD">
        <w:t>PSD</w:t>
      </w:r>
      <w:r w:rsidR="00727918" w:rsidRPr="007F2BDD">
        <w:t>, July 201</w:t>
      </w:r>
      <w:r w:rsidR="00CD7C2D" w:rsidRPr="007F2BDD">
        <w:t>9</w:t>
      </w:r>
      <w:r w:rsidR="00EB23A1" w:rsidRPr="007F2BDD">
        <w:t xml:space="preserve"> PBAC meeting</w:t>
      </w:r>
      <w:r w:rsidR="00727918" w:rsidRPr="007F2BDD">
        <w:t>).</w:t>
      </w:r>
      <w:r w:rsidR="00D36E1E" w:rsidRPr="007F2BDD">
        <w:t xml:space="preserve"> Further, ATAGI considered it reasonable to assume that the findings of </w:t>
      </w:r>
      <w:r w:rsidR="009A24F4" w:rsidRPr="007F2BDD">
        <w:t xml:space="preserve">Trial </w:t>
      </w:r>
      <w:r w:rsidR="00D36E1E" w:rsidRPr="007F2BDD">
        <w:t xml:space="preserve">GRC88 apply similarly to medically at-risk children (ATAGI October 2019 Post-Submission Advice, QIV, </w:t>
      </w:r>
      <w:proofErr w:type="spellStart"/>
      <w:r w:rsidR="00D36E1E" w:rsidRPr="007F2BDD">
        <w:t>FluQuadri</w:t>
      </w:r>
      <w:proofErr w:type="spellEnd"/>
      <w:r w:rsidR="00D36E1E" w:rsidRPr="007F2BDD">
        <w:t>, November 2019 PBAC meeting).</w:t>
      </w:r>
    </w:p>
    <w:p w:rsidR="00CD7C2D" w:rsidRPr="007F2BDD" w:rsidRDefault="005140F3" w:rsidP="005F43D9">
      <w:pPr>
        <w:pStyle w:val="3-BodyText"/>
        <w:rPr>
          <w:u w:val="single"/>
        </w:rPr>
      </w:pPr>
      <w:r w:rsidRPr="007F2BDD">
        <w:t>Trial GRC88 was conducted over a 6-month period during the 2016/17 Northern Hemisphere influenza season. The virus strains included in QIVs differ year to year, as do the prevalent strains in the community, therefore vaccine efficacy during one season may not reflect vaccine efficacy in another season. However, this is a common issue for influenza vaccine submissions to the PBAC</w:t>
      </w:r>
      <w:r w:rsidR="004B73C5" w:rsidRPr="007F2BDD">
        <w:t xml:space="preserve">, </w:t>
      </w:r>
      <w:r w:rsidRPr="007F2BDD">
        <w:t xml:space="preserve">e.g. </w:t>
      </w:r>
      <w:proofErr w:type="spellStart"/>
      <w:r w:rsidRPr="007F2BDD">
        <w:t>FluQuadri</w:t>
      </w:r>
      <w:proofErr w:type="spellEnd"/>
      <w:r w:rsidRPr="007F2BDD">
        <w:t xml:space="preserve"> compared with</w:t>
      </w:r>
      <w:r w:rsidR="007E7694" w:rsidRPr="007F2BDD">
        <w:t xml:space="preserve"> trivalent influenza vaccine</w:t>
      </w:r>
      <w:r w:rsidRPr="007F2BDD">
        <w:t xml:space="preserve"> </w:t>
      </w:r>
      <w:r w:rsidR="007E7694" w:rsidRPr="007F2BDD">
        <w:t>(</w:t>
      </w:r>
      <w:r w:rsidR="004637ED" w:rsidRPr="007F2BDD">
        <w:t>TIV</w:t>
      </w:r>
      <w:r w:rsidR="007E7694" w:rsidRPr="007F2BDD">
        <w:t>)</w:t>
      </w:r>
      <w:r w:rsidRPr="007F2BDD">
        <w:t xml:space="preserve"> (</w:t>
      </w:r>
      <w:r w:rsidR="00FA00E6" w:rsidRPr="007F2BDD">
        <w:t xml:space="preserve">paragraph </w:t>
      </w:r>
      <w:r w:rsidR="00DE124B" w:rsidRPr="007F2BDD">
        <w:t>7.5</w:t>
      </w:r>
      <w:r w:rsidR="001C03C3" w:rsidRPr="007F2BDD">
        <w:t>,</w:t>
      </w:r>
      <w:r w:rsidR="00EB23A1" w:rsidRPr="007F2BDD">
        <w:t xml:space="preserve"> QIV,</w:t>
      </w:r>
      <w:r w:rsidR="001C03C3" w:rsidRPr="007F2BDD">
        <w:t xml:space="preserve"> </w:t>
      </w:r>
      <w:proofErr w:type="spellStart"/>
      <w:r w:rsidR="00DE124B" w:rsidRPr="007F2BDD">
        <w:t>FluQuadri</w:t>
      </w:r>
      <w:proofErr w:type="spellEnd"/>
      <w:r w:rsidR="0099582F" w:rsidRPr="007F2BDD">
        <w:t>,</w:t>
      </w:r>
      <w:r w:rsidR="00DE124B" w:rsidRPr="007F2BDD">
        <w:t xml:space="preserve"> </w:t>
      </w:r>
      <w:r w:rsidRPr="007F2BDD">
        <w:t>PSD, July 2015</w:t>
      </w:r>
      <w:r w:rsidR="0099582F" w:rsidRPr="007F2BDD">
        <w:t xml:space="preserve"> PBAC meeting</w:t>
      </w:r>
      <w:r w:rsidRPr="007F2BDD">
        <w:t>)</w:t>
      </w:r>
      <w:r w:rsidR="004B73C5" w:rsidRPr="007F2BDD">
        <w:t xml:space="preserve"> and </w:t>
      </w:r>
      <w:proofErr w:type="spellStart"/>
      <w:r w:rsidR="004B73C5" w:rsidRPr="007F2BDD">
        <w:t>Vaxigrip</w:t>
      </w:r>
      <w:proofErr w:type="spellEnd"/>
      <w:r w:rsidR="004B73C5" w:rsidRPr="007F2BDD">
        <w:t xml:space="preserve"> Tetra compared with </w:t>
      </w:r>
      <w:proofErr w:type="spellStart"/>
      <w:r w:rsidR="004B73C5" w:rsidRPr="007F2BDD">
        <w:t>FluQuadri</w:t>
      </w:r>
      <w:proofErr w:type="spellEnd"/>
      <w:r w:rsidR="004B73C5" w:rsidRPr="007F2BDD">
        <w:t xml:space="preserve"> (paragraph 7.11, </w:t>
      </w:r>
      <w:r w:rsidR="00EB23A1" w:rsidRPr="007F2BDD">
        <w:t xml:space="preserve">QIV, </w:t>
      </w:r>
      <w:proofErr w:type="spellStart"/>
      <w:r w:rsidR="004B73C5" w:rsidRPr="007F2BDD">
        <w:t>Vaxigrip</w:t>
      </w:r>
      <w:proofErr w:type="spellEnd"/>
      <w:r w:rsidR="004B73C5" w:rsidRPr="007F2BDD">
        <w:t xml:space="preserve"> Tetra</w:t>
      </w:r>
      <w:r w:rsidR="00EB23A1" w:rsidRPr="007F2BDD">
        <w:t>,</w:t>
      </w:r>
      <w:r w:rsidR="004B73C5" w:rsidRPr="007F2BDD">
        <w:t xml:space="preserve"> </w:t>
      </w:r>
      <w:r w:rsidR="005C0421" w:rsidRPr="007F2BDD">
        <w:t>PSD</w:t>
      </w:r>
      <w:r w:rsidR="004B73C5" w:rsidRPr="007F2BDD">
        <w:t>, July 201</w:t>
      </w:r>
      <w:r w:rsidR="00CD7C2D" w:rsidRPr="007F2BDD">
        <w:t>9</w:t>
      </w:r>
      <w:r w:rsidR="0099582F" w:rsidRPr="007F2BDD">
        <w:t xml:space="preserve"> PBAC meeting</w:t>
      </w:r>
      <w:r w:rsidR="004B73C5" w:rsidRPr="007F2BDD">
        <w:t>).</w:t>
      </w:r>
      <w:r w:rsidR="00235B99" w:rsidRPr="007F2BDD">
        <w:t xml:space="preserve"> </w:t>
      </w:r>
    </w:p>
    <w:p w:rsidR="006175F9" w:rsidRPr="007F2BDD" w:rsidRDefault="00745416" w:rsidP="005F43D9">
      <w:pPr>
        <w:pStyle w:val="Heading3"/>
        <w:rPr>
          <w:i w:val="0"/>
        </w:rPr>
      </w:pPr>
      <w:r w:rsidRPr="007F2BDD">
        <w:rPr>
          <w:i w:val="0"/>
        </w:rPr>
        <w:t>Healthy c</w:t>
      </w:r>
      <w:r w:rsidR="006175F9" w:rsidRPr="007F2BDD">
        <w:rPr>
          <w:i w:val="0"/>
        </w:rPr>
        <w:t>hildren aged 6 months to &lt;5 years</w:t>
      </w:r>
    </w:p>
    <w:p w:rsidR="008F1016" w:rsidRPr="007F2BDD" w:rsidRDefault="006175F9" w:rsidP="005F43D9">
      <w:pPr>
        <w:pStyle w:val="3-BodyText"/>
        <w:rPr>
          <w:u w:val="single"/>
        </w:rPr>
      </w:pPr>
      <w:r w:rsidRPr="007F2BDD">
        <w:t xml:space="preserve">The submission </w:t>
      </w:r>
      <w:r w:rsidR="00DB1CAF" w:rsidRPr="007F2BDD">
        <w:t xml:space="preserve">did not explicitly </w:t>
      </w:r>
      <w:r w:rsidRPr="007F2BDD">
        <w:t>request</w:t>
      </w:r>
      <w:r w:rsidR="006D5D1E" w:rsidRPr="007F2BDD">
        <w:t xml:space="preserve"> </w:t>
      </w:r>
      <w:r w:rsidR="00DB1CAF" w:rsidRPr="007F2BDD">
        <w:t xml:space="preserve">extending the current </w:t>
      </w:r>
      <w:r w:rsidRPr="007F2BDD">
        <w:t xml:space="preserve">listing </w:t>
      </w:r>
      <w:r w:rsidR="00DB1CAF" w:rsidRPr="007F2BDD">
        <w:t xml:space="preserve">for </w:t>
      </w:r>
      <w:proofErr w:type="spellStart"/>
      <w:r w:rsidR="00DB1CAF" w:rsidRPr="007F2BDD">
        <w:t>FluQuadri</w:t>
      </w:r>
      <w:proofErr w:type="spellEnd"/>
      <w:r w:rsidR="00DB1CAF" w:rsidRPr="007F2BDD">
        <w:t xml:space="preserve"> to include healthy </w:t>
      </w:r>
      <w:r w:rsidRPr="007F2BDD">
        <w:t>children aged 6</w:t>
      </w:r>
      <w:r w:rsidR="00A85571" w:rsidRPr="007F2BDD">
        <w:t> </w:t>
      </w:r>
      <w:r w:rsidRPr="007F2BDD">
        <w:t>months to &lt;5</w:t>
      </w:r>
      <w:r w:rsidR="00DB1CAF" w:rsidRPr="007F2BDD">
        <w:t> </w:t>
      </w:r>
      <w:r w:rsidRPr="007F2BDD">
        <w:t>years</w:t>
      </w:r>
      <w:r w:rsidR="00F164D7" w:rsidRPr="007F2BDD">
        <w:t xml:space="preserve">. The </w:t>
      </w:r>
      <w:r w:rsidRPr="007F2BDD">
        <w:t xml:space="preserve">clinical evidence </w:t>
      </w:r>
      <w:r w:rsidR="00F164D7" w:rsidRPr="007F2BDD">
        <w:t xml:space="preserve">presented in the submission (Trial GRC88) was not directly relevant to this </w:t>
      </w:r>
      <w:r w:rsidRPr="007F2BDD">
        <w:t>population</w:t>
      </w:r>
      <w:r w:rsidR="008D0415" w:rsidRPr="007F2BDD">
        <w:t xml:space="preserve">, and no evidence was provided to show the comparative safety and effectiveness of </w:t>
      </w:r>
      <w:proofErr w:type="spellStart"/>
      <w:r w:rsidR="008D0415" w:rsidRPr="007F2BDD">
        <w:t>Vaxigrip</w:t>
      </w:r>
      <w:proofErr w:type="spellEnd"/>
      <w:r w:rsidR="008D0415" w:rsidRPr="007F2BDD">
        <w:t xml:space="preserve"> Tetra to </w:t>
      </w:r>
      <w:proofErr w:type="spellStart"/>
      <w:r w:rsidR="008D0415" w:rsidRPr="007F2BDD">
        <w:t>FluQuadri</w:t>
      </w:r>
      <w:proofErr w:type="spellEnd"/>
      <w:r w:rsidRPr="007F2BDD">
        <w:t>.</w:t>
      </w:r>
      <w:r w:rsidR="00A85571" w:rsidRPr="007F2BDD">
        <w:t xml:space="preserve"> </w:t>
      </w:r>
    </w:p>
    <w:p w:rsidR="00297B60" w:rsidRPr="00297B60" w:rsidRDefault="000F3258" w:rsidP="005F43D9">
      <w:pPr>
        <w:pStyle w:val="3-BodyText"/>
        <w:rPr>
          <w:u w:val="single"/>
        </w:rPr>
      </w:pPr>
      <w:r w:rsidRPr="007F2BDD">
        <w:t xml:space="preserve">The PSCR clarified </w:t>
      </w:r>
      <w:r w:rsidR="00DB1CAF" w:rsidRPr="007F2BDD">
        <w:t xml:space="preserve">that the sponsor </w:t>
      </w:r>
      <w:r w:rsidRPr="007F2BDD">
        <w:t xml:space="preserve">was requesting listing for all children aged 6 months to &lt;5 years, </w:t>
      </w:r>
      <w:r w:rsidR="00A85571" w:rsidRPr="007F2BDD">
        <w:t xml:space="preserve">on the basis of an indirect comparison between </w:t>
      </w:r>
      <w:proofErr w:type="spellStart"/>
      <w:r w:rsidR="00A85571" w:rsidRPr="007F2BDD">
        <w:t>Vaxigrip</w:t>
      </w:r>
      <w:proofErr w:type="spellEnd"/>
      <w:r w:rsidR="00A85571" w:rsidRPr="007F2BDD">
        <w:t xml:space="preserve"> Tetra, </w:t>
      </w:r>
      <w:proofErr w:type="spellStart"/>
      <w:r w:rsidR="00A85571" w:rsidRPr="007F2BDD">
        <w:t>FluQuadri</w:t>
      </w:r>
      <w:proofErr w:type="spellEnd"/>
      <w:r w:rsidR="00A85571" w:rsidRPr="007F2BDD">
        <w:t xml:space="preserve"> and </w:t>
      </w:r>
      <w:proofErr w:type="spellStart"/>
      <w:r w:rsidR="00A85571" w:rsidRPr="007F2BDD">
        <w:t>FluQuadri</w:t>
      </w:r>
      <w:proofErr w:type="spellEnd"/>
      <w:r w:rsidR="00A85571" w:rsidRPr="007F2BDD">
        <w:t xml:space="preserve"> Junior</w:t>
      </w:r>
      <w:r w:rsidR="00EB23A1" w:rsidRPr="007F2BDD">
        <w:t>,</w:t>
      </w:r>
      <w:r w:rsidR="00A85571" w:rsidRPr="007F2BDD">
        <w:t xml:space="preserve"> </w:t>
      </w:r>
      <w:r w:rsidR="005533E1" w:rsidRPr="007F2BDD">
        <w:t xml:space="preserve">for the at-risk populations </w:t>
      </w:r>
      <w:r w:rsidR="00DB1CAF" w:rsidRPr="007F2BDD">
        <w:t xml:space="preserve">presented </w:t>
      </w:r>
      <w:r w:rsidR="00A85571" w:rsidRPr="007F2BDD">
        <w:t xml:space="preserve">in the </w:t>
      </w:r>
      <w:proofErr w:type="spellStart"/>
      <w:r w:rsidR="00A85571" w:rsidRPr="007F2BDD">
        <w:t>Vaxigrip</w:t>
      </w:r>
      <w:proofErr w:type="spellEnd"/>
      <w:r w:rsidR="00A85571" w:rsidRPr="007F2BDD">
        <w:t xml:space="preserve"> Tetra submission </w:t>
      </w:r>
      <w:r w:rsidR="00DB1CAF" w:rsidRPr="007F2BDD">
        <w:t xml:space="preserve">that was </w:t>
      </w:r>
      <w:r w:rsidR="00A85571" w:rsidRPr="007F2BDD">
        <w:t>considered by PBAC in July 2019</w:t>
      </w:r>
      <w:r w:rsidRPr="007F2BDD">
        <w:t xml:space="preserve">. The PSCR </w:t>
      </w:r>
      <w:r w:rsidR="002C198D" w:rsidRPr="007F2BDD">
        <w:t>argued</w:t>
      </w:r>
      <w:r w:rsidR="00EB23A1" w:rsidRPr="007F2BDD">
        <w:t xml:space="preserve"> </w:t>
      </w:r>
      <w:r w:rsidR="00A85571" w:rsidRPr="007F2BDD">
        <w:t xml:space="preserve">that </w:t>
      </w:r>
      <w:r w:rsidR="008004E8" w:rsidRPr="007F2BDD">
        <w:t xml:space="preserve">in July 2019 </w:t>
      </w:r>
      <w:r w:rsidR="00A85571" w:rsidRPr="007F2BDD">
        <w:t xml:space="preserve">the </w:t>
      </w:r>
      <w:r w:rsidRPr="007F2BDD">
        <w:t xml:space="preserve">PBAC accepted the claim of non-inferiority of </w:t>
      </w:r>
      <w:proofErr w:type="spellStart"/>
      <w:r w:rsidRPr="007F2BDD">
        <w:t>FluQuadri</w:t>
      </w:r>
      <w:proofErr w:type="spellEnd"/>
      <w:r w:rsidR="00420CEB" w:rsidRPr="007F2BDD">
        <w:t>/</w:t>
      </w:r>
      <w:proofErr w:type="spellStart"/>
      <w:r w:rsidR="00420CEB" w:rsidRPr="007F2BDD">
        <w:t>FluQuadri</w:t>
      </w:r>
      <w:proofErr w:type="spellEnd"/>
      <w:r w:rsidR="00420CEB" w:rsidRPr="007F2BDD">
        <w:t xml:space="preserve"> Junior</w:t>
      </w:r>
      <w:r w:rsidRPr="007F2BDD">
        <w:t xml:space="preserve"> to </w:t>
      </w:r>
      <w:proofErr w:type="spellStart"/>
      <w:r w:rsidRPr="007F2BDD">
        <w:t>Vaxigrip</w:t>
      </w:r>
      <w:proofErr w:type="spellEnd"/>
      <w:r w:rsidRPr="007F2BDD">
        <w:t xml:space="preserve"> Tetra</w:t>
      </w:r>
      <w:r w:rsidR="00D61171" w:rsidRPr="007F2BDD">
        <w:t xml:space="preserve"> for the at-</w:t>
      </w:r>
      <w:r w:rsidRPr="007F2BDD">
        <w:t xml:space="preserve">risk populations on the basis of an indirect comparison </w:t>
      </w:r>
      <w:r w:rsidR="00540DD1" w:rsidRPr="007F2BDD">
        <w:t xml:space="preserve">of trials conducted in </w:t>
      </w:r>
      <w:r w:rsidRPr="007F2BDD">
        <w:t xml:space="preserve">healthy </w:t>
      </w:r>
      <w:r w:rsidR="00864596" w:rsidRPr="007F2BDD">
        <w:t>individuals</w:t>
      </w:r>
      <w:r w:rsidRPr="007F2BDD">
        <w:t xml:space="preserve">. </w:t>
      </w:r>
      <w:r w:rsidR="00A85571" w:rsidRPr="007F2BDD">
        <w:t xml:space="preserve">The PSCR </w:t>
      </w:r>
      <w:r w:rsidR="008004E8" w:rsidRPr="007F2BDD">
        <w:t xml:space="preserve">stated that </w:t>
      </w:r>
      <w:r w:rsidR="00A85571" w:rsidRPr="007F2BDD">
        <w:t>the PBAC ha</w:t>
      </w:r>
      <w:r w:rsidR="0016318E" w:rsidRPr="007F2BDD">
        <w:t>d</w:t>
      </w:r>
      <w:r w:rsidR="00A85571" w:rsidRPr="007F2BDD">
        <w:t xml:space="preserve"> </w:t>
      </w:r>
      <w:r w:rsidR="008004E8" w:rsidRPr="007F2BDD">
        <w:t xml:space="preserve">therefore </w:t>
      </w:r>
      <w:r w:rsidR="00A85571" w:rsidRPr="007F2BDD">
        <w:t xml:space="preserve">already </w:t>
      </w:r>
      <w:r w:rsidR="008004E8" w:rsidRPr="007F2BDD">
        <w:t xml:space="preserve">accepted </w:t>
      </w:r>
      <w:r w:rsidR="00A85571" w:rsidRPr="007F2BDD">
        <w:t xml:space="preserve">the pivotal evidence supporting </w:t>
      </w:r>
      <w:r w:rsidR="00DB1CAF" w:rsidRPr="007F2BDD">
        <w:t>extending</w:t>
      </w:r>
      <w:r w:rsidR="00A85571" w:rsidRPr="007F2BDD">
        <w:t xml:space="preserve"> the listing of </w:t>
      </w:r>
      <w:proofErr w:type="spellStart"/>
      <w:r w:rsidR="00A85571" w:rsidRPr="007F2BDD">
        <w:t>FluQuadri</w:t>
      </w:r>
      <w:proofErr w:type="spellEnd"/>
      <w:r w:rsidR="00A85571" w:rsidRPr="007F2BDD">
        <w:t xml:space="preserve"> to </w:t>
      </w:r>
      <w:r w:rsidR="00DB1CAF" w:rsidRPr="007F2BDD">
        <w:t>include healthy</w:t>
      </w:r>
      <w:r w:rsidR="00A85571" w:rsidRPr="007F2BDD">
        <w:t xml:space="preserve"> children aged 6 months to &lt;5 years.</w:t>
      </w:r>
      <w:r w:rsidR="00EC7658" w:rsidRPr="007F2BDD">
        <w:t xml:space="preserve"> </w:t>
      </w:r>
      <w:r w:rsidR="00001CCF" w:rsidRPr="007F2BDD">
        <w:t xml:space="preserve">In its consideration of </w:t>
      </w:r>
      <w:proofErr w:type="spellStart"/>
      <w:r w:rsidR="00001CCF" w:rsidRPr="007F2BDD">
        <w:t>Vaxigrip</w:t>
      </w:r>
      <w:proofErr w:type="spellEnd"/>
      <w:r w:rsidR="00001CCF" w:rsidRPr="007F2BDD">
        <w:t xml:space="preserve"> Tetra in July 2019, t</w:t>
      </w:r>
      <w:r w:rsidR="005533E1" w:rsidRPr="007F2BDD">
        <w:t xml:space="preserve">he PBAC also </w:t>
      </w:r>
      <w:r w:rsidR="00001CCF" w:rsidRPr="007F2BDD">
        <w:t>noted</w:t>
      </w:r>
      <w:r w:rsidR="005533E1" w:rsidRPr="007F2BDD">
        <w:t xml:space="preserve"> that</w:t>
      </w:r>
      <w:r w:rsidR="00EC7658" w:rsidRPr="007F2BDD">
        <w:t xml:space="preserve"> there were uncertainties in the indirect comparison</w:t>
      </w:r>
      <w:r w:rsidR="005533E1" w:rsidRPr="007F2BDD">
        <w:t>,</w:t>
      </w:r>
      <w:r w:rsidR="00EC7658" w:rsidRPr="007F2BDD">
        <w:t xml:space="preserve"> but </w:t>
      </w:r>
      <w:r w:rsidR="00E519A2" w:rsidRPr="007F2BDD">
        <w:t xml:space="preserve">had </w:t>
      </w:r>
      <w:r w:rsidR="005533E1" w:rsidRPr="007F2BDD">
        <w:t>considered</w:t>
      </w:r>
      <w:r w:rsidR="00EC7658" w:rsidRPr="007F2BDD">
        <w:t xml:space="preserve"> the non-inferior comparative effectiveness to be reasonable (para</w:t>
      </w:r>
      <w:r w:rsidR="00FD7CB1" w:rsidRPr="007F2BDD">
        <w:t>graphs</w:t>
      </w:r>
      <w:r w:rsidR="00EC7658" w:rsidRPr="007F2BDD">
        <w:t xml:space="preserve"> 6.42-6.44, QIV, </w:t>
      </w:r>
      <w:proofErr w:type="spellStart"/>
      <w:r w:rsidR="00EC7658" w:rsidRPr="007F2BDD">
        <w:t>Vaxigrip</w:t>
      </w:r>
      <w:proofErr w:type="spellEnd"/>
      <w:r w:rsidR="00EC7658" w:rsidRPr="007F2BDD">
        <w:t xml:space="preserve"> Tetra, PSD, July 2019 PBAC meeting)</w:t>
      </w:r>
      <w:r w:rsidR="007F2BDD">
        <w:t>.</w:t>
      </w:r>
    </w:p>
    <w:p w:rsidR="000F3258" w:rsidRPr="007F2BDD" w:rsidRDefault="00297B60" w:rsidP="005F43D9">
      <w:pPr>
        <w:pStyle w:val="3-BodyText"/>
        <w:rPr>
          <w:u w:val="single"/>
        </w:rPr>
      </w:pPr>
      <w:r w:rsidRPr="007F2BDD">
        <w:t xml:space="preserve"> </w:t>
      </w:r>
      <w:r w:rsidR="00A85571" w:rsidRPr="007F2BDD">
        <w:t>The ESC considered it would have been preferable</w:t>
      </w:r>
      <w:r w:rsidR="00420CEB" w:rsidRPr="007F2BDD">
        <w:t xml:space="preserve"> for </w:t>
      </w:r>
      <w:r w:rsidR="00A85571" w:rsidRPr="007F2BDD">
        <w:t xml:space="preserve">the submission to </w:t>
      </w:r>
      <w:r w:rsidR="00420CEB" w:rsidRPr="007F2BDD">
        <w:t xml:space="preserve">have </w:t>
      </w:r>
      <w:r w:rsidR="00A85571" w:rsidRPr="007F2BDD">
        <w:t>explicitly request</w:t>
      </w:r>
      <w:r w:rsidR="00420CEB" w:rsidRPr="007F2BDD">
        <w:t>ed</w:t>
      </w:r>
      <w:r w:rsidR="00A85571" w:rsidRPr="007F2BDD">
        <w:t xml:space="preserve"> </w:t>
      </w:r>
      <w:r w:rsidR="00420CEB" w:rsidRPr="007F2BDD">
        <w:t xml:space="preserve">listing </w:t>
      </w:r>
      <w:r w:rsidR="00E71E33" w:rsidRPr="007F2BDD">
        <w:t>in healthy</w:t>
      </w:r>
      <w:r w:rsidR="00420CEB" w:rsidRPr="007F2BDD">
        <w:t xml:space="preserve"> children aged 6 months to &lt;5 years </w:t>
      </w:r>
      <w:r w:rsidR="00A85571" w:rsidRPr="007F2BDD">
        <w:t xml:space="preserve">and </w:t>
      </w:r>
      <w:r w:rsidR="00420CEB" w:rsidRPr="007F2BDD">
        <w:t>to have re-</w:t>
      </w:r>
      <w:r w:rsidR="00A85571" w:rsidRPr="007F2BDD">
        <w:t xml:space="preserve">presented the indirect comparison </w:t>
      </w:r>
      <w:r w:rsidR="00E71E33" w:rsidRPr="007F2BDD">
        <w:t>of</w:t>
      </w:r>
      <w:r w:rsidR="00A85571" w:rsidRPr="007F2BDD">
        <w:t xml:space="preserve"> </w:t>
      </w:r>
      <w:proofErr w:type="spellStart"/>
      <w:r w:rsidR="00E71E33" w:rsidRPr="007F2BDD">
        <w:t>FluQuadri</w:t>
      </w:r>
      <w:proofErr w:type="spellEnd"/>
      <w:r w:rsidR="00E71E33" w:rsidRPr="007F2BDD">
        <w:t>/</w:t>
      </w:r>
      <w:proofErr w:type="spellStart"/>
      <w:r w:rsidR="00E71E33" w:rsidRPr="007F2BDD">
        <w:t>FluQuadri</w:t>
      </w:r>
      <w:proofErr w:type="spellEnd"/>
      <w:r w:rsidR="00E71E33" w:rsidRPr="007F2BDD">
        <w:t xml:space="preserve"> Junior to </w:t>
      </w:r>
      <w:proofErr w:type="spellStart"/>
      <w:r w:rsidR="00A85571" w:rsidRPr="007F2BDD">
        <w:t>Vaxigrip</w:t>
      </w:r>
      <w:proofErr w:type="spellEnd"/>
      <w:r w:rsidR="00A85571" w:rsidRPr="007F2BDD">
        <w:t xml:space="preserve"> Tetra</w:t>
      </w:r>
      <w:r w:rsidR="00E71E33" w:rsidRPr="007F2BDD">
        <w:t xml:space="preserve"> (with </w:t>
      </w:r>
      <w:r w:rsidR="007E7694" w:rsidRPr="007F2BDD">
        <w:t>TIVs</w:t>
      </w:r>
      <w:r w:rsidR="00E71E33" w:rsidRPr="007F2BDD">
        <w:t xml:space="preserve"> as the common comparator)</w:t>
      </w:r>
      <w:r w:rsidR="00A85571" w:rsidRPr="007F2BDD">
        <w:t xml:space="preserve"> </w:t>
      </w:r>
      <w:r w:rsidR="00745416" w:rsidRPr="007F2BDD">
        <w:t>i</w:t>
      </w:r>
      <w:r w:rsidR="00DB1CAF" w:rsidRPr="007F2BDD">
        <w:t>n the context of the</w:t>
      </w:r>
      <w:r w:rsidR="00745416" w:rsidRPr="007F2BDD">
        <w:t xml:space="preserve"> additional population</w:t>
      </w:r>
      <w:r w:rsidR="00420CEB" w:rsidRPr="007F2BDD">
        <w:t>.</w:t>
      </w:r>
    </w:p>
    <w:p w:rsidR="005140F3" w:rsidRPr="007F2BDD" w:rsidRDefault="005140F3" w:rsidP="005F43D9">
      <w:pPr>
        <w:pStyle w:val="4-SubsectionHeading"/>
      </w:pPr>
      <w:bookmarkStart w:id="19" w:name="_Toc16586212"/>
      <w:bookmarkStart w:id="20" w:name="_Toc19617905"/>
      <w:r w:rsidRPr="007F2BDD">
        <w:t>Comparative effectiveness</w:t>
      </w:r>
      <w:bookmarkEnd w:id="19"/>
      <w:bookmarkEnd w:id="20"/>
    </w:p>
    <w:p w:rsidR="008F1016" w:rsidRPr="007F2BDD" w:rsidRDefault="008F1016" w:rsidP="005F43D9">
      <w:pPr>
        <w:pStyle w:val="Heading3"/>
        <w:rPr>
          <w:i w:val="0"/>
        </w:rPr>
      </w:pPr>
      <w:bookmarkStart w:id="21" w:name="_Hlk16605193"/>
      <w:r w:rsidRPr="007F2BDD">
        <w:rPr>
          <w:i w:val="0"/>
        </w:rPr>
        <w:t xml:space="preserve">At-risk </w:t>
      </w:r>
      <w:r w:rsidR="00227B22" w:rsidRPr="007F2BDD">
        <w:rPr>
          <w:i w:val="0"/>
        </w:rPr>
        <w:t>children</w:t>
      </w:r>
      <w:r w:rsidRPr="007F2BDD">
        <w:rPr>
          <w:i w:val="0"/>
        </w:rPr>
        <w:t xml:space="preserve"> aged 6-35 months</w:t>
      </w:r>
    </w:p>
    <w:p w:rsidR="005140F3" w:rsidRPr="007F2BDD" w:rsidRDefault="005140F3" w:rsidP="005F43D9">
      <w:pPr>
        <w:pStyle w:val="3-BodyText"/>
      </w:pPr>
      <w:r w:rsidRPr="007F2BDD">
        <w:lastRenderedPageBreak/>
        <w:t xml:space="preserve">Trial GRC88 presented vaccine efficacy as a secondary outcome, assessed by </w:t>
      </w:r>
      <w:bookmarkEnd w:id="21"/>
      <w:r w:rsidRPr="007F2BDD">
        <w:t>immunogenicity outcomes of GMT ratios and</w:t>
      </w:r>
      <w:r w:rsidR="006C1EC3" w:rsidRPr="007F2BDD">
        <w:t xml:space="preserve"> </w:t>
      </w:r>
      <w:r w:rsidRPr="007F2BDD">
        <w:t>SCR</w:t>
      </w:r>
      <w:r w:rsidR="00383503" w:rsidRPr="007F2BDD">
        <w:t>s</w:t>
      </w:r>
      <w:r w:rsidRPr="007F2BDD">
        <w:t xml:space="preserve"> induced by </w:t>
      </w:r>
      <w:proofErr w:type="spellStart"/>
      <w:r w:rsidR="00F11E98" w:rsidRPr="007F2BDD">
        <w:t>FluQuadri</w:t>
      </w:r>
      <w:proofErr w:type="spellEnd"/>
      <w:r w:rsidRPr="007F2BDD">
        <w:t xml:space="preserve"> compared </w:t>
      </w:r>
      <w:r w:rsidR="00420E28" w:rsidRPr="007F2BDD">
        <w:t xml:space="preserve">with </w:t>
      </w:r>
      <w:proofErr w:type="spellStart"/>
      <w:r w:rsidR="00F11E98" w:rsidRPr="007F2BDD">
        <w:t>FluQuadri</w:t>
      </w:r>
      <w:proofErr w:type="spellEnd"/>
      <w:r w:rsidR="00C445F7" w:rsidRPr="007F2BDD">
        <w:t xml:space="preserve"> Junior</w:t>
      </w:r>
      <w:r w:rsidRPr="007F2BDD">
        <w:t xml:space="preserve">, </w:t>
      </w:r>
      <w:r w:rsidR="00383503" w:rsidRPr="007F2BDD">
        <w:t xml:space="preserve">28 days </w:t>
      </w:r>
      <w:r w:rsidRPr="007F2BDD">
        <w:t>after</w:t>
      </w:r>
      <w:r w:rsidR="008E0072" w:rsidRPr="007F2BDD">
        <w:t xml:space="preserve"> </w:t>
      </w:r>
      <w:r w:rsidR="00C77511" w:rsidRPr="007F2BDD">
        <w:t>two</w:t>
      </w:r>
      <w:r w:rsidR="008E0072" w:rsidRPr="007F2BDD">
        <w:t xml:space="preserve"> doses of each vaccine</w:t>
      </w:r>
      <w:r w:rsidRPr="007F2BDD">
        <w:t>. The results are presented in Table 4 and Table 5</w:t>
      </w:r>
      <w:r w:rsidR="00F21E89" w:rsidRPr="007F2BDD">
        <w:t>,</w:t>
      </w:r>
      <w:r w:rsidRPr="007F2BDD">
        <w:t xml:space="preserve"> respectively. </w:t>
      </w:r>
    </w:p>
    <w:p w:rsidR="00A66664" w:rsidRPr="007F2BDD" w:rsidRDefault="00A66664" w:rsidP="005F43D9">
      <w:pPr>
        <w:pStyle w:val="TableFigureHeading"/>
      </w:pPr>
      <w:r w:rsidRPr="007F2BDD">
        <w:t xml:space="preserve">Table </w:t>
      </w:r>
      <w:r w:rsidR="007C3D0A" w:rsidRPr="007F2BDD">
        <w:t>4</w:t>
      </w:r>
      <w:r w:rsidRPr="007F2BDD">
        <w:t xml:space="preserve">: Non-inferiority comparison of </w:t>
      </w:r>
      <w:proofErr w:type="spellStart"/>
      <w:r w:rsidRPr="007F2BDD">
        <w:t>FluQuadri</w:t>
      </w:r>
      <w:proofErr w:type="spellEnd"/>
      <w:r w:rsidRPr="007F2BDD">
        <w:t xml:space="preserve"> vs </w:t>
      </w:r>
      <w:proofErr w:type="spellStart"/>
      <w:r w:rsidRPr="007F2BDD">
        <w:t>FluQuadri</w:t>
      </w:r>
      <w:proofErr w:type="spellEnd"/>
      <w:r w:rsidRPr="007F2BDD">
        <w:t xml:space="preserve"> Junior as assessed by the ratio of post-vaccination GMTs (PP analysis set and FAS)</w:t>
      </w:r>
    </w:p>
    <w:tbl>
      <w:tblPr>
        <w:tblStyle w:val="TableGrid"/>
        <w:tblW w:w="5000" w:type="pct"/>
        <w:tblLook w:val="04A0" w:firstRow="1" w:lastRow="0" w:firstColumn="1" w:lastColumn="0" w:noHBand="0" w:noVBand="1"/>
        <w:tblCaption w:val="Table 4: Non-inferiority comparison of FluQuadri vs FluQuadri Junior as assessed by the ratio of post-vaccination GMTs (PP analysis set and FAS)"/>
      </w:tblPr>
      <w:tblGrid>
        <w:gridCol w:w="1489"/>
        <w:gridCol w:w="694"/>
        <w:gridCol w:w="693"/>
        <w:gridCol w:w="968"/>
        <w:gridCol w:w="831"/>
        <w:gridCol w:w="694"/>
        <w:gridCol w:w="968"/>
        <w:gridCol w:w="1656"/>
        <w:gridCol w:w="1024"/>
      </w:tblGrid>
      <w:tr w:rsidR="005140F3" w:rsidRPr="007F2BDD" w:rsidTr="0028727B">
        <w:trPr>
          <w:trHeight w:val="284"/>
          <w:tblHeader/>
        </w:trPr>
        <w:tc>
          <w:tcPr>
            <w:tcW w:w="825" w:type="pct"/>
            <w:vMerge w:val="restart"/>
            <w:tcBorders>
              <w:top w:val="single" w:sz="4" w:space="0" w:color="auto"/>
              <w:left w:val="single" w:sz="4" w:space="0" w:color="auto"/>
              <w:bottom w:val="single" w:sz="4" w:space="0" w:color="auto"/>
              <w:right w:val="single" w:sz="4" w:space="0" w:color="auto"/>
            </w:tcBorders>
            <w:hideMark/>
          </w:tcPr>
          <w:p w:rsidR="005140F3" w:rsidRPr="005F43D9" w:rsidRDefault="005140F3" w:rsidP="005F43D9">
            <w:pPr>
              <w:pStyle w:val="TableText0"/>
              <w:rPr>
                <w:b/>
              </w:rPr>
            </w:pPr>
            <w:r w:rsidRPr="005F43D9">
              <w:rPr>
                <w:b/>
              </w:rPr>
              <w:t>Antigen strain</w:t>
            </w:r>
          </w:p>
        </w:tc>
        <w:tc>
          <w:tcPr>
            <w:tcW w:w="1306" w:type="pct"/>
            <w:gridSpan w:val="3"/>
            <w:tcBorders>
              <w:top w:val="single" w:sz="4" w:space="0" w:color="auto"/>
              <w:left w:val="single" w:sz="4" w:space="0" w:color="auto"/>
              <w:bottom w:val="single" w:sz="4" w:space="0" w:color="auto"/>
              <w:right w:val="single" w:sz="4" w:space="0" w:color="auto"/>
            </w:tcBorders>
            <w:hideMark/>
          </w:tcPr>
          <w:p w:rsidR="005140F3" w:rsidRPr="005F43D9" w:rsidRDefault="00F11E98" w:rsidP="005F43D9">
            <w:pPr>
              <w:pStyle w:val="TableText0"/>
              <w:rPr>
                <w:rFonts w:cs="Calibri"/>
                <w:b/>
              </w:rPr>
            </w:pPr>
            <w:proofErr w:type="spellStart"/>
            <w:r w:rsidRPr="005F43D9">
              <w:rPr>
                <w:rFonts w:cs="Calibri"/>
                <w:b/>
              </w:rPr>
              <w:t>FluQuadri</w:t>
            </w:r>
            <w:proofErr w:type="spellEnd"/>
            <w:r w:rsidR="005140F3" w:rsidRPr="005F43D9">
              <w:rPr>
                <w:rFonts w:cs="Calibri"/>
                <w:b/>
              </w:rPr>
              <w:t xml:space="preserve"> </w:t>
            </w:r>
          </w:p>
        </w:tc>
        <w:tc>
          <w:tcPr>
            <w:tcW w:w="1382" w:type="pct"/>
            <w:gridSpan w:val="3"/>
            <w:tcBorders>
              <w:top w:val="single" w:sz="4" w:space="0" w:color="auto"/>
              <w:left w:val="single" w:sz="4" w:space="0" w:color="auto"/>
              <w:bottom w:val="single" w:sz="4" w:space="0" w:color="auto"/>
              <w:right w:val="single" w:sz="4" w:space="0" w:color="auto"/>
            </w:tcBorders>
            <w:hideMark/>
          </w:tcPr>
          <w:p w:rsidR="005140F3" w:rsidRPr="005F43D9" w:rsidRDefault="00415EEE" w:rsidP="005F43D9">
            <w:pPr>
              <w:pStyle w:val="TableText0"/>
              <w:rPr>
                <w:rFonts w:cs="Calibri"/>
                <w:b/>
              </w:rPr>
            </w:pPr>
            <w:proofErr w:type="spellStart"/>
            <w:r w:rsidRPr="005F43D9">
              <w:rPr>
                <w:rFonts w:cs="Calibri"/>
                <w:b/>
              </w:rPr>
              <w:t>FluQuadri</w:t>
            </w:r>
            <w:proofErr w:type="spellEnd"/>
            <w:r w:rsidRPr="005F43D9">
              <w:rPr>
                <w:rFonts w:cs="Calibri"/>
                <w:b/>
              </w:rPr>
              <w:t xml:space="preserve"> Junior</w:t>
            </w:r>
          </w:p>
        </w:tc>
        <w:tc>
          <w:tcPr>
            <w:tcW w:w="918" w:type="pct"/>
            <w:vMerge w:val="restart"/>
            <w:tcBorders>
              <w:top w:val="single" w:sz="4" w:space="0" w:color="auto"/>
              <w:left w:val="single" w:sz="4" w:space="0" w:color="auto"/>
              <w:bottom w:val="single" w:sz="4" w:space="0" w:color="auto"/>
              <w:right w:val="single" w:sz="4" w:space="0" w:color="auto"/>
            </w:tcBorders>
            <w:hideMark/>
          </w:tcPr>
          <w:p w:rsidR="005140F3" w:rsidRPr="005F43D9" w:rsidRDefault="005140F3" w:rsidP="005F43D9">
            <w:pPr>
              <w:pStyle w:val="TableText0"/>
              <w:rPr>
                <w:b/>
              </w:rPr>
            </w:pPr>
            <w:r w:rsidRPr="005F43D9">
              <w:rPr>
                <w:b/>
              </w:rPr>
              <w:t>Ratio of GMTs (95% CI)</w:t>
            </w:r>
          </w:p>
        </w:tc>
        <w:tc>
          <w:tcPr>
            <w:tcW w:w="569" w:type="pct"/>
            <w:vMerge w:val="restart"/>
            <w:tcBorders>
              <w:top w:val="single" w:sz="4" w:space="0" w:color="auto"/>
              <w:left w:val="single" w:sz="4" w:space="0" w:color="auto"/>
              <w:bottom w:val="single" w:sz="4" w:space="0" w:color="auto"/>
              <w:right w:val="single" w:sz="4" w:space="0" w:color="auto"/>
            </w:tcBorders>
            <w:hideMark/>
          </w:tcPr>
          <w:p w:rsidR="005140F3" w:rsidRPr="005F43D9" w:rsidRDefault="005140F3" w:rsidP="005F43D9">
            <w:pPr>
              <w:pStyle w:val="TableText0"/>
              <w:rPr>
                <w:b/>
              </w:rPr>
            </w:pPr>
            <w:r w:rsidRPr="005F43D9">
              <w:rPr>
                <w:b/>
              </w:rPr>
              <w:t>Non-inferiority</w:t>
            </w:r>
          </w:p>
        </w:tc>
      </w:tr>
      <w:tr w:rsidR="005140F3" w:rsidRPr="007F2BDD" w:rsidTr="0028727B">
        <w:trPr>
          <w:trHeight w:val="284"/>
          <w:tblHeader/>
        </w:trPr>
        <w:tc>
          <w:tcPr>
            <w:tcW w:w="825" w:type="pct"/>
            <w:vMerge/>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rPr>
                <w:b/>
              </w:rPr>
            </w:pPr>
          </w:p>
        </w:tc>
        <w:tc>
          <w:tcPr>
            <w:tcW w:w="385" w:type="pct"/>
            <w:tcBorders>
              <w:top w:val="single" w:sz="4" w:space="0" w:color="auto"/>
              <w:left w:val="single" w:sz="4" w:space="0" w:color="auto"/>
              <w:bottom w:val="single" w:sz="4" w:space="0" w:color="auto"/>
              <w:right w:val="single" w:sz="4" w:space="0" w:color="auto"/>
            </w:tcBorders>
            <w:hideMark/>
          </w:tcPr>
          <w:p w:rsidR="005140F3" w:rsidRPr="005F43D9" w:rsidRDefault="005140F3" w:rsidP="005F43D9">
            <w:pPr>
              <w:pStyle w:val="TableText0"/>
              <w:rPr>
                <w:b/>
              </w:rPr>
            </w:pPr>
            <w:r w:rsidRPr="005F43D9">
              <w:rPr>
                <w:b/>
              </w:rPr>
              <w:t>M</w:t>
            </w:r>
          </w:p>
        </w:tc>
        <w:tc>
          <w:tcPr>
            <w:tcW w:w="384" w:type="pct"/>
            <w:tcBorders>
              <w:top w:val="single" w:sz="4" w:space="0" w:color="auto"/>
              <w:left w:val="single" w:sz="4" w:space="0" w:color="auto"/>
              <w:bottom w:val="single" w:sz="4" w:space="0" w:color="auto"/>
              <w:right w:val="single" w:sz="4" w:space="0" w:color="auto"/>
            </w:tcBorders>
            <w:hideMark/>
          </w:tcPr>
          <w:p w:rsidR="005140F3" w:rsidRPr="005F43D9" w:rsidRDefault="005140F3" w:rsidP="005F43D9">
            <w:pPr>
              <w:pStyle w:val="TableText0"/>
              <w:rPr>
                <w:b/>
              </w:rPr>
            </w:pPr>
            <w:r w:rsidRPr="005F43D9">
              <w:rPr>
                <w:b/>
              </w:rPr>
              <w:t>GMT</w:t>
            </w:r>
          </w:p>
        </w:tc>
        <w:tc>
          <w:tcPr>
            <w:tcW w:w="537" w:type="pct"/>
            <w:tcBorders>
              <w:top w:val="single" w:sz="4" w:space="0" w:color="auto"/>
              <w:left w:val="single" w:sz="4" w:space="0" w:color="auto"/>
              <w:bottom w:val="single" w:sz="4" w:space="0" w:color="auto"/>
              <w:right w:val="single" w:sz="4" w:space="0" w:color="auto"/>
            </w:tcBorders>
            <w:hideMark/>
          </w:tcPr>
          <w:p w:rsidR="005140F3" w:rsidRPr="005F43D9" w:rsidRDefault="005140F3" w:rsidP="005F43D9">
            <w:pPr>
              <w:pStyle w:val="TableText0"/>
              <w:rPr>
                <w:b/>
              </w:rPr>
            </w:pPr>
            <w:r w:rsidRPr="005F43D9">
              <w:rPr>
                <w:b/>
              </w:rPr>
              <w:t>95% CI</w:t>
            </w:r>
          </w:p>
        </w:tc>
        <w:tc>
          <w:tcPr>
            <w:tcW w:w="461" w:type="pct"/>
            <w:tcBorders>
              <w:top w:val="single" w:sz="4" w:space="0" w:color="auto"/>
              <w:left w:val="single" w:sz="4" w:space="0" w:color="auto"/>
              <w:bottom w:val="single" w:sz="4" w:space="0" w:color="auto"/>
              <w:right w:val="single" w:sz="4" w:space="0" w:color="auto"/>
            </w:tcBorders>
            <w:hideMark/>
          </w:tcPr>
          <w:p w:rsidR="005140F3" w:rsidRPr="005F43D9" w:rsidRDefault="005140F3" w:rsidP="005F43D9">
            <w:pPr>
              <w:pStyle w:val="TableText0"/>
              <w:rPr>
                <w:b/>
              </w:rPr>
            </w:pPr>
            <w:r w:rsidRPr="005F43D9">
              <w:rPr>
                <w:b/>
              </w:rPr>
              <w:t>M</w:t>
            </w:r>
          </w:p>
        </w:tc>
        <w:tc>
          <w:tcPr>
            <w:tcW w:w="385" w:type="pct"/>
            <w:tcBorders>
              <w:top w:val="single" w:sz="4" w:space="0" w:color="auto"/>
              <w:left w:val="single" w:sz="4" w:space="0" w:color="auto"/>
              <w:bottom w:val="single" w:sz="4" w:space="0" w:color="auto"/>
              <w:right w:val="single" w:sz="4" w:space="0" w:color="auto"/>
            </w:tcBorders>
            <w:hideMark/>
          </w:tcPr>
          <w:p w:rsidR="005140F3" w:rsidRPr="005F43D9" w:rsidRDefault="005140F3" w:rsidP="005F43D9">
            <w:pPr>
              <w:pStyle w:val="TableText0"/>
              <w:rPr>
                <w:b/>
              </w:rPr>
            </w:pPr>
            <w:r w:rsidRPr="005F43D9">
              <w:rPr>
                <w:b/>
              </w:rPr>
              <w:t>GMT</w:t>
            </w:r>
          </w:p>
        </w:tc>
        <w:tc>
          <w:tcPr>
            <w:tcW w:w="537" w:type="pct"/>
            <w:tcBorders>
              <w:top w:val="single" w:sz="4" w:space="0" w:color="auto"/>
              <w:left w:val="single" w:sz="4" w:space="0" w:color="auto"/>
              <w:bottom w:val="single" w:sz="4" w:space="0" w:color="auto"/>
              <w:right w:val="single" w:sz="4" w:space="0" w:color="auto"/>
            </w:tcBorders>
            <w:hideMark/>
          </w:tcPr>
          <w:p w:rsidR="005140F3" w:rsidRPr="005F43D9" w:rsidRDefault="005140F3" w:rsidP="005F43D9">
            <w:pPr>
              <w:pStyle w:val="TableText0"/>
              <w:rPr>
                <w:b/>
              </w:rPr>
            </w:pPr>
            <w:r w:rsidRPr="005F43D9">
              <w:rPr>
                <w:b/>
              </w:rPr>
              <w:t>95% CI</w:t>
            </w: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rPr>
                <w:b/>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rPr>
                <w:b/>
              </w:rPr>
            </w:pPr>
          </w:p>
        </w:tc>
      </w:tr>
      <w:tr w:rsidR="005140F3" w:rsidRPr="007F2BDD" w:rsidTr="0028727B">
        <w:trPr>
          <w:trHeight w:val="284"/>
        </w:trPr>
        <w:tc>
          <w:tcPr>
            <w:tcW w:w="825" w:type="pct"/>
            <w:tcBorders>
              <w:top w:val="single" w:sz="4" w:space="0" w:color="auto"/>
              <w:left w:val="single" w:sz="4" w:space="0" w:color="auto"/>
              <w:bottom w:val="single" w:sz="4" w:space="0" w:color="auto"/>
              <w:right w:val="single" w:sz="4" w:space="0" w:color="auto"/>
            </w:tcBorders>
            <w:hideMark/>
          </w:tcPr>
          <w:p w:rsidR="005140F3" w:rsidRPr="005F43D9" w:rsidRDefault="005140F3" w:rsidP="005F43D9">
            <w:pPr>
              <w:pStyle w:val="TableText0"/>
              <w:rPr>
                <w:b/>
              </w:rPr>
            </w:pPr>
            <w:r w:rsidRPr="005F43D9">
              <w:rPr>
                <w:b/>
              </w:rPr>
              <w:t>PP analysis set</w:t>
            </w:r>
          </w:p>
        </w:tc>
        <w:tc>
          <w:tcPr>
            <w:tcW w:w="1306" w:type="pct"/>
            <w:gridSpan w:val="3"/>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rPr>
                <w:rFonts w:cs="Calibri"/>
              </w:rPr>
              <w:t>N = 543</w:t>
            </w:r>
          </w:p>
        </w:tc>
        <w:tc>
          <w:tcPr>
            <w:tcW w:w="1382" w:type="pct"/>
            <w:gridSpan w:val="3"/>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rPr>
                <w:rFonts w:cs="Calibri"/>
              </w:rPr>
              <w:t>N = 525</w:t>
            </w:r>
          </w:p>
        </w:tc>
        <w:tc>
          <w:tcPr>
            <w:tcW w:w="1487" w:type="pct"/>
            <w:gridSpan w:val="2"/>
            <w:tcBorders>
              <w:top w:val="single" w:sz="4" w:space="0" w:color="auto"/>
              <w:left w:val="single" w:sz="4" w:space="0" w:color="auto"/>
              <w:bottom w:val="single" w:sz="4" w:space="0" w:color="auto"/>
              <w:right w:val="single" w:sz="4" w:space="0" w:color="auto"/>
            </w:tcBorders>
          </w:tcPr>
          <w:p w:rsidR="005140F3" w:rsidRPr="007F2BDD" w:rsidRDefault="005140F3" w:rsidP="005F43D9">
            <w:pPr>
              <w:pStyle w:val="TableText0"/>
            </w:pPr>
          </w:p>
        </w:tc>
      </w:tr>
      <w:tr w:rsidR="005140F3" w:rsidRPr="007F2BDD" w:rsidTr="0028727B">
        <w:trPr>
          <w:trHeight w:val="284"/>
        </w:trPr>
        <w:tc>
          <w:tcPr>
            <w:tcW w:w="82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A/H1N1</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539</w:t>
            </w:r>
          </w:p>
        </w:tc>
        <w:tc>
          <w:tcPr>
            <w:tcW w:w="384"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310</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271; 354</w:t>
            </w:r>
          </w:p>
        </w:tc>
        <w:tc>
          <w:tcPr>
            <w:tcW w:w="461"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520</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214</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185; 247</w:t>
            </w:r>
          </w:p>
        </w:tc>
        <w:tc>
          <w:tcPr>
            <w:tcW w:w="918"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1.45 (1.19; 1.77)</w:t>
            </w:r>
          </w:p>
        </w:tc>
        <w:tc>
          <w:tcPr>
            <w:tcW w:w="569"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Yes</w:t>
            </w:r>
          </w:p>
        </w:tc>
      </w:tr>
      <w:tr w:rsidR="005140F3" w:rsidRPr="007F2BDD" w:rsidTr="0028727B">
        <w:trPr>
          <w:trHeight w:val="284"/>
        </w:trPr>
        <w:tc>
          <w:tcPr>
            <w:tcW w:w="82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A/H3N2</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542</w:t>
            </w:r>
          </w:p>
        </w:tc>
        <w:tc>
          <w:tcPr>
            <w:tcW w:w="384"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332</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290; 380</w:t>
            </w:r>
          </w:p>
        </w:tc>
        <w:tc>
          <w:tcPr>
            <w:tcW w:w="461"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525</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221</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191; 256</w:t>
            </w:r>
          </w:p>
        </w:tc>
        <w:tc>
          <w:tcPr>
            <w:tcW w:w="918"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1.50 (1.23; 1.83)</w:t>
            </w:r>
          </w:p>
        </w:tc>
        <w:tc>
          <w:tcPr>
            <w:tcW w:w="569"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Yes</w:t>
            </w:r>
          </w:p>
        </w:tc>
      </w:tr>
      <w:tr w:rsidR="005140F3" w:rsidRPr="007F2BDD" w:rsidTr="0028727B">
        <w:trPr>
          <w:trHeight w:val="284"/>
        </w:trPr>
        <w:tc>
          <w:tcPr>
            <w:tcW w:w="82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B Victoria</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539</w:t>
            </w:r>
          </w:p>
        </w:tc>
        <w:tc>
          <w:tcPr>
            <w:tcW w:w="384"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348</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304; 398</w:t>
            </w:r>
          </w:p>
        </w:tc>
        <w:tc>
          <w:tcPr>
            <w:tcW w:w="461"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520</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261</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227; 299</w:t>
            </w:r>
          </w:p>
        </w:tc>
        <w:tc>
          <w:tcPr>
            <w:tcW w:w="918"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1.33 (1.10; 1.62)</w:t>
            </w:r>
          </w:p>
        </w:tc>
        <w:tc>
          <w:tcPr>
            <w:tcW w:w="569"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Yes</w:t>
            </w:r>
          </w:p>
        </w:tc>
      </w:tr>
      <w:tr w:rsidR="005140F3" w:rsidRPr="007F2BDD" w:rsidTr="0028727B">
        <w:trPr>
          <w:trHeight w:val="284"/>
        </w:trPr>
        <w:tc>
          <w:tcPr>
            <w:tcW w:w="82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B Yamagata</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543</w:t>
            </w:r>
          </w:p>
        </w:tc>
        <w:tc>
          <w:tcPr>
            <w:tcW w:w="384"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349</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307; 397</w:t>
            </w:r>
          </w:p>
        </w:tc>
        <w:tc>
          <w:tcPr>
            <w:tcW w:w="461"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524</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243</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213; 277</w:t>
            </w:r>
          </w:p>
        </w:tc>
        <w:tc>
          <w:tcPr>
            <w:tcW w:w="918"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1.44 (1.20; 1.73)</w:t>
            </w:r>
          </w:p>
        </w:tc>
        <w:tc>
          <w:tcPr>
            <w:tcW w:w="569"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Yes</w:t>
            </w:r>
          </w:p>
        </w:tc>
      </w:tr>
      <w:tr w:rsidR="005140F3" w:rsidRPr="007F2BDD" w:rsidTr="0028727B">
        <w:trPr>
          <w:trHeight w:val="284"/>
        </w:trPr>
        <w:tc>
          <w:tcPr>
            <w:tcW w:w="825" w:type="pct"/>
            <w:tcBorders>
              <w:top w:val="single" w:sz="4" w:space="0" w:color="auto"/>
              <w:left w:val="single" w:sz="4" w:space="0" w:color="auto"/>
              <w:bottom w:val="single" w:sz="4" w:space="0" w:color="auto"/>
              <w:right w:val="single" w:sz="4" w:space="0" w:color="auto"/>
            </w:tcBorders>
            <w:hideMark/>
          </w:tcPr>
          <w:p w:rsidR="005140F3" w:rsidRPr="005F43D9" w:rsidRDefault="005140F3" w:rsidP="005F43D9">
            <w:pPr>
              <w:pStyle w:val="TableText0"/>
              <w:rPr>
                <w:b/>
              </w:rPr>
            </w:pPr>
            <w:r w:rsidRPr="005F43D9">
              <w:rPr>
                <w:b/>
              </w:rPr>
              <w:t>FAS</w:t>
            </w:r>
          </w:p>
        </w:tc>
        <w:tc>
          <w:tcPr>
            <w:tcW w:w="1306" w:type="pct"/>
            <w:gridSpan w:val="3"/>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rPr>
                <w:rFonts w:cs="Calibri"/>
              </w:rPr>
              <w:t>N = 597</w:t>
            </w:r>
          </w:p>
        </w:tc>
        <w:tc>
          <w:tcPr>
            <w:tcW w:w="1382" w:type="pct"/>
            <w:gridSpan w:val="3"/>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rPr>
                <w:rFonts w:cs="Calibri"/>
              </w:rPr>
              <w:t>N = 584</w:t>
            </w:r>
          </w:p>
        </w:tc>
        <w:tc>
          <w:tcPr>
            <w:tcW w:w="1487" w:type="pct"/>
            <w:gridSpan w:val="2"/>
            <w:tcBorders>
              <w:top w:val="single" w:sz="4" w:space="0" w:color="auto"/>
              <w:left w:val="single" w:sz="4" w:space="0" w:color="auto"/>
              <w:bottom w:val="single" w:sz="4" w:space="0" w:color="auto"/>
              <w:right w:val="single" w:sz="4" w:space="0" w:color="auto"/>
            </w:tcBorders>
          </w:tcPr>
          <w:p w:rsidR="005140F3" w:rsidRPr="007F2BDD" w:rsidRDefault="005140F3" w:rsidP="005F43D9">
            <w:pPr>
              <w:pStyle w:val="TableText0"/>
            </w:pPr>
          </w:p>
        </w:tc>
      </w:tr>
      <w:tr w:rsidR="005140F3" w:rsidRPr="007F2BDD" w:rsidTr="0028727B">
        <w:trPr>
          <w:trHeight w:val="284"/>
        </w:trPr>
        <w:tc>
          <w:tcPr>
            <w:tcW w:w="82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A/H1N1</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592</w:t>
            </w:r>
          </w:p>
        </w:tc>
        <w:tc>
          <w:tcPr>
            <w:tcW w:w="384"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303</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267; 345</w:t>
            </w:r>
          </w:p>
        </w:tc>
        <w:tc>
          <w:tcPr>
            <w:tcW w:w="461"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578</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211</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184; 243</w:t>
            </w:r>
          </w:p>
        </w:tc>
        <w:tc>
          <w:tcPr>
            <w:tcW w:w="918"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1.44 (1.19; 1.74)</w:t>
            </w:r>
          </w:p>
        </w:tc>
        <w:tc>
          <w:tcPr>
            <w:tcW w:w="569"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Yes</w:t>
            </w:r>
          </w:p>
        </w:tc>
      </w:tr>
      <w:tr w:rsidR="005140F3" w:rsidRPr="007F2BDD" w:rsidTr="0028727B">
        <w:trPr>
          <w:trHeight w:val="284"/>
        </w:trPr>
        <w:tc>
          <w:tcPr>
            <w:tcW w:w="82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A/H3N2</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596</w:t>
            </w:r>
          </w:p>
        </w:tc>
        <w:tc>
          <w:tcPr>
            <w:tcW w:w="384"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338</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297; 384</w:t>
            </w:r>
          </w:p>
        </w:tc>
        <w:tc>
          <w:tcPr>
            <w:tcW w:w="461"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584</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219</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190; 251</w:t>
            </w:r>
          </w:p>
        </w:tc>
        <w:tc>
          <w:tcPr>
            <w:tcW w:w="918"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1.54 (1.28; 1.87)</w:t>
            </w:r>
          </w:p>
        </w:tc>
        <w:tc>
          <w:tcPr>
            <w:tcW w:w="569"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Yes</w:t>
            </w:r>
          </w:p>
        </w:tc>
      </w:tr>
      <w:tr w:rsidR="005140F3" w:rsidRPr="007F2BDD" w:rsidTr="0028727B">
        <w:trPr>
          <w:trHeight w:val="284"/>
        </w:trPr>
        <w:tc>
          <w:tcPr>
            <w:tcW w:w="82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B Victoria</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592</w:t>
            </w:r>
          </w:p>
        </w:tc>
        <w:tc>
          <w:tcPr>
            <w:tcW w:w="384"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348</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305; 396</w:t>
            </w:r>
          </w:p>
        </w:tc>
        <w:tc>
          <w:tcPr>
            <w:tcW w:w="461"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578</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258</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226; 295</w:t>
            </w:r>
          </w:p>
        </w:tc>
        <w:tc>
          <w:tcPr>
            <w:tcW w:w="918"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1.35 (1.12; 1.62)</w:t>
            </w:r>
          </w:p>
        </w:tc>
        <w:tc>
          <w:tcPr>
            <w:tcW w:w="569"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Yes</w:t>
            </w:r>
          </w:p>
        </w:tc>
      </w:tr>
      <w:tr w:rsidR="005140F3" w:rsidRPr="007F2BDD" w:rsidTr="0028727B">
        <w:trPr>
          <w:trHeight w:val="284"/>
        </w:trPr>
        <w:tc>
          <w:tcPr>
            <w:tcW w:w="82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B Yamagata</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596</w:t>
            </w:r>
          </w:p>
        </w:tc>
        <w:tc>
          <w:tcPr>
            <w:tcW w:w="384"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346</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306; 391</w:t>
            </w:r>
          </w:p>
        </w:tc>
        <w:tc>
          <w:tcPr>
            <w:tcW w:w="461"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583</w:t>
            </w:r>
          </w:p>
        </w:tc>
        <w:tc>
          <w:tcPr>
            <w:tcW w:w="385"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241</w:t>
            </w:r>
          </w:p>
        </w:tc>
        <w:tc>
          <w:tcPr>
            <w:tcW w:w="537"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212; 272</w:t>
            </w:r>
          </w:p>
        </w:tc>
        <w:tc>
          <w:tcPr>
            <w:tcW w:w="918"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1.44 (1.21; 1.71)</w:t>
            </w:r>
          </w:p>
        </w:tc>
        <w:tc>
          <w:tcPr>
            <w:tcW w:w="569" w:type="pct"/>
            <w:tcBorders>
              <w:top w:val="single" w:sz="4" w:space="0" w:color="auto"/>
              <w:left w:val="single" w:sz="4" w:space="0" w:color="auto"/>
              <w:bottom w:val="single" w:sz="4" w:space="0" w:color="auto"/>
              <w:right w:val="single" w:sz="4" w:space="0" w:color="auto"/>
            </w:tcBorders>
            <w:hideMark/>
          </w:tcPr>
          <w:p w:rsidR="005140F3" w:rsidRPr="007F2BDD" w:rsidRDefault="005140F3" w:rsidP="005F43D9">
            <w:pPr>
              <w:pStyle w:val="TableText0"/>
            </w:pPr>
            <w:r w:rsidRPr="007F2BDD">
              <w:t>Yes</w:t>
            </w:r>
          </w:p>
        </w:tc>
      </w:tr>
    </w:tbl>
    <w:p w:rsidR="005140F3" w:rsidRPr="007F2BDD" w:rsidRDefault="005140F3" w:rsidP="005F43D9">
      <w:pPr>
        <w:pStyle w:val="TableFigureFooter"/>
      </w:pPr>
      <w:r w:rsidRPr="007F2BDD">
        <w:t>CI, confidence interval; FAS, full analysis set; GMT, geometric mean titre; M, number of subjects with available data for the considered endpoint; N, number of subjects analysed according to the Per Protocol analysis set or the FAS, as applicable.</w:t>
      </w:r>
    </w:p>
    <w:p w:rsidR="005140F3" w:rsidRDefault="005140F3" w:rsidP="005F43D9">
      <w:pPr>
        <w:pStyle w:val="TableFigureFooter"/>
      </w:pPr>
      <w:r w:rsidRPr="007F2BDD">
        <w:t>Source: Table 2.5.2, p46 of the submission.</w:t>
      </w:r>
    </w:p>
    <w:p w:rsidR="0028727B" w:rsidRDefault="0028727B" w:rsidP="005F43D9">
      <w:pPr>
        <w:pStyle w:val="TableFigureFooter"/>
      </w:pPr>
    </w:p>
    <w:p w:rsidR="00A66664" w:rsidRPr="007F2BDD" w:rsidRDefault="00A66664" w:rsidP="005F43D9">
      <w:pPr>
        <w:pStyle w:val="TableFigureHeading"/>
        <w:keepNext/>
        <w:keepLines/>
      </w:pPr>
      <w:r w:rsidRPr="007F2BDD">
        <w:t xml:space="preserve">Table </w:t>
      </w:r>
      <w:r w:rsidR="007C3D0A" w:rsidRPr="007F2BDD">
        <w:t>5</w:t>
      </w:r>
      <w:r w:rsidRPr="007F2BDD">
        <w:t xml:space="preserve">: Non-inferiority comparison of </w:t>
      </w:r>
      <w:proofErr w:type="spellStart"/>
      <w:r w:rsidRPr="007F2BDD">
        <w:t>FluQuadri</w:t>
      </w:r>
      <w:proofErr w:type="spellEnd"/>
      <w:r w:rsidRPr="007F2BDD">
        <w:t xml:space="preserve"> vs </w:t>
      </w:r>
      <w:proofErr w:type="spellStart"/>
      <w:r w:rsidRPr="007F2BDD">
        <w:t>FluQuadri</w:t>
      </w:r>
      <w:proofErr w:type="spellEnd"/>
      <w:r w:rsidRPr="007F2BDD">
        <w:t xml:space="preserve"> Junior as assessed by seroconversion rates (PP analysis set and FAS)</w:t>
      </w:r>
    </w:p>
    <w:tbl>
      <w:tblPr>
        <w:tblStyle w:val="TableGrid"/>
        <w:tblW w:w="5000" w:type="pct"/>
        <w:tblLook w:val="04A0" w:firstRow="1" w:lastRow="0" w:firstColumn="1" w:lastColumn="0" w:noHBand="0" w:noVBand="1"/>
        <w:tblCaption w:val="Table 5: Non-inferiority comparison of FluQuadri vs FluQuadri Junior as assessed by seroconversion rates (PP analysis set and FAS)"/>
      </w:tblPr>
      <w:tblGrid>
        <w:gridCol w:w="1204"/>
        <w:gridCol w:w="1048"/>
        <w:gridCol w:w="812"/>
        <w:gridCol w:w="904"/>
        <w:gridCol w:w="853"/>
        <w:gridCol w:w="839"/>
        <w:gridCol w:w="860"/>
        <w:gridCol w:w="1417"/>
        <w:gridCol w:w="1080"/>
      </w:tblGrid>
      <w:tr w:rsidR="005140F3" w:rsidRPr="005F43D9" w:rsidTr="00297B60">
        <w:trPr>
          <w:trHeight w:val="284"/>
          <w:tblHeader/>
        </w:trPr>
        <w:tc>
          <w:tcPr>
            <w:tcW w:w="668" w:type="pct"/>
            <w:vMerge w:val="restar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rPr>
            </w:pPr>
            <w:r w:rsidRPr="005F43D9">
              <w:rPr>
                <w:b/>
              </w:rPr>
              <w:t>Antigen strain</w:t>
            </w:r>
          </w:p>
        </w:tc>
        <w:tc>
          <w:tcPr>
            <w:tcW w:w="1532" w:type="pct"/>
            <w:gridSpan w:val="3"/>
            <w:tcBorders>
              <w:top w:val="single" w:sz="4" w:space="0" w:color="auto"/>
              <w:left w:val="single" w:sz="4" w:space="0" w:color="auto"/>
              <w:bottom w:val="single" w:sz="4" w:space="0" w:color="auto"/>
              <w:right w:val="single" w:sz="4" w:space="0" w:color="auto"/>
            </w:tcBorders>
            <w:vAlign w:val="center"/>
            <w:hideMark/>
          </w:tcPr>
          <w:p w:rsidR="005140F3" w:rsidRPr="005F43D9" w:rsidRDefault="00F11E98" w:rsidP="005F43D9">
            <w:pPr>
              <w:pStyle w:val="TableText0"/>
              <w:keepNext/>
              <w:keepLines/>
              <w:rPr>
                <w:rFonts w:cs="Calibri"/>
                <w:b/>
              </w:rPr>
            </w:pPr>
            <w:proofErr w:type="spellStart"/>
            <w:r w:rsidRPr="005F43D9">
              <w:rPr>
                <w:rFonts w:cs="Calibri"/>
                <w:b/>
              </w:rPr>
              <w:t>FluQuadri</w:t>
            </w:r>
            <w:proofErr w:type="spellEnd"/>
          </w:p>
        </w:tc>
        <w:tc>
          <w:tcPr>
            <w:tcW w:w="1415" w:type="pct"/>
            <w:gridSpan w:val="3"/>
            <w:tcBorders>
              <w:top w:val="single" w:sz="4" w:space="0" w:color="auto"/>
              <w:left w:val="single" w:sz="4" w:space="0" w:color="auto"/>
              <w:bottom w:val="single" w:sz="4" w:space="0" w:color="auto"/>
              <w:right w:val="single" w:sz="4" w:space="0" w:color="auto"/>
            </w:tcBorders>
            <w:vAlign w:val="center"/>
            <w:hideMark/>
          </w:tcPr>
          <w:p w:rsidR="005140F3" w:rsidRPr="005F43D9" w:rsidRDefault="00415EEE" w:rsidP="005F43D9">
            <w:pPr>
              <w:pStyle w:val="TableText0"/>
              <w:keepNext/>
              <w:keepLines/>
              <w:rPr>
                <w:rFonts w:cs="Calibri"/>
                <w:b/>
              </w:rPr>
            </w:pPr>
            <w:proofErr w:type="spellStart"/>
            <w:r w:rsidRPr="005F43D9">
              <w:rPr>
                <w:rFonts w:cs="Calibri"/>
                <w:b/>
              </w:rPr>
              <w:t>FluQuadri</w:t>
            </w:r>
            <w:proofErr w:type="spellEnd"/>
            <w:r w:rsidRPr="005F43D9">
              <w:rPr>
                <w:rFonts w:cs="Calibri"/>
                <w:b/>
              </w:rPr>
              <w:t xml:space="preserve"> Junior</w:t>
            </w:r>
          </w:p>
        </w:tc>
        <w:tc>
          <w:tcPr>
            <w:tcW w:w="786" w:type="pct"/>
            <w:vMerge w:val="restar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highlight w:val="lightGray"/>
              </w:rPr>
            </w:pPr>
            <w:r w:rsidRPr="005F43D9">
              <w:rPr>
                <w:b/>
              </w:rPr>
              <w:t>Differences in SC rates</w:t>
            </w:r>
            <w:r w:rsidR="00E342D8" w:rsidRPr="005F43D9">
              <w:rPr>
                <w:b/>
              </w:rPr>
              <w:t xml:space="preserve"> </w:t>
            </w:r>
            <w:r w:rsidR="00C87896" w:rsidRPr="005F43D9">
              <w:rPr>
                <w:b/>
              </w:rPr>
              <w:br/>
            </w:r>
            <w:r w:rsidRPr="005F43D9">
              <w:rPr>
                <w:b/>
              </w:rPr>
              <w:t>(95% CI)</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rPr>
            </w:pPr>
            <w:r w:rsidRPr="005F43D9">
              <w:rPr>
                <w:b/>
              </w:rPr>
              <w:t>Non-inferiority</w:t>
            </w:r>
          </w:p>
        </w:tc>
      </w:tr>
      <w:tr w:rsidR="005140F3" w:rsidRPr="005F43D9" w:rsidTr="00297B60">
        <w:trPr>
          <w:trHeight w:val="284"/>
          <w:tblHeader/>
        </w:trPr>
        <w:tc>
          <w:tcPr>
            <w:tcW w:w="668" w:type="pct"/>
            <w:vMerge/>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rPr>
            </w:pPr>
          </w:p>
        </w:tc>
        <w:tc>
          <w:tcPr>
            <w:tcW w:w="581"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rPr>
            </w:pPr>
            <w:r w:rsidRPr="005F43D9">
              <w:rPr>
                <w:b/>
              </w:rPr>
              <w:t>n/M</w:t>
            </w:r>
          </w:p>
        </w:tc>
        <w:tc>
          <w:tcPr>
            <w:tcW w:w="450"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rPr>
            </w:pPr>
            <w:r w:rsidRPr="005F43D9">
              <w:rPr>
                <w:b/>
              </w:rPr>
              <w:t>SC rate (%)</w:t>
            </w:r>
          </w:p>
        </w:tc>
        <w:tc>
          <w:tcPr>
            <w:tcW w:w="500"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rPr>
            </w:pPr>
            <w:r w:rsidRPr="005F43D9">
              <w:rPr>
                <w:b/>
              </w:rPr>
              <w:t>95% CI</w:t>
            </w:r>
          </w:p>
        </w:tc>
        <w:tc>
          <w:tcPr>
            <w:tcW w:w="473"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highlight w:val="lightGray"/>
              </w:rPr>
            </w:pPr>
            <w:r w:rsidRPr="005F43D9">
              <w:rPr>
                <w:b/>
              </w:rPr>
              <w:t>n/M</w:t>
            </w:r>
          </w:p>
        </w:tc>
        <w:tc>
          <w:tcPr>
            <w:tcW w:w="465"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highlight w:val="lightGray"/>
              </w:rPr>
            </w:pPr>
            <w:r w:rsidRPr="005F43D9">
              <w:rPr>
                <w:b/>
              </w:rPr>
              <w:t>SC rate (%)</w:t>
            </w:r>
          </w:p>
        </w:tc>
        <w:tc>
          <w:tcPr>
            <w:tcW w:w="477"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highlight w:val="lightGray"/>
              </w:rPr>
            </w:pPr>
            <w:r w:rsidRPr="005F43D9">
              <w:rPr>
                <w:b/>
              </w:rPr>
              <w:t>95% CI</w:t>
            </w: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highlight w:val="lightGray"/>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rPr>
            </w:pPr>
          </w:p>
        </w:tc>
      </w:tr>
      <w:tr w:rsidR="005140F3" w:rsidRPr="007F2BDD" w:rsidTr="0028727B">
        <w:trPr>
          <w:trHeight w:val="284"/>
        </w:trPr>
        <w:tc>
          <w:tcPr>
            <w:tcW w:w="668"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highlight w:val="lightGray"/>
              </w:rPr>
            </w:pPr>
            <w:r w:rsidRPr="005F43D9">
              <w:rPr>
                <w:b/>
              </w:rPr>
              <w:t>PP analysis set</w:t>
            </w:r>
          </w:p>
        </w:tc>
        <w:tc>
          <w:tcPr>
            <w:tcW w:w="1532" w:type="pct"/>
            <w:gridSpan w:val="3"/>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rPr>
                <w:rFonts w:cs="Calibri"/>
              </w:rPr>
              <w:t>N = 543</w:t>
            </w:r>
          </w:p>
        </w:tc>
        <w:tc>
          <w:tcPr>
            <w:tcW w:w="1415" w:type="pct"/>
            <w:gridSpan w:val="3"/>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rPr>
                <w:rFonts w:cs="Calibri"/>
              </w:rPr>
              <w:t>N = 525</w:t>
            </w:r>
          </w:p>
        </w:tc>
        <w:tc>
          <w:tcPr>
            <w:tcW w:w="1386" w:type="pct"/>
            <w:gridSpan w:val="2"/>
            <w:tcBorders>
              <w:top w:val="single" w:sz="4" w:space="0" w:color="auto"/>
              <w:left w:val="single" w:sz="4" w:space="0" w:color="auto"/>
              <w:bottom w:val="single" w:sz="4" w:space="0" w:color="auto"/>
              <w:right w:val="single" w:sz="4" w:space="0" w:color="auto"/>
            </w:tcBorders>
            <w:vAlign w:val="center"/>
          </w:tcPr>
          <w:p w:rsidR="005140F3" w:rsidRPr="007F2BDD" w:rsidRDefault="005140F3" w:rsidP="005F43D9">
            <w:pPr>
              <w:pStyle w:val="TableText0"/>
              <w:keepNext/>
              <w:keepLines/>
            </w:pPr>
          </w:p>
        </w:tc>
      </w:tr>
      <w:tr w:rsidR="005140F3" w:rsidRPr="007F2BDD" w:rsidTr="0028727B">
        <w:trPr>
          <w:trHeight w:val="284"/>
        </w:trPr>
        <w:tc>
          <w:tcPr>
            <w:tcW w:w="66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A/H1N1</w:t>
            </w:r>
          </w:p>
        </w:tc>
        <w:tc>
          <w:tcPr>
            <w:tcW w:w="581"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406/483</w:t>
            </w:r>
          </w:p>
        </w:tc>
        <w:tc>
          <w:tcPr>
            <w:tcW w:w="45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84.1</w:t>
            </w:r>
          </w:p>
        </w:tc>
        <w:tc>
          <w:tcPr>
            <w:tcW w:w="5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80.5; 87.2</w:t>
            </w:r>
          </w:p>
        </w:tc>
        <w:tc>
          <w:tcPr>
            <w:tcW w:w="473"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371/470</w:t>
            </w:r>
          </w:p>
        </w:tc>
        <w:tc>
          <w:tcPr>
            <w:tcW w:w="4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78.9</w:t>
            </w:r>
          </w:p>
        </w:tc>
        <w:tc>
          <w:tcPr>
            <w:tcW w:w="47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75.0; 82.5</w:t>
            </w:r>
          </w:p>
        </w:tc>
        <w:tc>
          <w:tcPr>
            <w:tcW w:w="786"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 xml:space="preserve">5.1 </w:t>
            </w:r>
            <w:r w:rsidR="000F356A" w:rsidRPr="007F2BDD">
              <w:br/>
            </w:r>
            <w:r w:rsidRPr="007F2BDD">
              <w:t>(0.189; 10.0)</w:t>
            </w:r>
          </w:p>
        </w:tc>
        <w:tc>
          <w:tcPr>
            <w:tcW w:w="6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Yes</w:t>
            </w:r>
          </w:p>
        </w:tc>
      </w:tr>
      <w:tr w:rsidR="005140F3" w:rsidRPr="007F2BDD" w:rsidTr="0028727B">
        <w:trPr>
          <w:trHeight w:val="284"/>
        </w:trPr>
        <w:tc>
          <w:tcPr>
            <w:tcW w:w="66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A/H3N2</w:t>
            </w:r>
          </w:p>
        </w:tc>
        <w:tc>
          <w:tcPr>
            <w:tcW w:w="581"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420/487</w:t>
            </w:r>
          </w:p>
        </w:tc>
        <w:tc>
          <w:tcPr>
            <w:tcW w:w="45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86.2</w:t>
            </w:r>
          </w:p>
        </w:tc>
        <w:tc>
          <w:tcPr>
            <w:tcW w:w="5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82.9; 89.2</w:t>
            </w:r>
          </w:p>
        </w:tc>
        <w:tc>
          <w:tcPr>
            <w:tcW w:w="473"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389/475</w:t>
            </w:r>
          </w:p>
        </w:tc>
        <w:tc>
          <w:tcPr>
            <w:tcW w:w="4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81.9</w:t>
            </w:r>
          </w:p>
        </w:tc>
        <w:tc>
          <w:tcPr>
            <w:tcW w:w="47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78.1; 85.3</w:t>
            </w:r>
          </w:p>
        </w:tc>
        <w:tc>
          <w:tcPr>
            <w:tcW w:w="786"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 xml:space="preserve">4.3 </w:t>
            </w:r>
            <w:r w:rsidR="000F356A" w:rsidRPr="007F2BDD">
              <w:br/>
            </w:r>
            <w:r w:rsidRPr="007F2BDD">
              <w:t>(-0.283; 8.99)</w:t>
            </w:r>
          </w:p>
        </w:tc>
        <w:tc>
          <w:tcPr>
            <w:tcW w:w="6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Yes</w:t>
            </w:r>
          </w:p>
        </w:tc>
      </w:tr>
      <w:tr w:rsidR="005140F3" w:rsidRPr="007F2BDD" w:rsidTr="0028727B">
        <w:trPr>
          <w:trHeight w:val="284"/>
        </w:trPr>
        <w:tc>
          <w:tcPr>
            <w:tcW w:w="66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B Victoria</w:t>
            </w:r>
          </w:p>
        </w:tc>
        <w:tc>
          <w:tcPr>
            <w:tcW w:w="581"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428/483</w:t>
            </w:r>
          </w:p>
        </w:tc>
        <w:tc>
          <w:tcPr>
            <w:tcW w:w="45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88.6</w:t>
            </w:r>
          </w:p>
        </w:tc>
        <w:tc>
          <w:tcPr>
            <w:tcW w:w="5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85.4; 91.3</w:t>
            </w:r>
          </w:p>
        </w:tc>
        <w:tc>
          <w:tcPr>
            <w:tcW w:w="473"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410/470</w:t>
            </w:r>
          </w:p>
        </w:tc>
        <w:tc>
          <w:tcPr>
            <w:tcW w:w="4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87.2</w:t>
            </w:r>
          </w:p>
        </w:tc>
        <w:tc>
          <w:tcPr>
            <w:tcW w:w="47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83.9; 90.1</w:t>
            </w:r>
          </w:p>
        </w:tc>
        <w:tc>
          <w:tcPr>
            <w:tcW w:w="786"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1.4 (-2.78; 5.56)</w:t>
            </w:r>
          </w:p>
        </w:tc>
        <w:tc>
          <w:tcPr>
            <w:tcW w:w="6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Yes</w:t>
            </w:r>
          </w:p>
        </w:tc>
      </w:tr>
      <w:tr w:rsidR="005140F3" w:rsidRPr="007F2BDD" w:rsidTr="0028727B">
        <w:trPr>
          <w:trHeight w:val="284"/>
        </w:trPr>
        <w:tc>
          <w:tcPr>
            <w:tcW w:w="66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B Yamagata</w:t>
            </w:r>
          </w:p>
        </w:tc>
        <w:tc>
          <w:tcPr>
            <w:tcW w:w="581"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445/488</w:t>
            </w:r>
          </w:p>
        </w:tc>
        <w:tc>
          <w:tcPr>
            <w:tcW w:w="45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91.2</w:t>
            </w:r>
          </w:p>
        </w:tc>
        <w:tc>
          <w:tcPr>
            <w:tcW w:w="5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88.3; 93.5</w:t>
            </w:r>
          </w:p>
        </w:tc>
        <w:tc>
          <w:tcPr>
            <w:tcW w:w="473"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416/474</w:t>
            </w:r>
          </w:p>
        </w:tc>
        <w:tc>
          <w:tcPr>
            <w:tcW w:w="4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87.8</w:t>
            </w:r>
          </w:p>
        </w:tc>
        <w:tc>
          <w:tcPr>
            <w:tcW w:w="47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84.5; 90.6</w:t>
            </w:r>
          </w:p>
        </w:tc>
        <w:tc>
          <w:tcPr>
            <w:tcW w:w="786"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 xml:space="preserve">3.4 </w:t>
            </w:r>
            <w:r w:rsidR="000F356A" w:rsidRPr="007F2BDD">
              <w:br/>
            </w:r>
            <w:r w:rsidRPr="007F2BDD">
              <w:t>(-0.465; 7.36)</w:t>
            </w:r>
          </w:p>
        </w:tc>
        <w:tc>
          <w:tcPr>
            <w:tcW w:w="6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Yes</w:t>
            </w:r>
          </w:p>
        </w:tc>
      </w:tr>
      <w:tr w:rsidR="005140F3" w:rsidRPr="007F2BDD" w:rsidTr="0028727B">
        <w:trPr>
          <w:trHeight w:val="284"/>
        </w:trPr>
        <w:tc>
          <w:tcPr>
            <w:tcW w:w="668"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pStyle w:val="TableText0"/>
              <w:keepNext/>
              <w:keepLines/>
              <w:rPr>
                <w:b/>
              </w:rPr>
            </w:pPr>
            <w:r w:rsidRPr="005F43D9">
              <w:rPr>
                <w:b/>
              </w:rPr>
              <w:t>FAS</w:t>
            </w:r>
          </w:p>
        </w:tc>
        <w:tc>
          <w:tcPr>
            <w:tcW w:w="1532" w:type="pct"/>
            <w:gridSpan w:val="3"/>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rPr>
                <w:rFonts w:cs="Calibri"/>
              </w:rPr>
              <w:t>N = 597</w:t>
            </w:r>
          </w:p>
        </w:tc>
        <w:tc>
          <w:tcPr>
            <w:tcW w:w="1415" w:type="pct"/>
            <w:gridSpan w:val="3"/>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rPr>
                <w:rFonts w:cs="Calibri"/>
              </w:rPr>
              <w:t>N = 584</w:t>
            </w:r>
          </w:p>
        </w:tc>
        <w:tc>
          <w:tcPr>
            <w:tcW w:w="1386" w:type="pct"/>
            <w:gridSpan w:val="2"/>
            <w:tcBorders>
              <w:top w:val="single" w:sz="4" w:space="0" w:color="auto"/>
              <w:left w:val="single" w:sz="4" w:space="0" w:color="auto"/>
              <w:bottom w:val="single" w:sz="4" w:space="0" w:color="auto"/>
              <w:right w:val="single" w:sz="4" w:space="0" w:color="auto"/>
            </w:tcBorders>
            <w:vAlign w:val="center"/>
          </w:tcPr>
          <w:p w:rsidR="005140F3" w:rsidRPr="007F2BDD" w:rsidRDefault="005140F3" w:rsidP="005F43D9">
            <w:pPr>
              <w:pStyle w:val="TableText0"/>
              <w:keepNext/>
              <w:keepLines/>
              <w:rPr>
                <w:highlight w:val="lightGray"/>
              </w:rPr>
            </w:pPr>
          </w:p>
        </w:tc>
      </w:tr>
      <w:tr w:rsidR="005140F3" w:rsidRPr="007F2BDD" w:rsidTr="0028727B">
        <w:trPr>
          <w:trHeight w:val="284"/>
        </w:trPr>
        <w:tc>
          <w:tcPr>
            <w:tcW w:w="66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A/H1N1</w:t>
            </w:r>
          </w:p>
        </w:tc>
        <w:tc>
          <w:tcPr>
            <w:tcW w:w="581"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445/527</w:t>
            </w:r>
          </w:p>
        </w:tc>
        <w:tc>
          <w:tcPr>
            <w:tcW w:w="45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84.4</w:t>
            </w:r>
          </w:p>
        </w:tc>
        <w:tc>
          <w:tcPr>
            <w:tcW w:w="5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81.1; 87.4</w:t>
            </w:r>
          </w:p>
        </w:tc>
        <w:tc>
          <w:tcPr>
            <w:tcW w:w="473"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412/521</w:t>
            </w:r>
          </w:p>
        </w:tc>
        <w:tc>
          <w:tcPr>
            <w:tcW w:w="4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79.1</w:t>
            </w:r>
          </w:p>
        </w:tc>
        <w:tc>
          <w:tcPr>
            <w:tcW w:w="47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75.3; 82.5</w:t>
            </w:r>
          </w:p>
        </w:tc>
        <w:tc>
          <w:tcPr>
            <w:tcW w:w="786"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 xml:space="preserve">5.4 </w:t>
            </w:r>
            <w:r w:rsidR="000F356A" w:rsidRPr="007F2BDD">
              <w:br/>
            </w:r>
            <w:r w:rsidRPr="007F2BDD">
              <w:t>(0.683; 10.0)</w:t>
            </w:r>
          </w:p>
        </w:tc>
        <w:tc>
          <w:tcPr>
            <w:tcW w:w="6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Yes</w:t>
            </w:r>
          </w:p>
        </w:tc>
      </w:tr>
      <w:tr w:rsidR="005140F3" w:rsidRPr="007F2BDD" w:rsidTr="0028727B">
        <w:trPr>
          <w:trHeight w:val="284"/>
        </w:trPr>
        <w:tc>
          <w:tcPr>
            <w:tcW w:w="66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A/H3N2</w:t>
            </w:r>
          </w:p>
        </w:tc>
        <w:tc>
          <w:tcPr>
            <w:tcW w:w="581"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460/532</w:t>
            </w:r>
          </w:p>
        </w:tc>
        <w:tc>
          <w:tcPr>
            <w:tcW w:w="45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86.5</w:t>
            </w:r>
          </w:p>
        </w:tc>
        <w:tc>
          <w:tcPr>
            <w:tcW w:w="5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83.3; 89.3</w:t>
            </w:r>
          </w:p>
        </w:tc>
        <w:tc>
          <w:tcPr>
            <w:tcW w:w="473"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434/527</w:t>
            </w:r>
          </w:p>
        </w:tc>
        <w:tc>
          <w:tcPr>
            <w:tcW w:w="4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82.4</w:t>
            </w:r>
          </w:p>
        </w:tc>
        <w:tc>
          <w:tcPr>
            <w:tcW w:w="47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78.8; 85.5</w:t>
            </w:r>
          </w:p>
        </w:tc>
        <w:tc>
          <w:tcPr>
            <w:tcW w:w="786"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 xml:space="preserve">4.1 </w:t>
            </w:r>
            <w:r w:rsidR="000F356A" w:rsidRPr="007F2BDD">
              <w:br/>
            </w:r>
            <w:r w:rsidRPr="007F2BDD">
              <w:t>(-0.263; 8.49)</w:t>
            </w:r>
          </w:p>
        </w:tc>
        <w:tc>
          <w:tcPr>
            <w:tcW w:w="6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Yes</w:t>
            </w:r>
          </w:p>
        </w:tc>
      </w:tr>
      <w:tr w:rsidR="005140F3" w:rsidRPr="007F2BDD" w:rsidTr="0028727B">
        <w:trPr>
          <w:trHeight w:val="284"/>
        </w:trPr>
        <w:tc>
          <w:tcPr>
            <w:tcW w:w="66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B Victoria</w:t>
            </w:r>
          </w:p>
        </w:tc>
        <w:tc>
          <w:tcPr>
            <w:tcW w:w="581"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466/527</w:t>
            </w:r>
          </w:p>
        </w:tc>
        <w:tc>
          <w:tcPr>
            <w:tcW w:w="45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88.4</w:t>
            </w:r>
          </w:p>
        </w:tc>
        <w:tc>
          <w:tcPr>
            <w:tcW w:w="5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85.4; 91.0</w:t>
            </w:r>
          </w:p>
        </w:tc>
        <w:tc>
          <w:tcPr>
            <w:tcW w:w="473"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452/521</w:t>
            </w:r>
          </w:p>
        </w:tc>
        <w:tc>
          <w:tcPr>
            <w:tcW w:w="4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86.8</w:t>
            </w:r>
          </w:p>
        </w:tc>
        <w:tc>
          <w:tcPr>
            <w:tcW w:w="47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83.5; 89.5</w:t>
            </w:r>
          </w:p>
        </w:tc>
        <w:tc>
          <w:tcPr>
            <w:tcW w:w="786"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1.7 (-2.34; 5.69)</w:t>
            </w:r>
          </w:p>
        </w:tc>
        <w:tc>
          <w:tcPr>
            <w:tcW w:w="6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Yes</w:t>
            </w:r>
          </w:p>
        </w:tc>
      </w:tr>
      <w:tr w:rsidR="005140F3" w:rsidRPr="007F2BDD" w:rsidTr="0028727B">
        <w:trPr>
          <w:trHeight w:val="284"/>
        </w:trPr>
        <w:tc>
          <w:tcPr>
            <w:tcW w:w="66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B Yamagata</w:t>
            </w:r>
          </w:p>
        </w:tc>
        <w:tc>
          <w:tcPr>
            <w:tcW w:w="581"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486/532</w:t>
            </w:r>
          </w:p>
        </w:tc>
        <w:tc>
          <w:tcPr>
            <w:tcW w:w="45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91.4</w:t>
            </w:r>
          </w:p>
        </w:tc>
        <w:tc>
          <w:tcPr>
            <w:tcW w:w="5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88.6; 93.6</w:t>
            </w:r>
          </w:p>
        </w:tc>
        <w:tc>
          <w:tcPr>
            <w:tcW w:w="473"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461/526</w:t>
            </w:r>
          </w:p>
        </w:tc>
        <w:tc>
          <w:tcPr>
            <w:tcW w:w="4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87.6</w:t>
            </w:r>
          </w:p>
        </w:tc>
        <w:tc>
          <w:tcPr>
            <w:tcW w:w="47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84.5; 90.3</w:t>
            </w:r>
          </w:p>
        </w:tc>
        <w:tc>
          <w:tcPr>
            <w:tcW w:w="786"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rPr>
                <w:highlight w:val="lightGray"/>
              </w:rPr>
            </w:pPr>
            <w:r w:rsidRPr="007F2BDD">
              <w:t xml:space="preserve">3.7 </w:t>
            </w:r>
            <w:r w:rsidR="000F356A" w:rsidRPr="007F2BDD">
              <w:br/>
            </w:r>
            <w:r w:rsidRPr="007F2BDD">
              <w:t>(0.006; 7.45)</w:t>
            </w:r>
          </w:p>
        </w:tc>
        <w:tc>
          <w:tcPr>
            <w:tcW w:w="60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5F43D9">
            <w:pPr>
              <w:pStyle w:val="TableText0"/>
              <w:keepNext/>
              <w:keepLines/>
            </w:pPr>
            <w:r w:rsidRPr="007F2BDD">
              <w:t>Yes</w:t>
            </w:r>
          </w:p>
        </w:tc>
      </w:tr>
    </w:tbl>
    <w:p w:rsidR="005140F3" w:rsidRPr="007F2BDD" w:rsidRDefault="005140F3" w:rsidP="005F43D9">
      <w:pPr>
        <w:pStyle w:val="TableFigureFooter"/>
      </w:pPr>
      <w:r w:rsidRPr="007F2BDD">
        <w:t>CI, confidence interval; FAS, full analysis set; M, number of subjects with a valid serology result for the particular antigen; N, number of subjects analysed according to the PP analysis set or the FAS, as applicable; n, number of subjects who experienced seroconversion; PP, per protocol; SC = seroconversion.</w:t>
      </w:r>
    </w:p>
    <w:p w:rsidR="005140F3" w:rsidRPr="007F2BDD" w:rsidRDefault="005140F3" w:rsidP="005F43D9">
      <w:pPr>
        <w:pStyle w:val="TableFigureFooter"/>
        <w:spacing w:after="120"/>
      </w:pPr>
      <w:r w:rsidRPr="007F2BDD">
        <w:lastRenderedPageBreak/>
        <w:t xml:space="preserve">Source: </w:t>
      </w:r>
      <w:r w:rsidR="002573EA" w:rsidRPr="007F2BDD">
        <w:t xml:space="preserve">Adapted from </w:t>
      </w:r>
      <w:r w:rsidRPr="007F2BDD">
        <w:t xml:space="preserve">Table 2.5.3, pp46-47 of the submission. </w:t>
      </w:r>
    </w:p>
    <w:p w:rsidR="00166600" w:rsidRPr="007F2BDD" w:rsidRDefault="00166600" w:rsidP="005F43D9">
      <w:pPr>
        <w:pStyle w:val="3-BodyText"/>
      </w:pPr>
      <w:r w:rsidRPr="007F2BDD">
        <w:t>The lower limit of the 2-sided 95% CI of the GMT ratio between groups was greater than the pre-defined non-inferiority criteria of 0.667 nominated in the submission for all four vaccine strains, as determined by per-protocol and full analysis sets, hence non-inferiority was claimed on this outcome.</w:t>
      </w:r>
    </w:p>
    <w:p w:rsidR="005140F3" w:rsidRPr="007F2BDD" w:rsidRDefault="005140F3" w:rsidP="005F43D9">
      <w:pPr>
        <w:pStyle w:val="3-BodyText"/>
      </w:pPr>
      <w:r w:rsidRPr="007F2BDD">
        <w:t>The lower limit of the 2-sided 95% CI of the difference in</w:t>
      </w:r>
      <w:r w:rsidR="008E0072" w:rsidRPr="007F2BDD">
        <w:t xml:space="preserve"> SCRs</w:t>
      </w:r>
      <w:r w:rsidRPr="007F2BDD">
        <w:t xml:space="preserve"> was greater than the pre-defined non-inferiority criteria of &gt;-10%, considered separately for each vaccine strain, hence non-inferiority was claimed on this outcome</w:t>
      </w:r>
      <w:r w:rsidR="007F2BDD">
        <w:t xml:space="preserve">. </w:t>
      </w:r>
    </w:p>
    <w:p w:rsidR="008F1016" w:rsidRPr="007F2BDD" w:rsidRDefault="005140F3" w:rsidP="005F43D9">
      <w:pPr>
        <w:pStyle w:val="3-BodyText"/>
      </w:pPr>
      <w:r w:rsidRPr="007F2BDD">
        <w:t>The</w:t>
      </w:r>
      <w:r w:rsidR="006D5D1E" w:rsidRPr="007F2BDD">
        <w:t xml:space="preserve"> evaluation and ESC considered that the</w:t>
      </w:r>
      <w:r w:rsidRPr="007F2BDD">
        <w:t xml:space="preserve"> clinical claim of non-inferiority </w:t>
      </w:r>
      <w:r w:rsidR="00F07C40" w:rsidRPr="007F2BDD">
        <w:t xml:space="preserve">based on effectiveness </w:t>
      </w:r>
      <w:r w:rsidRPr="007F2BDD">
        <w:t xml:space="preserve">for </w:t>
      </w:r>
      <w:proofErr w:type="spellStart"/>
      <w:r w:rsidR="00415EEE" w:rsidRPr="007F2BDD">
        <w:t>FluQuadri</w:t>
      </w:r>
      <w:proofErr w:type="spellEnd"/>
      <w:r w:rsidRPr="007F2BDD">
        <w:t xml:space="preserve"> compared to </w:t>
      </w:r>
      <w:proofErr w:type="spellStart"/>
      <w:r w:rsidR="00415EEE" w:rsidRPr="007F2BDD">
        <w:t>FluQuadri</w:t>
      </w:r>
      <w:proofErr w:type="spellEnd"/>
      <w:r w:rsidR="00415EEE" w:rsidRPr="007F2BDD">
        <w:t xml:space="preserve"> Junior</w:t>
      </w:r>
      <w:r w:rsidRPr="007F2BDD">
        <w:t xml:space="preserve"> </w:t>
      </w:r>
      <w:r w:rsidR="00255682" w:rsidRPr="007F2BDD">
        <w:t>wa</w:t>
      </w:r>
      <w:r w:rsidRPr="007F2BDD">
        <w:t>s reasonable.</w:t>
      </w:r>
      <w:r w:rsidR="00C445F7" w:rsidRPr="007F2BDD">
        <w:t xml:space="preserve"> </w:t>
      </w:r>
    </w:p>
    <w:p w:rsidR="008F1016" w:rsidRPr="007F2BDD" w:rsidRDefault="00745416" w:rsidP="005F43D9">
      <w:pPr>
        <w:pStyle w:val="Heading3"/>
        <w:rPr>
          <w:i w:val="0"/>
        </w:rPr>
      </w:pPr>
      <w:r w:rsidRPr="007F2BDD">
        <w:rPr>
          <w:i w:val="0"/>
        </w:rPr>
        <w:t>Healthy c</w:t>
      </w:r>
      <w:r w:rsidR="008F1016" w:rsidRPr="007F2BDD">
        <w:rPr>
          <w:i w:val="0"/>
        </w:rPr>
        <w:t>hildren aged 6 months to &lt;5 years</w:t>
      </w:r>
    </w:p>
    <w:p w:rsidR="00702835" w:rsidRPr="007F2BDD" w:rsidRDefault="00702835" w:rsidP="005F43D9">
      <w:pPr>
        <w:pStyle w:val="3-BodyText"/>
      </w:pPr>
      <w:r w:rsidRPr="007F2BDD">
        <w:t xml:space="preserve">The </w:t>
      </w:r>
      <w:proofErr w:type="spellStart"/>
      <w:r w:rsidRPr="007F2BDD">
        <w:t>Vaxigrip</w:t>
      </w:r>
      <w:proofErr w:type="spellEnd"/>
      <w:r w:rsidRPr="007F2BDD">
        <w:t xml:space="preserve"> Tetra submission considered by PBAC in July 2019 presented an indirect comparison of </w:t>
      </w:r>
      <w:proofErr w:type="spellStart"/>
      <w:r w:rsidRPr="007F2BDD">
        <w:t>Vaxigrip</w:t>
      </w:r>
      <w:proofErr w:type="spellEnd"/>
      <w:r w:rsidRPr="007F2BDD">
        <w:t xml:space="preserve"> Tetra to the QIV comparators (</w:t>
      </w:r>
      <w:proofErr w:type="spellStart"/>
      <w:r w:rsidRPr="007F2BDD">
        <w:t>FluQuadri</w:t>
      </w:r>
      <w:proofErr w:type="spellEnd"/>
      <w:r w:rsidRPr="007F2BDD">
        <w:t xml:space="preserve"> and </w:t>
      </w:r>
      <w:proofErr w:type="spellStart"/>
      <w:r w:rsidRPr="007F2BDD">
        <w:t>FluQuadri</w:t>
      </w:r>
      <w:proofErr w:type="spellEnd"/>
      <w:r w:rsidRPr="007F2BDD">
        <w:t xml:space="preserve"> Junior) using TIVs as the common comparator, to support the request for listing in at-risk individuals currently eligible for vaccination under the NIP. The PBAC noted that the eligibility criteria of the trials used in the indirect comparison excluded persons for whom yearly seasonal vaccination is recommended under the NIP</w:t>
      </w:r>
      <w:r w:rsidR="00EE2B11" w:rsidRPr="007F2BDD">
        <w:t xml:space="preserve"> (i.e., the trials were conducted in healthy individuals) </w:t>
      </w:r>
      <w:r w:rsidRPr="007F2BDD">
        <w:t xml:space="preserve">(paragraphs 7.10-7.11, </w:t>
      </w:r>
      <w:r w:rsidR="00FD7CB1" w:rsidRPr="007F2BDD">
        <w:t xml:space="preserve">QIV, </w:t>
      </w:r>
      <w:proofErr w:type="spellStart"/>
      <w:r w:rsidR="00FD7CB1" w:rsidRPr="007F2BDD">
        <w:t>Vaxigrip</w:t>
      </w:r>
      <w:proofErr w:type="spellEnd"/>
      <w:r w:rsidR="00FD7CB1" w:rsidRPr="007F2BDD">
        <w:t xml:space="preserve"> Tetra, PSD, July 2019 PBAC meeting</w:t>
      </w:r>
      <w:r w:rsidRPr="007F2BDD">
        <w:t>).</w:t>
      </w:r>
      <w:r w:rsidR="00EE2B11" w:rsidRPr="007F2BDD">
        <w:t xml:space="preserve"> </w:t>
      </w:r>
      <w:r w:rsidRPr="007F2BDD">
        <w:t>The PBAC noted that the submission used SCR as a surrogate measure for the assessment of comparative efficacy and recalled</w:t>
      </w:r>
      <w:r w:rsidRPr="007F2BDD">
        <w:rPr>
          <w:rFonts w:asciiTheme="minorHAnsi" w:hAnsiTheme="minorHAnsi"/>
          <w:bCs/>
        </w:rPr>
        <w:t xml:space="preserve"> that immunogenicity outcomes have been used previously for PBAC decision-making.</w:t>
      </w:r>
      <w:r w:rsidRPr="007F2BDD">
        <w:rPr>
          <w:rFonts w:asciiTheme="minorHAnsi" w:hAnsiTheme="minorHAnsi"/>
          <w:bCs/>
          <w:color w:val="FF0000"/>
        </w:rPr>
        <w:t xml:space="preserve"> </w:t>
      </w:r>
      <w:r w:rsidR="00495C91" w:rsidRPr="007F2BDD">
        <w:t>B</w:t>
      </w:r>
      <w:r w:rsidRPr="007F2BDD">
        <w:t xml:space="preserve">ased on the estimated SCRs there was some uncertainty regarding the non-inferiority of </w:t>
      </w:r>
      <w:proofErr w:type="spellStart"/>
      <w:r w:rsidRPr="007F2BDD">
        <w:t>Vaxigrip</w:t>
      </w:r>
      <w:proofErr w:type="spellEnd"/>
      <w:r w:rsidRPr="007F2BDD">
        <w:t xml:space="preserve"> Tetra compared to </w:t>
      </w:r>
      <w:proofErr w:type="spellStart"/>
      <w:r w:rsidRPr="007F2BDD">
        <w:t>FluQuadri</w:t>
      </w:r>
      <w:proofErr w:type="spellEnd"/>
      <w:r w:rsidRPr="007F2BDD">
        <w:t>, especially in the elderly and young subpopulations</w:t>
      </w:r>
      <w:r w:rsidR="00EE2B11" w:rsidRPr="007F2BDD">
        <w:t xml:space="preserve"> (paragraph 7.12), with the evaluation </w:t>
      </w:r>
      <w:r w:rsidR="009775D5" w:rsidRPr="007F2BDD">
        <w:t xml:space="preserve">and the ESC </w:t>
      </w:r>
      <w:r w:rsidR="00EE2B11" w:rsidRPr="007F2BDD">
        <w:t>noting that th</w:t>
      </w:r>
      <w:r w:rsidR="009775D5" w:rsidRPr="007F2BDD">
        <w:t>e indirect comparison indicated</w:t>
      </w:r>
      <w:r w:rsidR="00EE2B11" w:rsidRPr="007F2BDD">
        <w:t xml:space="preserve"> that </w:t>
      </w:r>
      <w:proofErr w:type="spellStart"/>
      <w:r w:rsidR="00EE2B11" w:rsidRPr="007F2BDD">
        <w:t>Vaxigrip</w:t>
      </w:r>
      <w:proofErr w:type="spellEnd"/>
      <w:r w:rsidR="00EE2B11" w:rsidRPr="007F2BDD">
        <w:t xml:space="preserve"> Tetra may be less effective than </w:t>
      </w:r>
      <w:proofErr w:type="spellStart"/>
      <w:r w:rsidR="00EE2B11" w:rsidRPr="007F2BDD">
        <w:t>FluQuadri</w:t>
      </w:r>
      <w:proofErr w:type="spellEnd"/>
      <w:r w:rsidR="00EE2B11" w:rsidRPr="007F2BDD">
        <w:t xml:space="preserve"> (paragraph</w:t>
      </w:r>
      <w:r w:rsidR="009775D5" w:rsidRPr="007F2BDD">
        <w:t>s</w:t>
      </w:r>
      <w:r w:rsidR="00EE2B11" w:rsidRPr="007F2BDD">
        <w:t xml:space="preserve"> 6.28</w:t>
      </w:r>
      <w:r w:rsidR="009775D5" w:rsidRPr="007F2BDD">
        <w:t>-6.29</w:t>
      </w:r>
      <w:r w:rsidR="00EE2B11" w:rsidRPr="007F2BDD">
        <w:t>)</w:t>
      </w:r>
      <w:r w:rsidRPr="007F2BDD">
        <w:t xml:space="preserve">. However, overall the PBAC considered that the claim of non-inferiority of </w:t>
      </w:r>
      <w:proofErr w:type="spellStart"/>
      <w:r w:rsidRPr="007F2BDD">
        <w:t>Vaxigrip</w:t>
      </w:r>
      <w:proofErr w:type="spellEnd"/>
      <w:r w:rsidRPr="007F2BDD">
        <w:t xml:space="preserve"> Tetra to </w:t>
      </w:r>
      <w:proofErr w:type="spellStart"/>
      <w:r w:rsidRPr="007F2BDD">
        <w:t>FluQuadri</w:t>
      </w:r>
      <w:proofErr w:type="spellEnd"/>
      <w:r w:rsidRPr="007F2BDD">
        <w:t xml:space="preserve"> to be reasonable (paragraph 7.12)</w:t>
      </w:r>
      <w:r w:rsidR="00EE2B11" w:rsidRPr="007F2BDD">
        <w:t>.</w:t>
      </w:r>
    </w:p>
    <w:p w:rsidR="00F164D7" w:rsidRPr="007F2BDD" w:rsidRDefault="00C445F7" w:rsidP="005F43D9">
      <w:pPr>
        <w:pStyle w:val="3-BodyText"/>
      </w:pPr>
      <w:r w:rsidRPr="007F2BDD">
        <w:t>The ESC</w:t>
      </w:r>
      <w:r w:rsidR="009775D5" w:rsidRPr="007F2BDD">
        <w:t xml:space="preserve"> considered that the indirect comparison of </w:t>
      </w:r>
      <w:proofErr w:type="spellStart"/>
      <w:r w:rsidR="009775D5" w:rsidRPr="007F2BDD">
        <w:t>FluQuadri</w:t>
      </w:r>
      <w:proofErr w:type="spellEnd"/>
      <w:r w:rsidR="009775D5" w:rsidRPr="007F2BDD">
        <w:t>/</w:t>
      </w:r>
      <w:proofErr w:type="spellStart"/>
      <w:r w:rsidR="009775D5" w:rsidRPr="007F2BDD">
        <w:t>FluQuadri</w:t>
      </w:r>
      <w:proofErr w:type="spellEnd"/>
      <w:r w:rsidR="009775D5" w:rsidRPr="007F2BDD">
        <w:t xml:space="preserve"> Junior to </w:t>
      </w:r>
      <w:proofErr w:type="spellStart"/>
      <w:r w:rsidR="009775D5" w:rsidRPr="007F2BDD">
        <w:t>Vaxigrip</w:t>
      </w:r>
      <w:proofErr w:type="spellEnd"/>
      <w:r w:rsidR="009775D5" w:rsidRPr="007F2BDD">
        <w:t xml:space="preserve"> Tetra in healthy individuals that was presented in the July 2019 </w:t>
      </w:r>
      <w:proofErr w:type="spellStart"/>
      <w:r w:rsidR="009775D5" w:rsidRPr="007F2BDD">
        <w:t>Vaxigrip</w:t>
      </w:r>
      <w:proofErr w:type="spellEnd"/>
      <w:r w:rsidR="009775D5" w:rsidRPr="007F2BDD">
        <w:t xml:space="preserve"> Tetra submission to support the request for listing in at-risk individuals (including children), indicated that </w:t>
      </w:r>
      <w:proofErr w:type="spellStart"/>
      <w:r w:rsidR="009775D5" w:rsidRPr="007F2BDD">
        <w:t>FluQuadri</w:t>
      </w:r>
      <w:proofErr w:type="spellEnd"/>
      <w:r w:rsidR="009775D5" w:rsidRPr="007F2BDD">
        <w:t xml:space="preserve"> would be at least non-inferior to </w:t>
      </w:r>
      <w:proofErr w:type="spellStart"/>
      <w:r w:rsidR="009775D5" w:rsidRPr="007F2BDD">
        <w:t>Vaxigrip</w:t>
      </w:r>
      <w:proofErr w:type="spellEnd"/>
      <w:r w:rsidR="009775D5" w:rsidRPr="007F2BDD">
        <w:t xml:space="preserve"> Tetra in healthy children aged </w:t>
      </w:r>
      <w:r w:rsidR="00495C91" w:rsidRPr="007F2BDD">
        <w:t>6 months to &lt;</w:t>
      </w:r>
      <w:r w:rsidR="009775D5" w:rsidRPr="007F2BDD">
        <w:t>5 years.</w:t>
      </w:r>
    </w:p>
    <w:p w:rsidR="00472285" w:rsidRPr="007F2BDD" w:rsidRDefault="00472285" w:rsidP="005F43D9">
      <w:pPr>
        <w:pStyle w:val="3-BodyText"/>
      </w:pPr>
      <w:r w:rsidRPr="007F2BDD">
        <w:t>The ESC also noted that in January 2019, the</w:t>
      </w:r>
      <w:r w:rsidR="00E96EFF" w:rsidRPr="007F2BDD">
        <w:t xml:space="preserve"> United States</w:t>
      </w:r>
      <w:r w:rsidRPr="007F2BDD">
        <w:t xml:space="preserve"> </w:t>
      </w:r>
      <w:r w:rsidR="00F164D7" w:rsidRPr="007F2BDD">
        <w:t xml:space="preserve">(US) </w:t>
      </w:r>
      <w:r w:rsidR="00E96EFF" w:rsidRPr="007F2BDD">
        <w:t>Food and Drug Administration (</w:t>
      </w:r>
      <w:r w:rsidRPr="007F2BDD">
        <w:t>FDA</w:t>
      </w:r>
      <w:r w:rsidR="00E96EFF" w:rsidRPr="007F2BDD">
        <w:t>)</w:t>
      </w:r>
      <w:r w:rsidRPr="007F2BDD">
        <w:t xml:space="preserve"> approved a change in</w:t>
      </w:r>
      <w:r w:rsidR="00E96EFF" w:rsidRPr="007F2BDD">
        <w:t xml:space="preserve"> the listing for</w:t>
      </w:r>
      <w:r w:rsidRPr="007F2BDD">
        <w:t xml:space="preserve"> </w:t>
      </w:r>
      <w:proofErr w:type="spellStart"/>
      <w:r w:rsidRPr="007F2BDD">
        <w:t>Fluzone</w:t>
      </w:r>
      <w:proofErr w:type="spellEnd"/>
      <w:r w:rsidRPr="007F2BDD">
        <w:t xml:space="preserve"> </w:t>
      </w:r>
      <w:proofErr w:type="spellStart"/>
      <w:r w:rsidRPr="007F2BDD">
        <w:t>Quadrivalent</w:t>
      </w:r>
      <w:proofErr w:type="spellEnd"/>
      <w:r w:rsidRPr="007F2BDD">
        <w:t xml:space="preserve"> (the brand for </w:t>
      </w:r>
      <w:proofErr w:type="spellStart"/>
      <w:r w:rsidRPr="007F2BDD">
        <w:t>FluQuadri</w:t>
      </w:r>
      <w:proofErr w:type="spellEnd"/>
      <w:r w:rsidRPr="007F2BDD">
        <w:t xml:space="preserve"> vaccine in the </w:t>
      </w:r>
      <w:r w:rsidR="00E96EFF" w:rsidRPr="007F2BDD">
        <w:t>US</w:t>
      </w:r>
      <w:r w:rsidRPr="007F2BDD">
        <w:t>) to enable use of the 0.5</w:t>
      </w:r>
      <w:r w:rsidR="003E4CCC" w:rsidRPr="007F2BDD">
        <w:t xml:space="preserve"> </w:t>
      </w:r>
      <w:r w:rsidRPr="007F2BDD">
        <w:t>mL dose in children</w:t>
      </w:r>
      <w:r w:rsidR="003E4CCC" w:rsidRPr="007F2BDD">
        <w:t xml:space="preserve"> aged</w:t>
      </w:r>
      <w:r w:rsidRPr="007F2BDD">
        <w:t xml:space="preserve"> 6 </w:t>
      </w:r>
      <w:r w:rsidR="00E96EFF" w:rsidRPr="007F2BDD">
        <w:t>to</w:t>
      </w:r>
      <w:r w:rsidRPr="007F2BDD">
        <w:t xml:space="preserve"> </w:t>
      </w:r>
      <w:r w:rsidR="00F164D7" w:rsidRPr="007F2BDD">
        <w:t>35</w:t>
      </w:r>
      <w:r w:rsidRPr="007F2BDD">
        <w:t xml:space="preserve"> months, with no preference </w:t>
      </w:r>
      <w:r w:rsidR="00E96EFF" w:rsidRPr="007F2BDD">
        <w:t xml:space="preserve">for </w:t>
      </w:r>
      <w:r w:rsidR="00F164D7" w:rsidRPr="007F2BDD">
        <w:t>whether the 0.25 mL or 0.5 mL</w:t>
      </w:r>
      <w:r w:rsidR="00E96EFF" w:rsidRPr="007F2BDD">
        <w:t xml:space="preserve"> dose is used.</w:t>
      </w:r>
      <w:r w:rsidRPr="007F2BDD">
        <w:rPr>
          <w:vertAlign w:val="superscript"/>
        </w:rPr>
        <w:footnoteReference w:id="2"/>
      </w:r>
    </w:p>
    <w:p w:rsidR="005140F3" w:rsidRPr="007F2BDD" w:rsidRDefault="005140F3" w:rsidP="005F43D9">
      <w:pPr>
        <w:pStyle w:val="4-SubsectionHeading"/>
      </w:pPr>
      <w:bookmarkStart w:id="22" w:name="_Toc16586213"/>
      <w:bookmarkStart w:id="23" w:name="_Toc19617906"/>
      <w:r w:rsidRPr="007F2BDD">
        <w:lastRenderedPageBreak/>
        <w:t>Comparative harms</w:t>
      </w:r>
      <w:bookmarkEnd w:id="22"/>
      <w:bookmarkEnd w:id="23"/>
    </w:p>
    <w:p w:rsidR="008E398E" w:rsidRPr="007F2BDD" w:rsidRDefault="00EF173D" w:rsidP="005F43D9">
      <w:pPr>
        <w:pStyle w:val="3-BodyText"/>
      </w:pPr>
      <w:r w:rsidRPr="007F2BDD">
        <w:t xml:space="preserve">The submission did not seek ATAGI pre-submission advice for </w:t>
      </w:r>
      <w:r w:rsidR="00B3389E" w:rsidRPr="007F2BDD">
        <w:t xml:space="preserve">the </w:t>
      </w:r>
      <w:r w:rsidR="00495C91" w:rsidRPr="007F2BDD">
        <w:t xml:space="preserve">requested change to listing for </w:t>
      </w:r>
      <w:proofErr w:type="spellStart"/>
      <w:r w:rsidRPr="007F2BDD">
        <w:t>FluQuadri</w:t>
      </w:r>
      <w:proofErr w:type="spellEnd"/>
      <w:r w:rsidRPr="007F2BDD">
        <w:t xml:space="preserve">. Instead, the October 2018 ATAGI advice for </w:t>
      </w:r>
      <w:proofErr w:type="spellStart"/>
      <w:r w:rsidRPr="007F2BDD">
        <w:t>Vaxigrip</w:t>
      </w:r>
      <w:proofErr w:type="spellEnd"/>
      <w:r w:rsidRPr="007F2BDD">
        <w:t xml:space="preserve"> Tetra was provided. </w:t>
      </w:r>
      <w:r w:rsidR="008E398E" w:rsidRPr="007F2BDD">
        <w:rPr>
          <w:iCs/>
        </w:rPr>
        <w:t xml:space="preserve">On balance, ATAGI noted it did not have specific concerns regarding the safety of </w:t>
      </w:r>
      <w:proofErr w:type="spellStart"/>
      <w:r w:rsidR="008E398E" w:rsidRPr="007F2BDD">
        <w:rPr>
          <w:iCs/>
        </w:rPr>
        <w:t>Vaxigrip</w:t>
      </w:r>
      <w:proofErr w:type="spellEnd"/>
      <w:r w:rsidR="008E398E" w:rsidRPr="007F2BDD">
        <w:rPr>
          <w:iCs/>
        </w:rPr>
        <w:t xml:space="preserve"> Tetra for use in children aged 6 months to &lt;5 years (ATAGI October 2018 </w:t>
      </w:r>
      <w:r w:rsidR="00B72474" w:rsidRPr="007F2BDD">
        <w:rPr>
          <w:iCs/>
        </w:rPr>
        <w:t>P</w:t>
      </w:r>
      <w:r w:rsidR="008E398E" w:rsidRPr="007F2BDD">
        <w:rPr>
          <w:iCs/>
        </w:rPr>
        <w:t>re-</w:t>
      </w:r>
      <w:r w:rsidR="00B72474" w:rsidRPr="007F2BDD">
        <w:rPr>
          <w:iCs/>
        </w:rPr>
        <w:t>S</w:t>
      </w:r>
      <w:r w:rsidR="008E398E" w:rsidRPr="007F2BDD">
        <w:rPr>
          <w:iCs/>
        </w:rPr>
        <w:t xml:space="preserve">ubmission </w:t>
      </w:r>
      <w:r w:rsidR="00B72474" w:rsidRPr="007F2BDD">
        <w:rPr>
          <w:iCs/>
        </w:rPr>
        <w:t>A</w:t>
      </w:r>
      <w:r w:rsidR="008E398E" w:rsidRPr="007F2BDD">
        <w:rPr>
          <w:iCs/>
        </w:rPr>
        <w:t xml:space="preserve">dvice, </w:t>
      </w:r>
      <w:r w:rsidR="00B72474" w:rsidRPr="007F2BDD">
        <w:rPr>
          <w:iCs/>
        </w:rPr>
        <w:t xml:space="preserve">QIV, </w:t>
      </w:r>
      <w:proofErr w:type="spellStart"/>
      <w:r w:rsidR="008E398E" w:rsidRPr="007F2BDD">
        <w:rPr>
          <w:iCs/>
        </w:rPr>
        <w:t>Vaxigrip</w:t>
      </w:r>
      <w:proofErr w:type="spellEnd"/>
      <w:r w:rsidR="008E398E" w:rsidRPr="007F2BDD">
        <w:rPr>
          <w:iCs/>
        </w:rPr>
        <w:t xml:space="preserve"> Tetra).</w:t>
      </w:r>
      <w:r w:rsidR="00B72474" w:rsidRPr="007F2BDD">
        <w:rPr>
          <w:iCs/>
        </w:rPr>
        <w:t xml:space="preserve"> </w:t>
      </w:r>
    </w:p>
    <w:p w:rsidR="00CC7717" w:rsidRPr="007F2BDD" w:rsidRDefault="00EF173D" w:rsidP="005F43D9">
      <w:pPr>
        <w:pStyle w:val="3-BodyText"/>
      </w:pPr>
      <w:r w:rsidRPr="007F2BDD">
        <w:t xml:space="preserve">The evaluation for the submission utilised this advice, considering that it may extend to </w:t>
      </w:r>
      <w:proofErr w:type="spellStart"/>
      <w:r w:rsidRPr="007F2BDD">
        <w:t>FluQuadri</w:t>
      </w:r>
      <w:proofErr w:type="spellEnd"/>
      <w:r w:rsidRPr="007F2BDD">
        <w:t xml:space="preserve">. However, there was a lack of evidence in the submission to demonstrate the similarity between these vaccines. The PSCR argued that the use of the </w:t>
      </w:r>
      <w:proofErr w:type="spellStart"/>
      <w:r w:rsidRPr="007F2BDD">
        <w:t>Vaxigrip</w:t>
      </w:r>
      <w:proofErr w:type="spellEnd"/>
      <w:r w:rsidRPr="007F2BDD">
        <w:t xml:space="preserve"> Tetra ATAGI advice was appropriate because both </w:t>
      </w:r>
      <w:proofErr w:type="spellStart"/>
      <w:r w:rsidRPr="007F2BDD">
        <w:t>Vaxigrip</w:t>
      </w:r>
      <w:proofErr w:type="spellEnd"/>
      <w:r w:rsidRPr="007F2BDD">
        <w:t xml:space="preserve"> Tetra and </w:t>
      </w:r>
      <w:proofErr w:type="spellStart"/>
      <w:r w:rsidRPr="007F2BDD">
        <w:t>FluQuadri</w:t>
      </w:r>
      <w:proofErr w:type="spellEnd"/>
      <w:r w:rsidRPr="007F2BDD">
        <w:t xml:space="preserve"> are </w:t>
      </w:r>
      <w:proofErr w:type="spellStart"/>
      <w:r w:rsidRPr="007F2BDD">
        <w:t>quadrivalent</w:t>
      </w:r>
      <w:proofErr w:type="spellEnd"/>
      <w:r w:rsidRPr="007F2BDD">
        <w:t xml:space="preserve"> vaccines utilising the same four strains and; both are manufactured in Australia using similar technology and; the populations for both submissions considered children aged 6-35 months. </w:t>
      </w:r>
      <w:r w:rsidR="003E4CCC" w:rsidRPr="007F2BDD">
        <w:t>The ESC noted that there are similarities between the vaccines, however no certainty was provided to confirm</w:t>
      </w:r>
      <w:r w:rsidR="003E4CCC" w:rsidRPr="007F2BDD">
        <w:rPr>
          <w:color w:val="000000" w:themeColor="text1"/>
        </w:rPr>
        <w:t xml:space="preserve"> whether they are manufactured in the same facility. </w:t>
      </w:r>
    </w:p>
    <w:p w:rsidR="005140F3" w:rsidRPr="007F2BDD" w:rsidRDefault="005140F3" w:rsidP="005F43D9">
      <w:pPr>
        <w:pStyle w:val="3-BodyText"/>
      </w:pPr>
      <w:r w:rsidRPr="007F2BDD">
        <w:t xml:space="preserve">Trial GRC88 presented safety results as a primary outcome, assessed by the rate of any fever associated with </w:t>
      </w:r>
      <w:proofErr w:type="spellStart"/>
      <w:r w:rsidR="00415EEE" w:rsidRPr="007F2BDD">
        <w:t>FluQuadri</w:t>
      </w:r>
      <w:proofErr w:type="spellEnd"/>
      <w:r w:rsidRPr="007F2BDD">
        <w:t xml:space="preserve"> compared with </w:t>
      </w:r>
      <w:proofErr w:type="spellStart"/>
      <w:r w:rsidR="00F11E98" w:rsidRPr="007F2BDD">
        <w:t>FluQuadri</w:t>
      </w:r>
      <w:proofErr w:type="spellEnd"/>
      <w:r w:rsidRPr="007F2BDD">
        <w:t xml:space="preserve"> </w:t>
      </w:r>
      <w:r w:rsidR="00A20012" w:rsidRPr="007F2BDD">
        <w:t>Junior</w:t>
      </w:r>
      <w:r w:rsidRPr="007F2BDD">
        <w:t xml:space="preserve"> during the seven days after either vaccination (Dose 1 or Dose 2) in children </w:t>
      </w:r>
      <w:r w:rsidR="008F53E2" w:rsidRPr="007F2BDD">
        <w:t>6-35</w:t>
      </w:r>
      <w:r w:rsidRPr="007F2BDD">
        <w:t xml:space="preserve"> months of age. The results are presented in Table 6. </w:t>
      </w:r>
    </w:p>
    <w:p w:rsidR="00A66664" w:rsidRPr="007F2BDD" w:rsidRDefault="00A66664" w:rsidP="005F43D9">
      <w:pPr>
        <w:pStyle w:val="TableFigureHeading"/>
      </w:pPr>
      <w:r w:rsidRPr="007F2BDD">
        <w:t xml:space="preserve">Table </w:t>
      </w:r>
      <w:r w:rsidR="007C3D0A" w:rsidRPr="007F2BDD">
        <w:t>6</w:t>
      </w:r>
      <w:r w:rsidRPr="007F2BDD">
        <w:t xml:space="preserve">: Comparative summary of the fever rate of subjects who received </w:t>
      </w:r>
      <w:proofErr w:type="spellStart"/>
      <w:r w:rsidRPr="007F2BDD">
        <w:t>FluQuadri</w:t>
      </w:r>
      <w:proofErr w:type="spellEnd"/>
      <w:r w:rsidRPr="007F2BDD">
        <w:t xml:space="preserve"> vs subjects who received </w:t>
      </w:r>
      <w:proofErr w:type="spellStart"/>
      <w:r w:rsidRPr="007F2BDD">
        <w:t>FluQuadri</w:t>
      </w:r>
      <w:proofErr w:type="spellEnd"/>
      <w:r w:rsidRPr="007F2BDD">
        <w:t xml:space="preserve"> Junior (SAS)</w:t>
      </w:r>
    </w:p>
    <w:tbl>
      <w:tblPr>
        <w:tblStyle w:val="TableGrid1"/>
        <w:tblW w:w="5000" w:type="pct"/>
        <w:tblLook w:val="04A0" w:firstRow="1" w:lastRow="0" w:firstColumn="1" w:lastColumn="0" w:noHBand="0" w:noVBand="1"/>
        <w:tblCaption w:val="Table 6: Comparative summary of the fever rate of subjects who received FluQuadri vs subjects who received FluQuadri Junior (SAS)"/>
      </w:tblPr>
      <w:tblGrid>
        <w:gridCol w:w="1506"/>
        <w:gridCol w:w="1504"/>
        <w:gridCol w:w="1504"/>
        <w:gridCol w:w="1502"/>
        <w:gridCol w:w="1502"/>
        <w:gridCol w:w="1499"/>
      </w:tblGrid>
      <w:tr w:rsidR="005140F3" w:rsidRPr="005F43D9" w:rsidTr="00297B60">
        <w:trPr>
          <w:trHeight w:val="58"/>
          <w:tblHeader/>
        </w:trPr>
        <w:tc>
          <w:tcPr>
            <w:tcW w:w="2503" w:type="pct"/>
            <w:gridSpan w:val="3"/>
            <w:tcBorders>
              <w:top w:val="single" w:sz="4" w:space="0" w:color="auto"/>
              <w:left w:val="single" w:sz="4" w:space="0" w:color="auto"/>
              <w:bottom w:val="single" w:sz="4" w:space="0" w:color="auto"/>
              <w:right w:val="single" w:sz="4" w:space="0" w:color="auto"/>
            </w:tcBorders>
            <w:vAlign w:val="center"/>
            <w:hideMark/>
          </w:tcPr>
          <w:p w:rsidR="005140F3" w:rsidRPr="005F43D9" w:rsidRDefault="00F11E98" w:rsidP="005F43D9">
            <w:pPr>
              <w:keepNext/>
              <w:snapToGrid w:val="0"/>
              <w:jc w:val="center"/>
              <w:rPr>
                <w:rFonts w:ascii="Arial Narrow" w:hAnsi="Arial Narrow" w:cs="Times New Roman"/>
                <w:b/>
                <w:bCs/>
                <w:sz w:val="20"/>
                <w:szCs w:val="20"/>
              </w:rPr>
            </w:pPr>
            <w:proofErr w:type="spellStart"/>
            <w:r w:rsidRPr="005F43D9">
              <w:rPr>
                <w:rFonts w:ascii="Arial Narrow" w:hAnsi="Arial Narrow" w:cs="Times New Roman"/>
                <w:b/>
                <w:bCs/>
                <w:sz w:val="20"/>
                <w:szCs w:val="20"/>
              </w:rPr>
              <w:t>FluQuadri</w:t>
            </w:r>
            <w:proofErr w:type="spellEnd"/>
            <w:r w:rsidR="005140F3" w:rsidRPr="005F43D9">
              <w:rPr>
                <w:rFonts w:ascii="Arial Narrow" w:hAnsi="Arial Narrow" w:cs="Times New Roman"/>
                <w:b/>
                <w:bCs/>
                <w:sz w:val="20"/>
                <w:szCs w:val="20"/>
              </w:rPr>
              <w:t xml:space="preserve"> </w:t>
            </w:r>
          </w:p>
          <w:p w:rsidR="005140F3" w:rsidRPr="005F43D9" w:rsidRDefault="005140F3" w:rsidP="005F43D9">
            <w:pPr>
              <w:keepNext/>
              <w:snapToGrid w:val="0"/>
              <w:jc w:val="center"/>
              <w:rPr>
                <w:rFonts w:ascii="Arial Narrow" w:hAnsi="Arial Narrow" w:cs="Times New Roman"/>
                <w:b/>
                <w:bCs/>
                <w:sz w:val="20"/>
                <w:szCs w:val="20"/>
              </w:rPr>
            </w:pPr>
            <w:r w:rsidRPr="005F43D9">
              <w:rPr>
                <w:rFonts w:ascii="Arial Narrow" w:hAnsi="Arial Narrow" w:cs="Times New Roman"/>
                <w:b/>
                <w:bCs/>
                <w:sz w:val="20"/>
                <w:szCs w:val="20"/>
              </w:rPr>
              <w:t>N = 992</w:t>
            </w:r>
          </w:p>
        </w:tc>
        <w:tc>
          <w:tcPr>
            <w:tcW w:w="2497" w:type="pct"/>
            <w:gridSpan w:val="3"/>
            <w:tcBorders>
              <w:top w:val="single" w:sz="4" w:space="0" w:color="auto"/>
              <w:left w:val="single" w:sz="4" w:space="0" w:color="auto"/>
              <w:bottom w:val="single" w:sz="4" w:space="0" w:color="auto"/>
              <w:right w:val="single" w:sz="4" w:space="0" w:color="auto"/>
            </w:tcBorders>
            <w:vAlign w:val="center"/>
            <w:hideMark/>
          </w:tcPr>
          <w:p w:rsidR="005140F3" w:rsidRPr="005F43D9" w:rsidRDefault="008C63A0" w:rsidP="005F43D9">
            <w:pPr>
              <w:keepNext/>
              <w:snapToGrid w:val="0"/>
              <w:jc w:val="center"/>
              <w:rPr>
                <w:rFonts w:ascii="Arial Narrow" w:hAnsi="Arial Narrow" w:cs="Times New Roman"/>
                <w:b/>
                <w:bCs/>
                <w:sz w:val="20"/>
                <w:szCs w:val="20"/>
              </w:rPr>
            </w:pPr>
            <w:proofErr w:type="spellStart"/>
            <w:r w:rsidRPr="005F43D9">
              <w:rPr>
                <w:rFonts w:ascii="Arial Narrow" w:hAnsi="Arial Narrow" w:cs="Times New Roman"/>
                <w:b/>
                <w:bCs/>
                <w:sz w:val="20"/>
                <w:szCs w:val="20"/>
              </w:rPr>
              <w:t>FluQuadri</w:t>
            </w:r>
            <w:proofErr w:type="spellEnd"/>
            <w:r w:rsidRPr="005F43D9">
              <w:rPr>
                <w:rFonts w:ascii="Arial Narrow" w:hAnsi="Arial Narrow" w:cs="Times New Roman"/>
                <w:b/>
                <w:bCs/>
                <w:sz w:val="20"/>
                <w:szCs w:val="20"/>
              </w:rPr>
              <w:t xml:space="preserve"> Junior</w:t>
            </w:r>
          </w:p>
          <w:p w:rsidR="005140F3" w:rsidRPr="005F43D9" w:rsidRDefault="005140F3" w:rsidP="005F43D9">
            <w:pPr>
              <w:keepNext/>
              <w:snapToGrid w:val="0"/>
              <w:jc w:val="center"/>
              <w:rPr>
                <w:rFonts w:ascii="Arial Narrow" w:hAnsi="Arial Narrow" w:cs="Times New Roman"/>
                <w:b/>
                <w:bCs/>
                <w:sz w:val="20"/>
                <w:szCs w:val="20"/>
              </w:rPr>
            </w:pPr>
            <w:r w:rsidRPr="005F43D9">
              <w:rPr>
                <w:rFonts w:ascii="Arial Narrow" w:hAnsi="Arial Narrow" w:cs="Times New Roman"/>
                <w:b/>
                <w:bCs/>
                <w:sz w:val="20"/>
                <w:szCs w:val="20"/>
              </w:rPr>
              <w:t>N = 949</w:t>
            </w:r>
          </w:p>
        </w:tc>
      </w:tr>
      <w:tr w:rsidR="005140F3" w:rsidRPr="005F43D9" w:rsidTr="0028727B">
        <w:trPr>
          <w:trHeight w:val="84"/>
        </w:trPr>
        <w:tc>
          <w:tcPr>
            <w:tcW w:w="835"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keepNext/>
              <w:keepLines/>
              <w:snapToGrid w:val="0"/>
              <w:spacing w:before="40" w:after="40"/>
              <w:jc w:val="center"/>
              <w:rPr>
                <w:rFonts w:ascii="Arial Narrow" w:hAnsi="Arial Narrow" w:cs="Calibri"/>
                <w:color w:val="000000"/>
                <w:sz w:val="20"/>
                <w:szCs w:val="20"/>
                <w:lang w:eastAsia="en-AU"/>
              </w:rPr>
            </w:pPr>
            <w:r w:rsidRPr="005F43D9">
              <w:rPr>
                <w:rFonts w:ascii="Arial Narrow" w:hAnsi="Arial Narrow" w:cs="Calibri"/>
                <w:b/>
                <w:color w:val="000000"/>
                <w:sz w:val="20"/>
                <w:szCs w:val="20"/>
                <w:lang w:eastAsia="en-AU"/>
              </w:rPr>
              <w:t>n/M</w:t>
            </w:r>
          </w:p>
        </w:tc>
        <w:tc>
          <w:tcPr>
            <w:tcW w:w="834"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keepNext/>
              <w:keepLines/>
              <w:snapToGrid w:val="0"/>
              <w:spacing w:before="40" w:after="40"/>
              <w:jc w:val="center"/>
              <w:rPr>
                <w:rFonts w:ascii="Arial Narrow" w:hAnsi="Arial Narrow" w:cs="Calibri"/>
                <w:color w:val="000000"/>
                <w:sz w:val="20"/>
                <w:szCs w:val="20"/>
                <w:lang w:eastAsia="en-AU"/>
              </w:rPr>
            </w:pPr>
            <w:r w:rsidRPr="005F43D9">
              <w:rPr>
                <w:rFonts w:ascii="Arial Narrow" w:hAnsi="Arial Narrow" w:cs="Calibri"/>
                <w:b/>
                <w:color w:val="000000"/>
                <w:sz w:val="20"/>
                <w:szCs w:val="20"/>
                <w:lang w:eastAsia="en-AU"/>
              </w:rPr>
              <w:t>Fever rate (%)</w:t>
            </w:r>
          </w:p>
        </w:tc>
        <w:tc>
          <w:tcPr>
            <w:tcW w:w="834"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keepNext/>
              <w:snapToGrid w:val="0"/>
              <w:jc w:val="center"/>
              <w:rPr>
                <w:rFonts w:ascii="Arial Narrow" w:hAnsi="Arial Narrow" w:cs="Times New Roman"/>
                <w:b/>
                <w:bCs/>
                <w:sz w:val="20"/>
                <w:szCs w:val="20"/>
              </w:rPr>
            </w:pPr>
            <w:r w:rsidRPr="005F43D9">
              <w:rPr>
                <w:rFonts w:ascii="Arial Narrow" w:hAnsi="Arial Narrow" w:cs="Times New Roman"/>
                <w:b/>
                <w:bCs/>
                <w:sz w:val="20"/>
                <w:szCs w:val="20"/>
              </w:rPr>
              <w:t>95% CI</w:t>
            </w:r>
          </w:p>
        </w:tc>
        <w:tc>
          <w:tcPr>
            <w:tcW w:w="833"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keepNext/>
              <w:snapToGrid w:val="0"/>
              <w:jc w:val="center"/>
              <w:rPr>
                <w:rFonts w:ascii="Arial Narrow" w:hAnsi="Arial Narrow" w:cs="Times New Roman"/>
                <w:b/>
                <w:bCs/>
                <w:sz w:val="20"/>
                <w:szCs w:val="20"/>
              </w:rPr>
            </w:pPr>
            <w:r w:rsidRPr="005F43D9">
              <w:rPr>
                <w:rFonts w:ascii="Arial Narrow" w:hAnsi="Arial Narrow" w:cs="Times New Roman"/>
                <w:b/>
                <w:bCs/>
                <w:sz w:val="20"/>
                <w:szCs w:val="20"/>
              </w:rPr>
              <w:t>n/M</w:t>
            </w:r>
          </w:p>
        </w:tc>
        <w:tc>
          <w:tcPr>
            <w:tcW w:w="833"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keepNext/>
              <w:keepLines/>
              <w:snapToGrid w:val="0"/>
              <w:spacing w:before="40" w:after="40"/>
              <w:jc w:val="center"/>
              <w:rPr>
                <w:rFonts w:ascii="Arial Narrow" w:hAnsi="Arial Narrow" w:cs="Calibri"/>
                <w:color w:val="000000"/>
                <w:sz w:val="20"/>
                <w:szCs w:val="20"/>
                <w:lang w:eastAsia="en-AU"/>
              </w:rPr>
            </w:pPr>
            <w:r w:rsidRPr="005F43D9">
              <w:rPr>
                <w:rFonts w:ascii="Arial Narrow" w:hAnsi="Arial Narrow" w:cs="Calibri"/>
                <w:b/>
                <w:color w:val="000000"/>
                <w:sz w:val="20"/>
                <w:szCs w:val="20"/>
                <w:lang w:eastAsia="en-AU"/>
              </w:rPr>
              <w:t>Fever rate (%)</w:t>
            </w:r>
          </w:p>
        </w:tc>
        <w:tc>
          <w:tcPr>
            <w:tcW w:w="831" w:type="pct"/>
            <w:tcBorders>
              <w:top w:val="single" w:sz="4" w:space="0" w:color="auto"/>
              <w:left w:val="single" w:sz="4" w:space="0" w:color="auto"/>
              <w:bottom w:val="single" w:sz="4" w:space="0" w:color="auto"/>
              <w:right w:val="single" w:sz="4" w:space="0" w:color="auto"/>
            </w:tcBorders>
            <w:hideMark/>
          </w:tcPr>
          <w:p w:rsidR="005140F3" w:rsidRPr="005F43D9" w:rsidRDefault="005140F3" w:rsidP="005F43D9">
            <w:pPr>
              <w:keepNext/>
              <w:keepLines/>
              <w:snapToGrid w:val="0"/>
              <w:spacing w:before="40" w:after="40"/>
              <w:jc w:val="center"/>
              <w:rPr>
                <w:rFonts w:ascii="Arial Narrow" w:hAnsi="Arial Narrow" w:cs="Calibri"/>
                <w:b/>
                <w:color w:val="000000"/>
                <w:sz w:val="20"/>
                <w:szCs w:val="20"/>
                <w:lang w:eastAsia="en-AU"/>
              </w:rPr>
            </w:pPr>
            <w:r w:rsidRPr="005F43D9">
              <w:rPr>
                <w:rFonts w:ascii="Arial Narrow" w:hAnsi="Arial Narrow" w:cs="Calibri"/>
                <w:b/>
                <w:color w:val="000000"/>
                <w:sz w:val="20"/>
                <w:szCs w:val="20"/>
                <w:lang w:eastAsia="en-AU"/>
              </w:rPr>
              <w:t>95% CI</w:t>
            </w:r>
          </w:p>
        </w:tc>
      </w:tr>
      <w:tr w:rsidR="005140F3" w:rsidRPr="005F43D9" w:rsidTr="0028727B">
        <w:trPr>
          <w:trHeight w:val="84"/>
        </w:trPr>
        <w:tc>
          <w:tcPr>
            <w:tcW w:w="835"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keepNext/>
              <w:keepLines/>
              <w:snapToGrid w:val="0"/>
              <w:spacing w:before="40" w:after="40"/>
              <w:jc w:val="center"/>
              <w:rPr>
                <w:rFonts w:ascii="Arial Narrow" w:hAnsi="Arial Narrow" w:cs="Calibri"/>
                <w:color w:val="000000"/>
                <w:sz w:val="20"/>
                <w:szCs w:val="20"/>
                <w:lang w:eastAsia="en-AU"/>
              </w:rPr>
            </w:pPr>
            <w:r w:rsidRPr="005F43D9">
              <w:rPr>
                <w:rFonts w:ascii="Arial Narrow" w:hAnsi="Arial Narrow" w:cs="Calibri"/>
                <w:color w:val="000000"/>
                <w:sz w:val="20"/>
                <w:szCs w:val="20"/>
                <w:lang w:eastAsia="en-AU"/>
              </w:rPr>
              <w:t>113/930</w:t>
            </w:r>
          </w:p>
        </w:tc>
        <w:tc>
          <w:tcPr>
            <w:tcW w:w="834"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keepNext/>
              <w:keepLines/>
              <w:snapToGrid w:val="0"/>
              <w:spacing w:before="40" w:after="40"/>
              <w:jc w:val="center"/>
              <w:rPr>
                <w:rFonts w:ascii="Arial Narrow" w:hAnsi="Arial Narrow" w:cs="Calibri"/>
                <w:color w:val="000000"/>
                <w:sz w:val="20"/>
                <w:szCs w:val="20"/>
                <w:lang w:eastAsia="en-AU"/>
              </w:rPr>
            </w:pPr>
            <w:r w:rsidRPr="005F43D9">
              <w:rPr>
                <w:rFonts w:ascii="Arial Narrow" w:hAnsi="Arial Narrow" w:cs="Calibri"/>
                <w:color w:val="000000"/>
                <w:sz w:val="20"/>
                <w:szCs w:val="20"/>
                <w:lang w:eastAsia="en-AU"/>
              </w:rPr>
              <w:t>12.15</w:t>
            </w:r>
          </w:p>
        </w:tc>
        <w:tc>
          <w:tcPr>
            <w:tcW w:w="834"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keepNext/>
              <w:snapToGrid w:val="0"/>
              <w:jc w:val="center"/>
              <w:rPr>
                <w:rFonts w:ascii="Arial Narrow" w:hAnsi="Arial Narrow" w:cs="Times New Roman"/>
                <w:sz w:val="20"/>
                <w:szCs w:val="20"/>
                <w:highlight w:val="lightGray"/>
              </w:rPr>
            </w:pPr>
            <w:r w:rsidRPr="005F43D9">
              <w:rPr>
                <w:rFonts w:ascii="Arial Narrow" w:hAnsi="Arial Narrow" w:cs="Times New Roman"/>
                <w:sz w:val="20"/>
                <w:szCs w:val="20"/>
              </w:rPr>
              <w:t>10.12; 14.42</w:t>
            </w:r>
          </w:p>
        </w:tc>
        <w:tc>
          <w:tcPr>
            <w:tcW w:w="833"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keepNext/>
              <w:snapToGrid w:val="0"/>
              <w:jc w:val="center"/>
              <w:rPr>
                <w:rFonts w:ascii="Arial Narrow" w:hAnsi="Arial Narrow" w:cs="Times New Roman"/>
                <w:sz w:val="20"/>
                <w:szCs w:val="20"/>
                <w:highlight w:val="lightGray"/>
              </w:rPr>
            </w:pPr>
            <w:r w:rsidRPr="005F43D9">
              <w:rPr>
                <w:rFonts w:ascii="Arial Narrow" w:hAnsi="Arial Narrow" w:cs="Times New Roman"/>
                <w:sz w:val="20"/>
                <w:szCs w:val="20"/>
              </w:rPr>
              <w:t>101/893</w:t>
            </w:r>
          </w:p>
        </w:tc>
        <w:tc>
          <w:tcPr>
            <w:tcW w:w="833"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keepNext/>
              <w:keepLines/>
              <w:snapToGrid w:val="0"/>
              <w:spacing w:before="40" w:after="40"/>
              <w:jc w:val="center"/>
              <w:rPr>
                <w:rFonts w:ascii="Arial Narrow" w:hAnsi="Arial Narrow" w:cs="Calibri"/>
                <w:color w:val="000000"/>
                <w:sz w:val="20"/>
                <w:szCs w:val="20"/>
                <w:highlight w:val="lightGray"/>
                <w:lang w:eastAsia="en-AU"/>
              </w:rPr>
            </w:pPr>
            <w:r w:rsidRPr="005F43D9">
              <w:rPr>
                <w:rFonts w:ascii="Arial Narrow" w:hAnsi="Arial Narrow" w:cs="Calibri"/>
                <w:color w:val="000000"/>
                <w:sz w:val="20"/>
                <w:szCs w:val="20"/>
                <w:lang w:eastAsia="en-AU"/>
              </w:rPr>
              <w:t>11.31</w:t>
            </w:r>
          </w:p>
        </w:tc>
        <w:tc>
          <w:tcPr>
            <w:tcW w:w="831" w:type="pct"/>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keepNext/>
              <w:keepLines/>
              <w:snapToGrid w:val="0"/>
              <w:spacing w:before="40" w:after="40"/>
              <w:jc w:val="center"/>
              <w:rPr>
                <w:rFonts w:ascii="Arial Narrow" w:hAnsi="Arial Narrow" w:cs="Calibri"/>
                <w:color w:val="000000"/>
                <w:sz w:val="20"/>
                <w:szCs w:val="20"/>
                <w:highlight w:val="lightGray"/>
                <w:lang w:eastAsia="en-AU"/>
              </w:rPr>
            </w:pPr>
            <w:r w:rsidRPr="005F43D9">
              <w:rPr>
                <w:rFonts w:ascii="Arial Narrow" w:hAnsi="Arial Narrow" w:cs="Calibri"/>
                <w:color w:val="000000"/>
                <w:sz w:val="20"/>
                <w:szCs w:val="20"/>
                <w:lang w:eastAsia="en-AU"/>
              </w:rPr>
              <w:t>9.31; 13.57</w:t>
            </w:r>
          </w:p>
        </w:tc>
      </w:tr>
      <w:tr w:rsidR="005140F3" w:rsidRPr="005F43D9" w:rsidTr="0028727B">
        <w:trPr>
          <w:trHeight w:val="8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keepNext/>
              <w:snapToGrid w:val="0"/>
              <w:jc w:val="center"/>
              <w:rPr>
                <w:rFonts w:ascii="Arial Narrow" w:hAnsi="Arial Narrow" w:cs="Times New Roman"/>
                <w:sz w:val="20"/>
                <w:szCs w:val="20"/>
              </w:rPr>
            </w:pPr>
            <w:r w:rsidRPr="005F43D9">
              <w:rPr>
                <w:rFonts w:ascii="Arial Narrow" w:hAnsi="Arial Narrow" w:cs="Times New Roman"/>
                <w:sz w:val="20"/>
                <w:szCs w:val="20"/>
              </w:rPr>
              <w:t>Difference in fever rates (95% CI): 0.84 (-2.13; 3.80)</w:t>
            </w:r>
          </w:p>
        </w:tc>
      </w:tr>
      <w:tr w:rsidR="005140F3" w:rsidRPr="005F43D9" w:rsidTr="0028727B">
        <w:trPr>
          <w:trHeight w:val="8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140F3" w:rsidRPr="005F43D9" w:rsidRDefault="005140F3" w:rsidP="005F43D9">
            <w:pPr>
              <w:keepNext/>
              <w:snapToGrid w:val="0"/>
              <w:jc w:val="center"/>
              <w:rPr>
                <w:rFonts w:ascii="Arial Narrow" w:hAnsi="Arial Narrow" w:cs="Times New Roman"/>
                <w:sz w:val="20"/>
                <w:szCs w:val="20"/>
              </w:rPr>
            </w:pPr>
            <w:r w:rsidRPr="005F43D9">
              <w:rPr>
                <w:rFonts w:ascii="Arial Narrow" w:hAnsi="Arial Narrow" w:cs="Times New Roman"/>
                <w:sz w:val="20"/>
                <w:szCs w:val="20"/>
              </w:rPr>
              <w:t>Non-inferiority (upper limit of 95% CI of difference in fever rates &lt;5%): Yes</w:t>
            </w:r>
          </w:p>
        </w:tc>
      </w:tr>
    </w:tbl>
    <w:p w:rsidR="005140F3" w:rsidRPr="007F2BDD" w:rsidRDefault="005140F3" w:rsidP="005F43D9">
      <w:pPr>
        <w:pStyle w:val="TableFigureFooter"/>
        <w:rPr>
          <w:rFonts w:eastAsia="Calibri"/>
        </w:rPr>
      </w:pPr>
      <w:r w:rsidRPr="007F2BDD">
        <w:rPr>
          <w:rFonts w:eastAsia="Calibri"/>
        </w:rPr>
        <w:t xml:space="preserve">CI = confidence interval; M = number of subjects with valid temperature data during the 7 days after vaccination; n = number of subjects who experienced fever within the solicited period; N = number of subjects analysed according to the SAS and fulfilling column header; SAS = safety analysis set. </w:t>
      </w:r>
    </w:p>
    <w:p w:rsidR="005140F3" w:rsidRPr="007F2BDD" w:rsidRDefault="005140F3" w:rsidP="005F43D9">
      <w:pPr>
        <w:pStyle w:val="TableFigureFooter"/>
        <w:rPr>
          <w:rFonts w:eastAsia="Calibri"/>
        </w:rPr>
      </w:pPr>
      <w:r w:rsidRPr="007F2BDD">
        <w:rPr>
          <w:rFonts w:eastAsia="Calibri"/>
        </w:rPr>
        <w:t>Fever is defined as body temperature of ≥100.4°F (38</w:t>
      </w:r>
      <w:r w:rsidRPr="007F2BDD">
        <w:rPr>
          <w:rFonts w:eastAsia="Calibri"/>
          <w:vertAlign w:val="superscript"/>
        </w:rPr>
        <w:t>0</w:t>
      </w:r>
      <w:r w:rsidRPr="007F2BDD">
        <w:rPr>
          <w:rFonts w:eastAsia="Calibri"/>
        </w:rPr>
        <w:t xml:space="preserve"> C). </w:t>
      </w:r>
    </w:p>
    <w:p w:rsidR="005140F3" w:rsidRPr="007F2BDD" w:rsidRDefault="005140F3" w:rsidP="005F43D9">
      <w:pPr>
        <w:pStyle w:val="TableFigureFooter"/>
        <w:rPr>
          <w:rFonts w:eastAsia="Calibri"/>
        </w:rPr>
      </w:pPr>
      <w:r w:rsidRPr="007F2BDD">
        <w:rPr>
          <w:rFonts w:eastAsia="Calibri"/>
        </w:rPr>
        <w:t xml:space="preserve">Difference in fever rate = fever rate in </w:t>
      </w:r>
      <w:proofErr w:type="spellStart"/>
      <w:r w:rsidR="00F11E98" w:rsidRPr="007F2BDD">
        <w:rPr>
          <w:rFonts w:eastAsia="Calibri"/>
        </w:rPr>
        <w:t>FluQuadri</w:t>
      </w:r>
      <w:proofErr w:type="spellEnd"/>
      <w:r w:rsidRPr="007F2BDD">
        <w:rPr>
          <w:rFonts w:eastAsia="Calibri"/>
        </w:rPr>
        <w:t xml:space="preserve"> group minus fever rate in </w:t>
      </w:r>
      <w:proofErr w:type="spellStart"/>
      <w:r w:rsidR="008C63A0" w:rsidRPr="007F2BDD">
        <w:rPr>
          <w:rFonts w:eastAsia="Calibri"/>
        </w:rPr>
        <w:t>FluQuadri</w:t>
      </w:r>
      <w:proofErr w:type="spellEnd"/>
      <w:r w:rsidR="008C63A0" w:rsidRPr="007F2BDD">
        <w:rPr>
          <w:rFonts w:eastAsia="Calibri"/>
        </w:rPr>
        <w:t xml:space="preserve"> Junior</w:t>
      </w:r>
      <w:r w:rsidRPr="007F2BDD">
        <w:rPr>
          <w:rFonts w:eastAsia="Calibri"/>
        </w:rPr>
        <w:t xml:space="preserve"> group.</w:t>
      </w:r>
    </w:p>
    <w:p w:rsidR="005140F3" w:rsidRPr="007F2BDD" w:rsidRDefault="005140F3" w:rsidP="005F43D9">
      <w:pPr>
        <w:pStyle w:val="TableFigureFooter"/>
        <w:spacing w:after="120"/>
        <w:rPr>
          <w:rFonts w:eastAsia="Calibri"/>
        </w:rPr>
      </w:pPr>
      <w:r w:rsidRPr="007F2BDD">
        <w:rPr>
          <w:rFonts w:eastAsia="Calibri"/>
        </w:rPr>
        <w:t xml:space="preserve">Source: </w:t>
      </w:r>
      <w:r w:rsidR="002573EA" w:rsidRPr="007F2BDD">
        <w:rPr>
          <w:rFonts w:eastAsia="Calibri"/>
        </w:rPr>
        <w:t xml:space="preserve">Adapted from </w:t>
      </w:r>
      <w:r w:rsidRPr="007F2BDD">
        <w:rPr>
          <w:rFonts w:eastAsia="Calibri"/>
        </w:rPr>
        <w:t xml:space="preserve">Table 2.5.1, p45 of the submission. </w:t>
      </w:r>
    </w:p>
    <w:p w:rsidR="005140F3" w:rsidRPr="007F2BDD" w:rsidRDefault="001407F9" w:rsidP="005F43D9">
      <w:pPr>
        <w:pStyle w:val="3-BodyText"/>
        <w:rPr>
          <w:b/>
          <w:iCs/>
          <w:color w:val="000000" w:themeColor="text1"/>
        </w:rPr>
      </w:pPr>
      <w:r w:rsidRPr="007F2BDD">
        <w:t xml:space="preserve">Trial GRC88 assumed an expected fever rate of 14.3%. </w:t>
      </w:r>
      <w:r w:rsidR="005140F3" w:rsidRPr="007F2BDD">
        <w:t xml:space="preserve">The upper limit of the 2-sided 95% CI of the fever rate difference </w:t>
      </w:r>
      <w:r w:rsidR="00BF2297" w:rsidRPr="007F2BDD">
        <w:t xml:space="preserve">was </w:t>
      </w:r>
      <w:r w:rsidR="005140F3" w:rsidRPr="007F2BDD">
        <w:t>3.80%</w:t>
      </w:r>
      <w:r w:rsidR="00BF2297" w:rsidRPr="007F2BDD">
        <w:t>, which is</w:t>
      </w:r>
      <w:r w:rsidR="005140F3" w:rsidRPr="007F2BDD">
        <w:t xml:space="preserve"> lower than the pre-defined non-inferiority criteria of 5%. Fever rates were higher in the 6 to &lt;24 months age group (15.66% for </w:t>
      </w:r>
      <w:proofErr w:type="spellStart"/>
      <w:r w:rsidR="00415EEE" w:rsidRPr="007F2BDD">
        <w:t>FluQuadri</w:t>
      </w:r>
      <w:proofErr w:type="spellEnd"/>
      <w:r w:rsidR="005140F3" w:rsidRPr="007F2BDD">
        <w:t xml:space="preserve"> and 12.05% for </w:t>
      </w:r>
      <w:proofErr w:type="spellStart"/>
      <w:r w:rsidR="008C63A0" w:rsidRPr="007F2BDD">
        <w:t>FluQuadri</w:t>
      </w:r>
      <w:proofErr w:type="spellEnd"/>
      <w:r w:rsidR="008C63A0" w:rsidRPr="007F2BDD">
        <w:t xml:space="preserve"> Junior</w:t>
      </w:r>
      <w:r w:rsidR="005140F3" w:rsidRPr="007F2BDD">
        <w:t xml:space="preserve">) and lower in the 24 to &lt;36 months age group (7.52% for </w:t>
      </w:r>
      <w:proofErr w:type="spellStart"/>
      <w:r w:rsidR="00F11E98" w:rsidRPr="007F2BDD">
        <w:t>FluQuadri</w:t>
      </w:r>
      <w:proofErr w:type="spellEnd"/>
      <w:r w:rsidR="005140F3" w:rsidRPr="007F2BDD">
        <w:t xml:space="preserve"> and 10.38% for </w:t>
      </w:r>
      <w:proofErr w:type="spellStart"/>
      <w:r w:rsidR="008C63A0" w:rsidRPr="007F2BDD">
        <w:t>FluQuadri</w:t>
      </w:r>
      <w:proofErr w:type="spellEnd"/>
      <w:r w:rsidR="008C63A0" w:rsidRPr="007F2BDD">
        <w:t xml:space="preserve"> Junior</w:t>
      </w:r>
      <w:r w:rsidR="005140F3" w:rsidRPr="007F2BDD">
        <w:t xml:space="preserve">). </w:t>
      </w:r>
      <w:r w:rsidR="005140F3" w:rsidRPr="007F2BDD">
        <w:rPr>
          <w:iCs/>
        </w:rPr>
        <w:t>The submission did not present subgroup analysis of fever rates for younger age groups, 6 to &lt;12 months and 12 to &lt;24</w:t>
      </w:r>
      <w:r w:rsidR="003E4CCC" w:rsidRPr="007F2BDD">
        <w:rPr>
          <w:iCs/>
        </w:rPr>
        <w:t xml:space="preserve"> </w:t>
      </w:r>
      <w:r w:rsidR="005140F3" w:rsidRPr="007F2BDD">
        <w:rPr>
          <w:iCs/>
        </w:rPr>
        <w:t>months</w:t>
      </w:r>
      <w:r w:rsidR="000E2DB6" w:rsidRPr="007F2BDD">
        <w:rPr>
          <w:iCs/>
        </w:rPr>
        <w:t xml:space="preserve">. </w:t>
      </w:r>
      <w:r w:rsidR="00B32B5F" w:rsidRPr="007F2BDD">
        <w:rPr>
          <w:iCs/>
        </w:rPr>
        <w:t xml:space="preserve">The possibility </w:t>
      </w:r>
      <w:r w:rsidR="00166600" w:rsidRPr="007F2BDD">
        <w:rPr>
          <w:iCs/>
        </w:rPr>
        <w:t>of</w:t>
      </w:r>
      <w:r w:rsidR="00B32B5F" w:rsidRPr="007F2BDD">
        <w:rPr>
          <w:iCs/>
        </w:rPr>
        <w:t xml:space="preserve"> higher</w:t>
      </w:r>
      <w:r w:rsidR="00166600" w:rsidRPr="007F2BDD">
        <w:rPr>
          <w:iCs/>
        </w:rPr>
        <w:t xml:space="preserve"> fever</w:t>
      </w:r>
      <w:r w:rsidR="00B32B5F" w:rsidRPr="007F2BDD">
        <w:rPr>
          <w:iCs/>
        </w:rPr>
        <w:t xml:space="preserve"> incidence in </w:t>
      </w:r>
      <w:r w:rsidR="00B32B5F" w:rsidRPr="007F2BDD">
        <w:rPr>
          <w:iCs/>
        </w:rPr>
        <w:lastRenderedPageBreak/>
        <w:t>younger age groups increase</w:t>
      </w:r>
      <w:r w:rsidR="003F514E" w:rsidRPr="007F2BDD">
        <w:rPr>
          <w:iCs/>
        </w:rPr>
        <w:t>d</w:t>
      </w:r>
      <w:r w:rsidR="00B32B5F" w:rsidRPr="007F2BDD">
        <w:rPr>
          <w:iCs/>
        </w:rPr>
        <w:t xml:space="preserve"> the uncertainty in the study results, as no age sub-group analyses were presented in the submission. </w:t>
      </w:r>
      <w:r w:rsidR="005140F3" w:rsidRPr="007F2BDD">
        <w:rPr>
          <w:iCs/>
        </w:rPr>
        <w:t xml:space="preserve">ATAGI noted that among </w:t>
      </w:r>
      <w:proofErr w:type="spellStart"/>
      <w:r w:rsidR="00AA743C" w:rsidRPr="007F2BDD">
        <w:rPr>
          <w:iCs/>
        </w:rPr>
        <w:t>Vaxigrip</w:t>
      </w:r>
      <w:proofErr w:type="spellEnd"/>
      <w:r w:rsidR="00AA743C" w:rsidRPr="007F2BDD">
        <w:rPr>
          <w:iCs/>
        </w:rPr>
        <w:t xml:space="preserve"> Tetra </w:t>
      </w:r>
      <w:r w:rsidR="005140F3" w:rsidRPr="007F2BDD">
        <w:rPr>
          <w:iCs/>
        </w:rPr>
        <w:t>recipients, there was a trend of decreasing rates of fever with increasing age</w:t>
      </w:r>
      <w:r w:rsidR="003F514E" w:rsidRPr="007F2BDD">
        <w:rPr>
          <w:iCs/>
        </w:rPr>
        <w:t>,</w:t>
      </w:r>
      <w:r w:rsidR="005140F3" w:rsidRPr="007F2BDD">
        <w:rPr>
          <w:iCs/>
        </w:rPr>
        <w:t xml:space="preserve"> </w:t>
      </w:r>
      <w:r w:rsidR="00FA5FAE" w:rsidRPr="007F2BDD">
        <w:rPr>
          <w:iCs/>
        </w:rPr>
        <w:t xml:space="preserve">with 24.4% of children aged 6–11 months experiencing fever, compared </w:t>
      </w:r>
      <w:r w:rsidR="003F514E" w:rsidRPr="007F2BDD">
        <w:rPr>
          <w:iCs/>
        </w:rPr>
        <w:t>with</w:t>
      </w:r>
      <w:r w:rsidR="00FA5FAE" w:rsidRPr="007F2BDD">
        <w:rPr>
          <w:iCs/>
        </w:rPr>
        <w:t xml:space="preserve"> 20.4% of children aged 12–23 months, and 18.3% of children aged 24–35 months </w:t>
      </w:r>
      <w:r w:rsidR="005140F3" w:rsidRPr="007F2BDD">
        <w:rPr>
          <w:iCs/>
        </w:rPr>
        <w:t xml:space="preserve">(ATAGI October 2018 </w:t>
      </w:r>
      <w:r w:rsidR="00B72474" w:rsidRPr="007F2BDD">
        <w:rPr>
          <w:iCs/>
        </w:rPr>
        <w:t>P</w:t>
      </w:r>
      <w:r w:rsidR="005140F3" w:rsidRPr="007F2BDD">
        <w:rPr>
          <w:iCs/>
        </w:rPr>
        <w:t>re-</w:t>
      </w:r>
      <w:r w:rsidR="00B72474" w:rsidRPr="007F2BDD">
        <w:rPr>
          <w:iCs/>
        </w:rPr>
        <w:t>S</w:t>
      </w:r>
      <w:r w:rsidR="005140F3" w:rsidRPr="007F2BDD">
        <w:rPr>
          <w:iCs/>
        </w:rPr>
        <w:t xml:space="preserve">ubmission </w:t>
      </w:r>
      <w:r w:rsidR="00B72474" w:rsidRPr="007F2BDD">
        <w:rPr>
          <w:iCs/>
        </w:rPr>
        <w:t>A</w:t>
      </w:r>
      <w:r w:rsidR="005140F3" w:rsidRPr="007F2BDD">
        <w:rPr>
          <w:iCs/>
        </w:rPr>
        <w:t>dvice</w:t>
      </w:r>
      <w:r w:rsidR="00B32B5F" w:rsidRPr="007F2BDD">
        <w:rPr>
          <w:iCs/>
        </w:rPr>
        <w:t>,</w:t>
      </w:r>
      <w:r w:rsidR="005140F3" w:rsidRPr="007F2BDD">
        <w:rPr>
          <w:iCs/>
        </w:rPr>
        <w:t xml:space="preserve"> </w:t>
      </w:r>
      <w:r w:rsidR="00B72474" w:rsidRPr="007F2BDD">
        <w:rPr>
          <w:iCs/>
        </w:rPr>
        <w:t xml:space="preserve">QIV, </w:t>
      </w:r>
      <w:proofErr w:type="spellStart"/>
      <w:r w:rsidR="005140F3" w:rsidRPr="007F2BDD">
        <w:rPr>
          <w:iCs/>
        </w:rPr>
        <w:t>Vaxigrip</w:t>
      </w:r>
      <w:proofErr w:type="spellEnd"/>
      <w:r w:rsidR="005140F3" w:rsidRPr="007F2BDD">
        <w:rPr>
          <w:iCs/>
        </w:rPr>
        <w:t xml:space="preserve"> Tetra).</w:t>
      </w:r>
      <w:r w:rsidR="008E0072" w:rsidRPr="007F2BDD">
        <w:rPr>
          <w:iCs/>
        </w:rPr>
        <w:t xml:space="preserve"> </w:t>
      </w:r>
      <w:r w:rsidR="003E158D" w:rsidRPr="007F2BDD">
        <w:rPr>
          <w:iCs/>
        </w:rPr>
        <w:t xml:space="preserve">The PSCR stated that this ATAGI advice was not supported by a statistical test therefore, these results could have been a chance finding. The PSCR also </w:t>
      </w:r>
      <w:r w:rsidR="003660E3" w:rsidRPr="007F2BDD">
        <w:rPr>
          <w:iCs/>
        </w:rPr>
        <w:t>argued</w:t>
      </w:r>
      <w:r w:rsidR="003E158D" w:rsidRPr="007F2BDD">
        <w:rPr>
          <w:iCs/>
        </w:rPr>
        <w:t xml:space="preserve"> none </w:t>
      </w:r>
      <w:r w:rsidR="00DD2795" w:rsidRPr="007F2BDD">
        <w:rPr>
          <w:iCs/>
        </w:rPr>
        <w:t>of the fever adverse events in T</w:t>
      </w:r>
      <w:r w:rsidR="003E158D" w:rsidRPr="007F2BDD">
        <w:rPr>
          <w:iCs/>
        </w:rPr>
        <w:t xml:space="preserve">rial GRC88 </w:t>
      </w:r>
      <w:r w:rsidR="0072383D" w:rsidRPr="007F2BDD">
        <w:rPr>
          <w:bCs/>
          <w:iCs/>
          <w:color w:val="000000" w:themeColor="text1"/>
        </w:rPr>
        <w:t>required hospitalisation or were life-threatening events</w:t>
      </w:r>
      <w:r w:rsidR="003E158D" w:rsidRPr="007F2BDD">
        <w:rPr>
          <w:iCs/>
        </w:rPr>
        <w:t xml:space="preserve">. </w:t>
      </w:r>
      <w:r w:rsidR="00BD0800" w:rsidRPr="007F2BDD">
        <w:rPr>
          <w:iCs/>
        </w:rPr>
        <w:t xml:space="preserve">The ESC </w:t>
      </w:r>
      <w:r w:rsidR="00377C31" w:rsidRPr="007F2BDD">
        <w:rPr>
          <w:iCs/>
        </w:rPr>
        <w:t xml:space="preserve">noted </w:t>
      </w:r>
      <w:r w:rsidR="00B34995" w:rsidRPr="007F2BDD">
        <w:rPr>
          <w:iCs/>
        </w:rPr>
        <w:t>the PSCR</w:t>
      </w:r>
      <w:r w:rsidR="00377C31" w:rsidRPr="007F2BDD">
        <w:rPr>
          <w:iCs/>
        </w:rPr>
        <w:t>’s claim</w:t>
      </w:r>
      <w:r w:rsidR="00BD0800" w:rsidRPr="007F2BDD">
        <w:rPr>
          <w:iCs/>
        </w:rPr>
        <w:t xml:space="preserve"> th</w:t>
      </w:r>
      <w:r w:rsidR="00B34995" w:rsidRPr="007F2BDD">
        <w:rPr>
          <w:iCs/>
        </w:rPr>
        <w:t>at these adverse events did not</w:t>
      </w:r>
      <w:r w:rsidR="00BD0800" w:rsidRPr="007F2BDD">
        <w:rPr>
          <w:iCs/>
        </w:rPr>
        <w:t xml:space="preserve"> </w:t>
      </w:r>
      <w:r w:rsidR="00B34995" w:rsidRPr="007F2BDD">
        <w:rPr>
          <w:iCs/>
        </w:rPr>
        <w:t>pose a significant safety risk</w:t>
      </w:r>
      <w:r w:rsidR="007F2BDD">
        <w:rPr>
          <w:iCs/>
        </w:rPr>
        <w:t xml:space="preserve">. </w:t>
      </w:r>
    </w:p>
    <w:p w:rsidR="005140F3" w:rsidRPr="007F2BDD" w:rsidRDefault="005140F3" w:rsidP="005F43D9">
      <w:pPr>
        <w:pStyle w:val="3-BodyText"/>
      </w:pPr>
      <w:r w:rsidRPr="007F2BDD">
        <w:t xml:space="preserve">A summary of the safety outcomes, in terms of solicited and unsolicited adverse events and reactions, for </w:t>
      </w:r>
      <w:proofErr w:type="spellStart"/>
      <w:r w:rsidR="00415EEE" w:rsidRPr="007F2BDD">
        <w:t>FluQuadri</w:t>
      </w:r>
      <w:proofErr w:type="spellEnd"/>
      <w:r w:rsidRPr="007F2BDD">
        <w:t xml:space="preserve"> and </w:t>
      </w:r>
      <w:proofErr w:type="spellStart"/>
      <w:r w:rsidR="008C63A0" w:rsidRPr="007F2BDD">
        <w:t>FluQuadri</w:t>
      </w:r>
      <w:proofErr w:type="spellEnd"/>
      <w:r w:rsidR="008C63A0" w:rsidRPr="007F2BDD">
        <w:t xml:space="preserve"> Junior</w:t>
      </w:r>
      <w:r w:rsidRPr="007F2BDD">
        <w:t xml:space="preserve"> in children aged 6-35 months, are shown in Table 7</w:t>
      </w:r>
      <w:r w:rsidR="00BF2297" w:rsidRPr="007F2BDD">
        <w:t>.</w:t>
      </w:r>
      <w:r w:rsidRPr="007F2BDD">
        <w:rPr>
          <w:rFonts w:cs="Calibri"/>
          <w:vertAlign w:val="superscript"/>
        </w:rPr>
        <w:footnoteReference w:id="3"/>
      </w:r>
      <w:r w:rsidRPr="007F2BDD">
        <w:t xml:space="preserve"> </w:t>
      </w:r>
    </w:p>
    <w:p w:rsidR="00297B60" w:rsidRDefault="00297B60">
      <w:pPr>
        <w:rPr>
          <w:rFonts w:ascii="Arial Narrow" w:eastAsiaTheme="majorEastAsia" w:hAnsi="Arial Narrow" w:cstheme="majorBidi"/>
          <w:b/>
          <w:bCs/>
          <w:sz w:val="20"/>
          <w:szCs w:val="20"/>
        </w:rPr>
      </w:pPr>
      <w:r>
        <w:br w:type="page"/>
      </w:r>
    </w:p>
    <w:p w:rsidR="00A66664" w:rsidRPr="007F2BDD" w:rsidRDefault="00A66664" w:rsidP="00193D6C">
      <w:pPr>
        <w:pStyle w:val="TableFigureHeading"/>
      </w:pPr>
      <w:r w:rsidRPr="007F2BDD">
        <w:lastRenderedPageBreak/>
        <w:t xml:space="preserve">Table </w:t>
      </w:r>
      <w:r w:rsidR="007C3D0A" w:rsidRPr="007F2BDD">
        <w:t>7</w:t>
      </w:r>
      <w:r w:rsidRPr="007F2BDD">
        <w:t>: Safety overview after any vaccination (SAS)</w:t>
      </w:r>
    </w:p>
    <w:tbl>
      <w:tblPr>
        <w:tblStyle w:val="TableGrid"/>
        <w:tblW w:w="5000" w:type="pct"/>
        <w:tblLook w:val="04A0" w:firstRow="1" w:lastRow="0" w:firstColumn="1" w:lastColumn="0" w:noHBand="0" w:noVBand="1"/>
        <w:tblCaption w:val="Table 7: Safety overview after any vaccination (SAS)"/>
      </w:tblPr>
      <w:tblGrid>
        <w:gridCol w:w="3290"/>
        <w:gridCol w:w="968"/>
        <w:gridCol w:w="693"/>
        <w:gridCol w:w="1244"/>
        <w:gridCol w:w="970"/>
        <w:gridCol w:w="653"/>
        <w:gridCol w:w="1199"/>
      </w:tblGrid>
      <w:tr w:rsidR="005140F3" w:rsidRPr="007F2BDD" w:rsidTr="0028727B">
        <w:trPr>
          <w:trHeight w:val="284"/>
          <w:tblHeader/>
        </w:trPr>
        <w:tc>
          <w:tcPr>
            <w:tcW w:w="1824" w:type="pct"/>
            <w:vMerge w:val="restart"/>
            <w:tcBorders>
              <w:top w:val="single" w:sz="4" w:space="0" w:color="auto"/>
              <w:left w:val="single" w:sz="4" w:space="0" w:color="auto"/>
              <w:bottom w:val="single" w:sz="4" w:space="0" w:color="auto"/>
              <w:right w:val="single" w:sz="4" w:space="0" w:color="auto"/>
            </w:tcBorders>
            <w:vAlign w:val="center"/>
            <w:hideMark/>
          </w:tcPr>
          <w:p w:rsidR="005140F3" w:rsidRPr="00193D6C" w:rsidRDefault="005140F3" w:rsidP="00193D6C">
            <w:pPr>
              <w:pStyle w:val="TableText0"/>
              <w:rPr>
                <w:b/>
              </w:rPr>
            </w:pPr>
            <w:r w:rsidRPr="00193D6C">
              <w:rPr>
                <w:b/>
              </w:rPr>
              <w:t>Subjects experiencing at least one:</w:t>
            </w:r>
          </w:p>
        </w:tc>
        <w:tc>
          <w:tcPr>
            <w:tcW w:w="1611" w:type="pct"/>
            <w:gridSpan w:val="3"/>
            <w:tcBorders>
              <w:top w:val="single" w:sz="4" w:space="0" w:color="auto"/>
              <w:left w:val="single" w:sz="4" w:space="0" w:color="auto"/>
              <w:bottom w:val="single" w:sz="4" w:space="0" w:color="auto"/>
              <w:right w:val="single" w:sz="4" w:space="0" w:color="auto"/>
            </w:tcBorders>
            <w:vAlign w:val="center"/>
            <w:hideMark/>
          </w:tcPr>
          <w:p w:rsidR="005140F3" w:rsidRPr="00193D6C" w:rsidRDefault="00F11E98" w:rsidP="00193D6C">
            <w:pPr>
              <w:pStyle w:val="TableText0"/>
              <w:rPr>
                <w:rFonts w:cs="Calibri"/>
                <w:b/>
              </w:rPr>
            </w:pPr>
            <w:proofErr w:type="spellStart"/>
            <w:r w:rsidRPr="00193D6C">
              <w:rPr>
                <w:rFonts w:cs="Calibri"/>
                <w:b/>
              </w:rPr>
              <w:t>FluQuadri</w:t>
            </w:r>
            <w:proofErr w:type="spellEnd"/>
            <w:r w:rsidR="005140F3" w:rsidRPr="00193D6C">
              <w:rPr>
                <w:rFonts w:cs="Calibri"/>
                <w:b/>
              </w:rPr>
              <w:t xml:space="preserve"> </w:t>
            </w:r>
          </w:p>
        </w:tc>
        <w:tc>
          <w:tcPr>
            <w:tcW w:w="1565" w:type="pct"/>
            <w:gridSpan w:val="3"/>
            <w:tcBorders>
              <w:top w:val="single" w:sz="4" w:space="0" w:color="auto"/>
              <w:left w:val="single" w:sz="4" w:space="0" w:color="auto"/>
              <w:bottom w:val="single" w:sz="4" w:space="0" w:color="auto"/>
              <w:right w:val="single" w:sz="4" w:space="0" w:color="auto"/>
            </w:tcBorders>
            <w:vAlign w:val="center"/>
            <w:hideMark/>
          </w:tcPr>
          <w:p w:rsidR="005140F3" w:rsidRPr="00193D6C" w:rsidRDefault="008C63A0" w:rsidP="00193D6C">
            <w:pPr>
              <w:pStyle w:val="TableText0"/>
              <w:rPr>
                <w:rFonts w:cs="Calibri"/>
                <w:b/>
              </w:rPr>
            </w:pPr>
            <w:proofErr w:type="spellStart"/>
            <w:r w:rsidRPr="00193D6C">
              <w:rPr>
                <w:rFonts w:cs="Calibri"/>
                <w:b/>
              </w:rPr>
              <w:t>FluQuadri</w:t>
            </w:r>
            <w:proofErr w:type="spellEnd"/>
            <w:r w:rsidRPr="00193D6C">
              <w:rPr>
                <w:rFonts w:cs="Calibri"/>
                <w:b/>
              </w:rPr>
              <w:t xml:space="preserve"> Junior</w:t>
            </w:r>
          </w:p>
        </w:tc>
      </w:tr>
      <w:tr w:rsidR="005140F3" w:rsidRPr="007F2BDD" w:rsidTr="0028727B">
        <w:trPr>
          <w:trHeight w:val="284"/>
          <w:tblHeader/>
        </w:trPr>
        <w:tc>
          <w:tcPr>
            <w:tcW w:w="1824" w:type="pct"/>
            <w:vMerge/>
            <w:tcBorders>
              <w:top w:val="single" w:sz="4" w:space="0" w:color="auto"/>
              <w:left w:val="single" w:sz="4" w:space="0" w:color="auto"/>
              <w:bottom w:val="single" w:sz="4" w:space="0" w:color="auto"/>
              <w:right w:val="single" w:sz="4" w:space="0" w:color="auto"/>
            </w:tcBorders>
            <w:vAlign w:val="center"/>
            <w:hideMark/>
          </w:tcPr>
          <w:p w:rsidR="005140F3" w:rsidRPr="00193D6C" w:rsidRDefault="005140F3" w:rsidP="00193D6C">
            <w:pPr>
              <w:pStyle w:val="TableText0"/>
              <w:rPr>
                <w:b/>
              </w:rPr>
            </w:pPr>
          </w:p>
        </w:tc>
        <w:tc>
          <w:tcPr>
            <w:tcW w:w="537" w:type="pct"/>
            <w:tcBorders>
              <w:top w:val="single" w:sz="4" w:space="0" w:color="auto"/>
              <w:left w:val="single" w:sz="4" w:space="0" w:color="auto"/>
              <w:bottom w:val="single" w:sz="4" w:space="0" w:color="auto"/>
              <w:right w:val="single" w:sz="4" w:space="0" w:color="auto"/>
            </w:tcBorders>
            <w:vAlign w:val="center"/>
            <w:hideMark/>
          </w:tcPr>
          <w:p w:rsidR="005140F3" w:rsidRPr="00193D6C" w:rsidRDefault="005140F3" w:rsidP="00193D6C">
            <w:pPr>
              <w:pStyle w:val="TableText0"/>
              <w:rPr>
                <w:b/>
              </w:rPr>
            </w:pPr>
            <w:r w:rsidRPr="00193D6C">
              <w:rPr>
                <w:b/>
              </w:rPr>
              <w:t>n/M</w:t>
            </w:r>
          </w:p>
        </w:tc>
        <w:tc>
          <w:tcPr>
            <w:tcW w:w="384" w:type="pct"/>
            <w:tcBorders>
              <w:top w:val="single" w:sz="4" w:space="0" w:color="auto"/>
              <w:left w:val="single" w:sz="4" w:space="0" w:color="auto"/>
              <w:bottom w:val="single" w:sz="4" w:space="0" w:color="auto"/>
              <w:right w:val="single" w:sz="4" w:space="0" w:color="auto"/>
            </w:tcBorders>
            <w:vAlign w:val="center"/>
            <w:hideMark/>
          </w:tcPr>
          <w:p w:rsidR="005140F3" w:rsidRPr="00193D6C" w:rsidRDefault="005140F3" w:rsidP="00193D6C">
            <w:pPr>
              <w:pStyle w:val="TableText0"/>
              <w:rPr>
                <w:b/>
              </w:rPr>
            </w:pPr>
            <w:r w:rsidRPr="00193D6C">
              <w:rPr>
                <w:b/>
              </w:rPr>
              <w:t>%</w:t>
            </w:r>
          </w:p>
        </w:tc>
        <w:tc>
          <w:tcPr>
            <w:tcW w:w="690" w:type="pct"/>
            <w:tcBorders>
              <w:top w:val="single" w:sz="4" w:space="0" w:color="auto"/>
              <w:left w:val="single" w:sz="4" w:space="0" w:color="auto"/>
              <w:bottom w:val="single" w:sz="4" w:space="0" w:color="auto"/>
              <w:right w:val="single" w:sz="4" w:space="0" w:color="auto"/>
            </w:tcBorders>
            <w:vAlign w:val="center"/>
            <w:hideMark/>
          </w:tcPr>
          <w:p w:rsidR="005140F3" w:rsidRPr="00193D6C" w:rsidRDefault="005140F3" w:rsidP="00193D6C">
            <w:pPr>
              <w:pStyle w:val="TableText0"/>
              <w:rPr>
                <w:b/>
              </w:rPr>
            </w:pPr>
            <w:r w:rsidRPr="00193D6C">
              <w:rPr>
                <w:b/>
              </w:rPr>
              <w:t>95% CI</w:t>
            </w:r>
          </w:p>
        </w:tc>
        <w:tc>
          <w:tcPr>
            <w:tcW w:w="538" w:type="pct"/>
            <w:tcBorders>
              <w:top w:val="single" w:sz="4" w:space="0" w:color="auto"/>
              <w:left w:val="single" w:sz="4" w:space="0" w:color="auto"/>
              <w:bottom w:val="single" w:sz="4" w:space="0" w:color="auto"/>
              <w:right w:val="single" w:sz="4" w:space="0" w:color="auto"/>
            </w:tcBorders>
            <w:vAlign w:val="center"/>
            <w:hideMark/>
          </w:tcPr>
          <w:p w:rsidR="005140F3" w:rsidRPr="00193D6C" w:rsidRDefault="005140F3" w:rsidP="00193D6C">
            <w:pPr>
              <w:pStyle w:val="TableText0"/>
              <w:rPr>
                <w:b/>
              </w:rPr>
            </w:pPr>
            <w:r w:rsidRPr="00193D6C">
              <w:rPr>
                <w:b/>
              </w:rPr>
              <w:t>n/M</w:t>
            </w:r>
          </w:p>
        </w:tc>
        <w:tc>
          <w:tcPr>
            <w:tcW w:w="362" w:type="pct"/>
            <w:tcBorders>
              <w:top w:val="single" w:sz="4" w:space="0" w:color="auto"/>
              <w:left w:val="single" w:sz="4" w:space="0" w:color="auto"/>
              <w:bottom w:val="single" w:sz="4" w:space="0" w:color="auto"/>
              <w:right w:val="single" w:sz="4" w:space="0" w:color="auto"/>
            </w:tcBorders>
            <w:vAlign w:val="center"/>
            <w:hideMark/>
          </w:tcPr>
          <w:p w:rsidR="005140F3" w:rsidRPr="00193D6C" w:rsidRDefault="005140F3" w:rsidP="00193D6C">
            <w:pPr>
              <w:pStyle w:val="TableText0"/>
              <w:rPr>
                <w:b/>
              </w:rPr>
            </w:pPr>
            <w:r w:rsidRPr="00193D6C">
              <w:rPr>
                <w:b/>
              </w:rPr>
              <w:t>%</w:t>
            </w:r>
          </w:p>
        </w:tc>
        <w:tc>
          <w:tcPr>
            <w:tcW w:w="665" w:type="pct"/>
            <w:tcBorders>
              <w:top w:val="single" w:sz="4" w:space="0" w:color="auto"/>
              <w:left w:val="single" w:sz="4" w:space="0" w:color="auto"/>
              <w:bottom w:val="single" w:sz="4" w:space="0" w:color="auto"/>
              <w:right w:val="single" w:sz="4" w:space="0" w:color="auto"/>
            </w:tcBorders>
            <w:vAlign w:val="center"/>
            <w:hideMark/>
          </w:tcPr>
          <w:p w:rsidR="005140F3" w:rsidRPr="00193D6C" w:rsidRDefault="005140F3" w:rsidP="00193D6C">
            <w:pPr>
              <w:pStyle w:val="TableText0"/>
              <w:rPr>
                <w:b/>
              </w:rPr>
            </w:pPr>
            <w:r w:rsidRPr="00193D6C">
              <w:rPr>
                <w:b/>
              </w:rPr>
              <w:t>95% CI</w:t>
            </w:r>
          </w:p>
        </w:tc>
      </w:tr>
      <w:tr w:rsidR="005140F3" w:rsidRPr="007F2BDD" w:rsidTr="0028727B">
        <w:trPr>
          <w:trHeight w:val="284"/>
        </w:trPr>
        <w:tc>
          <w:tcPr>
            <w:tcW w:w="182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Immediate unsolicited AE</w:t>
            </w:r>
          </w:p>
        </w:tc>
        <w:tc>
          <w:tcPr>
            <w:tcW w:w="53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0/992</w:t>
            </w:r>
          </w:p>
        </w:tc>
        <w:tc>
          <w:tcPr>
            <w:tcW w:w="38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w:t>
            </w:r>
          </w:p>
        </w:tc>
        <w:tc>
          <w:tcPr>
            <w:tcW w:w="69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0.0; 0.4</w:t>
            </w:r>
          </w:p>
        </w:tc>
        <w:tc>
          <w:tcPr>
            <w:tcW w:w="53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2/949</w:t>
            </w:r>
          </w:p>
        </w:tc>
        <w:tc>
          <w:tcPr>
            <w:tcW w:w="362"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0.2</w:t>
            </w:r>
          </w:p>
        </w:tc>
        <w:tc>
          <w:tcPr>
            <w:tcW w:w="6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0.0; 0.8</w:t>
            </w:r>
          </w:p>
        </w:tc>
      </w:tr>
      <w:tr w:rsidR="005140F3" w:rsidRPr="007F2BDD" w:rsidTr="0028727B">
        <w:trPr>
          <w:trHeight w:val="284"/>
        </w:trPr>
        <w:tc>
          <w:tcPr>
            <w:tcW w:w="182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Immediate unsolicited AR</w:t>
            </w:r>
          </w:p>
        </w:tc>
        <w:tc>
          <w:tcPr>
            <w:tcW w:w="53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0/992</w:t>
            </w:r>
          </w:p>
        </w:tc>
        <w:tc>
          <w:tcPr>
            <w:tcW w:w="38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w:t>
            </w:r>
          </w:p>
        </w:tc>
        <w:tc>
          <w:tcPr>
            <w:tcW w:w="69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0.0; 0.4</w:t>
            </w:r>
          </w:p>
        </w:tc>
        <w:tc>
          <w:tcPr>
            <w:tcW w:w="53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1/949</w:t>
            </w:r>
          </w:p>
        </w:tc>
        <w:tc>
          <w:tcPr>
            <w:tcW w:w="362"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0.1</w:t>
            </w:r>
          </w:p>
        </w:tc>
        <w:tc>
          <w:tcPr>
            <w:tcW w:w="6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0.0; 0.6</w:t>
            </w:r>
          </w:p>
        </w:tc>
      </w:tr>
      <w:tr w:rsidR="005140F3" w:rsidRPr="007F2BDD" w:rsidTr="0028727B">
        <w:trPr>
          <w:trHeight w:val="284"/>
        </w:trPr>
        <w:tc>
          <w:tcPr>
            <w:tcW w:w="1824" w:type="pct"/>
            <w:tcBorders>
              <w:top w:val="single" w:sz="4" w:space="0" w:color="auto"/>
              <w:left w:val="single" w:sz="4" w:space="0" w:color="auto"/>
              <w:bottom w:val="single" w:sz="4" w:space="0" w:color="auto"/>
              <w:right w:val="nil"/>
            </w:tcBorders>
            <w:vAlign w:val="center"/>
          </w:tcPr>
          <w:p w:rsidR="005140F3" w:rsidRPr="007F2BDD" w:rsidRDefault="005140F3" w:rsidP="00193D6C">
            <w:pPr>
              <w:pStyle w:val="TableText0"/>
            </w:pPr>
          </w:p>
        </w:tc>
        <w:tc>
          <w:tcPr>
            <w:tcW w:w="537"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384"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690"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538"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362"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665" w:type="pct"/>
            <w:tcBorders>
              <w:top w:val="single" w:sz="4" w:space="0" w:color="auto"/>
              <w:left w:val="nil"/>
              <w:bottom w:val="single" w:sz="4" w:space="0" w:color="auto"/>
              <w:right w:val="single" w:sz="4" w:space="0" w:color="auto"/>
            </w:tcBorders>
            <w:vAlign w:val="center"/>
          </w:tcPr>
          <w:p w:rsidR="005140F3" w:rsidRPr="007F2BDD" w:rsidRDefault="005140F3" w:rsidP="00193D6C">
            <w:pPr>
              <w:pStyle w:val="TableText0"/>
            </w:pPr>
          </w:p>
        </w:tc>
      </w:tr>
      <w:tr w:rsidR="005140F3" w:rsidRPr="007F2BDD" w:rsidTr="0028727B">
        <w:trPr>
          <w:trHeight w:val="284"/>
        </w:trPr>
        <w:tc>
          <w:tcPr>
            <w:tcW w:w="182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Solicited reaction</w:t>
            </w:r>
          </w:p>
        </w:tc>
        <w:tc>
          <w:tcPr>
            <w:tcW w:w="53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698/941</w:t>
            </w:r>
          </w:p>
        </w:tc>
        <w:tc>
          <w:tcPr>
            <w:tcW w:w="38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74.2</w:t>
            </w:r>
          </w:p>
        </w:tc>
        <w:tc>
          <w:tcPr>
            <w:tcW w:w="69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71.3; 76.9</w:t>
            </w:r>
          </w:p>
        </w:tc>
        <w:tc>
          <w:tcPr>
            <w:tcW w:w="53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645/909</w:t>
            </w:r>
          </w:p>
        </w:tc>
        <w:tc>
          <w:tcPr>
            <w:tcW w:w="362"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71</w:t>
            </w:r>
          </w:p>
        </w:tc>
        <w:tc>
          <w:tcPr>
            <w:tcW w:w="6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67.9; 73.9</w:t>
            </w:r>
          </w:p>
        </w:tc>
      </w:tr>
      <w:tr w:rsidR="005140F3" w:rsidRPr="007F2BDD" w:rsidTr="0028727B">
        <w:trPr>
          <w:trHeight w:val="284"/>
        </w:trPr>
        <w:tc>
          <w:tcPr>
            <w:tcW w:w="182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Solicited injection site reaction</w:t>
            </w:r>
          </w:p>
        </w:tc>
        <w:tc>
          <w:tcPr>
            <w:tcW w:w="53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533/939</w:t>
            </w:r>
          </w:p>
        </w:tc>
        <w:tc>
          <w:tcPr>
            <w:tcW w:w="38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56.8</w:t>
            </w:r>
          </w:p>
        </w:tc>
        <w:tc>
          <w:tcPr>
            <w:tcW w:w="69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53.5; 60.0</w:t>
            </w:r>
          </w:p>
        </w:tc>
        <w:tc>
          <w:tcPr>
            <w:tcW w:w="53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480/909</w:t>
            </w:r>
          </w:p>
        </w:tc>
        <w:tc>
          <w:tcPr>
            <w:tcW w:w="362"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52.8</w:t>
            </w:r>
          </w:p>
        </w:tc>
        <w:tc>
          <w:tcPr>
            <w:tcW w:w="6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49.5; 56.1</w:t>
            </w:r>
          </w:p>
        </w:tc>
      </w:tr>
      <w:tr w:rsidR="005140F3" w:rsidRPr="007F2BDD" w:rsidTr="0028727B">
        <w:trPr>
          <w:trHeight w:val="284"/>
        </w:trPr>
        <w:tc>
          <w:tcPr>
            <w:tcW w:w="182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Solicited systemic reaction</w:t>
            </w:r>
          </w:p>
        </w:tc>
        <w:tc>
          <w:tcPr>
            <w:tcW w:w="53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561/941</w:t>
            </w:r>
          </w:p>
        </w:tc>
        <w:tc>
          <w:tcPr>
            <w:tcW w:w="38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59.6</w:t>
            </w:r>
          </w:p>
        </w:tc>
        <w:tc>
          <w:tcPr>
            <w:tcW w:w="69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56.4; 62.8</w:t>
            </w:r>
          </w:p>
        </w:tc>
        <w:tc>
          <w:tcPr>
            <w:tcW w:w="53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533/909</w:t>
            </w:r>
          </w:p>
        </w:tc>
        <w:tc>
          <w:tcPr>
            <w:tcW w:w="362"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58.6</w:t>
            </w:r>
          </w:p>
        </w:tc>
        <w:tc>
          <w:tcPr>
            <w:tcW w:w="6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55.4; 61.9</w:t>
            </w:r>
          </w:p>
        </w:tc>
      </w:tr>
      <w:tr w:rsidR="005140F3" w:rsidRPr="007F2BDD" w:rsidTr="0028727B">
        <w:trPr>
          <w:trHeight w:val="284"/>
        </w:trPr>
        <w:tc>
          <w:tcPr>
            <w:tcW w:w="1824" w:type="pct"/>
            <w:tcBorders>
              <w:top w:val="single" w:sz="4" w:space="0" w:color="auto"/>
              <w:left w:val="single" w:sz="4" w:space="0" w:color="auto"/>
              <w:bottom w:val="single" w:sz="4" w:space="0" w:color="auto"/>
              <w:right w:val="nil"/>
            </w:tcBorders>
            <w:vAlign w:val="center"/>
          </w:tcPr>
          <w:p w:rsidR="005140F3" w:rsidRPr="007F2BDD" w:rsidRDefault="005140F3" w:rsidP="00193D6C">
            <w:pPr>
              <w:pStyle w:val="TableText0"/>
            </w:pPr>
          </w:p>
        </w:tc>
        <w:tc>
          <w:tcPr>
            <w:tcW w:w="537"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384"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690"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538"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362"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665" w:type="pct"/>
            <w:tcBorders>
              <w:top w:val="single" w:sz="4" w:space="0" w:color="auto"/>
              <w:left w:val="nil"/>
              <w:bottom w:val="single" w:sz="4" w:space="0" w:color="auto"/>
              <w:right w:val="single" w:sz="4" w:space="0" w:color="auto"/>
            </w:tcBorders>
            <w:vAlign w:val="center"/>
          </w:tcPr>
          <w:p w:rsidR="005140F3" w:rsidRPr="007F2BDD" w:rsidRDefault="005140F3" w:rsidP="00193D6C">
            <w:pPr>
              <w:pStyle w:val="TableText0"/>
            </w:pPr>
          </w:p>
        </w:tc>
      </w:tr>
      <w:tr w:rsidR="005140F3" w:rsidRPr="007F2BDD" w:rsidTr="0028727B">
        <w:trPr>
          <w:trHeight w:val="284"/>
        </w:trPr>
        <w:tc>
          <w:tcPr>
            <w:tcW w:w="182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Unsolicited AE</w:t>
            </w:r>
          </w:p>
        </w:tc>
        <w:tc>
          <w:tcPr>
            <w:tcW w:w="53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395/992</w:t>
            </w:r>
          </w:p>
        </w:tc>
        <w:tc>
          <w:tcPr>
            <w:tcW w:w="38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39.8</w:t>
            </w:r>
          </w:p>
        </w:tc>
        <w:tc>
          <w:tcPr>
            <w:tcW w:w="69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36.8; 42.9</w:t>
            </w:r>
          </w:p>
        </w:tc>
        <w:tc>
          <w:tcPr>
            <w:tcW w:w="53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420/949</w:t>
            </w:r>
          </w:p>
        </w:tc>
        <w:tc>
          <w:tcPr>
            <w:tcW w:w="362"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44.3</w:t>
            </w:r>
          </w:p>
        </w:tc>
        <w:tc>
          <w:tcPr>
            <w:tcW w:w="6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41.1; 47.5</w:t>
            </w:r>
          </w:p>
        </w:tc>
      </w:tr>
      <w:tr w:rsidR="005140F3" w:rsidRPr="007F2BDD" w:rsidTr="0028727B">
        <w:trPr>
          <w:trHeight w:val="284"/>
        </w:trPr>
        <w:tc>
          <w:tcPr>
            <w:tcW w:w="182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Unsolicited AR</w:t>
            </w:r>
          </w:p>
        </w:tc>
        <w:tc>
          <w:tcPr>
            <w:tcW w:w="53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30/992</w:t>
            </w:r>
          </w:p>
        </w:tc>
        <w:tc>
          <w:tcPr>
            <w:tcW w:w="38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3.0</w:t>
            </w:r>
          </w:p>
        </w:tc>
        <w:tc>
          <w:tcPr>
            <w:tcW w:w="69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2.0; 4.3</w:t>
            </w:r>
          </w:p>
        </w:tc>
        <w:tc>
          <w:tcPr>
            <w:tcW w:w="53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29/949</w:t>
            </w:r>
          </w:p>
        </w:tc>
        <w:tc>
          <w:tcPr>
            <w:tcW w:w="362"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3.1</w:t>
            </w:r>
          </w:p>
        </w:tc>
        <w:tc>
          <w:tcPr>
            <w:tcW w:w="6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2.1; 4.4</w:t>
            </w:r>
          </w:p>
        </w:tc>
      </w:tr>
      <w:tr w:rsidR="005140F3" w:rsidRPr="007F2BDD" w:rsidTr="0028727B">
        <w:trPr>
          <w:trHeight w:val="284"/>
        </w:trPr>
        <w:tc>
          <w:tcPr>
            <w:tcW w:w="1824" w:type="pct"/>
            <w:tcBorders>
              <w:top w:val="single" w:sz="4" w:space="0" w:color="auto"/>
              <w:left w:val="single" w:sz="4" w:space="0" w:color="auto"/>
              <w:bottom w:val="single" w:sz="4" w:space="0" w:color="auto"/>
              <w:right w:val="nil"/>
            </w:tcBorders>
            <w:vAlign w:val="center"/>
          </w:tcPr>
          <w:p w:rsidR="005140F3" w:rsidRPr="007F2BDD" w:rsidRDefault="005140F3" w:rsidP="00193D6C">
            <w:pPr>
              <w:pStyle w:val="TableText0"/>
            </w:pPr>
          </w:p>
        </w:tc>
        <w:tc>
          <w:tcPr>
            <w:tcW w:w="537"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384"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690"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538"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362" w:type="pct"/>
            <w:tcBorders>
              <w:top w:val="single" w:sz="4" w:space="0" w:color="auto"/>
              <w:left w:val="nil"/>
              <w:bottom w:val="single" w:sz="4" w:space="0" w:color="auto"/>
              <w:right w:val="nil"/>
            </w:tcBorders>
            <w:vAlign w:val="center"/>
          </w:tcPr>
          <w:p w:rsidR="005140F3" w:rsidRPr="007F2BDD" w:rsidRDefault="005140F3" w:rsidP="00193D6C">
            <w:pPr>
              <w:pStyle w:val="TableText0"/>
            </w:pPr>
          </w:p>
        </w:tc>
        <w:tc>
          <w:tcPr>
            <w:tcW w:w="665" w:type="pct"/>
            <w:tcBorders>
              <w:top w:val="single" w:sz="4" w:space="0" w:color="auto"/>
              <w:left w:val="nil"/>
              <w:bottom w:val="single" w:sz="4" w:space="0" w:color="auto"/>
              <w:right w:val="single" w:sz="4" w:space="0" w:color="auto"/>
            </w:tcBorders>
            <w:vAlign w:val="center"/>
          </w:tcPr>
          <w:p w:rsidR="005140F3" w:rsidRPr="007F2BDD" w:rsidRDefault="005140F3" w:rsidP="00193D6C">
            <w:pPr>
              <w:pStyle w:val="TableText0"/>
            </w:pPr>
          </w:p>
        </w:tc>
      </w:tr>
      <w:tr w:rsidR="005140F3" w:rsidRPr="007F2BDD" w:rsidTr="0028727B">
        <w:trPr>
          <w:trHeight w:val="284"/>
        </w:trPr>
        <w:tc>
          <w:tcPr>
            <w:tcW w:w="182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AE leading to study discontinuation</w:t>
            </w:r>
          </w:p>
        </w:tc>
        <w:tc>
          <w:tcPr>
            <w:tcW w:w="53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0/992</w:t>
            </w:r>
          </w:p>
        </w:tc>
        <w:tc>
          <w:tcPr>
            <w:tcW w:w="38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w:t>
            </w:r>
          </w:p>
        </w:tc>
        <w:tc>
          <w:tcPr>
            <w:tcW w:w="69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0.0; 0.4</w:t>
            </w:r>
          </w:p>
        </w:tc>
        <w:tc>
          <w:tcPr>
            <w:tcW w:w="53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3/949</w:t>
            </w:r>
          </w:p>
        </w:tc>
        <w:tc>
          <w:tcPr>
            <w:tcW w:w="362"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0.3</w:t>
            </w:r>
          </w:p>
        </w:tc>
        <w:tc>
          <w:tcPr>
            <w:tcW w:w="6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0.1; 0.9</w:t>
            </w:r>
          </w:p>
        </w:tc>
      </w:tr>
      <w:tr w:rsidR="005140F3" w:rsidRPr="007F2BDD" w:rsidTr="0028727B">
        <w:trPr>
          <w:trHeight w:val="284"/>
        </w:trPr>
        <w:tc>
          <w:tcPr>
            <w:tcW w:w="182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SAEs</w:t>
            </w:r>
          </w:p>
        </w:tc>
        <w:tc>
          <w:tcPr>
            <w:tcW w:w="53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5/992</w:t>
            </w:r>
          </w:p>
        </w:tc>
        <w:tc>
          <w:tcPr>
            <w:tcW w:w="38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0.5</w:t>
            </w:r>
          </w:p>
        </w:tc>
        <w:tc>
          <w:tcPr>
            <w:tcW w:w="69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0.2; 1.2</w:t>
            </w:r>
          </w:p>
        </w:tc>
        <w:tc>
          <w:tcPr>
            <w:tcW w:w="53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5/949</w:t>
            </w:r>
          </w:p>
        </w:tc>
        <w:tc>
          <w:tcPr>
            <w:tcW w:w="362"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0.5</w:t>
            </w:r>
          </w:p>
        </w:tc>
        <w:tc>
          <w:tcPr>
            <w:tcW w:w="6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0.2; 1.2</w:t>
            </w:r>
          </w:p>
        </w:tc>
      </w:tr>
      <w:tr w:rsidR="005140F3" w:rsidRPr="007F2BDD" w:rsidTr="0028727B">
        <w:trPr>
          <w:trHeight w:val="284"/>
        </w:trPr>
        <w:tc>
          <w:tcPr>
            <w:tcW w:w="182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Death</w:t>
            </w:r>
          </w:p>
        </w:tc>
        <w:tc>
          <w:tcPr>
            <w:tcW w:w="537"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0/992</w:t>
            </w:r>
          </w:p>
        </w:tc>
        <w:tc>
          <w:tcPr>
            <w:tcW w:w="384"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w:t>
            </w:r>
          </w:p>
        </w:tc>
        <w:tc>
          <w:tcPr>
            <w:tcW w:w="690"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0.0; 0.4</w:t>
            </w:r>
          </w:p>
        </w:tc>
        <w:tc>
          <w:tcPr>
            <w:tcW w:w="538"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0/949</w:t>
            </w:r>
          </w:p>
        </w:tc>
        <w:tc>
          <w:tcPr>
            <w:tcW w:w="362"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w:t>
            </w:r>
          </w:p>
        </w:tc>
        <w:tc>
          <w:tcPr>
            <w:tcW w:w="665" w:type="pct"/>
            <w:tcBorders>
              <w:top w:val="single" w:sz="4" w:space="0" w:color="auto"/>
              <w:left w:val="single" w:sz="4" w:space="0" w:color="auto"/>
              <w:bottom w:val="single" w:sz="4" w:space="0" w:color="auto"/>
              <w:right w:val="single" w:sz="4" w:space="0" w:color="auto"/>
            </w:tcBorders>
            <w:vAlign w:val="center"/>
            <w:hideMark/>
          </w:tcPr>
          <w:p w:rsidR="005140F3" w:rsidRPr="007F2BDD" w:rsidRDefault="005140F3" w:rsidP="00193D6C">
            <w:pPr>
              <w:pStyle w:val="TableText0"/>
            </w:pPr>
            <w:r w:rsidRPr="007F2BDD">
              <w:t>0.0; 0.4</w:t>
            </w:r>
          </w:p>
        </w:tc>
      </w:tr>
    </w:tbl>
    <w:p w:rsidR="005140F3" w:rsidRPr="007F2BDD" w:rsidRDefault="005140F3" w:rsidP="00193D6C">
      <w:pPr>
        <w:pStyle w:val="TableFigureFooter"/>
        <w:rPr>
          <w:rFonts w:eastAsia="Calibri"/>
        </w:rPr>
      </w:pPr>
      <w:r w:rsidRPr="007F2BDD">
        <w:rPr>
          <w:rFonts w:eastAsia="Calibri"/>
        </w:rPr>
        <w:t>AE = adverse event; AR = adverse reaction; CI = confidence interval; M = number of subjects with available data for the relevant endpoint; N = number of subjects analysed according to the SAS; n = number of subjects experiencing the endpoint listed; SAE = serious adverse event; SAS = safety analysis set.</w:t>
      </w:r>
    </w:p>
    <w:p w:rsidR="005140F3" w:rsidRPr="007F2BDD" w:rsidRDefault="005140F3" w:rsidP="00193D6C">
      <w:pPr>
        <w:pStyle w:val="TableFigureFooter"/>
        <w:spacing w:after="120"/>
      </w:pPr>
      <w:r w:rsidRPr="007F2BDD">
        <w:t>Source: Table 2.5.4, p48 of the submission.</w:t>
      </w:r>
    </w:p>
    <w:p w:rsidR="00CD4E33" w:rsidRPr="00193D6C" w:rsidRDefault="005140F3" w:rsidP="005F43D9">
      <w:pPr>
        <w:pStyle w:val="3-BodyText"/>
      </w:pPr>
      <w:r w:rsidRPr="007F2BDD">
        <w:t xml:space="preserve">The submission reported </w:t>
      </w:r>
      <w:r w:rsidR="001944DD" w:rsidRPr="007F2BDD">
        <w:t xml:space="preserve">that </w:t>
      </w:r>
      <w:r w:rsidRPr="007F2BDD">
        <w:t xml:space="preserve">the overall safety of </w:t>
      </w:r>
      <w:proofErr w:type="spellStart"/>
      <w:r w:rsidR="00415EEE" w:rsidRPr="007F2BDD">
        <w:t>FluQuadri</w:t>
      </w:r>
      <w:proofErr w:type="spellEnd"/>
      <w:r w:rsidRPr="007F2BDD">
        <w:t xml:space="preserve"> and </w:t>
      </w:r>
      <w:proofErr w:type="spellStart"/>
      <w:r w:rsidR="008C63A0" w:rsidRPr="007F2BDD">
        <w:t>FluQuadri</w:t>
      </w:r>
      <w:proofErr w:type="spellEnd"/>
      <w:r w:rsidR="008C63A0" w:rsidRPr="007F2BDD">
        <w:t xml:space="preserve"> Junior</w:t>
      </w:r>
      <w:r w:rsidRPr="007F2BDD">
        <w:t xml:space="preserve"> </w:t>
      </w:r>
      <w:r w:rsidR="009E135A" w:rsidRPr="007F2BDD">
        <w:t>were</w:t>
      </w:r>
      <w:r w:rsidRPr="007F2BDD">
        <w:t xml:space="preserve"> comparable</w:t>
      </w:r>
      <w:r w:rsidRPr="007F2BDD">
        <w:rPr>
          <w:iCs/>
        </w:rPr>
        <w:t xml:space="preserve">. </w:t>
      </w:r>
      <w:r w:rsidRPr="007F2BDD">
        <w:t xml:space="preserve">The overall rates of solicited systemic and injection site reactions were higher in </w:t>
      </w:r>
      <w:proofErr w:type="spellStart"/>
      <w:r w:rsidR="00415EEE" w:rsidRPr="007F2BDD">
        <w:t>FluQuadri</w:t>
      </w:r>
      <w:proofErr w:type="spellEnd"/>
      <w:r w:rsidRPr="007F2BDD">
        <w:t xml:space="preserve"> compared </w:t>
      </w:r>
      <w:r w:rsidR="000739F7" w:rsidRPr="007F2BDD">
        <w:t xml:space="preserve">with </w:t>
      </w:r>
      <w:proofErr w:type="spellStart"/>
      <w:r w:rsidR="008C63A0" w:rsidRPr="007F2BDD">
        <w:t>FluQuadri</w:t>
      </w:r>
      <w:proofErr w:type="spellEnd"/>
      <w:r w:rsidR="008C63A0" w:rsidRPr="007F2BDD">
        <w:t xml:space="preserve"> Junior</w:t>
      </w:r>
      <w:r w:rsidRPr="007F2BDD">
        <w:t xml:space="preserve">, whereas unsolicited adverse events and adverse reactions were lower in </w:t>
      </w:r>
      <w:proofErr w:type="spellStart"/>
      <w:r w:rsidR="00415EEE" w:rsidRPr="007F2BDD">
        <w:t>FluQuadri</w:t>
      </w:r>
      <w:proofErr w:type="spellEnd"/>
      <w:r w:rsidRPr="007F2BDD">
        <w:t xml:space="preserve"> compared </w:t>
      </w:r>
      <w:r w:rsidR="000739F7" w:rsidRPr="007F2BDD">
        <w:t xml:space="preserve">with </w:t>
      </w:r>
      <w:proofErr w:type="spellStart"/>
      <w:r w:rsidR="008C63A0" w:rsidRPr="007F2BDD">
        <w:t>FluQuadri</w:t>
      </w:r>
      <w:proofErr w:type="spellEnd"/>
      <w:r w:rsidR="008C63A0" w:rsidRPr="007F2BDD">
        <w:t xml:space="preserve"> Junior</w:t>
      </w:r>
      <w:r w:rsidRPr="007F2BDD">
        <w:t xml:space="preserve">. </w:t>
      </w:r>
      <w:r w:rsidR="00764817" w:rsidRPr="007F2BDD">
        <w:t>The e</w:t>
      </w:r>
      <w:r w:rsidR="00080598" w:rsidRPr="007F2BDD">
        <w:t>valuation</w:t>
      </w:r>
      <w:r w:rsidR="000739F7" w:rsidRPr="007F2BDD">
        <w:t xml:space="preserve"> </w:t>
      </w:r>
      <w:r w:rsidR="00552DBB" w:rsidRPr="007F2BDD">
        <w:t>considered that t</w:t>
      </w:r>
      <w:r w:rsidRPr="007F2BDD">
        <w:t xml:space="preserve">his </w:t>
      </w:r>
      <w:r w:rsidR="00C80042" w:rsidRPr="007F2BDD">
        <w:t xml:space="preserve">claim </w:t>
      </w:r>
      <w:r w:rsidR="009E135A" w:rsidRPr="007F2BDD">
        <w:t>was</w:t>
      </w:r>
      <w:r w:rsidRPr="007F2BDD">
        <w:t xml:space="preserve"> reasonable. </w:t>
      </w:r>
      <w:bookmarkStart w:id="24" w:name="_Toc16586215"/>
      <w:bookmarkStart w:id="25" w:name="_Toc19617907"/>
    </w:p>
    <w:p w:rsidR="005140F3" w:rsidRPr="007F2BDD" w:rsidRDefault="005140F3" w:rsidP="005F43D9">
      <w:pPr>
        <w:pStyle w:val="4-SubsectionHeading"/>
      </w:pPr>
      <w:r w:rsidRPr="007F2BDD">
        <w:t>Clinical claim</w:t>
      </w:r>
      <w:bookmarkEnd w:id="24"/>
      <w:bookmarkEnd w:id="25"/>
    </w:p>
    <w:p w:rsidR="008F1016" w:rsidRPr="007F2BDD" w:rsidRDefault="008F1016" w:rsidP="005F43D9">
      <w:pPr>
        <w:pStyle w:val="Heading3"/>
        <w:rPr>
          <w:i w:val="0"/>
        </w:rPr>
      </w:pPr>
      <w:r w:rsidRPr="007F2BDD">
        <w:rPr>
          <w:i w:val="0"/>
        </w:rPr>
        <w:t xml:space="preserve">At-risk </w:t>
      </w:r>
      <w:r w:rsidR="00227B22" w:rsidRPr="007F2BDD">
        <w:rPr>
          <w:i w:val="0"/>
        </w:rPr>
        <w:t>children</w:t>
      </w:r>
      <w:r w:rsidRPr="007F2BDD">
        <w:rPr>
          <w:i w:val="0"/>
        </w:rPr>
        <w:t xml:space="preserve"> aged 6-35 months</w:t>
      </w:r>
    </w:p>
    <w:p w:rsidR="005140F3" w:rsidRPr="007F2BDD" w:rsidRDefault="005140F3" w:rsidP="005F43D9">
      <w:pPr>
        <w:pStyle w:val="3-BodyText"/>
      </w:pPr>
      <w:r w:rsidRPr="007F2BDD">
        <w:t xml:space="preserve">The submission described </w:t>
      </w:r>
      <w:proofErr w:type="spellStart"/>
      <w:r w:rsidR="00415EEE" w:rsidRPr="007F2BDD">
        <w:t>FluQuadri</w:t>
      </w:r>
      <w:proofErr w:type="spellEnd"/>
      <w:r w:rsidRPr="007F2BDD">
        <w:t xml:space="preserve"> as non-inferior in terms of safety and </w:t>
      </w:r>
      <w:r w:rsidR="00662081" w:rsidRPr="007F2BDD">
        <w:t xml:space="preserve">effectiveness </w:t>
      </w:r>
      <w:r w:rsidRPr="007F2BDD">
        <w:t xml:space="preserve">compared with </w:t>
      </w:r>
      <w:proofErr w:type="spellStart"/>
      <w:r w:rsidR="008C63A0" w:rsidRPr="007F2BDD">
        <w:t>FluQuadri</w:t>
      </w:r>
      <w:proofErr w:type="spellEnd"/>
      <w:r w:rsidR="008C63A0" w:rsidRPr="007F2BDD">
        <w:t xml:space="preserve"> Junior</w:t>
      </w:r>
      <w:r w:rsidRPr="007F2BDD">
        <w:t xml:space="preserve"> in children aged 6-35 months</w:t>
      </w:r>
      <w:r w:rsidR="008F7FD9" w:rsidRPr="007F2BDD">
        <w:t>.</w:t>
      </w:r>
    </w:p>
    <w:p w:rsidR="00DF61AB" w:rsidRPr="007F2BDD" w:rsidRDefault="005140F3" w:rsidP="005F43D9">
      <w:pPr>
        <w:pStyle w:val="3-BodyText"/>
      </w:pPr>
      <w:r w:rsidRPr="007F2BDD">
        <w:t xml:space="preserve">The </w:t>
      </w:r>
      <w:r w:rsidR="00764817" w:rsidRPr="007F2BDD">
        <w:t>e</w:t>
      </w:r>
      <w:r w:rsidR="00552DBB" w:rsidRPr="007F2BDD">
        <w:t>valuat</w:t>
      </w:r>
      <w:r w:rsidR="005F2625" w:rsidRPr="007F2BDD">
        <w:t>ion</w:t>
      </w:r>
      <w:r w:rsidR="002D56BA" w:rsidRPr="007F2BDD">
        <w:t xml:space="preserve">, </w:t>
      </w:r>
      <w:r w:rsidR="00495C91" w:rsidRPr="007F2BDD">
        <w:t xml:space="preserve">the ESC </w:t>
      </w:r>
      <w:r w:rsidR="002D56BA" w:rsidRPr="007F2BDD">
        <w:t xml:space="preserve">and ATAGI (ATAGI October 2019 Post-Submission Advice, QIV, </w:t>
      </w:r>
      <w:proofErr w:type="spellStart"/>
      <w:r w:rsidR="002D56BA" w:rsidRPr="007F2BDD">
        <w:t>FluQuadri</w:t>
      </w:r>
      <w:proofErr w:type="spellEnd"/>
      <w:r w:rsidR="002D56BA" w:rsidRPr="007F2BDD">
        <w:t xml:space="preserve">, November 2019 PBAC meeting) </w:t>
      </w:r>
      <w:r w:rsidR="00552DBB" w:rsidRPr="007F2BDD">
        <w:t xml:space="preserve">considered the </w:t>
      </w:r>
      <w:r w:rsidRPr="007F2BDD">
        <w:t>therapeutic claim regarding</w:t>
      </w:r>
      <w:r w:rsidR="008F1016" w:rsidRPr="007F2BDD">
        <w:t xml:space="preserve"> non-inferior</w:t>
      </w:r>
      <w:r w:rsidR="00495C91" w:rsidRPr="007F2BDD">
        <w:t xml:space="preserve"> effectiveness on the basis</w:t>
      </w:r>
      <w:r w:rsidR="007B6587" w:rsidRPr="007F2BDD">
        <w:t xml:space="preserve"> of </w:t>
      </w:r>
      <w:r w:rsidRPr="007F2BDD">
        <w:t xml:space="preserve">immunogenicity </w:t>
      </w:r>
      <w:r w:rsidR="007B6587" w:rsidRPr="007F2BDD">
        <w:t xml:space="preserve">outcomes </w:t>
      </w:r>
      <w:r w:rsidR="00552DBB" w:rsidRPr="007F2BDD">
        <w:t>was</w:t>
      </w:r>
      <w:r w:rsidRPr="007F2BDD">
        <w:t xml:space="preserve"> reasonable. </w:t>
      </w:r>
    </w:p>
    <w:p w:rsidR="00D36E1E" w:rsidRPr="007F2BDD" w:rsidRDefault="00DF61AB" w:rsidP="005F43D9">
      <w:pPr>
        <w:pStyle w:val="3-BodyText"/>
      </w:pPr>
      <w:r w:rsidRPr="007F2BDD">
        <w:t xml:space="preserve">The </w:t>
      </w:r>
      <w:r w:rsidR="00764817" w:rsidRPr="007F2BDD">
        <w:t>e</w:t>
      </w:r>
      <w:r w:rsidRPr="007F2BDD">
        <w:t>valuation considered that t</w:t>
      </w:r>
      <w:r w:rsidR="00B74CED" w:rsidRPr="007F2BDD">
        <w:t xml:space="preserve">he therapeutic claim regarding safety </w:t>
      </w:r>
      <w:r w:rsidR="00552DBB" w:rsidRPr="007F2BDD">
        <w:t xml:space="preserve">was </w:t>
      </w:r>
      <w:r w:rsidR="00B74CED" w:rsidRPr="007F2BDD">
        <w:t xml:space="preserve">uncertain given </w:t>
      </w:r>
      <w:bookmarkStart w:id="26" w:name="_Hlk17919359"/>
      <w:r w:rsidR="00CC7717" w:rsidRPr="007F2BDD">
        <w:t>the submission did not justify the assumption of the expected fever rate</w:t>
      </w:r>
      <w:r w:rsidR="00B74CED" w:rsidRPr="007F2BDD">
        <w:t xml:space="preserve"> of 14.3% used in </w:t>
      </w:r>
      <w:r w:rsidR="000739F7" w:rsidRPr="007F2BDD">
        <w:t>T</w:t>
      </w:r>
      <w:r w:rsidR="00B74CED" w:rsidRPr="007F2BDD">
        <w:t>rial GRC88</w:t>
      </w:r>
      <w:r w:rsidR="00CC7717" w:rsidRPr="007F2BDD">
        <w:t>.</w:t>
      </w:r>
      <w:r w:rsidR="008F0647" w:rsidRPr="007F2BDD">
        <w:t xml:space="preserve"> </w:t>
      </w:r>
      <w:r w:rsidR="001944DD" w:rsidRPr="007F2BDD">
        <w:t>The ESC considered that the claim may be reasonable.</w:t>
      </w:r>
      <w:bookmarkEnd w:id="26"/>
      <w:r w:rsidR="002D56BA" w:rsidRPr="007F2BDD">
        <w:t xml:space="preserve"> </w:t>
      </w:r>
      <w:r w:rsidR="00D36E1E" w:rsidRPr="007F2BDD">
        <w:t xml:space="preserve">The ATAGI </w:t>
      </w:r>
      <w:r w:rsidR="00CF4413" w:rsidRPr="007F2BDD">
        <w:t xml:space="preserve">(ATAGI October 2019 Post-Submission Advice, QIV, </w:t>
      </w:r>
      <w:proofErr w:type="spellStart"/>
      <w:r w:rsidR="00CF4413" w:rsidRPr="007F2BDD">
        <w:t>FluQuadri</w:t>
      </w:r>
      <w:proofErr w:type="spellEnd"/>
      <w:r w:rsidR="00CF4413" w:rsidRPr="007F2BDD">
        <w:t xml:space="preserve">, November 2019 PBAC meeting) </w:t>
      </w:r>
      <w:r w:rsidR="00D36E1E" w:rsidRPr="007F2BDD">
        <w:t xml:space="preserve">accepted the claim of non-inferior safety in terms of post-vaccination fever </w:t>
      </w:r>
      <w:r w:rsidR="00473A03" w:rsidRPr="007F2BDD">
        <w:t xml:space="preserve">but noted </w:t>
      </w:r>
      <w:r w:rsidR="00D36E1E" w:rsidRPr="007F2BDD">
        <w:t xml:space="preserve">the trend of relatively higher rates of systemic adverse reactions with </w:t>
      </w:r>
      <w:proofErr w:type="spellStart"/>
      <w:r w:rsidR="00D36E1E" w:rsidRPr="007F2BDD">
        <w:t>FluQuadri</w:t>
      </w:r>
      <w:proofErr w:type="spellEnd"/>
      <w:r w:rsidR="00D36E1E" w:rsidRPr="007F2BDD">
        <w:t xml:space="preserve"> 0.5 mL in younger children aged 6−23 months compared with in those aged 24–35 months </w:t>
      </w:r>
      <w:r w:rsidR="00CF4413" w:rsidRPr="007F2BDD">
        <w:t>would warrant</w:t>
      </w:r>
      <w:r w:rsidR="00D36E1E" w:rsidRPr="007F2BDD">
        <w:t xml:space="preserve"> ongoing active safety surveillance</w:t>
      </w:r>
      <w:r w:rsidR="00473A03" w:rsidRPr="007F2BDD">
        <w:t xml:space="preserve"> (see paragraph</w:t>
      </w:r>
      <w:r w:rsidR="00CF4413" w:rsidRPr="007F2BDD">
        <w:t xml:space="preserve"> 6.46)</w:t>
      </w:r>
      <w:r w:rsidR="00D36E1E" w:rsidRPr="007F2BDD">
        <w:t>.</w:t>
      </w:r>
    </w:p>
    <w:p w:rsidR="00EC7658" w:rsidRPr="007F2BDD" w:rsidRDefault="00D5564F" w:rsidP="005F43D9">
      <w:pPr>
        <w:pStyle w:val="3-BodyText"/>
        <w:rPr>
          <w:snapToGrid w:val="0"/>
          <w:lang w:eastAsia="en-US"/>
        </w:rPr>
      </w:pPr>
      <w:r w:rsidRPr="007F2BDD">
        <w:rPr>
          <w:snapToGrid w:val="0"/>
          <w:lang w:eastAsia="en-US"/>
        </w:rPr>
        <w:lastRenderedPageBreak/>
        <w:t xml:space="preserve">The PBAC considered that the claim of non-inferior comparative effectiveness of </w:t>
      </w:r>
      <w:proofErr w:type="spellStart"/>
      <w:r w:rsidRPr="007F2BDD">
        <w:rPr>
          <w:snapToGrid w:val="0"/>
          <w:lang w:eastAsia="en-US"/>
        </w:rPr>
        <w:t>FluQuadri</w:t>
      </w:r>
      <w:proofErr w:type="spellEnd"/>
      <w:r w:rsidRPr="007F2BDD">
        <w:rPr>
          <w:snapToGrid w:val="0"/>
          <w:lang w:eastAsia="en-US"/>
        </w:rPr>
        <w:t xml:space="preserve"> compared </w:t>
      </w:r>
      <w:r w:rsidR="008004E8" w:rsidRPr="007F2BDD">
        <w:rPr>
          <w:snapToGrid w:val="0"/>
          <w:lang w:eastAsia="en-US"/>
        </w:rPr>
        <w:t>with</w:t>
      </w:r>
      <w:r w:rsidRPr="007F2BDD">
        <w:rPr>
          <w:snapToGrid w:val="0"/>
          <w:lang w:eastAsia="en-US"/>
        </w:rPr>
        <w:t xml:space="preserve"> </w:t>
      </w:r>
      <w:proofErr w:type="spellStart"/>
      <w:r w:rsidRPr="007F2BDD">
        <w:rPr>
          <w:snapToGrid w:val="0"/>
          <w:lang w:eastAsia="en-US"/>
        </w:rPr>
        <w:t>FluQuadri</w:t>
      </w:r>
      <w:proofErr w:type="spellEnd"/>
      <w:r w:rsidRPr="007F2BDD">
        <w:rPr>
          <w:snapToGrid w:val="0"/>
          <w:lang w:eastAsia="en-US"/>
        </w:rPr>
        <w:t xml:space="preserve"> Junior </w:t>
      </w:r>
      <w:r w:rsidR="00953DC0" w:rsidRPr="007F2BDD">
        <w:t xml:space="preserve">in at-risk children aged 6-35 months </w:t>
      </w:r>
      <w:r w:rsidRPr="007F2BDD">
        <w:rPr>
          <w:snapToGrid w:val="0"/>
          <w:lang w:eastAsia="en-US"/>
        </w:rPr>
        <w:t>was reasonable.</w:t>
      </w:r>
    </w:p>
    <w:p w:rsidR="00EC7658" w:rsidRPr="007F2BDD" w:rsidRDefault="00D5564F" w:rsidP="005F43D9">
      <w:pPr>
        <w:pStyle w:val="3-BodyText"/>
        <w:rPr>
          <w:snapToGrid w:val="0"/>
          <w:lang w:eastAsia="en-US"/>
        </w:rPr>
      </w:pPr>
      <w:r w:rsidRPr="007F2BDD">
        <w:rPr>
          <w:snapToGrid w:val="0"/>
          <w:lang w:eastAsia="en-US"/>
        </w:rPr>
        <w:t xml:space="preserve">The PBAC considered that the claim of non-inferior comparative safety of </w:t>
      </w:r>
      <w:proofErr w:type="spellStart"/>
      <w:r w:rsidRPr="007F2BDD">
        <w:rPr>
          <w:snapToGrid w:val="0"/>
          <w:lang w:eastAsia="en-US"/>
        </w:rPr>
        <w:t>FluQuadri</w:t>
      </w:r>
      <w:proofErr w:type="spellEnd"/>
      <w:r w:rsidRPr="007F2BDD">
        <w:rPr>
          <w:snapToGrid w:val="0"/>
          <w:lang w:eastAsia="en-US"/>
        </w:rPr>
        <w:t xml:space="preserve"> compared </w:t>
      </w:r>
      <w:r w:rsidR="008004E8" w:rsidRPr="007F2BDD">
        <w:rPr>
          <w:snapToGrid w:val="0"/>
          <w:lang w:eastAsia="en-US"/>
        </w:rPr>
        <w:t>with</w:t>
      </w:r>
      <w:r w:rsidRPr="007F2BDD">
        <w:rPr>
          <w:snapToGrid w:val="0"/>
          <w:lang w:eastAsia="en-US"/>
        </w:rPr>
        <w:t xml:space="preserve"> </w:t>
      </w:r>
      <w:proofErr w:type="spellStart"/>
      <w:r w:rsidRPr="007F2BDD">
        <w:rPr>
          <w:snapToGrid w:val="0"/>
          <w:lang w:eastAsia="en-US"/>
        </w:rPr>
        <w:t>FluQuadri</w:t>
      </w:r>
      <w:proofErr w:type="spellEnd"/>
      <w:r w:rsidRPr="007F2BDD">
        <w:rPr>
          <w:snapToGrid w:val="0"/>
          <w:lang w:eastAsia="en-US"/>
        </w:rPr>
        <w:t xml:space="preserve"> Junior </w:t>
      </w:r>
      <w:r w:rsidR="008004E8" w:rsidRPr="007F2BDD">
        <w:rPr>
          <w:snapToGrid w:val="0"/>
          <w:lang w:eastAsia="en-US"/>
        </w:rPr>
        <w:t xml:space="preserve">in </w:t>
      </w:r>
      <w:r w:rsidR="00953DC0" w:rsidRPr="007F2BDD">
        <w:t xml:space="preserve">at-risk children aged 6-35 months </w:t>
      </w:r>
      <w:r w:rsidR="00487B5F" w:rsidRPr="007F2BDD">
        <w:rPr>
          <w:snapToGrid w:val="0"/>
          <w:lang w:eastAsia="en-US"/>
        </w:rPr>
        <w:t>was likely to</w:t>
      </w:r>
      <w:r w:rsidRPr="007F2BDD">
        <w:rPr>
          <w:snapToGrid w:val="0"/>
          <w:lang w:eastAsia="en-US"/>
        </w:rPr>
        <w:t xml:space="preserve"> be reasonable.</w:t>
      </w:r>
    </w:p>
    <w:p w:rsidR="008F1016" w:rsidRPr="007F2BDD" w:rsidRDefault="003F514E" w:rsidP="005F43D9">
      <w:pPr>
        <w:pStyle w:val="Heading3"/>
        <w:rPr>
          <w:i w:val="0"/>
        </w:rPr>
      </w:pPr>
      <w:r w:rsidRPr="007F2BDD">
        <w:rPr>
          <w:i w:val="0"/>
        </w:rPr>
        <w:t>Healthy c</w:t>
      </w:r>
      <w:r w:rsidR="008F1016" w:rsidRPr="007F2BDD">
        <w:rPr>
          <w:i w:val="0"/>
        </w:rPr>
        <w:t>hildren aged 6 months to &lt;5 years</w:t>
      </w:r>
    </w:p>
    <w:p w:rsidR="003F514E" w:rsidRPr="007F2BDD" w:rsidRDefault="003F514E" w:rsidP="005F43D9">
      <w:pPr>
        <w:pStyle w:val="3-BodyText"/>
        <w:rPr>
          <w:iCs/>
        </w:rPr>
      </w:pPr>
      <w:r w:rsidRPr="007F2BDD">
        <w:t xml:space="preserve">The submission did not make a clinical claim regarding </w:t>
      </w:r>
      <w:proofErr w:type="spellStart"/>
      <w:r w:rsidRPr="007F2BDD">
        <w:t>FluQuadri</w:t>
      </w:r>
      <w:proofErr w:type="spellEnd"/>
      <w:r w:rsidRPr="007F2BDD">
        <w:t xml:space="preserve"> compared with </w:t>
      </w:r>
      <w:proofErr w:type="spellStart"/>
      <w:r w:rsidRPr="007F2BDD">
        <w:t>Vaxigrip</w:t>
      </w:r>
      <w:proofErr w:type="spellEnd"/>
      <w:r w:rsidRPr="007F2BDD">
        <w:t xml:space="preserve"> Tetra for the immuni</w:t>
      </w:r>
      <w:r w:rsidR="00B3389E" w:rsidRPr="007F2BDD">
        <w:t>s</w:t>
      </w:r>
      <w:r w:rsidRPr="007F2BDD">
        <w:t>ation of healthy children aged 6 months to &lt;5 years. The clinical evidence presented in the submission (Trial GRC88) was not directly relevant to this population.</w:t>
      </w:r>
    </w:p>
    <w:p w:rsidR="003F514E" w:rsidRPr="007F2BDD" w:rsidRDefault="003F514E" w:rsidP="005F43D9">
      <w:pPr>
        <w:pStyle w:val="3-BodyText"/>
      </w:pPr>
      <w:r w:rsidRPr="007F2BDD">
        <w:t xml:space="preserve">In July 2019, the PBAC accepted a claim of non-inferior comparative effectiveness for </w:t>
      </w:r>
      <w:proofErr w:type="spellStart"/>
      <w:r w:rsidR="00487B5F" w:rsidRPr="007F2BDD">
        <w:t>Vaxigrip</w:t>
      </w:r>
      <w:proofErr w:type="spellEnd"/>
      <w:r w:rsidR="00487B5F" w:rsidRPr="007F2BDD">
        <w:t xml:space="preserve"> Tetra compared with </w:t>
      </w:r>
      <w:proofErr w:type="spellStart"/>
      <w:r w:rsidRPr="007F2BDD">
        <w:t>FluQuadri</w:t>
      </w:r>
      <w:proofErr w:type="spellEnd"/>
      <w:r w:rsidRPr="007F2BDD">
        <w:t>/</w:t>
      </w:r>
      <w:proofErr w:type="spellStart"/>
      <w:r w:rsidRPr="007F2BDD">
        <w:t>FluQuadri</w:t>
      </w:r>
      <w:proofErr w:type="spellEnd"/>
      <w:r w:rsidRPr="007F2BDD">
        <w:t xml:space="preserve"> Junior for the currently eligible</w:t>
      </w:r>
      <w:r w:rsidR="00D61171" w:rsidRPr="007F2BDD">
        <w:t xml:space="preserve"> at-</w:t>
      </w:r>
      <w:r w:rsidRPr="007F2BDD">
        <w:t xml:space="preserve">risk populations, on the basis of an indirect comparison of trials conducted in healthy individuals. </w:t>
      </w:r>
      <w:r w:rsidR="000739F7" w:rsidRPr="007F2BDD">
        <w:t xml:space="preserve">The ESC considered that the indirect comparison of </w:t>
      </w:r>
      <w:proofErr w:type="spellStart"/>
      <w:r w:rsidR="00487B5F" w:rsidRPr="007F2BDD">
        <w:t>Vaxigrip</w:t>
      </w:r>
      <w:proofErr w:type="spellEnd"/>
      <w:r w:rsidR="00487B5F" w:rsidRPr="007F2BDD">
        <w:t xml:space="preserve"> Tetra to </w:t>
      </w:r>
      <w:proofErr w:type="spellStart"/>
      <w:r w:rsidR="000739F7" w:rsidRPr="007F2BDD">
        <w:t>FluQuadri</w:t>
      </w:r>
      <w:proofErr w:type="spellEnd"/>
      <w:r w:rsidR="000739F7" w:rsidRPr="007F2BDD">
        <w:t>/</w:t>
      </w:r>
      <w:proofErr w:type="spellStart"/>
      <w:r w:rsidR="000739F7" w:rsidRPr="007F2BDD">
        <w:t>FluQuadri</w:t>
      </w:r>
      <w:proofErr w:type="spellEnd"/>
      <w:r w:rsidR="000739F7" w:rsidRPr="007F2BDD">
        <w:t xml:space="preserve"> Junior in healthy individuals that was presented in the July 2019 </w:t>
      </w:r>
      <w:proofErr w:type="spellStart"/>
      <w:r w:rsidR="000739F7" w:rsidRPr="007F2BDD">
        <w:t>Vaxigrip</w:t>
      </w:r>
      <w:proofErr w:type="spellEnd"/>
      <w:r w:rsidR="000739F7" w:rsidRPr="007F2BDD">
        <w:t xml:space="preserve"> Tetra submission to support the request for listing in at-risk individuals (including children) indicated that </w:t>
      </w:r>
      <w:proofErr w:type="spellStart"/>
      <w:r w:rsidR="000739F7" w:rsidRPr="007F2BDD">
        <w:t>FluQuadri</w:t>
      </w:r>
      <w:proofErr w:type="spellEnd"/>
      <w:r w:rsidR="000739F7" w:rsidRPr="007F2BDD">
        <w:t xml:space="preserve"> would be at least non-inferior to </w:t>
      </w:r>
      <w:proofErr w:type="spellStart"/>
      <w:r w:rsidR="000739F7" w:rsidRPr="007F2BDD">
        <w:t>Vaxigrip</w:t>
      </w:r>
      <w:proofErr w:type="spellEnd"/>
      <w:r w:rsidR="000739F7" w:rsidRPr="007F2BDD">
        <w:t xml:space="preserve"> Tetra in healthy children aged 6 months to &lt;5 years.</w:t>
      </w:r>
    </w:p>
    <w:p w:rsidR="003F514E" w:rsidRPr="007F2BDD" w:rsidRDefault="003F514E" w:rsidP="005F43D9">
      <w:pPr>
        <w:pStyle w:val="3-BodyText"/>
      </w:pPr>
      <w:r w:rsidRPr="007F2BDD">
        <w:t xml:space="preserve">The July 2019 </w:t>
      </w:r>
      <w:proofErr w:type="spellStart"/>
      <w:r w:rsidRPr="007F2BDD">
        <w:t>Vaxigrip</w:t>
      </w:r>
      <w:proofErr w:type="spellEnd"/>
      <w:r w:rsidR="00B3389E" w:rsidRPr="007F2BDD">
        <w:t xml:space="preserve"> Tetra</w:t>
      </w:r>
      <w:r w:rsidRPr="007F2BDD">
        <w:t xml:space="preserve"> submission did not present an indirect comparison of safety results; however, the PBAC considered that the safety of </w:t>
      </w:r>
      <w:proofErr w:type="spellStart"/>
      <w:r w:rsidRPr="007F2BDD">
        <w:t>Vaxigrip</w:t>
      </w:r>
      <w:proofErr w:type="spellEnd"/>
      <w:r w:rsidRPr="007F2BDD">
        <w:t xml:space="preserve"> Tetra was likely to be comparable to other QIVs</w:t>
      </w:r>
      <w:r w:rsidR="0099582F" w:rsidRPr="007F2BDD">
        <w:t xml:space="preserve"> </w:t>
      </w:r>
      <w:r w:rsidR="00EC7658" w:rsidRPr="007F2BDD">
        <w:t>(para</w:t>
      </w:r>
      <w:r w:rsidR="00FD7CB1" w:rsidRPr="007F2BDD">
        <w:t>graph</w:t>
      </w:r>
      <w:r w:rsidR="00EC7658" w:rsidRPr="007F2BDD">
        <w:t xml:space="preserve"> 6.45</w:t>
      </w:r>
      <w:r w:rsidR="0099582F" w:rsidRPr="007F2BDD">
        <w:t xml:space="preserve">, </w:t>
      </w:r>
      <w:r w:rsidR="00953DC0" w:rsidRPr="007F2BDD">
        <w:t>QIV</w:t>
      </w:r>
      <w:r w:rsidR="0099582F" w:rsidRPr="007F2BDD">
        <w:t xml:space="preserve">, </w:t>
      </w:r>
      <w:proofErr w:type="spellStart"/>
      <w:r w:rsidR="0099582F" w:rsidRPr="007F2BDD">
        <w:t>Vaxigrip</w:t>
      </w:r>
      <w:proofErr w:type="spellEnd"/>
      <w:r w:rsidR="0099582F" w:rsidRPr="007F2BDD">
        <w:t xml:space="preserve"> Tetra, PSD, July 2019 PBAC meeting)</w:t>
      </w:r>
      <w:r w:rsidRPr="007F2BDD">
        <w:t>.</w:t>
      </w:r>
    </w:p>
    <w:p w:rsidR="00953DC0" w:rsidRPr="007F2BDD" w:rsidRDefault="00953DC0" w:rsidP="005F43D9">
      <w:pPr>
        <w:pStyle w:val="3-BodyText"/>
        <w:rPr>
          <w:snapToGrid w:val="0"/>
          <w:lang w:eastAsia="en-US"/>
        </w:rPr>
      </w:pPr>
      <w:r w:rsidRPr="007F2BDD">
        <w:rPr>
          <w:snapToGrid w:val="0"/>
          <w:lang w:eastAsia="en-US"/>
        </w:rPr>
        <w:t xml:space="preserve">The PBAC considered that the claim of non-inferior comparative effectiveness of </w:t>
      </w:r>
      <w:proofErr w:type="spellStart"/>
      <w:r w:rsidRPr="007F2BDD">
        <w:rPr>
          <w:snapToGrid w:val="0"/>
          <w:lang w:eastAsia="en-US"/>
        </w:rPr>
        <w:t>FluQuadri</w:t>
      </w:r>
      <w:proofErr w:type="spellEnd"/>
      <w:r w:rsidRPr="007F2BDD">
        <w:rPr>
          <w:snapToGrid w:val="0"/>
          <w:lang w:eastAsia="en-US"/>
        </w:rPr>
        <w:t xml:space="preserve"> compared </w:t>
      </w:r>
      <w:r w:rsidR="00411092" w:rsidRPr="007F2BDD">
        <w:rPr>
          <w:snapToGrid w:val="0"/>
          <w:lang w:eastAsia="en-US"/>
        </w:rPr>
        <w:t>with</w:t>
      </w:r>
      <w:r w:rsidRPr="007F2BDD">
        <w:rPr>
          <w:snapToGrid w:val="0"/>
          <w:lang w:eastAsia="en-US"/>
        </w:rPr>
        <w:t xml:space="preserve"> </w:t>
      </w:r>
      <w:proofErr w:type="spellStart"/>
      <w:r w:rsidRPr="007F2BDD">
        <w:rPr>
          <w:snapToGrid w:val="0"/>
          <w:lang w:eastAsia="en-US"/>
        </w:rPr>
        <w:t>Vaxigrip</w:t>
      </w:r>
      <w:proofErr w:type="spellEnd"/>
      <w:r w:rsidRPr="007F2BDD">
        <w:rPr>
          <w:snapToGrid w:val="0"/>
          <w:lang w:eastAsia="en-US"/>
        </w:rPr>
        <w:t xml:space="preserve"> Tetra </w:t>
      </w:r>
      <w:r w:rsidRPr="007F2BDD">
        <w:t xml:space="preserve">in healthy children aged 6 months to &lt;5 years </w:t>
      </w:r>
      <w:r w:rsidRPr="007F2BDD">
        <w:rPr>
          <w:snapToGrid w:val="0"/>
          <w:lang w:eastAsia="en-US"/>
        </w:rPr>
        <w:t>was reasonable</w:t>
      </w:r>
      <w:r w:rsidR="00271F25" w:rsidRPr="007F2BDD">
        <w:rPr>
          <w:snapToGrid w:val="0"/>
          <w:lang w:eastAsia="en-US"/>
        </w:rPr>
        <w:t xml:space="preserve">, based </w:t>
      </w:r>
      <w:r w:rsidR="00990686" w:rsidRPr="007F2BDD">
        <w:rPr>
          <w:snapToGrid w:val="0"/>
          <w:lang w:eastAsia="en-US"/>
        </w:rPr>
        <w:t xml:space="preserve">on the evidence considered in the July 2019 </w:t>
      </w:r>
      <w:proofErr w:type="spellStart"/>
      <w:r w:rsidR="00990686" w:rsidRPr="007F2BDD">
        <w:rPr>
          <w:snapToGrid w:val="0"/>
          <w:lang w:eastAsia="en-US"/>
        </w:rPr>
        <w:t>Vaxigrip</w:t>
      </w:r>
      <w:proofErr w:type="spellEnd"/>
      <w:r w:rsidR="00990686" w:rsidRPr="007F2BDD">
        <w:rPr>
          <w:snapToGrid w:val="0"/>
          <w:lang w:eastAsia="en-US"/>
        </w:rPr>
        <w:t xml:space="preserve"> Tetra submission</w:t>
      </w:r>
      <w:r w:rsidR="00E71C16" w:rsidRPr="007F2BDD">
        <w:rPr>
          <w:snapToGrid w:val="0"/>
          <w:lang w:eastAsia="en-US"/>
        </w:rPr>
        <w:t>.</w:t>
      </w:r>
    </w:p>
    <w:p w:rsidR="0056124A" w:rsidRPr="007F2BDD" w:rsidRDefault="00953DC0" w:rsidP="005F43D9">
      <w:pPr>
        <w:pStyle w:val="3-BodyText"/>
        <w:rPr>
          <w:snapToGrid w:val="0"/>
          <w:lang w:eastAsia="en-US"/>
        </w:rPr>
      </w:pPr>
      <w:r w:rsidRPr="007F2BDD">
        <w:rPr>
          <w:snapToGrid w:val="0"/>
          <w:lang w:eastAsia="en-US"/>
        </w:rPr>
        <w:t xml:space="preserve">The PBAC considered that the claim of non-inferior comparative safety of </w:t>
      </w:r>
      <w:proofErr w:type="spellStart"/>
      <w:r w:rsidRPr="007F2BDD">
        <w:rPr>
          <w:snapToGrid w:val="0"/>
          <w:lang w:eastAsia="en-US"/>
        </w:rPr>
        <w:t>FluQuadri</w:t>
      </w:r>
      <w:proofErr w:type="spellEnd"/>
      <w:r w:rsidRPr="007F2BDD">
        <w:rPr>
          <w:snapToGrid w:val="0"/>
          <w:lang w:eastAsia="en-US"/>
        </w:rPr>
        <w:t xml:space="preserve"> compared </w:t>
      </w:r>
      <w:r w:rsidR="00411092" w:rsidRPr="007F2BDD">
        <w:rPr>
          <w:snapToGrid w:val="0"/>
          <w:lang w:eastAsia="en-US"/>
        </w:rPr>
        <w:t>with</w:t>
      </w:r>
      <w:r w:rsidRPr="007F2BDD">
        <w:rPr>
          <w:snapToGrid w:val="0"/>
          <w:lang w:eastAsia="en-US"/>
        </w:rPr>
        <w:t xml:space="preserve"> </w:t>
      </w:r>
      <w:proofErr w:type="spellStart"/>
      <w:r w:rsidRPr="007F2BDD">
        <w:rPr>
          <w:snapToGrid w:val="0"/>
          <w:lang w:eastAsia="en-US"/>
        </w:rPr>
        <w:t>FluQuadri</w:t>
      </w:r>
      <w:proofErr w:type="spellEnd"/>
      <w:r w:rsidRPr="007F2BDD">
        <w:rPr>
          <w:snapToGrid w:val="0"/>
          <w:lang w:eastAsia="en-US"/>
        </w:rPr>
        <w:t xml:space="preserve"> Junior </w:t>
      </w:r>
      <w:r w:rsidR="00E71C16" w:rsidRPr="007F2BDD">
        <w:rPr>
          <w:snapToGrid w:val="0"/>
          <w:lang w:eastAsia="en-US"/>
        </w:rPr>
        <w:t xml:space="preserve">in </w:t>
      </w:r>
      <w:r w:rsidR="00350C04" w:rsidRPr="007F2BDD">
        <w:t xml:space="preserve">healthy children aged 6 months to &lt;5 years </w:t>
      </w:r>
      <w:r w:rsidR="00990686" w:rsidRPr="007F2BDD">
        <w:rPr>
          <w:snapToGrid w:val="0"/>
          <w:lang w:eastAsia="en-US"/>
        </w:rPr>
        <w:t>was likely to</w:t>
      </w:r>
      <w:r w:rsidRPr="007F2BDD">
        <w:rPr>
          <w:snapToGrid w:val="0"/>
          <w:lang w:eastAsia="en-US"/>
        </w:rPr>
        <w:t xml:space="preserve"> be reasonable.</w:t>
      </w:r>
    </w:p>
    <w:p w:rsidR="00B60939" w:rsidRPr="007F2BDD" w:rsidRDefault="00B60939" w:rsidP="005F43D9">
      <w:pPr>
        <w:pStyle w:val="4-SubsectionHeading"/>
      </w:pPr>
      <w:bookmarkStart w:id="27" w:name="_Toc19617908"/>
      <w:r w:rsidRPr="007F2BDD">
        <w:t>Economic analysis</w:t>
      </w:r>
      <w:bookmarkEnd w:id="27"/>
      <w:r w:rsidR="00491B3A" w:rsidRPr="007F2BDD">
        <w:t xml:space="preserve"> </w:t>
      </w:r>
    </w:p>
    <w:p w:rsidR="00275C5A" w:rsidRPr="007F2BDD" w:rsidRDefault="00D972E0" w:rsidP="005F43D9">
      <w:pPr>
        <w:pStyle w:val="3-BodyText"/>
      </w:pPr>
      <w:r w:rsidRPr="007F2BDD">
        <w:t>The submission presented a cost-minimisation analysis</w:t>
      </w:r>
      <w:r w:rsidR="00964746" w:rsidRPr="007F2BDD">
        <w:t xml:space="preserve"> for children aged 6</w:t>
      </w:r>
      <w:r w:rsidR="004D10F7" w:rsidRPr="007F2BDD">
        <w:t>-35</w:t>
      </w:r>
      <w:r w:rsidR="00CE5C9E" w:rsidRPr="007F2BDD">
        <w:t xml:space="preserve"> months</w:t>
      </w:r>
      <w:r w:rsidR="00964746" w:rsidRPr="007F2BDD">
        <w:t xml:space="preserve"> based on </w:t>
      </w:r>
      <w:r w:rsidR="00E71C16" w:rsidRPr="007F2BDD">
        <w:t xml:space="preserve">Trial </w:t>
      </w:r>
      <w:r w:rsidR="00964746" w:rsidRPr="007F2BDD">
        <w:t>GRC88</w:t>
      </w:r>
      <w:r w:rsidR="00FA5FAE" w:rsidRPr="007F2BDD">
        <w:t>, but did not apply</w:t>
      </w:r>
      <w:r w:rsidR="005F2625" w:rsidRPr="007F2BDD">
        <w:t xml:space="preserve"> the analysis </w:t>
      </w:r>
      <w:r w:rsidR="00FA5FAE" w:rsidRPr="007F2BDD">
        <w:t xml:space="preserve">to </w:t>
      </w:r>
      <w:r w:rsidR="005F2625" w:rsidRPr="007F2BDD">
        <w:t>the requested listing for the broader</w:t>
      </w:r>
      <w:r w:rsidR="00FA5FAE" w:rsidRPr="007F2BDD">
        <w:t xml:space="preserve"> population</w:t>
      </w:r>
      <w:r w:rsidR="005F2625" w:rsidRPr="007F2BDD">
        <w:t xml:space="preserve"> (</w:t>
      </w:r>
      <w:r w:rsidR="00762FDC" w:rsidRPr="007F2BDD">
        <w:t>i</w:t>
      </w:r>
      <w:r w:rsidR="00D04758" w:rsidRPr="007F2BDD">
        <w:t>.</w:t>
      </w:r>
      <w:r w:rsidR="00762FDC" w:rsidRPr="007F2BDD">
        <w:t xml:space="preserve">e. </w:t>
      </w:r>
      <w:r w:rsidR="005F2625" w:rsidRPr="007F2BDD">
        <w:t>all children aged 6 months to &lt;5 years)</w:t>
      </w:r>
      <w:r w:rsidR="00FA5FAE" w:rsidRPr="007F2BDD">
        <w:t xml:space="preserve">. </w:t>
      </w:r>
    </w:p>
    <w:p w:rsidR="00865C52" w:rsidRPr="007F2BDD" w:rsidRDefault="00A86E8B" w:rsidP="005F43D9">
      <w:pPr>
        <w:pStyle w:val="3-BodyText"/>
      </w:pPr>
      <w:r w:rsidRPr="007F2BDD">
        <w:t xml:space="preserve">The </w:t>
      </w:r>
      <w:r w:rsidR="00CE5C9E" w:rsidRPr="007F2BDD">
        <w:t xml:space="preserve">submission stated the </w:t>
      </w:r>
      <w:r w:rsidRPr="007F2BDD">
        <w:t xml:space="preserve">equi-effective doses </w:t>
      </w:r>
      <w:r w:rsidR="00CE5C9E" w:rsidRPr="007F2BDD">
        <w:t>for</w:t>
      </w:r>
      <w:r w:rsidR="00BB692C" w:rsidRPr="007F2BDD">
        <w:t xml:space="preserve"> </w:t>
      </w:r>
      <w:r w:rsidR="00242AFC" w:rsidRPr="007F2BDD">
        <w:t>at-risk</w:t>
      </w:r>
      <w:r w:rsidR="00CE5C9E" w:rsidRPr="007F2BDD">
        <w:t xml:space="preserve"> children aged 6</w:t>
      </w:r>
      <w:r w:rsidR="005D1450" w:rsidRPr="007F2BDD">
        <w:t>-35</w:t>
      </w:r>
      <w:r w:rsidR="00CE5C9E" w:rsidRPr="007F2BDD">
        <w:t xml:space="preserve"> months</w:t>
      </w:r>
      <w:r w:rsidR="00865C52" w:rsidRPr="007F2BDD">
        <w:t xml:space="preserve"> to be:</w:t>
      </w:r>
    </w:p>
    <w:p w:rsidR="00865C52" w:rsidRPr="007F2BDD" w:rsidRDefault="00865C52" w:rsidP="005F43D9">
      <w:pPr>
        <w:numPr>
          <w:ilvl w:val="0"/>
          <w:numId w:val="16"/>
        </w:numPr>
        <w:spacing w:after="120"/>
        <w:ind w:left="993" w:hanging="284"/>
        <w:jc w:val="both"/>
      </w:pPr>
      <w:r w:rsidRPr="007F2BDD">
        <w:t>A</w:t>
      </w:r>
      <w:r w:rsidR="00BE506D" w:rsidRPr="007F2BDD">
        <w:t xml:space="preserve"> single </w:t>
      </w:r>
      <w:r w:rsidR="0004278B" w:rsidRPr="007F2BDD">
        <w:t>0.25 mL</w:t>
      </w:r>
      <w:r w:rsidR="00BE506D" w:rsidRPr="007F2BDD">
        <w:t xml:space="preserve"> dose of </w:t>
      </w:r>
      <w:proofErr w:type="spellStart"/>
      <w:r w:rsidR="008C63A0" w:rsidRPr="007F2BDD">
        <w:t>FluQuadri</w:t>
      </w:r>
      <w:proofErr w:type="spellEnd"/>
      <w:r w:rsidR="008C63A0" w:rsidRPr="007F2BDD">
        <w:t xml:space="preserve"> Junior</w:t>
      </w:r>
      <w:r w:rsidR="00BE506D" w:rsidRPr="007F2BDD">
        <w:t xml:space="preserve">, and </w:t>
      </w:r>
    </w:p>
    <w:p w:rsidR="005F2625" w:rsidRPr="007F2BDD" w:rsidRDefault="00865C52" w:rsidP="005F43D9">
      <w:pPr>
        <w:numPr>
          <w:ilvl w:val="0"/>
          <w:numId w:val="16"/>
        </w:numPr>
        <w:spacing w:after="120"/>
        <w:ind w:left="993" w:hanging="284"/>
        <w:jc w:val="both"/>
      </w:pPr>
      <w:r w:rsidRPr="007F2BDD">
        <w:lastRenderedPageBreak/>
        <w:t>A</w:t>
      </w:r>
      <w:r w:rsidR="00BE506D" w:rsidRPr="007F2BDD">
        <w:t xml:space="preserve"> single </w:t>
      </w:r>
      <w:r w:rsidR="0004278B" w:rsidRPr="007F2BDD">
        <w:t>0.5 mL</w:t>
      </w:r>
      <w:r w:rsidR="00BE506D" w:rsidRPr="007F2BDD">
        <w:t xml:space="preserve"> dose of </w:t>
      </w:r>
      <w:proofErr w:type="spellStart"/>
      <w:r w:rsidR="00415EEE" w:rsidRPr="007F2BDD">
        <w:t>FluQuadri</w:t>
      </w:r>
      <w:proofErr w:type="spellEnd"/>
      <w:r w:rsidR="00BE506D" w:rsidRPr="007F2BDD">
        <w:t>.</w:t>
      </w:r>
      <w:r w:rsidR="00A86E8B" w:rsidRPr="007F2BDD">
        <w:t xml:space="preserve"> </w:t>
      </w:r>
    </w:p>
    <w:p w:rsidR="00BB692C" w:rsidRPr="007F2BDD" w:rsidRDefault="00D04758" w:rsidP="005F43D9">
      <w:pPr>
        <w:pStyle w:val="3-BodyText"/>
      </w:pPr>
      <w:r w:rsidRPr="007F2BDD">
        <w:t xml:space="preserve">The PSCR stated that the </w:t>
      </w:r>
      <w:proofErr w:type="spellStart"/>
      <w:r w:rsidRPr="007F2BDD">
        <w:t>equi</w:t>
      </w:r>
      <w:proofErr w:type="spellEnd"/>
      <w:r w:rsidRPr="007F2BDD">
        <w:t xml:space="preserve">-effective doses for </w:t>
      </w:r>
      <w:proofErr w:type="spellStart"/>
      <w:r w:rsidRPr="007F2BDD">
        <w:t>Vaxigrip</w:t>
      </w:r>
      <w:proofErr w:type="spellEnd"/>
      <w:r w:rsidRPr="007F2BDD">
        <w:t xml:space="preserve"> Tetra and </w:t>
      </w:r>
      <w:proofErr w:type="spellStart"/>
      <w:r w:rsidRPr="007F2BDD">
        <w:t>FluQuadri</w:t>
      </w:r>
      <w:proofErr w:type="spellEnd"/>
      <w:r w:rsidRPr="007F2BDD">
        <w:t xml:space="preserve"> </w:t>
      </w:r>
      <w:r w:rsidR="004219F9" w:rsidRPr="007F2BDD">
        <w:t xml:space="preserve">recommended by PBAC </w:t>
      </w:r>
      <w:r w:rsidRPr="007F2BDD">
        <w:t xml:space="preserve">in its July 2019 </w:t>
      </w:r>
      <w:r w:rsidR="00BB692C" w:rsidRPr="007F2BDD">
        <w:t xml:space="preserve">consideration of </w:t>
      </w:r>
      <w:r w:rsidRPr="007F2BDD">
        <w:t xml:space="preserve">the </w:t>
      </w:r>
      <w:proofErr w:type="spellStart"/>
      <w:r w:rsidR="00BB692C" w:rsidRPr="007F2BDD">
        <w:t>Vaxigrip</w:t>
      </w:r>
      <w:proofErr w:type="spellEnd"/>
      <w:r w:rsidR="00BB692C" w:rsidRPr="007F2BDD">
        <w:t xml:space="preserve"> Tetra</w:t>
      </w:r>
      <w:r w:rsidRPr="007F2BDD">
        <w:t xml:space="preserve"> submission</w:t>
      </w:r>
      <w:r w:rsidR="00BB692C" w:rsidRPr="007F2BDD">
        <w:t>,</w:t>
      </w:r>
      <w:r w:rsidRPr="007F2BDD">
        <w:t xml:space="preserve"> </w:t>
      </w:r>
      <w:r w:rsidR="004219F9" w:rsidRPr="007F2BDD">
        <w:t xml:space="preserve">were relevant to </w:t>
      </w:r>
      <w:r w:rsidRPr="007F2BDD">
        <w:t xml:space="preserve">the request </w:t>
      </w:r>
      <w:r w:rsidR="004219F9" w:rsidRPr="007F2BDD">
        <w:t xml:space="preserve">in the current submission </w:t>
      </w:r>
      <w:r w:rsidRPr="007F2BDD">
        <w:t xml:space="preserve">to extend listing to healthy </w:t>
      </w:r>
      <w:r w:rsidR="00BB692C" w:rsidRPr="007F2BDD">
        <w:t>children aged 6 months to &lt;5 years:</w:t>
      </w:r>
    </w:p>
    <w:p w:rsidR="00BB692C" w:rsidRPr="007F2BDD" w:rsidRDefault="00BB692C" w:rsidP="005F43D9">
      <w:pPr>
        <w:numPr>
          <w:ilvl w:val="0"/>
          <w:numId w:val="16"/>
        </w:numPr>
        <w:spacing w:after="120"/>
        <w:ind w:left="993" w:hanging="284"/>
        <w:jc w:val="both"/>
      </w:pPr>
      <w:r w:rsidRPr="007F2BDD">
        <w:t xml:space="preserve">A single 0.5 mL dose of </w:t>
      </w:r>
      <w:proofErr w:type="spellStart"/>
      <w:r w:rsidRPr="007F2BDD">
        <w:t>Vaxigrip</w:t>
      </w:r>
      <w:proofErr w:type="spellEnd"/>
      <w:r w:rsidRPr="007F2BDD">
        <w:t xml:space="preserve"> Tetra, and </w:t>
      </w:r>
    </w:p>
    <w:p w:rsidR="00BB692C" w:rsidRPr="007F2BDD" w:rsidRDefault="00BB692C" w:rsidP="005F43D9">
      <w:pPr>
        <w:numPr>
          <w:ilvl w:val="0"/>
          <w:numId w:val="16"/>
        </w:numPr>
        <w:spacing w:after="120"/>
        <w:ind w:left="993" w:hanging="284"/>
        <w:jc w:val="both"/>
      </w:pPr>
      <w:r w:rsidRPr="007F2BDD">
        <w:t xml:space="preserve">A single 0.5 mL dose of </w:t>
      </w:r>
      <w:proofErr w:type="spellStart"/>
      <w:r w:rsidRPr="007F2BDD">
        <w:t>FluQuadri</w:t>
      </w:r>
      <w:proofErr w:type="spellEnd"/>
      <w:r w:rsidRPr="007F2BDD">
        <w:t xml:space="preserve">. </w:t>
      </w:r>
    </w:p>
    <w:p w:rsidR="00332363" w:rsidRPr="007F2BDD" w:rsidRDefault="00537B72" w:rsidP="005F43D9">
      <w:pPr>
        <w:pStyle w:val="3-BodyText"/>
      </w:pPr>
      <w:r w:rsidRPr="007F2BDD">
        <w:t xml:space="preserve">The submission </w:t>
      </w:r>
      <w:r w:rsidR="00865C52" w:rsidRPr="007F2BDD">
        <w:t>assumed</w:t>
      </w:r>
      <w:r w:rsidR="00332363" w:rsidRPr="007F2BDD">
        <w:t xml:space="preserve"> no difference in administration</w:t>
      </w:r>
      <w:r w:rsidR="007924CE" w:rsidRPr="007F2BDD">
        <w:t xml:space="preserve"> </w:t>
      </w:r>
      <w:r w:rsidR="00037FEC" w:rsidRPr="007F2BDD">
        <w:t xml:space="preserve">costs </w:t>
      </w:r>
      <w:r w:rsidR="00332363" w:rsidRPr="007F2BDD">
        <w:t xml:space="preserve">or </w:t>
      </w:r>
      <w:r w:rsidR="00865C52" w:rsidRPr="007F2BDD">
        <w:t xml:space="preserve">the </w:t>
      </w:r>
      <w:r w:rsidR="00332363" w:rsidRPr="007F2BDD">
        <w:t xml:space="preserve">costs associated with management of adverse events. </w:t>
      </w:r>
      <w:r w:rsidR="00332363" w:rsidRPr="007F2BDD">
        <w:rPr>
          <w:iCs/>
        </w:rPr>
        <w:t>Th</w:t>
      </w:r>
      <w:r w:rsidR="00EF7908" w:rsidRPr="007F2BDD">
        <w:rPr>
          <w:iCs/>
        </w:rPr>
        <w:t xml:space="preserve">e evaluation considered this </w:t>
      </w:r>
      <w:r w:rsidR="004D0C2E" w:rsidRPr="007F2BDD">
        <w:rPr>
          <w:iCs/>
        </w:rPr>
        <w:t>wa</w:t>
      </w:r>
      <w:r w:rsidR="00332363" w:rsidRPr="007F2BDD">
        <w:rPr>
          <w:iCs/>
        </w:rPr>
        <w:t>s reasonable</w:t>
      </w:r>
      <w:r w:rsidR="00650703" w:rsidRPr="007F2BDD">
        <w:rPr>
          <w:iCs/>
        </w:rPr>
        <w:t>.</w:t>
      </w:r>
    </w:p>
    <w:p w:rsidR="008B50B8" w:rsidRPr="007F2BDD" w:rsidRDefault="00650703" w:rsidP="005F43D9">
      <w:pPr>
        <w:pStyle w:val="4-SubsectionHeading"/>
      </w:pPr>
      <w:bookmarkStart w:id="28" w:name="_Toc19617909"/>
      <w:r w:rsidRPr="007F2BDD">
        <w:t xml:space="preserve">Vaccine </w:t>
      </w:r>
      <w:r w:rsidR="00C25D9C" w:rsidRPr="007F2BDD">
        <w:t>cost/patient/year</w:t>
      </w:r>
      <w:bookmarkEnd w:id="28"/>
    </w:p>
    <w:p w:rsidR="00A62B4D" w:rsidRPr="007F2BDD" w:rsidRDefault="002A0E56" w:rsidP="005F43D9">
      <w:pPr>
        <w:pStyle w:val="3-BodyText"/>
        <w:rPr>
          <w:rFonts w:cstheme="minorHAnsi"/>
        </w:rPr>
      </w:pPr>
      <w:r w:rsidRPr="007F2BDD">
        <w:t xml:space="preserve">The </w:t>
      </w:r>
      <w:r w:rsidR="00EF7908" w:rsidRPr="007F2BDD">
        <w:t xml:space="preserve">proposed NNP for </w:t>
      </w:r>
      <w:proofErr w:type="spellStart"/>
      <w:r w:rsidR="00EF7908" w:rsidRPr="007F2BDD">
        <w:t>FluQuadri</w:t>
      </w:r>
      <w:proofErr w:type="spellEnd"/>
      <w:r w:rsidR="00EF7908" w:rsidRPr="007F2BDD">
        <w:t xml:space="preserve"> for the expanded population is $</w:t>
      </w:r>
      <w:r w:rsidR="00AE73E9">
        <w:rPr>
          <w:noProof/>
          <w:color w:val="000000"/>
          <w:highlight w:val="black"/>
        </w:rPr>
        <w:t>'''''''''</w:t>
      </w:r>
      <w:r w:rsidR="00EF7908" w:rsidRPr="007F2BDD">
        <w:t xml:space="preserve">, in line with the </w:t>
      </w:r>
      <w:r w:rsidR="00925450" w:rsidRPr="007F2BDD">
        <w:t>current NNP</w:t>
      </w:r>
      <w:r w:rsidRPr="007F2BDD">
        <w:t xml:space="preserve"> for</w:t>
      </w:r>
      <w:r w:rsidR="004D0C2E" w:rsidRPr="007F2BDD">
        <w:t xml:space="preserve"> </w:t>
      </w:r>
      <w:proofErr w:type="spellStart"/>
      <w:r w:rsidR="00415EEE" w:rsidRPr="007F2BDD">
        <w:t>FluQuadri</w:t>
      </w:r>
      <w:proofErr w:type="spellEnd"/>
      <w:r w:rsidR="005F2625" w:rsidRPr="007F2BDD">
        <w:t>,</w:t>
      </w:r>
      <w:r w:rsidRPr="007F2BDD">
        <w:t xml:space="preserve"> </w:t>
      </w:r>
      <w:proofErr w:type="spellStart"/>
      <w:r w:rsidR="004D0C2E" w:rsidRPr="007F2BDD">
        <w:t>FluQuadri</w:t>
      </w:r>
      <w:proofErr w:type="spellEnd"/>
      <w:r w:rsidR="004D0C2E" w:rsidRPr="007F2BDD">
        <w:t xml:space="preserve"> </w:t>
      </w:r>
      <w:r w:rsidR="005F2625" w:rsidRPr="007F2BDD">
        <w:t xml:space="preserve">Junior and </w:t>
      </w:r>
      <w:proofErr w:type="spellStart"/>
      <w:r w:rsidR="005F2625" w:rsidRPr="007F2BDD">
        <w:t>Vaxigrip</w:t>
      </w:r>
      <w:proofErr w:type="spellEnd"/>
      <w:r w:rsidR="005F2625" w:rsidRPr="007F2BDD">
        <w:t xml:space="preserve"> Tetra</w:t>
      </w:r>
      <w:r w:rsidR="00650703" w:rsidRPr="007F2BDD">
        <w:t xml:space="preserve">. </w:t>
      </w:r>
      <w:r w:rsidR="00925450" w:rsidRPr="007F2BDD">
        <w:t>C</w:t>
      </w:r>
      <w:r w:rsidR="00650703" w:rsidRPr="007F2BDD">
        <w:t>hildren aged 6</w:t>
      </w:r>
      <w:r w:rsidR="005D1450" w:rsidRPr="007F2BDD">
        <w:t>-35</w:t>
      </w:r>
      <w:r w:rsidR="00650703" w:rsidRPr="007F2BDD">
        <w:t xml:space="preserve"> months who have not been previously vaccinated for influenza </w:t>
      </w:r>
      <w:r w:rsidR="0015394E" w:rsidRPr="007F2BDD">
        <w:t xml:space="preserve">would </w:t>
      </w:r>
      <w:r w:rsidR="00650703" w:rsidRPr="007F2BDD">
        <w:t>receive two doses in their first year</w:t>
      </w:r>
      <w:r w:rsidR="00B676FF" w:rsidRPr="007F2BDD">
        <w:t xml:space="preserve"> (i.e. $</w:t>
      </w:r>
      <w:r w:rsidR="00AE73E9">
        <w:rPr>
          <w:noProof/>
          <w:color w:val="000000"/>
          <w:highlight w:val="black"/>
        </w:rPr>
        <w:t>'''''''''''</w:t>
      </w:r>
      <w:r w:rsidR="00B676FF" w:rsidRPr="007F2BDD">
        <w:t>/patient/year)</w:t>
      </w:r>
      <w:r w:rsidR="00650703" w:rsidRPr="007F2BDD">
        <w:t>. The remaining population would receive one dose per year</w:t>
      </w:r>
      <w:r w:rsidR="00B676FF" w:rsidRPr="007F2BDD">
        <w:t xml:space="preserve"> (i.e. $</w:t>
      </w:r>
      <w:r w:rsidR="00AE73E9">
        <w:rPr>
          <w:noProof/>
          <w:color w:val="000000"/>
          <w:highlight w:val="black"/>
        </w:rPr>
        <w:t>''''''</w:t>
      </w:r>
      <w:r w:rsidR="00B676FF" w:rsidRPr="007F2BDD">
        <w:t>/patient/year)</w:t>
      </w:r>
      <w:r w:rsidR="00650703" w:rsidRPr="007F2BDD">
        <w:t xml:space="preserve">. </w:t>
      </w:r>
    </w:p>
    <w:p w:rsidR="00B60939" w:rsidRPr="007F2BDD" w:rsidRDefault="00B60939" w:rsidP="005F43D9">
      <w:pPr>
        <w:pStyle w:val="4-SubsectionHeading"/>
      </w:pPr>
      <w:bookmarkStart w:id="29" w:name="_Toc19617910"/>
      <w:r w:rsidRPr="007F2BDD">
        <w:t xml:space="preserve">Estimated </w:t>
      </w:r>
      <w:r w:rsidR="00350D17" w:rsidRPr="007F2BDD">
        <w:t xml:space="preserve">NIP </w:t>
      </w:r>
      <w:r w:rsidRPr="007F2BDD">
        <w:t>usage &amp; financial implications</w:t>
      </w:r>
      <w:bookmarkEnd w:id="29"/>
    </w:p>
    <w:p w:rsidR="00E856AE" w:rsidRPr="007F2BDD" w:rsidRDefault="00142400" w:rsidP="005F43D9">
      <w:pPr>
        <w:pStyle w:val="3-BodyText"/>
      </w:pPr>
      <w:r w:rsidRPr="007F2BDD">
        <w:rPr>
          <w:rFonts w:eastAsia="Calibri"/>
        </w:rPr>
        <w:t>This submission was not considered by DUSC</w:t>
      </w:r>
      <w:r w:rsidR="00E856AE" w:rsidRPr="007F2BDD">
        <w:t xml:space="preserve">. </w:t>
      </w:r>
      <w:r w:rsidR="00650703" w:rsidRPr="007F2BDD">
        <w:t>The submission used a</w:t>
      </w:r>
      <w:r w:rsidR="00722A50" w:rsidRPr="007F2BDD">
        <w:t xml:space="preserve"> market share approach </w:t>
      </w:r>
      <w:r w:rsidR="00650703" w:rsidRPr="007F2BDD">
        <w:t xml:space="preserve">to estimate the financial implications associated with </w:t>
      </w:r>
      <w:r w:rsidR="00E044EC" w:rsidRPr="007F2BDD">
        <w:t>listing</w:t>
      </w:r>
      <w:r w:rsidR="00FA5FAE" w:rsidRPr="007F2BDD">
        <w:t xml:space="preserve"> </w:t>
      </w:r>
      <w:proofErr w:type="spellStart"/>
      <w:r w:rsidR="00FA5FAE" w:rsidRPr="007F2BDD">
        <w:t>FluQuadri</w:t>
      </w:r>
      <w:proofErr w:type="spellEnd"/>
      <w:r w:rsidR="00FA5FAE" w:rsidRPr="007F2BDD">
        <w:t xml:space="preserve"> </w:t>
      </w:r>
      <w:r w:rsidR="00E044EC" w:rsidRPr="007F2BDD">
        <w:t xml:space="preserve">for </w:t>
      </w:r>
      <w:r w:rsidR="00762FDC" w:rsidRPr="007F2BDD">
        <w:t>at-risk children aged 6-35 months</w:t>
      </w:r>
      <w:r w:rsidR="00722A50" w:rsidRPr="007F2BDD">
        <w:t xml:space="preserve">. </w:t>
      </w:r>
      <w:r w:rsidR="00E856AE" w:rsidRPr="007F2BDD">
        <w:t xml:space="preserve">The submission </w:t>
      </w:r>
      <w:r w:rsidR="00650703" w:rsidRPr="007F2BDD">
        <w:t>assumed</w:t>
      </w:r>
      <w:r w:rsidR="00E856AE" w:rsidRPr="007F2BDD">
        <w:t xml:space="preserve"> that under the proposed listing, </w:t>
      </w:r>
      <w:proofErr w:type="spellStart"/>
      <w:r w:rsidR="00415EEE" w:rsidRPr="007F2BDD">
        <w:t>FluQuadri</w:t>
      </w:r>
      <w:proofErr w:type="spellEnd"/>
      <w:r w:rsidR="00E856AE" w:rsidRPr="007F2BDD">
        <w:t xml:space="preserve"> </w:t>
      </w:r>
      <w:r w:rsidR="00722A50" w:rsidRPr="007F2BDD">
        <w:t>wa</w:t>
      </w:r>
      <w:r w:rsidR="00E856AE" w:rsidRPr="007F2BDD">
        <w:t xml:space="preserve">s not intended to grow the market but </w:t>
      </w:r>
      <w:r w:rsidR="00650703" w:rsidRPr="007F2BDD">
        <w:t>replace</w:t>
      </w:r>
      <w:r w:rsidR="00E856AE" w:rsidRPr="007F2BDD">
        <w:t xml:space="preserve"> market share </w:t>
      </w:r>
      <w:r w:rsidR="00650703" w:rsidRPr="007F2BDD">
        <w:t>of</w:t>
      </w:r>
      <w:r w:rsidR="00E856AE" w:rsidRPr="007F2BDD">
        <w:t xml:space="preserve"> </w:t>
      </w:r>
      <w:proofErr w:type="spellStart"/>
      <w:r w:rsidR="008C63A0" w:rsidRPr="007F2BDD">
        <w:t>FluQuadri</w:t>
      </w:r>
      <w:proofErr w:type="spellEnd"/>
      <w:r w:rsidR="008C63A0" w:rsidRPr="007F2BDD">
        <w:t xml:space="preserve"> Junior</w:t>
      </w:r>
      <w:r w:rsidR="00E856AE" w:rsidRPr="007F2BDD">
        <w:t xml:space="preserve"> only</w:t>
      </w:r>
      <w:r w:rsidR="003C72ED" w:rsidRPr="007F2BDD">
        <w:t xml:space="preserve"> (</w:t>
      </w:r>
      <w:r w:rsidR="00722A50" w:rsidRPr="007F2BDD">
        <w:t>on</w:t>
      </w:r>
      <w:r w:rsidR="00FA5FAE" w:rsidRPr="007F2BDD">
        <w:t xml:space="preserve"> a</w:t>
      </w:r>
      <w:r w:rsidR="00722A50" w:rsidRPr="007F2BDD">
        <w:t xml:space="preserve"> </w:t>
      </w:r>
      <w:r w:rsidR="003C72ED" w:rsidRPr="007F2BDD">
        <w:t>one-for-one substitution</w:t>
      </w:r>
      <w:r w:rsidR="00722A50" w:rsidRPr="007F2BDD">
        <w:t xml:space="preserve"> basis</w:t>
      </w:r>
      <w:r w:rsidR="003C72ED" w:rsidRPr="007F2BDD">
        <w:t>)</w:t>
      </w:r>
      <w:r w:rsidR="00E856AE" w:rsidRPr="007F2BDD">
        <w:t xml:space="preserve">. </w:t>
      </w:r>
    </w:p>
    <w:p w:rsidR="0072416F" w:rsidRPr="007F2BDD" w:rsidRDefault="002D6BA1" w:rsidP="005F43D9">
      <w:pPr>
        <w:pStyle w:val="3-BodyText"/>
      </w:pPr>
      <w:r w:rsidRPr="007F2BDD">
        <w:t xml:space="preserve">The submission </w:t>
      </w:r>
      <w:r w:rsidR="00E044EC" w:rsidRPr="007F2BDD">
        <w:t>estimated</w:t>
      </w:r>
      <w:r w:rsidRPr="007F2BDD">
        <w:t xml:space="preserve"> the utilisation of </w:t>
      </w:r>
      <w:proofErr w:type="spellStart"/>
      <w:r w:rsidR="008C63A0" w:rsidRPr="007F2BDD">
        <w:t>FluQuadri</w:t>
      </w:r>
      <w:proofErr w:type="spellEnd"/>
      <w:r w:rsidR="008C63A0" w:rsidRPr="007F2BDD">
        <w:t xml:space="preserve"> </w:t>
      </w:r>
      <w:r w:rsidRPr="007F2BDD">
        <w:t xml:space="preserve">for </w:t>
      </w:r>
      <w:r w:rsidR="006B5F14" w:rsidRPr="007F2BDD">
        <w:t>at-risk</w:t>
      </w:r>
      <w:r w:rsidRPr="007F2BDD">
        <w:t xml:space="preserve"> children aged 6-35 months in the first 6 years of listing. It used</w:t>
      </w:r>
      <w:r w:rsidR="00E856AE" w:rsidRPr="007F2BDD">
        <w:t xml:space="preserve"> the utilisation of </w:t>
      </w:r>
      <w:proofErr w:type="spellStart"/>
      <w:r w:rsidR="008C63A0" w:rsidRPr="007F2BDD">
        <w:t>FluQuadri</w:t>
      </w:r>
      <w:proofErr w:type="spellEnd"/>
      <w:r w:rsidR="008C63A0" w:rsidRPr="007F2BDD">
        <w:t xml:space="preserve"> Junior</w:t>
      </w:r>
      <w:r w:rsidR="00E856AE" w:rsidRPr="007F2BDD">
        <w:t xml:space="preserve"> in 2019 </w:t>
      </w:r>
      <w:r w:rsidR="00E856AE" w:rsidRPr="00D72FCA">
        <w:t>(</w:t>
      </w:r>
      <w:r w:rsidR="00AE73E9">
        <w:rPr>
          <w:noProof/>
          <w:color w:val="000000"/>
          <w:highlight w:val="black"/>
        </w:rPr>
        <w:t>''''''''''''''''</w:t>
      </w:r>
      <w:r w:rsidR="0025570D" w:rsidRPr="007F2BDD">
        <w:t xml:space="preserve"> </w:t>
      </w:r>
      <w:r w:rsidR="00A75798" w:rsidRPr="007F2BDD">
        <w:t>doses</w:t>
      </w:r>
      <w:r w:rsidR="00E856AE" w:rsidRPr="007F2BDD">
        <w:t>) as the base year and appl</w:t>
      </w:r>
      <w:r w:rsidRPr="007F2BDD">
        <w:t>ied</w:t>
      </w:r>
      <w:r w:rsidR="00E856AE" w:rsidRPr="007F2BDD">
        <w:t xml:space="preserve"> market growth rates informed by </w:t>
      </w:r>
      <w:r w:rsidR="00E044EC" w:rsidRPr="007F2BDD">
        <w:t xml:space="preserve">Australian Bureau of Statistics </w:t>
      </w:r>
      <w:r w:rsidR="00136EFD" w:rsidRPr="007F2BDD">
        <w:t xml:space="preserve">population </w:t>
      </w:r>
      <w:r w:rsidR="00E856AE" w:rsidRPr="007F2BDD">
        <w:t>growth rates</w:t>
      </w:r>
      <w:r w:rsidR="00A04227" w:rsidRPr="007F2BDD">
        <w:t>.</w:t>
      </w:r>
      <w:r w:rsidR="00E856AE" w:rsidRPr="007F2BDD">
        <w:t xml:space="preserve"> </w:t>
      </w:r>
    </w:p>
    <w:p w:rsidR="007C3D0A" w:rsidRPr="007F2BDD" w:rsidRDefault="007C3D0A" w:rsidP="008E447A">
      <w:pPr>
        <w:pStyle w:val="TableFigureHeading"/>
        <w:keepNext/>
        <w:keepLines/>
      </w:pPr>
      <w:r w:rsidRPr="007F2BDD">
        <w:lastRenderedPageBreak/>
        <w:t xml:space="preserve">Table 8: Estimated use and financial implications of expanding the existing NIP listing of </w:t>
      </w:r>
      <w:proofErr w:type="spellStart"/>
      <w:r w:rsidRPr="007F2BDD">
        <w:t>FluQuadri</w:t>
      </w:r>
      <w:proofErr w:type="spellEnd"/>
      <w:r w:rsidRPr="007F2BDD">
        <w:t xml:space="preserve"> to include </w:t>
      </w:r>
      <w:r w:rsidR="00A602EF" w:rsidRPr="007F2BDD">
        <w:t xml:space="preserve">at-risk </w:t>
      </w:r>
      <w:r w:rsidRPr="007F2BDD">
        <w:t>children aged 6-35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4"/>
        <w:gridCol w:w="1133"/>
        <w:gridCol w:w="992"/>
        <w:gridCol w:w="988"/>
        <w:gridCol w:w="992"/>
        <w:gridCol w:w="1133"/>
        <w:gridCol w:w="1235"/>
      </w:tblGrid>
      <w:tr w:rsidR="00E342D8" w:rsidRPr="008E447A" w:rsidTr="0028727B">
        <w:trPr>
          <w:tblHeader/>
        </w:trPr>
        <w:tc>
          <w:tcPr>
            <w:tcW w:w="1411" w:type="pct"/>
            <w:shd w:val="clear" w:color="auto" w:fill="auto"/>
            <w:vAlign w:val="center"/>
          </w:tcPr>
          <w:p w:rsidR="00385A9D" w:rsidRPr="008E447A" w:rsidRDefault="00385A9D" w:rsidP="008E447A">
            <w:pPr>
              <w:pStyle w:val="Tabletext"/>
              <w:keepNext/>
              <w:keepLines/>
              <w:rPr>
                <w:szCs w:val="20"/>
              </w:rPr>
            </w:pPr>
          </w:p>
        </w:tc>
        <w:tc>
          <w:tcPr>
            <w:tcW w:w="628" w:type="pct"/>
            <w:shd w:val="clear" w:color="auto" w:fill="auto"/>
            <w:vAlign w:val="center"/>
          </w:tcPr>
          <w:p w:rsidR="00385A9D" w:rsidRPr="008E447A" w:rsidRDefault="00385A9D" w:rsidP="008E447A">
            <w:pPr>
              <w:pStyle w:val="Tabletext"/>
              <w:keepNext/>
              <w:keepLines/>
              <w:jc w:val="center"/>
              <w:rPr>
                <w:b/>
                <w:szCs w:val="20"/>
              </w:rPr>
            </w:pPr>
            <w:r w:rsidRPr="008E447A">
              <w:rPr>
                <w:b/>
                <w:szCs w:val="20"/>
              </w:rPr>
              <w:t>Year 1</w:t>
            </w:r>
          </w:p>
        </w:tc>
        <w:tc>
          <w:tcPr>
            <w:tcW w:w="550" w:type="pct"/>
            <w:shd w:val="clear" w:color="auto" w:fill="auto"/>
            <w:vAlign w:val="center"/>
          </w:tcPr>
          <w:p w:rsidR="00385A9D" w:rsidRPr="008E447A" w:rsidRDefault="00385A9D" w:rsidP="008E447A">
            <w:pPr>
              <w:pStyle w:val="Tabletext"/>
              <w:keepNext/>
              <w:keepLines/>
              <w:jc w:val="center"/>
              <w:rPr>
                <w:b/>
                <w:szCs w:val="20"/>
              </w:rPr>
            </w:pPr>
            <w:r w:rsidRPr="008E447A">
              <w:rPr>
                <w:b/>
                <w:szCs w:val="20"/>
              </w:rPr>
              <w:t>Year 2</w:t>
            </w:r>
          </w:p>
        </w:tc>
        <w:tc>
          <w:tcPr>
            <w:tcW w:w="548" w:type="pct"/>
            <w:shd w:val="clear" w:color="auto" w:fill="auto"/>
            <w:vAlign w:val="center"/>
          </w:tcPr>
          <w:p w:rsidR="00385A9D" w:rsidRPr="008E447A" w:rsidRDefault="00385A9D" w:rsidP="008E447A">
            <w:pPr>
              <w:pStyle w:val="Tabletext"/>
              <w:keepNext/>
              <w:keepLines/>
              <w:jc w:val="center"/>
              <w:rPr>
                <w:b/>
                <w:szCs w:val="20"/>
              </w:rPr>
            </w:pPr>
            <w:r w:rsidRPr="008E447A">
              <w:rPr>
                <w:b/>
                <w:szCs w:val="20"/>
              </w:rPr>
              <w:t>Year 3</w:t>
            </w:r>
          </w:p>
        </w:tc>
        <w:tc>
          <w:tcPr>
            <w:tcW w:w="550" w:type="pct"/>
            <w:shd w:val="clear" w:color="auto" w:fill="auto"/>
            <w:vAlign w:val="center"/>
          </w:tcPr>
          <w:p w:rsidR="00385A9D" w:rsidRPr="008E447A" w:rsidRDefault="00385A9D" w:rsidP="008E447A">
            <w:pPr>
              <w:pStyle w:val="Tabletext"/>
              <w:keepNext/>
              <w:keepLines/>
              <w:jc w:val="center"/>
              <w:rPr>
                <w:b/>
                <w:szCs w:val="20"/>
              </w:rPr>
            </w:pPr>
            <w:r w:rsidRPr="008E447A">
              <w:rPr>
                <w:b/>
                <w:szCs w:val="20"/>
              </w:rPr>
              <w:t>Year 4</w:t>
            </w:r>
          </w:p>
        </w:tc>
        <w:tc>
          <w:tcPr>
            <w:tcW w:w="628" w:type="pct"/>
            <w:shd w:val="clear" w:color="auto" w:fill="auto"/>
            <w:vAlign w:val="center"/>
          </w:tcPr>
          <w:p w:rsidR="00385A9D" w:rsidRPr="008E447A" w:rsidRDefault="00385A9D" w:rsidP="008E447A">
            <w:pPr>
              <w:pStyle w:val="Tabletext"/>
              <w:keepNext/>
              <w:keepLines/>
              <w:jc w:val="center"/>
              <w:rPr>
                <w:b/>
                <w:szCs w:val="20"/>
              </w:rPr>
            </w:pPr>
            <w:r w:rsidRPr="008E447A">
              <w:rPr>
                <w:b/>
                <w:szCs w:val="20"/>
              </w:rPr>
              <w:t>Year 5</w:t>
            </w:r>
          </w:p>
        </w:tc>
        <w:tc>
          <w:tcPr>
            <w:tcW w:w="685" w:type="pct"/>
          </w:tcPr>
          <w:p w:rsidR="00385A9D" w:rsidRPr="008E447A" w:rsidRDefault="00385A9D" w:rsidP="008E447A">
            <w:pPr>
              <w:pStyle w:val="Tabletext"/>
              <w:keepNext/>
              <w:keepLines/>
              <w:jc w:val="center"/>
              <w:rPr>
                <w:b/>
                <w:szCs w:val="20"/>
              </w:rPr>
            </w:pPr>
            <w:r w:rsidRPr="008E447A">
              <w:rPr>
                <w:b/>
                <w:szCs w:val="20"/>
              </w:rPr>
              <w:t>Year 6</w:t>
            </w:r>
          </w:p>
        </w:tc>
      </w:tr>
      <w:tr w:rsidR="00385A9D" w:rsidRPr="008E447A" w:rsidTr="0028727B">
        <w:tc>
          <w:tcPr>
            <w:tcW w:w="5000" w:type="pct"/>
            <w:gridSpan w:val="7"/>
            <w:shd w:val="clear" w:color="auto" w:fill="auto"/>
            <w:vAlign w:val="center"/>
          </w:tcPr>
          <w:p w:rsidR="00385A9D" w:rsidRPr="008E447A" w:rsidRDefault="00385A9D" w:rsidP="008E447A">
            <w:pPr>
              <w:pStyle w:val="Tabletext"/>
              <w:keepNext/>
              <w:keepLines/>
              <w:rPr>
                <w:b/>
                <w:bCs/>
                <w:color w:val="000000"/>
                <w:szCs w:val="20"/>
              </w:rPr>
            </w:pPr>
            <w:r w:rsidRPr="008E447A">
              <w:rPr>
                <w:b/>
                <w:bCs/>
                <w:color w:val="000000"/>
                <w:szCs w:val="20"/>
              </w:rPr>
              <w:t>Estimated extent of use</w:t>
            </w:r>
            <w:r w:rsidR="001578AE" w:rsidRPr="008E447A">
              <w:rPr>
                <w:b/>
                <w:bCs/>
                <w:color w:val="000000"/>
                <w:szCs w:val="20"/>
              </w:rPr>
              <w:t xml:space="preserve"> of </w:t>
            </w:r>
            <w:proofErr w:type="spellStart"/>
            <w:r w:rsidR="00F11E98" w:rsidRPr="008E447A">
              <w:rPr>
                <w:b/>
                <w:bCs/>
                <w:color w:val="000000"/>
                <w:szCs w:val="20"/>
              </w:rPr>
              <w:t>FluQuadri</w:t>
            </w:r>
            <w:proofErr w:type="spellEnd"/>
            <w:r w:rsidR="00674E07" w:rsidRPr="008E447A">
              <w:rPr>
                <w:b/>
                <w:bCs/>
                <w:color w:val="000000"/>
                <w:szCs w:val="20"/>
              </w:rPr>
              <w:t xml:space="preserve">  (based on one-for-one substitution of </w:t>
            </w:r>
            <w:proofErr w:type="spellStart"/>
            <w:r w:rsidR="008C63A0" w:rsidRPr="008E447A">
              <w:rPr>
                <w:b/>
                <w:bCs/>
                <w:color w:val="000000"/>
                <w:szCs w:val="20"/>
              </w:rPr>
              <w:t>FluQuadri</w:t>
            </w:r>
            <w:proofErr w:type="spellEnd"/>
            <w:r w:rsidR="008C63A0" w:rsidRPr="008E447A">
              <w:rPr>
                <w:b/>
                <w:bCs/>
                <w:color w:val="000000"/>
                <w:szCs w:val="20"/>
              </w:rPr>
              <w:t xml:space="preserve"> Junior</w:t>
            </w:r>
            <w:r w:rsidR="00674E07" w:rsidRPr="008E447A">
              <w:rPr>
                <w:b/>
                <w:bCs/>
                <w:color w:val="000000"/>
                <w:szCs w:val="20"/>
              </w:rPr>
              <w:t>)</w:t>
            </w:r>
          </w:p>
        </w:tc>
      </w:tr>
      <w:tr w:rsidR="00E342D8" w:rsidRPr="008E447A" w:rsidTr="0028727B">
        <w:tc>
          <w:tcPr>
            <w:tcW w:w="1411" w:type="pct"/>
            <w:shd w:val="clear" w:color="auto" w:fill="auto"/>
            <w:vAlign w:val="center"/>
          </w:tcPr>
          <w:p w:rsidR="00B016CF" w:rsidRPr="008E447A" w:rsidRDefault="00B016CF" w:rsidP="008E447A">
            <w:pPr>
              <w:pStyle w:val="Tabletext"/>
              <w:keepNext/>
              <w:keepLines/>
              <w:rPr>
                <w:szCs w:val="20"/>
              </w:rPr>
            </w:pPr>
            <w:r w:rsidRPr="008E447A">
              <w:rPr>
                <w:szCs w:val="20"/>
              </w:rPr>
              <w:t>Number of patients treated</w:t>
            </w:r>
          </w:p>
        </w:tc>
        <w:tc>
          <w:tcPr>
            <w:tcW w:w="628" w:type="pct"/>
            <w:shd w:val="clear" w:color="auto" w:fill="auto"/>
            <w:vAlign w:val="center"/>
          </w:tcPr>
          <w:p w:rsidR="00B016CF" w:rsidRPr="00AE73E9" w:rsidRDefault="00AE73E9" w:rsidP="008E447A">
            <w:pPr>
              <w:pStyle w:val="Tabletext"/>
              <w:keepNext/>
              <w:keepLines/>
              <w:jc w:val="right"/>
              <w:rPr>
                <w:bCs/>
                <w:color w:val="000000"/>
                <w:szCs w:val="20"/>
                <w:highlight w:val="black"/>
              </w:rPr>
            </w:pPr>
            <w:r>
              <w:rPr>
                <w:noProof/>
                <w:color w:val="000000"/>
                <w:szCs w:val="20"/>
                <w:highlight w:val="black"/>
              </w:rPr>
              <w:t>'''''''''''''''''''</w:t>
            </w:r>
          </w:p>
        </w:tc>
        <w:tc>
          <w:tcPr>
            <w:tcW w:w="550" w:type="pct"/>
            <w:shd w:val="clear" w:color="auto" w:fill="auto"/>
            <w:vAlign w:val="center"/>
          </w:tcPr>
          <w:p w:rsidR="00B016CF" w:rsidRPr="00AE73E9" w:rsidRDefault="00AE73E9" w:rsidP="008E447A">
            <w:pPr>
              <w:pStyle w:val="Tabletext"/>
              <w:keepNext/>
              <w:keepLines/>
              <w:jc w:val="right"/>
              <w:rPr>
                <w:bCs/>
                <w:color w:val="000000"/>
                <w:szCs w:val="20"/>
                <w:highlight w:val="black"/>
              </w:rPr>
            </w:pPr>
            <w:r>
              <w:rPr>
                <w:noProof/>
                <w:color w:val="000000"/>
                <w:szCs w:val="20"/>
                <w:highlight w:val="black"/>
              </w:rPr>
              <w:t>''''''''''''''''''</w:t>
            </w:r>
          </w:p>
        </w:tc>
        <w:tc>
          <w:tcPr>
            <w:tcW w:w="548" w:type="pct"/>
            <w:shd w:val="clear" w:color="auto" w:fill="auto"/>
            <w:vAlign w:val="center"/>
          </w:tcPr>
          <w:p w:rsidR="00B016CF" w:rsidRPr="00AE73E9" w:rsidRDefault="00AE73E9" w:rsidP="008E447A">
            <w:pPr>
              <w:pStyle w:val="Tabletext"/>
              <w:keepNext/>
              <w:keepLines/>
              <w:jc w:val="right"/>
              <w:rPr>
                <w:bCs/>
                <w:color w:val="000000"/>
                <w:szCs w:val="20"/>
                <w:highlight w:val="black"/>
              </w:rPr>
            </w:pPr>
            <w:r>
              <w:rPr>
                <w:noProof/>
                <w:color w:val="000000"/>
                <w:szCs w:val="20"/>
                <w:highlight w:val="black"/>
              </w:rPr>
              <w:t>'''''''''''''''''''</w:t>
            </w:r>
          </w:p>
        </w:tc>
        <w:tc>
          <w:tcPr>
            <w:tcW w:w="550" w:type="pct"/>
            <w:shd w:val="clear" w:color="auto" w:fill="auto"/>
            <w:vAlign w:val="center"/>
          </w:tcPr>
          <w:p w:rsidR="00B016CF" w:rsidRPr="00AE73E9" w:rsidRDefault="00AE73E9" w:rsidP="008E447A">
            <w:pPr>
              <w:pStyle w:val="Tabletext"/>
              <w:keepNext/>
              <w:keepLines/>
              <w:jc w:val="right"/>
              <w:rPr>
                <w:bCs/>
                <w:color w:val="000000"/>
                <w:szCs w:val="20"/>
                <w:highlight w:val="black"/>
              </w:rPr>
            </w:pPr>
            <w:r>
              <w:rPr>
                <w:noProof/>
                <w:color w:val="000000"/>
                <w:szCs w:val="20"/>
                <w:highlight w:val="black"/>
              </w:rPr>
              <w:t>'''''''''''''''''''</w:t>
            </w:r>
          </w:p>
        </w:tc>
        <w:tc>
          <w:tcPr>
            <w:tcW w:w="628" w:type="pct"/>
            <w:shd w:val="clear" w:color="auto" w:fill="auto"/>
            <w:vAlign w:val="center"/>
          </w:tcPr>
          <w:p w:rsidR="00B016CF" w:rsidRPr="00AE73E9" w:rsidRDefault="00AE73E9" w:rsidP="008E447A">
            <w:pPr>
              <w:pStyle w:val="Tabletext"/>
              <w:keepNext/>
              <w:keepLines/>
              <w:jc w:val="right"/>
              <w:rPr>
                <w:bCs/>
                <w:color w:val="000000"/>
                <w:szCs w:val="20"/>
                <w:highlight w:val="black"/>
              </w:rPr>
            </w:pPr>
            <w:r>
              <w:rPr>
                <w:noProof/>
                <w:color w:val="000000"/>
                <w:szCs w:val="20"/>
                <w:highlight w:val="black"/>
              </w:rPr>
              <w:t>''''''''''''''''''</w:t>
            </w:r>
          </w:p>
        </w:tc>
        <w:tc>
          <w:tcPr>
            <w:tcW w:w="685" w:type="pct"/>
            <w:shd w:val="clear" w:color="auto" w:fill="auto"/>
            <w:vAlign w:val="center"/>
          </w:tcPr>
          <w:p w:rsidR="00B016CF" w:rsidRPr="00AE73E9" w:rsidRDefault="00AE73E9" w:rsidP="008E447A">
            <w:pPr>
              <w:pStyle w:val="Tabletext"/>
              <w:keepNext/>
              <w:keepLines/>
              <w:jc w:val="right"/>
              <w:rPr>
                <w:bCs/>
                <w:color w:val="000000"/>
                <w:szCs w:val="20"/>
                <w:highlight w:val="black"/>
              </w:rPr>
            </w:pPr>
            <w:r>
              <w:rPr>
                <w:noProof/>
                <w:color w:val="000000"/>
                <w:szCs w:val="20"/>
                <w:highlight w:val="black"/>
              </w:rPr>
              <w:t>'''''''''''''''''</w:t>
            </w:r>
          </w:p>
        </w:tc>
      </w:tr>
      <w:tr w:rsidR="00E342D8" w:rsidRPr="008E447A" w:rsidTr="0028727B">
        <w:tc>
          <w:tcPr>
            <w:tcW w:w="1411" w:type="pct"/>
            <w:shd w:val="clear" w:color="auto" w:fill="auto"/>
            <w:vAlign w:val="center"/>
          </w:tcPr>
          <w:p w:rsidR="00B016CF" w:rsidRPr="008E447A" w:rsidRDefault="00B016CF" w:rsidP="008E447A">
            <w:pPr>
              <w:pStyle w:val="Tabletext"/>
              <w:keepNext/>
              <w:keepLines/>
              <w:rPr>
                <w:szCs w:val="20"/>
              </w:rPr>
            </w:pPr>
            <w:r w:rsidRPr="008E447A">
              <w:rPr>
                <w:szCs w:val="20"/>
              </w:rPr>
              <w:t>Number of doses</w:t>
            </w:r>
            <w:r w:rsidR="00C126DF" w:rsidRPr="008E447A">
              <w:rPr>
                <w:szCs w:val="20"/>
              </w:rPr>
              <w:t xml:space="preserve"> (base case)</w:t>
            </w:r>
          </w:p>
        </w:tc>
        <w:tc>
          <w:tcPr>
            <w:tcW w:w="628" w:type="pct"/>
            <w:shd w:val="clear" w:color="auto" w:fill="auto"/>
            <w:vAlign w:val="center"/>
          </w:tcPr>
          <w:p w:rsidR="00B016CF" w:rsidRPr="00AE73E9" w:rsidRDefault="00AE73E9" w:rsidP="008E447A">
            <w:pPr>
              <w:pStyle w:val="Tabletext"/>
              <w:keepNext/>
              <w:keepLines/>
              <w:jc w:val="right"/>
              <w:rPr>
                <w:bCs/>
                <w:color w:val="000000"/>
                <w:szCs w:val="20"/>
                <w:highlight w:val="black"/>
              </w:rPr>
            </w:pPr>
            <w:r>
              <w:rPr>
                <w:noProof/>
                <w:color w:val="000000"/>
                <w:szCs w:val="20"/>
                <w:highlight w:val="black"/>
              </w:rPr>
              <w:t>''''''''''''''''''''</w:t>
            </w:r>
          </w:p>
        </w:tc>
        <w:tc>
          <w:tcPr>
            <w:tcW w:w="550" w:type="pct"/>
            <w:shd w:val="clear" w:color="auto" w:fill="auto"/>
            <w:vAlign w:val="center"/>
          </w:tcPr>
          <w:p w:rsidR="00B016CF" w:rsidRPr="00AE73E9" w:rsidRDefault="00AE73E9" w:rsidP="008E447A">
            <w:pPr>
              <w:pStyle w:val="Tabletext"/>
              <w:keepNext/>
              <w:keepLines/>
              <w:jc w:val="right"/>
              <w:rPr>
                <w:bCs/>
                <w:color w:val="000000"/>
                <w:szCs w:val="20"/>
                <w:highlight w:val="black"/>
              </w:rPr>
            </w:pPr>
            <w:r>
              <w:rPr>
                <w:noProof/>
                <w:color w:val="000000"/>
                <w:szCs w:val="20"/>
                <w:highlight w:val="black"/>
              </w:rPr>
              <w:t>''''''''''''''''''''</w:t>
            </w:r>
          </w:p>
        </w:tc>
        <w:tc>
          <w:tcPr>
            <w:tcW w:w="548" w:type="pct"/>
            <w:shd w:val="clear" w:color="auto" w:fill="auto"/>
            <w:vAlign w:val="center"/>
          </w:tcPr>
          <w:p w:rsidR="00B016CF" w:rsidRPr="00AE73E9" w:rsidRDefault="00AE73E9" w:rsidP="008E447A">
            <w:pPr>
              <w:pStyle w:val="Tabletext"/>
              <w:keepNext/>
              <w:keepLines/>
              <w:jc w:val="right"/>
              <w:rPr>
                <w:bCs/>
                <w:color w:val="000000"/>
                <w:szCs w:val="20"/>
                <w:highlight w:val="black"/>
              </w:rPr>
            </w:pPr>
            <w:r>
              <w:rPr>
                <w:noProof/>
                <w:color w:val="000000"/>
                <w:szCs w:val="20"/>
                <w:highlight w:val="black"/>
              </w:rPr>
              <w:t>''''''''''''''''''''</w:t>
            </w:r>
          </w:p>
        </w:tc>
        <w:tc>
          <w:tcPr>
            <w:tcW w:w="550" w:type="pct"/>
            <w:shd w:val="clear" w:color="auto" w:fill="auto"/>
            <w:vAlign w:val="center"/>
          </w:tcPr>
          <w:p w:rsidR="00B016CF" w:rsidRPr="00AE73E9" w:rsidRDefault="00AE73E9" w:rsidP="008E447A">
            <w:pPr>
              <w:pStyle w:val="Tabletext"/>
              <w:keepNext/>
              <w:keepLines/>
              <w:jc w:val="right"/>
              <w:rPr>
                <w:bCs/>
                <w:color w:val="000000"/>
                <w:szCs w:val="20"/>
                <w:highlight w:val="black"/>
              </w:rPr>
            </w:pPr>
            <w:r>
              <w:rPr>
                <w:noProof/>
                <w:color w:val="000000"/>
                <w:szCs w:val="20"/>
                <w:highlight w:val="black"/>
              </w:rPr>
              <w:t>'''''''''''''''''''''</w:t>
            </w:r>
          </w:p>
        </w:tc>
        <w:tc>
          <w:tcPr>
            <w:tcW w:w="628" w:type="pct"/>
            <w:shd w:val="clear" w:color="auto" w:fill="auto"/>
            <w:vAlign w:val="center"/>
          </w:tcPr>
          <w:p w:rsidR="00B016CF" w:rsidRPr="00AE73E9" w:rsidRDefault="00AE73E9" w:rsidP="008E447A">
            <w:pPr>
              <w:pStyle w:val="Tabletext"/>
              <w:keepNext/>
              <w:keepLines/>
              <w:jc w:val="right"/>
              <w:rPr>
                <w:bCs/>
                <w:color w:val="000000"/>
                <w:szCs w:val="20"/>
                <w:highlight w:val="black"/>
              </w:rPr>
            </w:pPr>
            <w:r>
              <w:rPr>
                <w:noProof/>
                <w:color w:val="000000"/>
                <w:szCs w:val="20"/>
                <w:highlight w:val="black"/>
              </w:rPr>
              <w:t>''''''''''''''''''''</w:t>
            </w:r>
          </w:p>
        </w:tc>
        <w:tc>
          <w:tcPr>
            <w:tcW w:w="685" w:type="pct"/>
            <w:shd w:val="clear" w:color="auto" w:fill="auto"/>
            <w:vAlign w:val="center"/>
          </w:tcPr>
          <w:p w:rsidR="00B016CF" w:rsidRPr="00AE73E9" w:rsidRDefault="00AE73E9" w:rsidP="008E447A">
            <w:pPr>
              <w:pStyle w:val="Tabletext"/>
              <w:keepNext/>
              <w:keepLines/>
              <w:jc w:val="right"/>
              <w:rPr>
                <w:bCs/>
                <w:color w:val="000000"/>
                <w:szCs w:val="20"/>
                <w:highlight w:val="black"/>
              </w:rPr>
            </w:pPr>
            <w:r>
              <w:rPr>
                <w:noProof/>
                <w:color w:val="000000"/>
                <w:szCs w:val="20"/>
                <w:highlight w:val="black"/>
              </w:rPr>
              <w:t>''''''''''''''''''''''</w:t>
            </w:r>
          </w:p>
        </w:tc>
      </w:tr>
      <w:tr w:rsidR="00C126DF" w:rsidRPr="008E447A" w:rsidTr="0028727B">
        <w:tc>
          <w:tcPr>
            <w:tcW w:w="5000" w:type="pct"/>
            <w:gridSpan w:val="7"/>
            <w:shd w:val="clear" w:color="auto" w:fill="auto"/>
            <w:vAlign w:val="center"/>
          </w:tcPr>
          <w:p w:rsidR="00C126DF" w:rsidRPr="008E447A" w:rsidRDefault="00C126DF" w:rsidP="008E447A">
            <w:pPr>
              <w:pStyle w:val="Tabletext"/>
              <w:keepNext/>
              <w:keepLines/>
              <w:rPr>
                <w:b/>
                <w:bCs/>
                <w:color w:val="000000"/>
                <w:szCs w:val="20"/>
              </w:rPr>
            </w:pPr>
            <w:r w:rsidRPr="008E447A">
              <w:rPr>
                <w:b/>
                <w:bCs/>
                <w:color w:val="000000"/>
                <w:szCs w:val="20"/>
              </w:rPr>
              <w:t xml:space="preserve">Estimated financial implications of </w:t>
            </w:r>
            <w:proofErr w:type="spellStart"/>
            <w:r w:rsidR="00F11E98" w:rsidRPr="008E447A">
              <w:rPr>
                <w:b/>
                <w:bCs/>
                <w:color w:val="000000"/>
                <w:szCs w:val="20"/>
              </w:rPr>
              <w:t>FluQuadri</w:t>
            </w:r>
            <w:proofErr w:type="spellEnd"/>
            <w:r w:rsidR="003849AF" w:rsidRPr="008E447A">
              <w:rPr>
                <w:b/>
                <w:bCs/>
                <w:color w:val="000000"/>
                <w:szCs w:val="20"/>
              </w:rPr>
              <w:t xml:space="preserve"> </w:t>
            </w:r>
            <w:r w:rsidR="003849AF" w:rsidRPr="008E447A">
              <w:rPr>
                <w:b/>
                <w:bCs/>
                <w:i/>
                <w:color w:val="000000"/>
                <w:szCs w:val="20"/>
              </w:rPr>
              <w:t xml:space="preserve">(equal to </w:t>
            </w:r>
            <w:proofErr w:type="spellStart"/>
            <w:r w:rsidR="008C63A0" w:rsidRPr="008E447A">
              <w:rPr>
                <w:b/>
                <w:bCs/>
                <w:i/>
                <w:color w:val="000000"/>
                <w:szCs w:val="20"/>
              </w:rPr>
              <w:t>FluQuadri</w:t>
            </w:r>
            <w:proofErr w:type="spellEnd"/>
            <w:r w:rsidR="008C63A0" w:rsidRPr="008E447A">
              <w:rPr>
                <w:b/>
                <w:bCs/>
                <w:i/>
                <w:color w:val="000000"/>
                <w:szCs w:val="20"/>
              </w:rPr>
              <w:t xml:space="preserve"> Junior</w:t>
            </w:r>
            <w:r w:rsidR="003849AF" w:rsidRPr="008E447A">
              <w:rPr>
                <w:b/>
                <w:bCs/>
                <w:i/>
                <w:color w:val="000000"/>
                <w:szCs w:val="20"/>
              </w:rPr>
              <w:t>)</w:t>
            </w:r>
          </w:p>
        </w:tc>
      </w:tr>
      <w:tr w:rsidR="00E342D8" w:rsidRPr="008E447A" w:rsidTr="0028727B">
        <w:tc>
          <w:tcPr>
            <w:tcW w:w="1411" w:type="pct"/>
            <w:shd w:val="clear" w:color="auto" w:fill="auto"/>
            <w:vAlign w:val="center"/>
          </w:tcPr>
          <w:p w:rsidR="00C126DF" w:rsidRPr="008E447A" w:rsidRDefault="00C126DF" w:rsidP="008E447A">
            <w:pPr>
              <w:pStyle w:val="Tabletext"/>
              <w:keepNext/>
              <w:keepLines/>
              <w:rPr>
                <w:szCs w:val="20"/>
              </w:rPr>
            </w:pPr>
            <w:r w:rsidRPr="008E447A">
              <w:rPr>
                <w:szCs w:val="20"/>
              </w:rPr>
              <w:t>Cost to NIP</w:t>
            </w:r>
            <w:r w:rsidR="00F87034" w:rsidRPr="008E447A">
              <w:rPr>
                <w:szCs w:val="20"/>
              </w:rPr>
              <w:t>*</w:t>
            </w:r>
          </w:p>
        </w:tc>
        <w:tc>
          <w:tcPr>
            <w:tcW w:w="628" w:type="pct"/>
            <w:tcBorders>
              <w:bottom w:val="single" w:sz="4" w:space="0" w:color="auto"/>
            </w:tcBorders>
            <w:shd w:val="clear" w:color="auto" w:fill="auto"/>
            <w:vAlign w:val="center"/>
          </w:tcPr>
          <w:p w:rsidR="00C126DF" w:rsidRPr="008E447A" w:rsidRDefault="00C126DF" w:rsidP="008E447A">
            <w:pPr>
              <w:pStyle w:val="Tabletext"/>
              <w:keepNext/>
              <w:keepLines/>
              <w:jc w:val="right"/>
              <w:rPr>
                <w:bCs/>
                <w:color w:val="000000"/>
                <w:szCs w:val="20"/>
              </w:rPr>
            </w:pPr>
            <w:r w:rsidRPr="008E447A">
              <w:rPr>
                <w:szCs w:val="20"/>
              </w:rPr>
              <w:t>$</w:t>
            </w:r>
            <w:r w:rsidR="00AE73E9">
              <w:rPr>
                <w:noProof/>
                <w:color w:val="000000"/>
                <w:szCs w:val="20"/>
                <w:highlight w:val="black"/>
              </w:rPr>
              <w:t>'''''''''''''''''''''</w:t>
            </w:r>
          </w:p>
        </w:tc>
        <w:tc>
          <w:tcPr>
            <w:tcW w:w="550" w:type="pct"/>
            <w:tcBorders>
              <w:bottom w:val="single" w:sz="4" w:space="0" w:color="auto"/>
            </w:tcBorders>
            <w:shd w:val="clear" w:color="auto" w:fill="auto"/>
            <w:vAlign w:val="center"/>
          </w:tcPr>
          <w:p w:rsidR="00C126DF" w:rsidRPr="008E447A" w:rsidRDefault="00C126DF" w:rsidP="008E447A">
            <w:pPr>
              <w:pStyle w:val="Tabletext"/>
              <w:keepNext/>
              <w:keepLines/>
              <w:jc w:val="right"/>
              <w:rPr>
                <w:bCs/>
                <w:color w:val="000000"/>
                <w:szCs w:val="20"/>
              </w:rPr>
            </w:pPr>
            <w:r w:rsidRPr="008E447A">
              <w:rPr>
                <w:szCs w:val="20"/>
              </w:rPr>
              <w:t>$</w:t>
            </w:r>
            <w:r w:rsidR="00AE73E9">
              <w:rPr>
                <w:noProof/>
                <w:color w:val="000000"/>
                <w:szCs w:val="20"/>
                <w:highlight w:val="black"/>
              </w:rPr>
              <w:t>'''''''''''''''''''''</w:t>
            </w:r>
          </w:p>
        </w:tc>
        <w:tc>
          <w:tcPr>
            <w:tcW w:w="548" w:type="pct"/>
            <w:tcBorders>
              <w:bottom w:val="single" w:sz="4" w:space="0" w:color="auto"/>
            </w:tcBorders>
            <w:shd w:val="clear" w:color="auto" w:fill="auto"/>
            <w:vAlign w:val="center"/>
          </w:tcPr>
          <w:p w:rsidR="00C126DF" w:rsidRPr="008E447A" w:rsidRDefault="00C126DF" w:rsidP="008E447A">
            <w:pPr>
              <w:pStyle w:val="Tabletext"/>
              <w:keepNext/>
              <w:keepLines/>
              <w:jc w:val="right"/>
              <w:rPr>
                <w:bCs/>
                <w:color w:val="000000"/>
                <w:szCs w:val="20"/>
              </w:rPr>
            </w:pPr>
            <w:r w:rsidRPr="008E447A">
              <w:rPr>
                <w:szCs w:val="20"/>
              </w:rPr>
              <w:t>$</w:t>
            </w:r>
            <w:r w:rsidR="00AE73E9">
              <w:rPr>
                <w:noProof/>
                <w:color w:val="000000"/>
                <w:szCs w:val="20"/>
                <w:highlight w:val="black"/>
              </w:rPr>
              <w:t>''''''''''''''''''</w:t>
            </w:r>
          </w:p>
        </w:tc>
        <w:tc>
          <w:tcPr>
            <w:tcW w:w="550" w:type="pct"/>
            <w:tcBorders>
              <w:bottom w:val="single" w:sz="4" w:space="0" w:color="auto"/>
            </w:tcBorders>
            <w:shd w:val="clear" w:color="auto" w:fill="auto"/>
            <w:vAlign w:val="center"/>
          </w:tcPr>
          <w:p w:rsidR="00C126DF" w:rsidRPr="008E447A" w:rsidRDefault="00C126DF" w:rsidP="008E447A">
            <w:pPr>
              <w:pStyle w:val="Tabletext"/>
              <w:keepNext/>
              <w:keepLines/>
              <w:jc w:val="right"/>
              <w:rPr>
                <w:bCs/>
                <w:color w:val="000000"/>
                <w:szCs w:val="20"/>
              </w:rPr>
            </w:pPr>
            <w:r w:rsidRPr="008E447A">
              <w:rPr>
                <w:szCs w:val="20"/>
              </w:rPr>
              <w:t>$</w:t>
            </w:r>
            <w:r w:rsidR="00AE73E9">
              <w:rPr>
                <w:noProof/>
                <w:color w:val="000000"/>
                <w:szCs w:val="20"/>
                <w:highlight w:val="black"/>
              </w:rPr>
              <w:t>'''''''''''''''''''</w:t>
            </w:r>
          </w:p>
        </w:tc>
        <w:tc>
          <w:tcPr>
            <w:tcW w:w="628" w:type="pct"/>
            <w:tcBorders>
              <w:bottom w:val="single" w:sz="4" w:space="0" w:color="auto"/>
            </w:tcBorders>
            <w:shd w:val="clear" w:color="auto" w:fill="auto"/>
            <w:vAlign w:val="center"/>
          </w:tcPr>
          <w:p w:rsidR="00C126DF" w:rsidRPr="008E447A" w:rsidRDefault="00C126DF" w:rsidP="008E447A">
            <w:pPr>
              <w:pStyle w:val="Tabletext"/>
              <w:keepNext/>
              <w:keepLines/>
              <w:jc w:val="right"/>
              <w:rPr>
                <w:bCs/>
                <w:color w:val="000000"/>
                <w:szCs w:val="20"/>
              </w:rPr>
            </w:pPr>
            <w:r w:rsidRPr="008E447A">
              <w:rPr>
                <w:szCs w:val="20"/>
              </w:rPr>
              <w:t>$</w:t>
            </w:r>
            <w:r w:rsidR="00AE73E9">
              <w:rPr>
                <w:noProof/>
                <w:color w:val="000000"/>
                <w:szCs w:val="20"/>
                <w:highlight w:val="black"/>
              </w:rPr>
              <w:t>'''''''''''''''''''</w:t>
            </w:r>
          </w:p>
        </w:tc>
        <w:tc>
          <w:tcPr>
            <w:tcW w:w="685" w:type="pct"/>
            <w:tcBorders>
              <w:bottom w:val="single" w:sz="4" w:space="0" w:color="auto"/>
            </w:tcBorders>
            <w:shd w:val="clear" w:color="auto" w:fill="auto"/>
            <w:vAlign w:val="center"/>
          </w:tcPr>
          <w:p w:rsidR="00C126DF" w:rsidRPr="008E447A" w:rsidRDefault="00C126DF" w:rsidP="008E447A">
            <w:pPr>
              <w:pStyle w:val="Tabletext"/>
              <w:keepNext/>
              <w:keepLines/>
              <w:jc w:val="right"/>
              <w:rPr>
                <w:bCs/>
                <w:color w:val="000000"/>
                <w:szCs w:val="20"/>
              </w:rPr>
            </w:pPr>
            <w:r w:rsidRPr="008E447A">
              <w:rPr>
                <w:szCs w:val="20"/>
              </w:rPr>
              <w:t>$</w:t>
            </w:r>
            <w:r w:rsidR="00AE73E9">
              <w:rPr>
                <w:noProof/>
                <w:color w:val="000000"/>
                <w:szCs w:val="20"/>
                <w:highlight w:val="black"/>
              </w:rPr>
              <w:t>''''''''''''''''''''''</w:t>
            </w:r>
          </w:p>
        </w:tc>
      </w:tr>
      <w:tr w:rsidR="003845EB" w:rsidRPr="008E447A" w:rsidTr="0028727B">
        <w:tc>
          <w:tcPr>
            <w:tcW w:w="5000" w:type="pct"/>
            <w:gridSpan w:val="7"/>
            <w:shd w:val="clear" w:color="auto" w:fill="auto"/>
            <w:vAlign w:val="center"/>
          </w:tcPr>
          <w:p w:rsidR="003845EB" w:rsidRPr="008E447A" w:rsidRDefault="00E20C7D" w:rsidP="008E447A">
            <w:pPr>
              <w:pStyle w:val="Tabletext"/>
              <w:keepNext/>
              <w:keepLines/>
              <w:rPr>
                <w:bCs/>
                <w:color w:val="000000"/>
                <w:szCs w:val="20"/>
              </w:rPr>
            </w:pPr>
            <w:r w:rsidRPr="008E447A">
              <w:rPr>
                <w:b/>
                <w:bCs/>
                <w:color w:val="000000"/>
                <w:szCs w:val="20"/>
              </w:rPr>
              <w:t xml:space="preserve">Net changes to MBS items: Administration costs for </w:t>
            </w:r>
            <w:proofErr w:type="spellStart"/>
            <w:r w:rsidR="00F11E98" w:rsidRPr="008E447A">
              <w:rPr>
                <w:b/>
                <w:bCs/>
                <w:color w:val="000000"/>
                <w:szCs w:val="20"/>
              </w:rPr>
              <w:t>FluQuadri</w:t>
            </w:r>
            <w:proofErr w:type="spellEnd"/>
            <w:r w:rsidR="00A602EF" w:rsidRPr="008E447A">
              <w:rPr>
                <w:b/>
                <w:bCs/>
                <w:color w:val="000000"/>
                <w:szCs w:val="20"/>
              </w:rPr>
              <w:t xml:space="preserve"> </w:t>
            </w:r>
            <w:r w:rsidR="003849AF" w:rsidRPr="008E447A">
              <w:rPr>
                <w:b/>
                <w:bCs/>
                <w:i/>
                <w:color w:val="000000"/>
                <w:szCs w:val="20"/>
              </w:rPr>
              <w:t xml:space="preserve">(equal to </w:t>
            </w:r>
            <w:proofErr w:type="spellStart"/>
            <w:r w:rsidR="008C63A0" w:rsidRPr="008E447A">
              <w:rPr>
                <w:b/>
                <w:bCs/>
                <w:i/>
                <w:color w:val="000000"/>
                <w:szCs w:val="20"/>
              </w:rPr>
              <w:t>FluQuadri</w:t>
            </w:r>
            <w:proofErr w:type="spellEnd"/>
            <w:r w:rsidR="008C63A0" w:rsidRPr="008E447A">
              <w:rPr>
                <w:b/>
                <w:bCs/>
                <w:i/>
                <w:color w:val="000000"/>
                <w:szCs w:val="20"/>
              </w:rPr>
              <w:t xml:space="preserve"> Junior</w:t>
            </w:r>
            <w:r w:rsidR="003849AF" w:rsidRPr="008E447A">
              <w:rPr>
                <w:b/>
                <w:bCs/>
                <w:i/>
                <w:color w:val="000000"/>
                <w:szCs w:val="20"/>
              </w:rPr>
              <w:t>)</w:t>
            </w:r>
          </w:p>
        </w:tc>
      </w:tr>
      <w:tr w:rsidR="00E342D8" w:rsidRPr="008E447A" w:rsidTr="0028727B">
        <w:tc>
          <w:tcPr>
            <w:tcW w:w="1411" w:type="pct"/>
            <w:shd w:val="clear" w:color="auto" w:fill="auto"/>
            <w:vAlign w:val="center"/>
          </w:tcPr>
          <w:p w:rsidR="00E20C7D" w:rsidRPr="008E447A" w:rsidRDefault="00E20C7D" w:rsidP="008E447A">
            <w:pPr>
              <w:pStyle w:val="Tabletext"/>
              <w:keepNext/>
              <w:keepLines/>
              <w:rPr>
                <w:szCs w:val="20"/>
              </w:rPr>
            </w:pPr>
            <w:r w:rsidRPr="008E447A">
              <w:rPr>
                <w:szCs w:val="20"/>
              </w:rPr>
              <w:t>Doses</w:t>
            </w:r>
          </w:p>
        </w:tc>
        <w:tc>
          <w:tcPr>
            <w:tcW w:w="628" w:type="pct"/>
            <w:shd w:val="clear" w:color="auto" w:fill="auto"/>
            <w:vAlign w:val="center"/>
          </w:tcPr>
          <w:p w:rsidR="00E20C7D" w:rsidRPr="00AE73E9" w:rsidRDefault="00AE73E9" w:rsidP="008E447A">
            <w:pPr>
              <w:pStyle w:val="Tabletext"/>
              <w:keepNext/>
              <w:keepLines/>
              <w:jc w:val="right"/>
              <w:rPr>
                <w:szCs w:val="20"/>
                <w:highlight w:val="black"/>
              </w:rPr>
            </w:pPr>
            <w:r>
              <w:rPr>
                <w:noProof/>
                <w:color w:val="000000"/>
                <w:szCs w:val="20"/>
                <w:highlight w:val="black"/>
              </w:rPr>
              <w:t>''''''''''''''''''''</w:t>
            </w:r>
          </w:p>
        </w:tc>
        <w:tc>
          <w:tcPr>
            <w:tcW w:w="550" w:type="pct"/>
            <w:shd w:val="clear" w:color="auto" w:fill="auto"/>
            <w:vAlign w:val="center"/>
          </w:tcPr>
          <w:p w:rsidR="00E20C7D" w:rsidRPr="00AE73E9" w:rsidRDefault="00AE73E9" w:rsidP="008E447A">
            <w:pPr>
              <w:pStyle w:val="Tabletext"/>
              <w:keepNext/>
              <w:keepLines/>
              <w:jc w:val="right"/>
              <w:rPr>
                <w:szCs w:val="20"/>
                <w:highlight w:val="black"/>
              </w:rPr>
            </w:pPr>
            <w:r>
              <w:rPr>
                <w:noProof/>
                <w:color w:val="000000"/>
                <w:szCs w:val="20"/>
                <w:highlight w:val="black"/>
              </w:rPr>
              <w:t>''''''''''''''''''''''</w:t>
            </w:r>
          </w:p>
        </w:tc>
        <w:tc>
          <w:tcPr>
            <w:tcW w:w="548" w:type="pct"/>
            <w:shd w:val="clear" w:color="auto" w:fill="auto"/>
            <w:vAlign w:val="center"/>
          </w:tcPr>
          <w:p w:rsidR="00E20C7D" w:rsidRPr="00AE73E9" w:rsidRDefault="00AE73E9" w:rsidP="008E447A">
            <w:pPr>
              <w:pStyle w:val="Tabletext"/>
              <w:keepNext/>
              <w:keepLines/>
              <w:jc w:val="right"/>
              <w:rPr>
                <w:szCs w:val="20"/>
                <w:highlight w:val="black"/>
              </w:rPr>
            </w:pPr>
            <w:r>
              <w:rPr>
                <w:noProof/>
                <w:color w:val="000000"/>
                <w:szCs w:val="20"/>
                <w:highlight w:val="black"/>
              </w:rPr>
              <w:t>'''''''''''''''''''''</w:t>
            </w:r>
          </w:p>
        </w:tc>
        <w:tc>
          <w:tcPr>
            <w:tcW w:w="550" w:type="pct"/>
            <w:shd w:val="clear" w:color="auto" w:fill="auto"/>
            <w:vAlign w:val="center"/>
          </w:tcPr>
          <w:p w:rsidR="00E20C7D" w:rsidRPr="00AE73E9" w:rsidRDefault="00AE73E9" w:rsidP="008E447A">
            <w:pPr>
              <w:pStyle w:val="Tabletext"/>
              <w:keepNext/>
              <w:keepLines/>
              <w:jc w:val="right"/>
              <w:rPr>
                <w:szCs w:val="20"/>
                <w:highlight w:val="black"/>
              </w:rPr>
            </w:pPr>
            <w:r>
              <w:rPr>
                <w:noProof/>
                <w:color w:val="000000"/>
                <w:szCs w:val="20"/>
                <w:highlight w:val="black"/>
              </w:rPr>
              <w:t>'''''''''''''''''''</w:t>
            </w:r>
          </w:p>
        </w:tc>
        <w:tc>
          <w:tcPr>
            <w:tcW w:w="628" w:type="pct"/>
            <w:shd w:val="clear" w:color="auto" w:fill="auto"/>
            <w:vAlign w:val="center"/>
          </w:tcPr>
          <w:p w:rsidR="00E20C7D" w:rsidRPr="00AE73E9" w:rsidRDefault="00AE73E9" w:rsidP="008E447A">
            <w:pPr>
              <w:pStyle w:val="Tabletext"/>
              <w:keepNext/>
              <w:keepLines/>
              <w:jc w:val="right"/>
              <w:rPr>
                <w:szCs w:val="20"/>
                <w:highlight w:val="black"/>
              </w:rPr>
            </w:pPr>
            <w:r>
              <w:rPr>
                <w:noProof/>
                <w:color w:val="000000"/>
                <w:szCs w:val="20"/>
                <w:highlight w:val="black"/>
              </w:rPr>
              <w:t>'''''''''''''''''''</w:t>
            </w:r>
          </w:p>
        </w:tc>
        <w:tc>
          <w:tcPr>
            <w:tcW w:w="685" w:type="pct"/>
            <w:shd w:val="clear" w:color="auto" w:fill="auto"/>
            <w:vAlign w:val="center"/>
          </w:tcPr>
          <w:p w:rsidR="00E20C7D" w:rsidRPr="00AE73E9" w:rsidRDefault="00AE73E9" w:rsidP="008E447A">
            <w:pPr>
              <w:pStyle w:val="Tabletext"/>
              <w:keepNext/>
              <w:keepLines/>
              <w:jc w:val="right"/>
              <w:rPr>
                <w:szCs w:val="20"/>
                <w:highlight w:val="black"/>
              </w:rPr>
            </w:pPr>
            <w:r>
              <w:rPr>
                <w:noProof/>
                <w:color w:val="000000"/>
                <w:szCs w:val="20"/>
                <w:highlight w:val="black"/>
              </w:rPr>
              <w:t>''''''''''''''''''</w:t>
            </w:r>
          </w:p>
        </w:tc>
      </w:tr>
      <w:tr w:rsidR="00E342D8" w:rsidRPr="008E447A" w:rsidTr="0028727B">
        <w:tc>
          <w:tcPr>
            <w:tcW w:w="1411" w:type="pct"/>
            <w:shd w:val="clear" w:color="auto" w:fill="auto"/>
            <w:vAlign w:val="center"/>
          </w:tcPr>
          <w:p w:rsidR="00E20C7D" w:rsidRPr="008E447A" w:rsidRDefault="00E20C7D" w:rsidP="008E447A">
            <w:pPr>
              <w:pStyle w:val="Tabletext"/>
              <w:keepNext/>
              <w:keepLines/>
              <w:rPr>
                <w:szCs w:val="20"/>
              </w:rPr>
            </w:pPr>
            <w:r w:rsidRPr="008E447A">
              <w:rPr>
                <w:szCs w:val="20"/>
              </w:rPr>
              <w:t>Cost of GP</w:t>
            </w:r>
          </w:p>
        </w:tc>
        <w:tc>
          <w:tcPr>
            <w:tcW w:w="628" w:type="pct"/>
            <w:shd w:val="clear" w:color="auto" w:fill="auto"/>
            <w:vAlign w:val="center"/>
          </w:tcPr>
          <w:p w:rsidR="00E20C7D" w:rsidRPr="008E447A" w:rsidRDefault="00E20C7D" w:rsidP="008E447A">
            <w:pPr>
              <w:pStyle w:val="Tabletext"/>
              <w:keepNext/>
              <w:keepLines/>
              <w:jc w:val="right"/>
              <w:rPr>
                <w:szCs w:val="20"/>
              </w:rPr>
            </w:pPr>
            <w:r w:rsidRPr="008E447A">
              <w:rPr>
                <w:szCs w:val="20"/>
              </w:rPr>
              <w:t>$</w:t>
            </w:r>
            <w:r w:rsidR="00AE73E9">
              <w:rPr>
                <w:noProof/>
                <w:color w:val="000000"/>
                <w:szCs w:val="20"/>
                <w:highlight w:val="black"/>
              </w:rPr>
              <w:t>''''''''''''''''''''''''</w:t>
            </w:r>
          </w:p>
        </w:tc>
        <w:tc>
          <w:tcPr>
            <w:tcW w:w="550" w:type="pct"/>
            <w:shd w:val="clear" w:color="auto" w:fill="auto"/>
            <w:vAlign w:val="center"/>
          </w:tcPr>
          <w:p w:rsidR="00E20C7D" w:rsidRPr="008E447A" w:rsidRDefault="00E20C7D" w:rsidP="008E447A">
            <w:pPr>
              <w:pStyle w:val="Tabletext"/>
              <w:keepNext/>
              <w:keepLines/>
              <w:jc w:val="right"/>
              <w:rPr>
                <w:szCs w:val="20"/>
              </w:rPr>
            </w:pPr>
            <w:r w:rsidRPr="008E447A">
              <w:rPr>
                <w:szCs w:val="20"/>
              </w:rPr>
              <w:t>$</w:t>
            </w:r>
            <w:r w:rsidR="00AE73E9">
              <w:rPr>
                <w:noProof/>
                <w:color w:val="000000"/>
                <w:szCs w:val="20"/>
                <w:highlight w:val="black"/>
              </w:rPr>
              <w:t>'''''''''''''''''''''</w:t>
            </w:r>
          </w:p>
        </w:tc>
        <w:tc>
          <w:tcPr>
            <w:tcW w:w="548" w:type="pct"/>
            <w:shd w:val="clear" w:color="auto" w:fill="auto"/>
            <w:vAlign w:val="center"/>
          </w:tcPr>
          <w:p w:rsidR="00E20C7D" w:rsidRPr="008E447A" w:rsidRDefault="00E20C7D" w:rsidP="008E447A">
            <w:pPr>
              <w:pStyle w:val="Tabletext"/>
              <w:keepNext/>
              <w:keepLines/>
              <w:jc w:val="right"/>
              <w:rPr>
                <w:szCs w:val="20"/>
              </w:rPr>
            </w:pPr>
            <w:r w:rsidRPr="008E447A">
              <w:rPr>
                <w:szCs w:val="20"/>
              </w:rPr>
              <w:t>$</w:t>
            </w:r>
            <w:r w:rsidR="00AE73E9">
              <w:rPr>
                <w:noProof/>
                <w:color w:val="000000"/>
                <w:szCs w:val="20"/>
                <w:highlight w:val="black"/>
              </w:rPr>
              <w:t>''''''''''''''''''''''</w:t>
            </w:r>
          </w:p>
        </w:tc>
        <w:tc>
          <w:tcPr>
            <w:tcW w:w="550" w:type="pct"/>
            <w:shd w:val="clear" w:color="auto" w:fill="auto"/>
            <w:vAlign w:val="center"/>
          </w:tcPr>
          <w:p w:rsidR="00E20C7D" w:rsidRPr="008E447A" w:rsidRDefault="00E20C7D" w:rsidP="008E447A">
            <w:pPr>
              <w:pStyle w:val="Tabletext"/>
              <w:keepNext/>
              <w:keepLines/>
              <w:jc w:val="right"/>
              <w:rPr>
                <w:szCs w:val="20"/>
              </w:rPr>
            </w:pPr>
            <w:r w:rsidRPr="008E447A">
              <w:rPr>
                <w:szCs w:val="20"/>
              </w:rPr>
              <w:t>$</w:t>
            </w:r>
            <w:r w:rsidR="00AE73E9">
              <w:rPr>
                <w:noProof/>
                <w:color w:val="000000"/>
                <w:szCs w:val="20"/>
                <w:highlight w:val="black"/>
              </w:rPr>
              <w:t>''''''''''''''''''''''</w:t>
            </w:r>
          </w:p>
        </w:tc>
        <w:tc>
          <w:tcPr>
            <w:tcW w:w="628" w:type="pct"/>
            <w:shd w:val="clear" w:color="auto" w:fill="auto"/>
            <w:vAlign w:val="center"/>
          </w:tcPr>
          <w:p w:rsidR="00E20C7D" w:rsidRPr="008E447A" w:rsidRDefault="00E20C7D" w:rsidP="008E447A">
            <w:pPr>
              <w:pStyle w:val="Tabletext"/>
              <w:keepNext/>
              <w:keepLines/>
              <w:jc w:val="right"/>
              <w:rPr>
                <w:szCs w:val="20"/>
              </w:rPr>
            </w:pPr>
            <w:r w:rsidRPr="008E447A">
              <w:rPr>
                <w:szCs w:val="20"/>
              </w:rPr>
              <w:t>$</w:t>
            </w:r>
            <w:r w:rsidR="00AE73E9">
              <w:rPr>
                <w:noProof/>
                <w:color w:val="000000"/>
                <w:szCs w:val="20"/>
                <w:highlight w:val="black"/>
              </w:rPr>
              <w:t>''''''''''''''''''''''''''</w:t>
            </w:r>
          </w:p>
        </w:tc>
        <w:tc>
          <w:tcPr>
            <w:tcW w:w="685" w:type="pct"/>
            <w:shd w:val="clear" w:color="auto" w:fill="auto"/>
            <w:vAlign w:val="center"/>
          </w:tcPr>
          <w:p w:rsidR="00E20C7D" w:rsidRPr="008E447A" w:rsidRDefault="00E20C7D" w:rsidP="008E447A">
            <w:pPr>
              <w:pStyle w:val="Tabletext"/>
              <w:keepNext/>
              <w:keepLines/>
              <w:jc w:val="right"/>
              <w:rPr>
                <w:szCs w:val="20"/>
              </w:rPr>
            </w:pPr>
            <w:r w:rsidRPr="008E447A">
              <w:rPr>
                <w:szCs w:val="20"/>
              </w:rPr>
              <w:t>$</w:t>
            </w:r>
            <w:r w:rsidR="00AE73E9">
              <w:rPr>
                <w:noProof/>
                <w:color w:val="000000"/>
                <w:szCs w:val="20"/>
                <w:highlight w:val="black"/>
              </w:rPr>
              <w:t>'''''''''''''''''''''''</w:t>
            </w:r>
          </w:p>
        </w:tc>
      </w:tr>
      <w:tr w:rsidR="00E342D8" w:rsidRPr="008E447A" w:rsidTr="0028727B">
        <w:tc>
          <w:tcPr>
            <w:tcW w:w="1411" w:type="pct"/>
            <w:shd w:val="clear" w:color="auto" w:fill="auto"/>
            <w:vAlign w:val="center"/>
          </w:tcPr>
          <w:p w:rsidR="00E20C7D" w:rsidRPr="008E447A" w:rsidRDefault="00E20C7D" w:rsidP="008E447A">
            <w:pPr>
              <w:pStyle w:val="Tabletext"/>
              <w:keepNext/>
              <w:keepLines/>
              <w:rPr>
                <w:szCs w:val="20"/>
              </w:rPr>
            </w:pPr>
            <w:r w:rsidRPr="008E447A">
              <w:rPr>
                <w:szCs w:val="20"/>
              </w:rPr>
              <w:t>Cost of NP</w:t>
            </w:r>
          </w:p>
        </w:tc>
        <w:tc>
          <w:tcPr>
            <w:tcW w:w="628" w:type="pct"/>
            <w:shd w:val="clear" w:color="auto" w:fill="auto"/>
            <w:vAlign w:val="center"/>
          </w:tcPr>
          <w:p w:rsidR="00E20C7D" w:rsidRPr="008E447A" w:rsidRDefault="00E20C7D" w:rsidP="008E447A">
            <w:pPr>
              <w:pStyle w:val="Tabletext"/>
              <w:keepNext/>
              <w:keepLines/>
              <w:jc w:val="right"/>
              <w:rPr>
                <w:szCs w:val="20"/>
              </w:rPr>
            </w:pPr>
            <w:r w:rsidRPr="008E447A">
              <w:rPr>
                <w:szCs w:val="20"/>
              </w:rPr>
              <w:t>$</w:t>
            </w:r>
            <w:r w:rsidR="00AE73E9">
              <w:rPr>
                <w:noProof/>
                <w:color w:val="000000"/>
                <w:szCs w:val="20"/>
                <w:highlight w:val="black"/>
              </w:rPr>
              <w:t>''''''''''''''''''</w:t>
            </w:r>
          </w:p>
        </w:tc>
        <w:tc>
          <w:tcPr>
            <w:tcW w:w="550" w:type="pct"/>
            <w:shd w:val="clear" w:color="auto" w:fill="auto"/>
            <w:vAlign w:val="center"/>
          </w:tcPr>
          <w:p w:rsidR="00E20C7D" w:rsidRPr="008E447A" w:rsidRDefault="00E20C7D" w:rsidP="008E447A">
            <w:pPr>
              <w:pStyle w:val="Tabletext"/>
              <w:keepNext/>
              <w:keepLines/>
              <w:jc w:val="right"/>
              <w:rPr>
                <w:szCs w:val="20"/>
              </w:rPr>
            </w:pPr>
            <w:r w:rsidRPr="008E447A">
              <w:rPr>
                <w:szCs w:val="20"/>
              </w:rPr>
              <w:t>$</w:t>
            </w:r>
            <w:r w:rsidR="00AE73E9">
              <w:rPr>
                <w:noProof/>
                <w:color w:val="000000"/>
                <w:szCs w:val="20"/>
                <w:highlight w:val="black"/>
              </w:rPr>
              <w:t>'''''''''''''''''''</w:t>
            </w:r>
          </w:p>
        </w:tc>
        <w:tc>
          <w:tcPr>
            <w:tcW w:w="548" w:type="pct"/>
            <w:shd w:val="clear" w:color="auto" w:fill="auto"/>
            <w:vAlign w:val="center"/>
          </w:tcPr>
          <w:p w:rsidR="00E20C7D" w:rsidRPr="008E447A" w:rsidRDefault="00E20C7D" w:rsidP="008E447A">
            <w:pPr>
              <w:pStyle w:val="Tabletext"/>
              <w:keepNext/>
              <w:keepLines/>
              <w:jc w:val="right"/>
              <w:rPr>
                <w:szCs w:val="20"/>
              </w:rPr>
            </w:pPr>
            <w:r w:rsidRPr="008E447A">
              <w:rPr>
                <w:szCs w:val="20"/>
              </w:rPr>
              <w:t>$</w:t>
            </w:r>
            <w:r w:rsidR="00AE73E9">
              <w:rPr>
                <w:noProof/>
                <w:color w:val="000000"/>
                <w:szCs w:val="20"/>
                <w:highlight w:val="black"/>
              </w:rPr>
              <w:t>'''''''''''''''''</w:t>
            </w:r>
          </w:p>
        </w:tc>
        <w:tc>
          <w:tcPr>
            <w:tcW w:w="550" w:type="pct"/>
            <w:shd w:val="clear" w:color="auto" w:fill="auto"/>
            <w:vAlign w:val="center"/>
          </w:tcPr>
          <w:p w:rsidR="00E20C7D" w:rsidRPr="008E447A" w:rsidRDefault="00E20C7D" w:rsidP="008E447A">
            <w:pPr>
              <w:pStyle w:val="Tabletext"/>
              <w:keepNext/>
              <w:keepLines/>
              <w:jc w:val="right"/>
              <w:rPr>
                <w:szCs w:val="20"/>
              </w:rPr>
            </w:pPr>
            <w:r w:rsidRPr="008E447A">
              <w:rPr>
                <w:szCs w:val="20"/>
              </w:rPr>
              <w:t>$</w:t>
            </w:r>
            <w:r w:rsidR="00AE73E9">
              <w:rPr>
                <w:noProof/>
                <w:color w:val="000000"/>
                <w:szCs w:val="20"/>
                <w:highlight w:val="black"/>
              </w:rPr>
              <w:t>''''''''''''''''''</w:t>
            </w:r>
          </w:p>
        </w:tc>
        <w:tc>
          <w:tcPr>
            <w:tcW w:w="628" w:type="pct"/>
            <w:shd w:val="clear" w:color="auto" w:fill="auto"/>
            <w:vAlign w:val="center"/>
          </w:tcPr>
          <w:p w:rsidR="00E20C7D" w:rsidRPr="008E447A" w:rsidRDefault="00E20C7D" w:rsidP="008E447A">
            <w:pPr>
              <w:pStyle w:val="Tabletext"/>
              <w:keepNext/>
              <w:keepLines/>
              <w:jc w:val="right"/>
              <w:rPr>
                <w:szCs w:val="20"/>
              </w:rPr>
            </w:pPr>
            <w:r w:rsidRPr="008E447A">
              <w:rPr>
                <w:szCs w:val="20"/>
              </w:rPr>
              <w:t>$</w:t>
            </w:r>
            <w:r w:rsidR="00AE73E9">
              <w:rPr>
                <w:noProof/>
                <w:color w:val="000000"/>
                <w:szCs w:val="20"/>
                <w:highlight w:val="black"/>
              </w:rPr>
              <w:t>'''''''''''''''''''''</w:t>
            </w:r>
          </w:p>
        </w:tc>
        <w:tc>
          <w:tcPr>
            <w:tcW w:w="685" w:type="pct"/>
            <w:shd w:val="clear" w:color="auto" w:fill="auto"/>
            <w:vAlign w:val="center"/>
          </w:tcPr>
          <w:p w:rsidR="00E20C7D" w:rsidRPr="008E447A" w:rsidRDefault="00E20C7D" w:rsidP="008E447A">
            <w:pPr>
              <w:pStyle w:val="Tabletext"/>
              <w:keepNext/>
              <w:keepLines/>
              <w:jc w:val="right"/>
              <w:rPr>
                <w:szCs w:val="20"/>
              </w:rPr>
            </w:pPr>
            <w:r w:rsidRPr="008E447A">
              <w:rPr>
                <w:szCs w:val="20"/>
              </w:rPr>
              <w:t>$</w:t>
            </w:r>
            <w:r w:rsidR="00AE73E9">
              <w:rPr>
                <w:noProof/>
                <w:color w:val="000000"/>
                <w:szCs w:val="20"/>
                <w:highlight w:val="black"/>
              </w:rPr>
              <w:t>''''''''''''''''''''</w:t>
            </w:r>
          </w:p>
        </w:tc>
      </w:tr>
      <w:tr w:rsidR="00E20C7D" w:rsidRPr="008E447A" w:rsidTr="0028727B">
        <w:tc>
          <w:tcPr>
            <w:tcW w:w="5000" w:type="pct"/>
            <w:gridSpan w:val="7"/>
            <w:shd w:val="clear" w:color="auto" w:fill="auto"/>
            <w:vAlign w:val="center"/>
          </w:tcPr>
          <w:p w:rsidR="00E20C7D" w:rsidRPr="008E447A" w:rsidRDefault="00E20C7D" w:rsidP="008E447A">
            <w:pPr>
              <w:pStyle w:val="Tabletext"/>
              <w:keepNext/>
              <w:keepLines/>
              <w:rPr>
                <w:b/>
                <w:bCs/>
                <w:color w:val="000000"/>
                <w:szCs w:val="20"/>
              </w:rPr>
            </w:pPr>
            <w:r w:rsidRPr="008E447A">
              <w:rPr>
                <w:b/>
                <w:bCs/>
                <w:color w:val="000000"/>
                <w:szCs w:val="20"/>
              </w:rPr>
              <w:t>Net financial implication</w:t>
            </w:r>
            <w:r w:rsidRPr="008E447A">
              <w:rPr>
                <w:b/>
                <w:bCs/>
                <w:szCs w:val="20"/>
              </w:rPr>
              <w:t xml:space="preserve">s of </w:t>
            </w:r>
            <w:proofErr w:type="spellStart"/>
            <w:r w:rsidR="00F11E98" w:rsidRPr="008E447A">
              <w:rPr>
                <w:b/>
                <w:bCs/>
                <w:szCs w:val="20"/>
              </w:rPr>
              <w:t>FluQuadri</w:t>
            </w:r>
            <w:proofErr w:type="spellEnd"/>
            <w:r w:rsidRPr="008E447A">
              <w:rPr>
                <w:b/>
                <w:bCs/>
                <w:szCs w:val="20"/>
              </w:rPr>
              <w:t xml:space="preserve"> </w:t>
            </w:r>
          </w:p>
        </w:tc>
      </w:tr>
      <w:tr w:rsidR="00E342D8" w:rsidRPr="008E447A" w:rsidTr="0028727B">
        <w:tc>
          <w:tcPr>
            <w:tcW w:w="1411" w:type="pct"/>
            <w:shd w:val="clear" w:color="auto" w:fill="auto"/>
            <w:vAlign w:val="center"/>
          </w:tcPr>
          <w:p w:rsidR="00E20C7D" w:rsidRPr="008E447A" w:rsidRDefault="00E20C7D" w:rsidP="008E447A">
            <w:pPr>
              <w:pStyle w:val="Tabletext"/>
              <w:keepNext/>
              <w:keepLines/>
              <w:rPr>
                <w:szCs w:val="20"/>
              </w:rPr>
            </w:pPr>
            <w:r w:rsidRPr="008E447A">
              <w:rPr>
                <w:szCs w:val="20"/>
              </w:rPr>
              <w:t>Net cost to NIP</w:t>
            </w:r>
          </w:p>
        </w:tc>
        <w:tc>
          <w:tcPr>
            <w:tcW w:w="628"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550"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548"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550"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628"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685"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r>
      <w:tr w:rsidR="00E342D8" w:rsidRPr="008E447A" w:rsidTr="0028727B">
        <w:tc>
          <w:tcPr>
            <w:tcW w:w="1411" w:type="pct"/>
            <w:shd w:val="clear" w:color="auto" w:fill="auto"/>
            <w:vAlign w:val="center"/>
          </w:tcPr>
          <w:p w:rsidR="00E20C7D" w:rsidRPr="008E447A" w:rsidRDefault="00E20C7D" w:rsidP="008E447A">
            <w:pPr>
              <w:pStyle w:val="Tabletext"/>
              <w:keepNext/>
              <w:keepLines/>
              <w:rPr>
                <w:szCs w:val="20"/>
              </w:rPr>
            </w:pPr>
            <w:r w:rsidRPr="008E447A">
              <w:rPr>
                <w:szCs w:val="20"/>
              </w:rPr>
              <w:t>Net cost to MBS</w:t>
            </w:r>
          </w:p>
        </w:tc>
        <w:tc>
          <w:tcPr>
            <w:tcW w:w="628"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550"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548"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550"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628"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685"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r>
      <w:tr w:rsidR="00E342D8" w:rsidRPr="008E447A" w:rsidTr="0028727B">
        <w:tc>
          <w:tcPr>
            <w:tcW w:w="1411" w:type="pct"/>
            <w:shd w:val="clear" w:color="auto" w:fill="auto"/>
            <w:vAlign w:val="center"/>
          </w:tcPr>
          <w:p w:rsidR="00E20C7D" w:rsidRPr="008E447A" w:rsidRDefault="00E20C7D" w:rsidP="008E447A">
            <w:pPr>
              <w:pStyle w:val="Tabletext"/>
              <w:keepNext/>
              <w:keepLines/>
              <w:rPr>
                <w:szCs w:val="20"/>
              </w:rPr>
            </w:pPr>
            <w:r w:rsidRPr="008E447A">
              <w:rPr>
                <w:szCs w:val="20"/>
              </w:rPr>
              <w:t>Net cost to NIP/MBS</w:t>
            </w:r>
          </w:p>
        </w:tc>
        <w:tc>
          <w:tcPr>
            <w:tcW w:w="628"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550"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548"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550"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628"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c>
          <w:tcPr>
            <w:tcW w:w="685" w:type="pct"/>
            <w:shd w:val="clear" w:color="auto" w:fill="auto"/>
            <w:vAlign w:val="center"/>
          </w:tcPr>
          <w:p w:rsidR="00E20C7D" w:rsidRPr="008E447A" w:rsidRDefault="00E20C7D" w:rsidP="008E447A">
            <w:pPr>
              <w:pStyle w:val="Tabletext"/>
              <w:keepNext/>
              <w:keepLines/>
              <w:jc w:val="right"/>
              <w:rPr>
                <w:bCs/>
                <w:color w:val="000000"/>
                <w:szCs w:val="20"/>
              </w:rPr>
            </w:pPr>
            <w:r w:rsidRPr="008E447A">
              <w:rPr>
                <w:bCs/>
                <w:color w:val="000000"/>
                <w:szCs w:val="20"/>
              </w:rPr>
              <w:t>$0</w:t>
            </w:r>
          </w:p>
        </w:tc>
      </w:tr>
    </w:tbl>
    <w:p w:rsidR="00F87034" w:rsidRPr="007F2BDD" w:rsidRDefault="00F87034" w:rsidP="008E447A">
      <w:pPr>
        <w:pStyle w:val="TableFigureFooter"/>
      </w:pPr>
      <w:r w:rsidRPr="007F2BDD">
        <w:t>ABS</w:t>
      </w:r>
      <w:r w:rsidR="003E268F" w:rsidRPr="007F2BDD">
        <w:t xml:space="preserve"> =</w:t>
      </w:r>
      <w:r w:rsidRPr="007F2BDD">
        <w:t xml:space="preserve"> Australian Bureau of Statistics; </w:t>
      </w:r>
      <w:r w:rsidR="005C5288" w:rsidRPr="007F2BDD">
        <w:t xml:space="preserve">GP = General Practitioner; NP = Nurse Practitioner; </w:t>
      </w:r>
      <w:r w:rsidRPr="007F2BDD">
        <w:t>MBS</w:t>
      </w:r>
      <w:r w:rsidR="003E268F" w:rsidRPr="007F2BDD">
        <w:t xml:space="preserve"> =</w:t>
      </w:r>
      <w:r w:rsidRPr="007F2BDD">
        <w:t xml:space="preserve"> Medicare Benefits Schedule; NIP</w:t>
      </w:r>
      <w:r w:rsidR="003E268F" w:rsidRPr="007F2BDD">
        <w:t xml:space="preserve"> =</w:t>
      </w:r>
      <w:r w:rsidRPr="007F2BDD">
        <w:t xml:space="preserve"> National Immunisation Program; NNP</w:t>
      </w:r>
      <w:r w:rsidR="003E268F" w:rsidRPr="007F2BDD">
        <w:t xml:space="preserve"> =</w:t>
      </w:r>
      <w:r w:rsidRPr="007F2BDD">
        <w:t xml:space="preserve"> National Negotiated Price</w:t>
      </w:r>
      <w:r w:rsidR="005C5288" w:rsidRPr="007F2BDD">
        <w:t xml:space="preserve"> </w:t>
      </w:r>
    </w:p>
    <w:p w:rsidR="00F87034" w:rsidRPr="007F2BDD" w:rsidRDefault="00F87034" w:rsidP="008E447A">
      <w:pPr>
        <w:pStyle w:val="TableFigureFooter"/>
      </w:pPr>
      <w:r w:rsidRPr="007F2BDD">
        <w:t>* Cost to the NIP was based on National</w:t>
      </w:r>
      <w:r w:rsidR="008D70DC" w:rsidRPr="007F2BDD">
        <w:t>ly</w:t>
      </w:r>
      <w:r w:rsidRPr="007F2BDD">
        <w:t xml:space="preserve"> Negotiated Price (NNP)</w:t>
      </w:r>
    </w:p>
    <w:p w:rsidR="00385A9D" w:rsidRPr="007F2BDD" w:rsidRDefault="00385A9D" w:rsidP="008E447A">
      <w:pPr>
        <w:pStyle w:val="TableFigureFooter"/>
        <w:spacing w:after="120"/>
      </w:pPr>
      <w:r w:rsidRPr="007F2BDD">
        <w:t>Source: Table</w:t>
      </w:r>
      <w:r w:rsidR="00744C5D" w:rsidRPr="007F2BDD">
        <w:t xml:space="preserve">s </w:t>
      </w:r>
      <w:r w:rsidR="003803C0" w:rsidRPr="007F2BDD">
        <w:t xml:space="preserve">4.2.4-4.2.5, 4.3.1, </w:t>
      </w:r>
      <w:r w:rsidR="00744C5D" w:rsidRPr="007F2BDD">
        <w:t xml:space="preserve">4.4.1 and 4.5.1-4.5.2, </w:t>
      </w:r>
      <w:r w:rsidRPr="007F2BDD">
        <w:t>p</w:t>
      </w:r>
      <w:r w:rsidR="003803C0" w:rsidRPr="007F2BDD">
        <w:t>69</w:t>
      </w:r>
      <w:r w:rsidR="00744C5D" w:rsidRPr="007F2BDD">
        <w:t>-72</w:t>
      </w:r>
      <w:r w:rsidRPr="007F2BDD">
        <w:t xml:space="preserve"> of the submission.</w:t>
      </w:r>
    </w:p>
    <w:p w:rsidR="001A751C" w:rsidRPr="007F2BDD" w:rsidRDefault="002D6BA1" w:rsidP="005F43D9">
      <w:pPr>
        <w:pStyle w:val="3-BodyText"/>
      </w:pPr>
      <w:r w:rsidRPr="007F2BDD">
        <w:t xml:space="preserve">The submission estimated the projected utilisation and costs of </w:t>
      </w:r>
      <w:proofErr w:type="spellStart"/>
      <w:r w:rsidR="00415EEE" w:rsidRPr="007F2BDD">
        <w:t>FluQuadri</w:t>
      </w:r>
      <w:proofErr w:type="spellEnd"/>
      <w:r w:rsidRPr="007F2BDD">
        <w:t xml:space="preserve"> to be the same as that for </w:t>
      </w:r>
      <w:proofErr w:type="spellStart"/>
      <w:r w:rsidR="008C63A0" w:rsidRPr="007F2BDD">
        <w:t>FluQuadri</w:t>
      </w:r>
      <w:proofErr w:type="spellEnd"/>
      <w:r w:rsidR="008C63A0" w:rsidRPr="007F2BDD">
        <w:t xml:space="preserve"> Junior</w:t>
      </w:r>
      <w:r w:rsidRPr="007F2BDD">
        <w:t xml:space="preserve">, resulting in a zero net cost to the NIP. This was derived by assuming </w:t>
      </w:r>
      <w:r w:rsidR="00B94B12" w:rsidRPr="007F2BDD">
        <w:t>one-</w:t>
      </w:r>
      <w:r w:rsidR="00946FC9" w:rsidRPr="007F2BDD">
        <w:t>to</w:t>
      </w:r>
      <w:r w:rsidR="00B94B12" w:rsidRPr="007F2BDD">
        <w:t>-one substitution</w:t>
      </w:r>
      <w:r w:rsidR="007009A7" w:rsidRPr="007F2BDD">
        <w:t xml:space="preserve"> of </w:t>
      </w:r>
      <w:proofErr w:type="spellStart"/>
      <w:r w:rsidR="007009A7" w:rsidRPr="007F2BDD">
        <w:t>FluQuadri</w:t>
      </w:r>
      <w:proofErr w:type="spellEnd"/>
      <w:r w:rsidR="007009A7" w:rsidRPr="007F2BDD">
        <w:t xml:space="preserve"> for </w:t>
      </w:r>
      <w:proofErr w:type="spellStart"/>
      <w:r w:rsidR="007009A7" w:rsidRPr="007F2BDD">
        <w:t>FluQuadri</w:t>
      </w:r>
      <w:proofErr w:type="spellEnd"/>
      <w:r w:rsidR="007009A7" w:rsidRPr="007F2BDD">
        <w:t xml:space="preserve"> Junior at the same price</w:t>
      </w:r>
      <w:r w:rsidR="00515AF3" w:rsidRPr="007F2BDD">
        <w:t>.</w:t>
      </w:r>
      <w:r w:rsidR="00C031F3" w:rsidRPr="007F2BDD">
        <w:t xml:space="preserve"> </w:t>
      </w:r>
    </w:p>
    <w:p w:rsidR="00B94B12" w:rsidRPr="007F2BDD" w:rsidRDefault="00946FC9" w:rsidP="005F43D9">
      <w:pPr>
        <w:pStyle w:val="3-BodyText"/>
      </w:pPr>
      <w:r w:rsidRPr="007F2BDD">
        <w:t xml:space="preserve">The submission assumed there would be no difference in administration </w:t>
      </w:r>
      <w:r w:rsidR="002D6BA1" w:rsidRPr="007F2BDD">
        <w:t xml:space="preserve">costs </w:t>
      </w:r>
      <w:r w:rsidRPr="007F2BDD">
        <w:t>or costs associated with management of adverse events a</w:t>
      </w:r>
      <w:r w:rsidR="00B94B12" w:rsidRPr="007F2BDD">
        <w:t xml:space="preserve">s </w:t>
      </w:r>
      <w:proofErr w:type="spellStart"/>
      <w:r w:rsidR="008C63A0" w:rsidRPr="007F2BDD">
        <w:t>FluQuadri</w:t>
      </w:r>
      <w:proofErr w:type="spellEnd"/>
      <w:r w:rsidR="008C63A0" w:rsidRPr="007F2BDD">
        <w:t xml:space="preserve"> Junior</w:t>
      </w:r>
      <w:r w:rsidR="00B94B12" w:rsidRPr="007F2BDD">
        <w:t xml:space="preserve"> and </w:t>
      </w:r>
      <w:proofErr w:type="spellStart"/>
      <w:r w:rsidR="00415EEE" w:rsidRPr="007F2BDD">
        <w:t>FluQuadri</w:t>
      </w:r>
      <w:proofErr w:type="spellEnd"/>
      <w:r w:rsidR="00B94B12" w:rsidRPr="007F2BDD">
        <w:t xml:space="preserve"> share the same dosing schedule</w:t>
      </w:r>
      <w:r w:rsidRPr="007F2BDD">
        <w:t>.</w:t>
      </w:r>
      <w:r w:rsidR="00B94B12" w:rsidRPr="007F2BDD">
        <w:t xml:space="preserve"> The </w:t>
      </w:r>
      <w:r w:rsidRPr="007F2BDD">
        <w:t xml:space="preserve">submission stated that the </w:t>
      </w:r>
      <w:r w:rsidR="00B94B12" w:rsidRPr="007F2BDD">
        <w:t>proposed listing is therefore expected to have zero net cost impact on the Medicare Benefits Schedule (MBS) and the overall health budget.</w:t>
      </w:r>
    </w:p>
    <w:p w:rsidR="00BB692C" w:rsidRPr="007F2BDD" w:rsidRDefault="00866B06" w:rsidP="005F43D9">
      <w:pPr>
        <w:pStyle w:val="3-BodyText"/>
        <w:rPr>
          <w:rFonts w:ascii="Arial Narrow" w:hAnsi="Arial Narrow"/>
          <w:b/>
          <w:sz w:val="20"/>
          <w:szCs w:val="16"/>
        </w:rPr>
      </w:pPr>
      <w:r w:rsidRPr="007F2BDD">
        <w:t xml:space="preserve">The submission did not present utilisation or financial estimates </w:t>
      </w:r>
      <w:r w:rsidR="007C6815" w:rsidRPr="007F2BDD">
        <w:t xml:space="preserve">associated with listing </w:t>
      </w:r>
      <w:proofErr w:type="spellStart"/>
      <w:r w:rsidR="007C6815" w:rsidRPr="007F2BDD">
        <w:t>FluQuadri</w:t>
      </w:r>
      <w:proofErr w:type="spellEnd"/>
      <w:r w:rsidR="007C6815" w:rsidRPr="007F2BDD">
        <w:t xml:space="preserve"> for healthy children aged 6 </w:t>
      </w:r>
      <w:r w:rsidR="001D7836" w:rsidRPr="007F2BDD">
        <w:t xml:space="preserve">months </w:t>
      </w:r>
      <w:r w:rsidR="007C6815" w:rsidRPr="007F2BDD">
        <w:t xml:space="preserve">to &lt;5 years. The PSCR stated that listing </w:t>
      </w:r>
      <w:proofErr w:type="spellStart"/>
      <w:r w:rsidR="007C6815" w:rsidRPr="007F2BDD">
        <w:t>FluQuadri</w:t>
      </w:r>
      <w:proofErr w:type="spellEnd"/>
      <w:r w:rsidR="007C6815" w:rsidRPr="007F2BDD">
        <w:t xml:space="preserve"> for healthy children aged 6 months to &lt;5 years would directly substitute for </w:t>
      </w:r>
      <w:proofErr w:type="spellStart"/>
      <w:r w:rsidR="007C6815" w:rsidRPr="007F2BDD">
        <w:t>Vaxigrip</w:t>
      </w:r>
      <w:proofErr w:type="spellEnd"/>
      <w:r w:rsidR="007C6815" w:rsidRPr="007F2BDD">
        <w:t xml:space="preserve"> Tetra and would also result in zero net cost to the NIP. </w:t>
      </w:r>
    </w:p>
    <w:p w:rsidR="00576972" w:rsidRPr="007F2BDD" w:rsidRDefault="00576972" w:rsidP="005F43D9">
      <w:pPr>
        <w:pStyle w:val="4-SubsectionHeading"/>
      </w:pPr>
      <w:bookmarkStart w:id="30" w:name="_Toc19617911"/>
      <w:r w:rsidRPr="007F2BDD">
        <w:t>Quality Use of Medicines</w:t>
      </w:r>
      <w:bookmarkEnd w:id="30"/>
    </w:p>
    <w:p w:rsidR="00423B27" w:rsidRPr="007F2BDD" w:rsidRDefault="00247935" w:rsidP="005F43D9">
      <w:pPr>
        <w:pStyle w:val="3-BodyText"/>
        <w:rPr>
          <w:iCs/>
        </w:rPr>
      </w:pPr>
      <w:r w:rsidRPr="007F2BDD">
        <w:rPr>
          <w:iCs/>
        </w:rPr>
        <w:t xml:space="preserve">No quality use of medicines </w:t>
      </w:r>
      <w:r w:rsidR="00CC21B8" w:rsidRPr="007F2BDD">
        <w:rPr>
          <w:iCs/>
        </w:rPr>
        <w:t xml:space="preserve">(QUM) </w:t>
      </w:r>
      <w:r w:rsidRPr="007F2BDD">
        <w:rPr>
          <w:iCs/>
        </w:rPr>
        <w:t>information was provided in the submission.</w:t>
      </w:r>
      <w:r w:rsidRPr="007F2BDD">
        <w:t xml:space="preserve"> </w:t>
      </w:r>
      <w:bookmarkStart w:id="31" w:name="_Hlk16615058"/>
      <w:r w:rsidR="00970A72" w:rsidRPr="007F2BDD">
        <w:t xml:space="preserve">The ATAGI </w:t>
      </w:r>
      <w:r w:rsidR="00B72474" w:rsidRPr="007F2BDD">
        <w:t>P</w:t>
      </w:r>
      <w:r w:rsidR="00970A72" w:rsidRPr="007F2BDD">
        <w:t>re-</w:t>
      </w:r>
      <w:r w:rsidR="00B72474" w:rsidRPr="007F2BDD">
        <w:t>S</w:t>
      </w:r>
      <w:r w:rsidR="00970A72" w:rsidRPr="007F2BDD">
        <w:t xml:space="preserve">ubmission </w:t>
      </w:r>
      <w:r w:rsidR="00B72474" w:rsidRPr="007F2BDD">
        <w:t>A</w:t>
      </w:r>
      <w:r w:rsidR="00970A72" w:rsidRPr="007F2BDD">
        <w:t xml:space="preserve">dvice for </w:t>
      </w:r>
      <w:proofErr w:type="spellStart"/>
      <w:r w:rsidR="00970A72" w:rsidRPr="007F2BDD">
        <w:t>Vaxigrip</w:t>
      </w:r>
      <w:proofErr w:type="spellEnd"/>
      <w:r w:rsidR="00970A72" w:rsidRPr="007F2BDD">
        <w:t xml:space="preserve"> Tetra considered the uniform dosage of 0.5</w:t>
      </w:r>
      <w:r w:rsidR="00D61171" w:rsidRPr="007F2BDD">
        <w:t> </w:t>
      </w:r>
      <w:r w:rsidR="00970A72" w:rsidRPr="007F2BDD">
        <w:t xml:space="preserve">mL of </w:t>
      </w:r>
      <w:proofErr w:type="spellStart"/>
      <w:r w:rsidR="00970A72" w:rsidRPr="007F2BDD">
        <w:t>Vaxigrip</w:t>
      </w:r>
      <w:proofErr w:type="spellEnd"/>
      <w:r w:rsidR="00970A72" w:rsidRPr="007F2BDD">
        <w:t xml:space="preserve"> Tetra for all people aged ≥6 months “would potentially reduce the complexity of influenza program implementation and potential confusion among immunisation providers” (ATAGI October 2018 Pre-Submission Advice, </w:t>
      </w:r>
      <w:r w:rsidR="00B72474" w:rsidRPr="007F2BDD">
        <w:t xml:space="preserve">QIV, </w:t>
      </w:r>
      <w:proofErr w:type="spellStart"/>
      <w:r w:rsidR="00970A72" w:rsidRPr="007F2BDD">
        <w:t>Vaxigrip</w:t>
      </w:r>
      <w:proofErr w:type="spellEnd"/>
      <w:r w:rsidR="00970A72" w:rsidRPr="007F2BDD">
        <w:t xml:space="preserve"> Tetra).</w:t>
      </w:r>
      <w:r w:rsidR="00FF2833" w:rsidRPr="007F2BDD">
        <w:t xml:space="preserve"> The PSCR added that it is the Sponsors’ intention to delist </w:t>
      </w:r>
      <w:proofErr w:type="spellStart"/>
      <w:r w:rsidR="00FF2833" w:rsidRPr="007F2BDD">
        <w:t>FluQuadri</w:t>
      </w:r>
      <w:proofErr w:type="spellEnd"/>
      <w:r w:rsidR="00FF2833" w:rsidRPr="007F2BDD">
        <w:t xml:space="preserve"> Junior from the ARTG prior to the 2021 influenza season in anticipation of </w:t>
      </w:r>
      <w:proofErr w:type="spellStart"/>
      <w:r w:rsidR="00FF2833" w:rsidRPr="007F2BDD">
        <w:t>FluQuadri</w:t>
      </w:r>
      <w:proofErr w:type="spellEnd"/>
      <w:r w:rsidR="00FF2833" w:rsidRPr="007F2BDD">
        <w:t xml:space="preserve"> replacing </w:t>
      </w:r>
      <w:proofErr w:type="spellStart"/>
      <w:r w:rsidR="00FF2833" w:rsidRPr="007F2BDD">
        <w:t>FluQuadri</w:t>
      </w:r>
      <w:proofErr w:type="spellEnd"/>
      <w:r w:rsidR="00FF2833" w:rsidRPr="007F2BDD">
        <w:t xml:space="preserve"> Junior on the NIP.</w:t>
      </w:r>
      <w:r w:rsidR="00EE12AA" w:rsidRPr="007F2BDD">
        <w:t xml:space="preserve"> The ATAGI noted that with the delisting of </w:t>
      </w:r>
      <w:proofErr w:type="spellStart"/>
      <w:r w:rsidR="00EE12AA" w:rsidRPr="007F2BDD">
        <w:t>FluQuadri</w:t>
      </w:r>
      <w:proofErr w:type="spellEnd"/>
      <w:r w:rsidR="00EE12AA" w:rsidRPr="007F2BDD">
        <w:t xml:space="preserve"> Junior, all influenza vaccine dosing under the NIP in the 6-35 month age group </w:t>
      </w:r>
      <w:r w:rsidR="000F7251" w:rsidRPr="007F2BDD">
        <w:t>would</w:t>
      </w:r>
      <w:r w:rsidR="00EE12AA" w:rsidRPr="007F2BDD">
        <w:t xml:space="preserve"> be standardised to 0.5 mL per dose, which is expected to provide the </w:t>
      </w:r>
      <w:r w:rsidR="00EE12AA" w:rsidRPr="007F2BDD">
        <w:lastRenderedPageBreak/>
        <w:t xml:space="preserve">benefit of reducing confusion for immunisation providers, and reducing incorrect product use or incorrect dosing (ATAGI October 2019 Post-Submission Advice, QIV, </w:t>
      </w:r>
      <w:proofErr w:type="spellStart"/>
      <w:r w:rsidR="00EE12AA" w:rsidRPr="007F2BDD">
        <w:t>FluQuadri</w:t>
      </w:r>
      <w:proofErr w:type="spellEnd"/>
      <w:r w:rsidR="00EE12AA" w:rsidRPr="007F2BDD">
        <w:t xml:space="preserve">, November 2019 PBAC meeting). </w:t>
      </w:r>
    </w:p>
    <w:p w:rsidR="0056124A" w:rsidRPr="007F2BDD" w:rsidRDefault="00247935" w:rsidP="005F43D9">
      <w:pPr>
        <w:pStyle w:val="3-BodyText"/>
      </w:pPr>
      <w:r w:rsidRPr="007F2BDD">
        <w:t>The submission did not propose a</w:t>
      </w:r>
      <w:r w:rsidR="00CF50D0" w:rsidRPr="007F2BDD">
        <w:t>ny</w:t>
      </w:r>
      <w:r w:rsidRPr="007F2BDD">
        <w:t xml:space="preserve"> post-marketing surveillance.</w:t>
      </w:r>
      <w:bookmarkEnd w:id="31"/>
      <w:r w:rsidR="00970A72" w:rsidRPr="007F2BDD">
        <w:t xml:space="preserve"> The ATAGI </w:t>
      </w:r>
      <w:r w:rsidR="00B72474" w:rsidRPr="007F2BDD">
        <w:t>P</w:t>
      </w:r>
      <w:r w:rsidR="00970A72" w:rsidRPr="007F2BDD">
        <w:t>re-</w:t>
      </w:r>
      <w:r w:rsidR="00B72474" w:rsidRPr="007F2BDD">
        <w:t>S</w:t>
      </w:r>
      <w:r w:rsidR="00970A72" w:rsidRPr="007F2BDD">
        <w:t xml:space="preserve">ubmission </w:t>
      </w:r>
      <w:r w:rsidR="00B72474" w:rsidRPr="007F2BDD">
        <w:t>A</w:t>
      </w:r>
      <w:r w:rsidR="00970A72" w:rsidRPr="007F2BDD">
        <w:t xml:space="preserve">dvice for </w:t>
      </w:r>
      <w:proofErr w:type="spellStart"/>
      <w:r w:rsidR="00970A72" w:rsidRPr="007F2BDD">
        <w:t>Vaxigrip</w:t>
      </w:r>
      <w:proofErr w:type="spellEnd"/>
      <w:r w:rsidR="00970A72" w:rsidRPr="007F2BDD">
        <w:t xml:space="preserve"> Tetra considered </w:t>
      </w:r>
      <w:r w:rsidR="00743F45" w:rsidRPr="007F2BDD">
        <w:t xml:space="preserve">that safety surveillance and program evaluation, including through </w:t>
      </w:r>
      <w:proofErr w:type="spellStart"/>
      <w:r w:rsidR="00743F45" w:rsidRPr="007F2BDD">
        <w:t>AusVaxSafety</w:t>
      </w:r>
      <w:proofErr w:type="spellEnd"/>
      <w:r w:rsidR="00CC21B8" w:rsidRPr="007F2BDD">
        <w:t>,</w:t>
      </w:r>
      <w:r w:rsidR="00743F45" w:rsidRPr="007F2BDD">
        <w:t xml:space="preserve"> were integral activities to ensure the safety and effectiveness of the </w:t>
      </w:r>
      <w:r w:rsidR="00CC21B8" w:rsidRPr="007F2BDD">
        <w:t xml:space="preserve">vaccination </w:t>
      </w:r>
      <w:r w:rsidR="00743F45" w:rsidRPr="007F2BDD">
        <w:t xml:space="preserve">program </w:t>
      </w:r>
      <w:r w:rsidR="00970A72" w:rsidRPr="007F2BDD">
        <w:t xml:space="preserve">(ATAGI October 2018 Pre-Submission Advice, </w:t>
      </w:r>
      <w:r w:rsidR="001D10DF" w:rsidRPr="007F2BDD">
        <w:t xml:space="preserve">QIV, </w:t>
      </w:r>
      <w:proofErr w:type="spellStart"/>
      <w:r w:rsidR="00970A72" w:rsidRPr="007F2BDD">
        <w:t>Vaxigrip</w:t>
      </w:r>
      <w:proofErr w:type="spellEnd"/>
      <w:r w:rsidR="00970A72" w:rsidRPr="007F2BDD">
        <w:t xml:space="preserve"> Tetra).</w:t>
      </w:r>
      <w:r w:rsidR="004F623F" w:rsidRPr="007F2BDD">
        <w:t xml:space="preserve"> </w:t>
      </w:r>
      <w:r w:rsidR="00EE12AA" w:rsidRPr="007F2BDD">
        <w:t xml:space="preserve">The </w:t>
      </w:r>
      <w:r w:rsidR="002D57D9" w:rsidRPr="007F2BDD">
        <w:t xml:space="preserve">ATAGI reiterated its concerns with the relatively higher rates of fever for </w:t>
      </w:r>
      <w:proofErr w:type="spellStart"/>
      <w:r w:rsidR="002D57D9" w:rsidRPr="007F2BDD">
        <w:t>FluQuadri</w:t>
      </w:r>
      <w:proofErr w:type="spellEnd"/>
      <w:r w:rsidR="002D57D9" w:rsidRPr="007F2BDD">
        <w:t xml:space="preserve"> in children aged 6-23 months compared to 24-35 months, and it</w:t>
      </w:r>
      <w:r w:rsidR="00CF4413" w:rsidRPr="007F2BDD">
        <w:t xml:space="preserve">’s advice that this trend </w:t>
      </w:r>
      <w:r w:rsidR="002D57D9" w:rsidRPr="007F2BDD">
        <w:t xml:space="preserve">warrants ongoing </w:t>
      </w:r>
      <w:r w:rsidR="00EE12AA" w:rsidRPr="007F2BDD">
        <w:t xml:space="preserve">safety surveillance through </w:t>
      </w:r>
      <w:proofErr w:type="spellStart"/>
      <w:r w:rsidR="00EE12AA" w:rsidRPr="007F2BDD">
        <w:t>AusVaxSafety</w:t>
      </w:r>
      <w:proofErr w:type="spellEnd"/>
      <w:r w:rsidR="00EE12AA" w:rsidRPr="007F2BDD">
        <w:t xml:space="preserve"> (ATAGI October 2019 Post-Submission Advice, QIV, </w:t>
      </w:r>
      <w:proofErr w:type="spellStart"/>
      <w:r w:rsidR="00EE12AA" w:rsidRPr="007F2BDD">
        <w:t>FluQuadri</w:t>
      </w:r>
      <w:proofErr w:type="spellEnd"/>
      <w:r w:rsidR="00EE12AA" w:rsidRPr="007F2BDD">
        <w:t>, November 2019 PBAC meeting)</w:t>
      </w:r>
      <w:r w:rsidR="002D57D9" w:rsidRPr="007F2BDD">
        <w:t xml:space="preserve">. </w:t>
      </w:r>
      <w:r w:rsidR="004F623F" w:rsidRPr="007F2BDD">
        <w:t>The Pre-PBAC</w:t>
      </w:r>
      <w:r w:rsidR="005319EC" w:rsidRPr="007F2BDD">
        <w:t xml:space="preserve"> </w:t>
      </w:r>
      <w:proofErr w:type="gramStart"/>
      <w:r w:rsidR="004F623F" w:rsidRPr="007F2BDD">
        <w:t xml:space="preserve">response </w:t>
      </w:r>
      <w:r w:rsidR="00473A03" w:rsidRPr="007F2BDD">
        <w:t xml:space="preserve"> stated</w:t>
      </w:r>
      <w:proofErr w:type="gramEnd"/>
      <w:r w:rsidR="004F623F" w:rsidRPr="007F2BDD">
        <w:t xml:space="preserve"> that the Sponsor will work with </w:t>
      </w:r>
      <w:proofErr w:type="spellStart"/>
      <w:r w:rsidR="004F623F" w:rsidRPr="007F2BDD">
        <w:t>AusVaxSafety</w:t>
      </w:r>
      <w:proofErr w:type="spellEnd"/>
      <w:r w:rsidR="004F623F" w:rsidRPr="007F2BDD">
        <w:t xml:space="preserve"> to have </w:t>
      </w:r>
      <w:r w:rsidR="002D57D9" w:rsidRPr="007F2BDD">
        <w:t>all childre</w:t>
      </w:r>
      <w:r w:rsidR="00FA5E7F" w:rsidRPr="007F2BDD">
        <w:t>n aged 6 months to &lt;</w:t>
      </w:r>
      <w:r w:rsidR="002D57D9" w:rsidRPr="007F2BDD">
        <w:t xml:space="preserve">5 years </w:t>
      </w:r>
      <w:r w:rsidR="004F623F" w:rsidRPr="007F2BDD">
        <w:t xml:space="preserve">included in their active surveillance. </w:t>
      </w:r>
    </w:p>
    <w:p w:rsidR="00A443AC" w:rsidRPr="007F2BDD" w:rsidRDefault="0056124A" w:rsidP="005F43D9">
      <w:pPr>
        <w:pStyle w:val="3-BodyText"/>
        <w:numPr>
          <w:ilvl w:val="0"/>
          <w:numId w:val="0"/>
        </w:numPr>
        <w:ind w:left="720"/>
      </w:pPr>
      <w:r w:rsidRPr="007F2BDD">
        <w:rPr>
          <w:rFonts w:asciiTheme="minorHAnsi" w:hAnsiTheme="minorHAnsi"/>
          <w:i/>
        </w:rPr>
        <w:t>For more detail on PBAC’s view, see section 7 PBAC outcome</w:t>
      </w:r>
      <w:r w:rsidR="007F2BDD">
        <w:rPr>
          <w:rFonts w:asciiTheme="minorHAnsi" w:hAnsiTheme="minorHAnsi"/>
          <w:i/>
        </w:rPr>
        <w:t xml:space="preserve">. </w:t>
      </w:r>
    </w:p>
    <w:p w:rsidR="0056124A" w:rsidRPr="007F2BDD" w:rsidRDefault="0056124A" w:rsidP="005F43D9">
      <w:pPr>
        <w:pStyle w:val="2-SectionHeading"/>
      </w:pPr>
      <w:r w:rsidRPr="007F2BDD">
        <w:t>PBAC Outcome</w:t>
      </w:r>
    </w:p>
    <w:p w:rsidR="0056124A" w:rsidRPr="007F2BDD" w:rsidRDefault="0056124A" w:rsidP="005F43D9">
      <w:pPr>
        <w:pStyle w:val="3-BodyText"/>
        <w:rPr>
          <w:snapToGrid w:val="0"/>
        </w:rPr>
      </w:pPr>
      <w:r w:rsidRPr="007F2BDD">
        <w:rPr>
          <w:snapToGrid w:val="0"/>
        </w:rPr>
        <w:t xml:space="preserve">The PBAC recommended </w:t>
      </w:r>
      <w:r w:rsidR="00367221" w:rsidRPr="007F2BDD">
        <w:rPr>
          <w:snapToGrid w:val="0"/>
        </w:rPr>
        <w:t xml:space="preserve">extending </w:t>
      </w:r>
      <w:r w:rsidRPr="007F2BDD">
        <w:rPr>
          <w:snapToGrid w:val="0"/>
        </w:rPr>
        <w:t>the</w:t>
      </w:r>
      <w:r w:rsidR="00367221" w:rsidRPr="007F2BDD">
        <w:rPr>
          <w:snapToGrid w:val="0"/>
        </w:rPr>
        <w:t xml:space="preserve"> current</w:t>
      </w:r>
      <w:r w:rsidRPr="007F2BDD">
        <w:rPr>
          <w:snapToGrid w:val="0"/>
        </w:rPr>
        <w:t xml:space="preserve"> listing of </w:t>
      </w:r>
      <w:proofErr w:type="spellStart"/>
      <w:r w:rsidR="00E23BC1" w:rsidRPr="007F2BDD">
        <w:t>quadrivalent</w:t>
      </w:r>
      <w:proofErr w:type="spellEnd"/>
      <w:r w:rsidR="00E23BC1" w:rsidRPr="007F2BDD">
        <w:t xml:space="preserve"> influenza vaccine (QIV) (split </w:t>
      </w:r>
      <w:proofErr w:type="spellStart"/>
      <w:r w:rsidR="00E23BC1" w:rsidRPr="007F2BDD">
        <w:t>virion</w:t>
      </w:r>
      <w:proofErr w:type="spellEnd"/>
      <w:r w:rsidR="00E23BC1" w:rsidRPr="007F2BDD">
        <w:t>, inactivated)</w:t>
      </w:r>
      <w:r w:rsidR="008217CA" w:rsidRPr="007F2BDD">
        <w:t>,</w:t>
      </w:r>
      <w:r w:rsidR="00E23BC1" w:rsidRPr="007F2BDD">
        <w:t xml:space="preserve"> </w:t>
      </w:r>
      <w:proofErr w:type="spellStart"/>
      <w:r w:rsidR="00E23BC1" w:rsidRPr="007F2BDD">
        <w:t>FluQuadri</w:t>
      </w:r>
      <w:r w:rsidR="00E23BC1" w:rsidRPr="007F2BDD">
        <w:rPr>
          <w:rFonts w:ascii="Arial Narrow" w:hAnsi="Arial Narrow"/>
          <w:vertAlign w:val="superscript"/>
        </w:rPr>
        <w:t>TM</w:t>
      </w:r>
      <w:proofErr w:type="spellEnd"/>
      <w:r w:rsidR="008217CA" w:rsidRPr="007F2BDD">
        <w:t xml:space="preserve">, </w:t>
      </w:r>
      <w:r w:rsidR="008F7FD9" w:rsidRPr="007F2BDD">
        <w:rPr>
          <w:rFonts w:asciiTheme="minorHAnsi" w:hAnsiTheme="minorHAnsi"/>
          <w:bCs/>
        </w:rPr>
        <w:t>on the</w:t>
      </w:r>
      <w:r w:rsidR="008F7FD9" w:rsidRPr="007F2BDD">
        <w:rPr>
          <w:rFonts w:asciiTheme="minorHAnsi" w:hAnsiTheme="minorHAnsi"/>
          <w:bCs/>
          <w:i/>
        </w:rPr>
        <w:t xml:space="preserve"> National Health (Immunisation Program – Designated Vaccines) Determination 2014 (No.1)</w:t>
      </w:r>
      <w:r w:rsidR="008F7FD9" w:rsidRPr="007F2BDD">
        <w:rPr>
          <w:rFonts w:asciiTheme="minorHAnsi" w:hAnsiTheme="minorHAnsi"/>
          <w:bCs/>
        </w:rPr>
        <w:t xml:space="preserve"> (the Determination), </w:t>
      </w:r>
      <w:r w:rsidR="00E23BC1" w:rsidRPr="007F2BDD">
        <w:t>for the prevention of influenza</w:t>
      </w:r>
      <w:r w:rsidR="00367221" w:rsidRPr="007F2BDD">
        <w:t>,</w:t>
      </w:r>
      <w:r w:rsidR="00E23BC1" w:rsidRPr="007F2BDD">
        <w:t xml:space="preserve"> </w:t>
      </w:r>
      <w:r w:rsidR="00367221" w:rsidRPr="007F2BDD">
        <w:t>to</w:t>
      </w:r>
      <w:r w:rsidR="00E23BC1" w:rsidRPr="007F2BDD">
        <w:t xml:space="preserve"> </w:t>
      </w:r>
      <w:r w:rsidR="00CF4413" w:rsidRPr="007F2BDD">
        <w:t xml:space="preserve">include healthy children aged 6 months to &lt;5 years as well as </w:t>
      </w:r>
      <w:r w:rsidR="00E23BC1" w:rsidRPr="007F2BDD">
        <w:t xml:space="preserve">at-risk children </w:t>
      </w:r>
      <w:r w:rsidR="004202AB" w:rsidRPr="007F2BDD">
        <w:t xml:space="preserve">aged 6-35 months who are currently eligible for </w:t>
      </w:r>
      <w:r w:rsidR="00CC5248" w:rsidRPr="007F2BDD">
        <w:t xml:space="preserve">influenza </w:t>
      </w:r>
      <w:r w:rsidR="004202AB" w:rsidRPr="007F2BDD">
        <w:t>vaccination through the NIP</w:t>
      </w:r>
      <w:r w:rsidR="00CF4413" w:rsidRPr="007F2BDD">
        <w:t>, under the same provisions</w:t>
      </w:r>
      <w:r w:rsidR="004202AB" w:rsidRPr="007F2BDD">
        <w:t xml:space="preserve"> (see section 8)</w:t>
      </w:r>
      <w:r w:rsidR="00E23BC1" w:rsidRPr="007F2BDD">
        <w:t>.</w:t>
      </w:r>
      <w:r w:rsidR="004202AB" w:rsidRPr="007F2BDD">
        <w:t xml:space="preserve"> </w:t>
      </w:r>
      <w:r w:rsidR="00AD7778" w:rsidRPr="007F2BDD">
        <w:rPr>
          <w:snapToGrid w:val="0"/>
        </w:rPr>
        <w:t>The PBAC’s recommendation for listing was based on, among</w:t>
      </w:r>
      <w:r w:rsidR="007346AB" w:rsidRPr="007F2BDD">
        <w:rPr>
          <w:snapToGrid w:val="0"/>
        </w:rPr>
        <w:t xml:space="preserve"> other matters, its assessment</w:t>
      </w:r>
      <w:r w:rsidR="00AD7778" w:rsidRPr="007F2BDD">
        <w:rPr>
          <w:snapToGrid w:val="0"/>
        </w:rPr>
        <w:t xml:space="preserve">, that: </w:t>
      </w:r>
    </w:p>
    <w:p w:rsidR="004202AB" w:rsidRPr="007F2BDD" w:rsidRDefault="00AD7778" w:rsidP="005F43D9">
      <w:pPr>
        <w:pStyle w:val="ListParagraph"/>
        <w:ind w:left="993" w:hanging="284"/>
        <w:rPr>
          <w:snapToGrid w:val="0"/>
        </w:rPr>
      </w:pPr>
      <w:r w:rsidRPr="007F2BDD">
        <w:rPr>
          <w:snapToGrid w:val="0"/>
        </w:rPr>
        <w:t xml:space="preserve">the cost-effectiveness of </w:t>
      </w:r>
      <w:proofErr w:type="spellStart"/>
      <w:r w:rsidRPr="007F2BDD">
        <w:rPr>
          <w:snapToGrid w:val="0"/>
        </w:rPr>
        <w:t>FluQuadri</w:t>
      </w:r>
      <w:proofErr w:type="spellEnd"/>
      <w:r w:rsidRPr="007F2BDD">
        <w:rPr>
          <w:snapToGrid w:val="0"/>
        </w:rPr>
        <w:t xml:space="preserve"> would be acceptable if it were cost-minimised against </w:t>
      </w:r>
      <w:proofErr w:type="spellStart"/>
      <w:r w:rsidRPr="007F2BDD">
        <w:rPr>
          <w:snapToGrid w:val="0"/>
        </w:rPr>
        <w:t>FluQuadri</w:t>
      </w:r>
      <w:proofErr w:type="spellEnd"/>
      <w:r w:rsidRPr="007F2BDD">
        <w:rPr>
          <w:snapToGrid w:val="0"/>
        </w:rPr>
        <w:t xml:space="preserve"> Junior, </w:t>
      </w:r>
      <w:r w:rsidR="00743DFE" w:rsidRPr="007F2BDD">
        <w:rPr>
          <w:snapToGrid w:val="0"/>
        </w:rPr>
        <w:t xml:space="preserve">on the basis </w:t>
      </w:r>
      <w:r w:rsidRPr="007F2BDD">
        <w:rPr>
          <w:snapToGrid w:val="0"/>
        </w:rPr>
        <w:t xml:space="preserve">that </w:t>
      </w:r>
      <w:proofErr w:type="spellStart"/>
      <w:r w:rsidR="004202AB" w:rsidRPr="007F2BDD">
        <w:rPr>
          <w:snapToGrid w:val="0"/>
        </w:rPr>
        <w:t>FluQuadri</w:t>
      </w:r>
      <w:proofErr w:type="spellEnd"/>
      <w:r w:rsidR="004202AB" w:rsidRPr="007F2BDD">
        <w:rPr>
          <w:snapToGrid w:val="0"/>
        </w:rPr>
        <w:t xml:space="preserve"> is non-inferior to </w:t>
      </w:r>
      <w:r w:rsidR="00743DFE" w:rsidRPr="007F2BDD">
        <w:rPr>
          <w:snapToGrid w:val="0"/>
        </w:rPr>
        <w:t xml:space="preserve">currently listed and recommended QIVs </w:t>
      </w:r>
      <w:r w:rsidR="004202AB" w:rsidRPr="007F2BDD">
        <w:rPr>
          <w:snapToGrid w:val="0"/>
        </w:rPr>
        <w:t>for at-risk children aged 6-35 months</w:t>
      </w:r>
      <w:r w:rsidR="00793DD8" w:rsidRPr="007F2BDD">
        <w:rPr>
          <w:snapToGrid w:val="0"/>
        </w:rPr>
        <w:t>,</w:t>
      </w:r>
      <w:r w:rsidR="004202AB" w:rsidRPr="007F2BDD">
        <w:rPr>
          <w:snapToGrid w:val="0"/>
        </w:rPr>
        <w:t xml:space="preserve"> with the equi-effective doses being one dose of </w:t>
      </w:r>
      <w:proofErr w:type="spellStart"/>
      <w:r w:rsidR="004202AB" w:rsidRPr="007F2BDD">
        <w:rPr>
          <w:snapToGrid w:val="0"/>
        </w:rPr>
        <w:t>FluQuadri</w:t>
      </w:r>
      <w:proofErr w:type="spellEnd"/>
      <w:r w:rsidR="004202AB" w:rsidRPr="007F2BDD">
        <w:rPr>
          <w:snapToGrid w:val="0"/>
        </w:rPr>
        <w:t xml:space="preserve"> 0.5 mL and one dose of </w:t>
      </w:r>
      <w:r w:rsidR="00564A0F" w:rsidRPr="007F2BDD">
        <w:rPr>
          <w:snapToGrid w:val="0"/>
        </w:rPr>
        <w:t xml:space="preserve">an alternative QIV, such as </w:t>
      </w:r>
      <w:proofErr w:type="spellStart"/>
      <w:r w:rsidR="004202AB" w:rsidRPr="007F2BDD">
        <w:rPr>
          <w:snapToGrid w:val="0"/>
        </w:rPr>
        <w:t>FluQuadri</w:t>
      </w:r>
      <w:proofErr w:type="spellEnd"/>
      <w:r w:rsidR="004202AB" w:rsidRPr="007F2BDD">
        <w:rPr>
          <w:snapToGrid w:val="0"/>
        </w:rPr>
        <w:t xml:space="preserve"> Junior 0.25 mL</w:t>
      </w:r>
      <w:r w:rsidR="00564A0F" w:rsidRPr="007F2BDD">
        <w:rPr>
          <w:snapToGrid w:val="0"/>
        </w:rPr>
        <w:t xml:space="preserve">, </w:t>
      </w:r>
      <w:proofErr w:type="spellStart"/>
      <w:r w:rsidR="00564A0F" w:rsidRPr="007F2BDD">
        <w:rPr>
          <w:snapToGrid w:val="0"/>
        </w:rPr>
        <w:t>Fluarix</w:t>
      </w:r>
      <w:proofErr w:type="spellEnd"/>
      <w:r w:rsidR="00564A0F" w:rsidRPr="007F2BDD">
        <w:rPr>
          <w:snapToGrid w:val="0"/>
        </w:rPr>
        <w:t xml:space="preserve"> Tetra 0.5 mL or </w:t>
      </w:r>
      <w:proofErr w:type="spellStart"/>
      <w:r w:rsidR="00564A0F" w:rsidRPr="007F2BDD">
        <w:rPr>
          <w:snapToGrid w:val="0"/>
        </w:rPr>
        <w:t>Vaxigrip</w:t>
      </w:r>
      <w:proofErr w:type="spellEnd"/>
      <w:r w:rsidR="00564A0F" w:rsidRPr="007F2BDD">
        <w:rPr>
          <w:snapToGrid w:val="0"/>
        </w:rPr>
        <w:t xml:space="preserve"> Tetra 0.5 mL</w:t>
      </w:r>
      <w:r w:rsidR="004202AB" w:rsidRPr="007F2BDD">
        <w:rPr>
          <w:snapToGrid w:val="0"/>
        </w:rPr>
        <w:t xml:space="preserve">; and </w:t>
      </w:r>
    </w:p>
    <w:p w:rsidR="004202AB" w:rsidRPr="007F2BDD" w:rsidRDefault="00AD7778" w:rsidP="005F43D9">
      <w:pPr>
        <w:pStyle w:val="ListParagraph"/>
        <w:ind w:left="993" w:hanging="284"/>
        <w:rPr>
          <w:snapToGrid w:val="0"/>
        </w:rPr>
      </w:pPr>
      <w:r w:rsidRPr="007F2BDD">
        <w:rPr>
          <w:snapToGrid w:val="0"/>
        </w:rPr>
        <w:t xml:space="preserve">the cost-effectiveness of </w:t>
      </w:r>
      <w:proofErr w:type="spellStart"/>
      <w:r w:rsidRPr="007F2BDD">
        <w:rPr>
          <w:snapToGrid w:val="0"/>
        </w:rPr>
        <w:t>FluQuadri</w:t>
      </w:r>
      <w:proofErr w:type="spellEnd"/>
      <w:r w:rsidRPr="007F2BDD">
        <w:rPr>
          <w:snapToGrid w:val="0"/>
        </w:rPr>
        <w:t xml:space="preserve"> would be acceptable if it were cost-minimised against </w:t>
      </w:r>
      <w:proofErr w:type="spellStart"/>
      <w:r w:rsidRPr="007F2BDD">
        <w:rPr>
          <w:snapToGrid w:val="0"/>
        </w:rPr>
        <w:t>Vaxigrip</w:t>
      </w:r>
      <w:proofErr w:type="spellEnd"/>
      <w:r w:rsidRPr="007F2BDD">
        <w:rPr>
          <w:snapToGrid w:val="0"/>
        </w:rPr>
        <w:t xml:space="preserve"> Tetra, </w:t>
      </w:r>
      <w:r w:rsidR="002A34DD" w:rsidRPr="007F2BDD">
        <w:rPr>
          <w:snapToGrid w:val="0"/>
        </w:rPr>
        <w:t>on the basis that</w:t>
      </w:r>
      <w:r w:rsidRPr="007F2BDD">
        <w:rPr>
          <w:snapToGrid w:val="0"/>
        </w:rPr>
        <w:t xml:space="preserve"> </w:t>
      </w:r>
      <w:proofErr w:type="spellStart"/>
      <w:r w:rsidR="004202AB" w:rsidRPr="007F2BDD">
        <w:rPr>
          <w:snapToGrid w:val="0"/>
        </w:rPr>
        <w:t>FluQuadri</w:t>
      </w:r>
      <w:proofErr w:type="spellEnd"/>
      <w:r w:rsidR="004202AB" w:rsidRPr="007F2BDD">
        <w:rPr>
          <w:snapToGrid w:val="0"/>
        </w:rPr>
        <w:t xml:space="preserve"> is non-inferior to </w:t>
      </w:r>
      <w:proofErr w:type="spellStart"/>
      <w:r w:rsidR="004202AB" w:rsidRPr="007F2BDD">
        <w:rPr>
          <w:snapToGrid w:val="0"/>
        </w:rPr>
        <w:t>Vaxigrip</w:t>
      </w:r>
      <w:proofErr w:type="spellEnd"/>
      <w:r w:rsidR="004202AB" w:rsidRPr="007F2BDD">
        <w:rPr>
          <w:snapToGrid w:val="0"/>
        </w:rPr>
        <w:t xml:space="preserve"> Tetra </w:t>
      </w:r>
      <w:r w:rsidR="00501B2D" w:rsidRPr="007F2BDD">
        <w:rPr>
          <w:snapToGrid w:val="0"/>
        </w:rPr>
        <w:t xml:space="preserve">for </w:t>
      </w:r>
      <w:r w:rsidR="004202AB" w:rsidRPr="007F2BDD">
        <w:rPr>
          <w:snapToGrid w:val="0"/>
        </w:rPr>
        <w:t>health</w:t>
      </w:r>
      <w:r w:rsidR="00501B2D" w:rsidRPr="007F2BDD">
        <w:rPr>
          <w:snapToGrid w:val="0"/>
        </w:rPr>
        <w:t>y</w:t>
      </w:r>
      <w:r w:rsidR="004202AB" w:rsidRPr="007F2BDD">
        <w:rPr>
          <w:snapToGrid w:val="0"/>
        </w:rPr>
        <w:t xml:space="preserve"> children </w:t>
      </w:r>
      <w:r w:rsidR="00501B2D" w:rsidRPr="007F2BDD">
        <w:rPr>
          <w:snapToGrid w:val="0"/>
        </w:rPr>
        <w:t xml:space="preserve">aged </w:t>
      </w:r>
      <w:r w:rsidR="00501B2D" w:rsidRPr="007F2BDD">
        <w:t>6 months to &lt;5 year</w:t>
      </w:r>
      <w:r w:rsidR="00793DD8" w:rsidRPr="007F2BDD">
        <w:t>s,</w:t>
      </w:r>
      <w:r w:rsidR="00501B2D" w:rsidRPr="007F2BDD">
        <w:rPr>
          <w:snapToGrid w:val="0"/>
        </w:rPr>
        <w:t xml:space="preserve"> with the equi-effective doses being one dose of </w:t>
      </w:r>
      <w:proofErr w:type="spellStart"/>
      <w:r w:rsidR="00501B2D" w:rsidRPr="007F2BDD">
        <w:rPr>
          <w:snapToGrid w:val="0"/>
        </w:rPr>
        <w:t>FluQuadri</w:t>
      </w:r>
      <w:proofErr w:type="spellEnd"/>
      <w:r w:rsidR="00501B2D" w:rsidRPr="007F2BDD">
        <w:rPr>
          <w:snapToGrid w:val="0"/>
        </w:rPr>
        <w:t xml:space="preserve"> 0.5 mL and one dose of </w:t>
      </w:r>
      <w:proofErr w:type="spellStart"/>
      <w:r w:rsidR="00501B2D" w:rsidRPr="007F2BDD">
        <w:rPr>
          <w:snapToGrid w:val="0"/>
        </w:rPr>
        <w:t>Vaxigrip</w:t>
      </w:r>
      <w:proofErr w:type="spellEnd"/>
      <w:r w:rsidR="00501B2D" w:rsidRPr="007F2BDD">
        <w:rPr>
          <w:snapToGrid w:val="0"/>
        </w:rPr>
        <w:t xml:space="preserve"> Tetra 0.5mL. </w:t>
      </w:r>
    </w:p>
    <w:p w:rsidR="00F34823" w:rsidRPr="007F2BDD" w:rsidRDefault="00F34823" w:rsidP="005F43D9">
      <w:pPr>
        <w:pStyle w:val="Heading3"/>
        <w:keepNext/>
        <w:rPr>
          <w:i w:val="0"/>
        </w:rPr>
      </w:pPr>
      <w:r w:rsidRPr="007F2BDD">
        <w:rPr>
          <w:i w:val="0"/>
        </w:rPr>
        <w:t>At-risk children aged 6-35 months</w:t>
      </w:r>
    </w:p>
    <w:p w:rsidR="00F34823" w:rsidRPr="007F2BDD" w:rsidRDefault="00F34823" w:rsidP="005F43D9">
      <w:pPr>
        <w:pStyle w:val="3-BodyText"/>
      </w:pPr>
      <w:r w:rsidRPr="007F2BDD">
        <w:rPr>
          <w:snapToGrid w:val="0"/>
        </w:rPr>
        <w:t>The PBAC accepted the</w:t>
      </w:r>
      <w:r w:rsidR="00637F06" w:rsidRPr="007F2BDD">
        <w:rPr>
          <w:snapToGrid w:val="0"/>
        </w:rPr>
        <w:t xml:space="preserve"> proposed</w:t>
      </w:r>
      <w:r w:rsidRPr="007F2BDD">
        <w:rPr>
          <w:snapToGrid w:val="0"/>
        </w:rPr>
        <w:t xml:space="preserve"> comparator of </w:t>
      </w:r>
      <w:proofErr w:type="spellStart"/>
      <w:r w:rsidRPr="007F2BDD">
        <w:t>FluQuadri</w:t>
      </w:r>
      <w:proofErr w:type="spellEnd"/>
      <w:r w:rsidRPr="007F2BDD">
        <w:t xml:space="preserve"> Junior for </w:t>
      </w:r>
      <w:r w:rsidR="006612CC" w:rsidRPr="007F2BDD">
        <w:t>at-risk children aged 6-35 months</w:t>
      </w:r>
      <w:r w:rsidRPr="007F2BDD">
        <w:t xml:space="preserve">. The PBAC also considered </w:t>
      </w:r>
      <w:r w:rsidR="00637F06" w:rsidRPr="007F2BDD">
        <w:t xml:space="preserve">that </w:t>
      </w:r>
      <w:r w:rsidRPr="007F2BDD">
        <w:t xml:space="preserve">alternative QIVs that are either </w:t>
      </w:r>
      <w:r w:rsidRPr="007F2BDD">
        <w:lastRenderedPageBreak/>
        <w:t xml:space="preserve">currently listed or recommended for this population </w:t>
      </w:r>
      <w:r w:rsidR="00A86F65" w:rsidRPr="007F2BDD">
        <w:t xml:space="preserve">(i.e. </w:t>
      </w:r>
      <w:proofErr w:type="spellStart"/>
      <w:r w:rsidR="00A86F65" w:rsidRPr="007F2BDD">
        <w:t>Fluarix</w:t>
      </w:r>
      <w:proofErr w:type="spellEnd"/>
      <w:r w:rsidR="00A86F65" w:rsidRPr="007F2BDD">
        <w:t xml:space="preserve"> Tetra and </w:t>
      </w:r>
      <w:proofErr w:type="spellStart"/>
      <w:r w:rsidR="00A86F65" w:rsidRPr="007F2BDD">
        <w:t>Vaxigrip</w:t>
      </w:r>
      <w:proofErr w:type="spellEnd"/>
      <w:r w:rsidR="00A86F65" w:rsidRPr="007F2BDD">
        <w:t xml:space="preserve"> Tetra) </w:t>
      </w:r>
      <w:r w:rsidRPr="007F2BDD">
        <w:t>were</w:t>
      </w:r>
      <w:r w:rsidR="00637F06" w:rsidRPr="007F2BDD">
        <w:t xml:space="preserve"> </w:t>
      </w:r>
      <w:r w:rsidR="00A86F65" w:rsidRPr="007F2BDD">
        <w:t xml:space="preserve">also </w:t>
      </w:r>
      <w:r w:rsidRPr="007F2BDD">
        <w:t>appropriate</w:t>
      </w:r>
      <w:r w:rsidR="00793DD8" w:rsidRPr="007F2BDD">
        <w:t xml:space="preserve"> comparators</w:t>
      </w:r>
      <w:r w:rsidRPr="007F2BDD">
        <w:t xml:space="preserve">. </w:t>
      </w:r>
    </w:p>
    <w:p w:rsidR="000A7986" w:rsidRPr="007F2BDD" w:rsidRDefault="00C20D73" w:rsidP="005F43D9">
      <w:pPr>
        <w:pStyle w:val="3-BodyText"/>
      </w:pPr>
      <w:r w:rsidRPr="007F2BDD">
        <w:t xml:space="preserve">The PBAC noted the submission presented </w:t>
      </w:r>
      <w:r w:rsidRPr="007F2BDD">
        <w:rPr>
          <w:rFonts w:asciiTheme="minorHAnsi" w:hAnsiTheme="minorHAnsi"/>
          <w:bCs/>
        </w:rPr>
        <w:t>one head-to-head RCT (</w:t>
      </w:r>
      <w:r w:rsidR="00372C88" w:rsidRPr="007F2BDD">
        <w:rPr>
          <w:rFonts w:asciiTheme="minorHAnsi" w:hAnsiTheme="minorHAnsi"/>
          <w:bCs/>
        </w:rPr>
        <w:t xml:space="preserve">Trial </w:t>
      </w:r>
      <w:r w:rsidRPr="007F2BDD">
        <w:t xml:space="preserve">GRC88) comparing </w:t>
      </w:r>
      <w:proofErr w:type="spellStart"/>
      <w:r w:rsidRPr="007F2BDD">
        <w:t>FluQuadri</w:t>
      </w:r>
      <w:proofErr w:type="spellEnd"/>
      <w:r w:rsidRPr="007F2BDD">
        <w:t xml:space="preserve"> to </w:t>
      </w:r>
      <w:proofErr w:type="spellStart"/>
      <w:r w:rsidRPr="007F2BDD">
        <w:t>FluQuadri</w:t>
      </w:r>
      <w:proofErr w:type="spellEnd"/>
      <w:r w:rsidRPr="007F2BDD">
        <w:t xml:space="preserve"> Junior in </w:t>
      </w:r>
      <w:r w:rsidR="004420F8" w:rsidRPr="007F2BDD">
        <w:t>health</w:t>
      </w:r>
      <w:r w:rsidR="000A7986" w:rsidRPr="007F2BDD">
        <w:t>y vaccine-naïve</w:t>
      </w:r>
      <w:r w:rsidR="004420F8" w:rsidRPr="007F2BDD">
        <w:t xml:space="preserve"> </w:t>
      </w:r>
      <w:r w:rsidRPr="007F2BDD">
        <w:t>children aged 6-35</w:t>
      </w:r>
      <w:r w:rsidR="004420F8" w:rsidRPr="007F2BDD">
        <w:t xml:space="preserve"> months</w:t>
      </w:r>
      <w:r w:rsidRPr="007F2BDD">
        <w:t xml:space="preserve">. </w:t>
      </w:r>
      <w:r w:rsidR="001B155F" w:rsidRPr="007F2BDD">
        <w:t xml:space="preserve">The PBAC </w:t>
      </w:r>
      <w:r w:rsidR="00372C88" w:rsidRPr="007F2BDD">
        <w:t xml:space="preserve">noted </w:t>
      </w:r>
      <w:r w:rsidR="001B155F" w:rsidRPr="007F2BDD">
        <w:t xml:space="preserve">the eligibility criteria was not consistent with the proposed NIP listing, however </w:t>
      </w:r>
      <w:r w:rsidR="00637F06" w:rsidRPr="007F2BDD">
        <w:t>recalled that it had previous</w:t>
      </w:r>
      <w:r w:rsidR="002F7981" w:rsidRPr="007F2BDD">
        <w:t>ly</w:t>
      </w:r>
      <w:r w:rsidR="00637F06" w:rsidRPr="007F2BDD">
        <w:t xml:space="preserve"> accepted that it may be reasonable to expect that VE in sub-populations are unlikely to vary significantly or to vary between the proposed listing and comparator already in use in the vaccinated cohort</w:t>
      </w:r>
      <w:r w:rsidR="00637F06" w:rsidRPr="007F2BDD">
        <w:rPr>
          <w:rStyle w:val="FootnoteReference"/>
        </w:rPr>
        <w:footnoteReference w:id="4"/>
      </w:r>
      <w:r w:rsidR="00637F06" w:rsidRPr="007F2BDD">
        <w:t>.</w:t>
      </w:r>
      <w:r w:rsidR="004420F8" w:rsidRPr="007F2BDD">
        <w:rPr>
          <w:rFonts w:asciiTheme="minorHAnsi" w:hAnsiTheme="minorHAnsi"/>
          <w:bCs/>
        </w:rPr>
        <w:t xml:space="preserve"> </w:t>
      </w:r>
      <w:r w:rsidR="000A7986" w:rsidRPr="007F2BDD">
        <w:t>The PBAC noted that Trial GRC88 was conducted over a 6-month period during the 2016/17 Northern Hemisphere influenza season and that</w:t>
      </w:r>
      <w:r w:rsidR="00637F06" w:rsidRPr="007F2BDD">
        <w:t xml:space="preserve"> the</w:t>
      </w:r>
      <w:r w:rsidR="000A7986" w:rsidRPr="007F2BDD">
        <w:t xml:space="preserve"> </w:t>
      </w:r>
      <w:r w:rsidR="00637F06" w:rsidRPr="007F2BDD">
        <w:t>varying dominance of virus strains year t</w:t>
      </w:r>
      <w:r w:rsidR="000A7986" w:rsidRPr="007F2BDD">
        <w:t>o year</w:t>
      </w:r>
      <w:r w:rsidR="00637F06" w:rsidRPr="007F2BDD">
        <w:t xml:space="preserve"> impacts effectiveness</w:t>
      </w:r>
      <w:r w:rsidR="000A7986" w:rsidRPr="007F2BDD">
        <w:t>, however it noted that this is</w:t>
      </w:r>
      <w:r w:rsidR="00637F06" w:rsidRPr="007F2BDD">
        <w:t xml:space="preserve"> an uncertainty in all influenza vaccine considerations</w:t>
      </w:r>
      <w:r w:rsidR="000A7986" w:rsidRPr="007F2BDD">
        <w:t xml:space="preserve">. </w:t>
      </w:r>
    </w:p>
    <w:p w:rsidR="00637F06" w:rsidRPr="007F2BDD" w:rsidRDefault="00C20D73" w:rsidP="005F43D9">
      <w:pPr>
        <w:pStyle w:val="3-BodyText"/>
      </w:pPr>
      <w:r w:rsidRPr="007F2BDD">
        <w:t>The PBAC not</w:t>
      </w:r>
      <w:r w:rsidR="00DE1359" w:rsidRPr="007F2BDD">
        <w:t xml:space="preserve">ed that the submission used GMTs and </w:t>
      </w:r>
      <w:r w:rsidR="001B155F" w:rsidRPr="007F2BDD">
        <w:t xml:space="preserve">SCRs </w:t>
      </w:r>
      <w:r w:rsidRPr="007F2BDD">
        <w:t>as a surrogate measure for comparative efficacy</w:t>
      </w:r>
      <w:r w:rsidR="00DE1359" w:rsidRPr="007F2BDD">
        <w:t>,</w:t>
      </w:r>
      <w:r w:rsidRPr="007F2BDD">
        <w:t xml:space="preserve"> and </w:t>
      </w:r>
      <w:r w:rsidR="00936990" w:rsidRPr="007F2BDD">
        <w:t>recalled that it had previously accepted</w:t>
      </w:r>
      <w:r w:rsidR="009A6D02" w:rsidRPr="007F2BDD">
        <w:t xml:space="preserve"> </w:t>
      </w:r>
      <w:r w:rsidRPr="007F2BDD">
        <w:rPr>
          <w:rFonts w:asciiTheme="minorHAnsi" w:hAnsiTheme="minorHAnsi"/>
          <w:bCs/>
        </w:rPr>
        <w:t>immunogenicity outcomes for decision-making</w:t>
      </w:r>
      <w:r w:rsidR="001B155F" w:rsidRPr="007F2BDD">
        <w:rPr>
          <w:iCs/>
        </w:rPr>
        <w:t xml:space="preserve"> to support non-inferiority claims between QIVs</w:t>
      </w:r>
      <w:r w:rsidR="00B05D87" w:rsidRPr="007F2BDD">
        <w:rPr>
          <w:rStyle w:val="FootnoteReference"/>
          <w:iCs/>
        </w:rPr>
        <w:footnoteReference w:id="5"/>
      </w:r>
      <w:r w:rsidR="001B155F" w:rsidRPr="007F2BDD">
        <w:rPr>
          <w:rFonts w:asciiTheme="minorHAnsi" w:hAnsiTheme="minorHAnsi"/>
          <w:bCs/>
        </w:rPr>
        <w:t xml:space="preserve">. </w:t>
      </w:r>
      <w:r w:rsidR="007C755E" w:rsidRPr="007F2BDD">
        <w:rPr>
          <w:rFonts w:asciiTheme="minorHAnsi" w:hAnsiTheme="minorHAnsi"/>
          <w:bCs/>
        </w:rPr>
        <w:t xml:space="preserve">The PBAC noted that </w:t>
      </w:r>
      <w:r w:rsidR="007C755E" w:rsidRPr="007F2BDD">
        <w:t>non-inferiority</w:t>
      </w:r>
      <w:r w:rsidR="00637F06" w:rsidRPr="007F2BDD">
        <w:t xml:space="preserve"> </w:t>
      </w:r>
      <w:r w:rsidR="00B05D87" w:rsidRPr="007F2BDD">
        <w:t xml:space="preserve">criteria for GMT in all strains, and for SCRs were met, demonstrating </w:t>
      </w:r>
      <w:r w:rsidR="00637F06" w:rsidRPr="007F2BDD">
        <w:t>non-inferiority.</w:t>
      </w:r>
      <w:r w:rsidR="00B05D87" w:rsidRPr="007F2BDD">
        <w:t xml:space="preserve"> Accordingly, the PBAC considered the </w:t>
      </w:r>
      <w:r w:rsidR="00793DD8" w:rsidRPr="007F2BDD">
        <w:t>clinical</w:t>
      </w:r>
      <w:r w:rsidR="00B05D87" w:rsidRPr="007F2BDD">
        <w:t xml:space="preserve"> claim regarding non-inferior effectiveness </w:t>
      </w:r>
      <w:r w:rsidR="003C49B0" w:rsidRPr="007F2BDD">
        <w:t xml:space="preserve">compared with </w:t>
      </w:r>
      <w:proofErr w:type="spellStart"/>
      <w:r w:rsidR="00936990" w:rsidRPr="007F2BDD">
        <w:t>FluQuadri</w:t>
      </w:r>
      <w:proofErr w:type="spellEnd"/>
      <w:r w:rsidR="00936990" w:rsidRPr="007F2BDD">
        <w:t xml:space="preserve"> Junior</w:t>
      </w:r>
      <w:r w:rsidR="00B05D87" w:rsidRPr="007F2BDD">
        <w:t xml:space="preserve"> </w:t>
      </w:r>
      <w:r w:rsidR="003C49B0" w:rsidRPr="007F2BDD">
        <w:t xml:space="preserve">was </w:t>
      </w:r>
      <w:r w:rsidR="00B05D87" w:rsidRPr="007F2BDD">
        <w:t>reasonable.</w:t>
      </w:r>
    </w:p>
    <w:p w:rsidR="00F34823" w:rsidRPr="007F2BDD" w:rsidRDefault="00936990" w:rsidP="005F43D9">
      <w:pPr>
        <w:pStyle w:val="3-BodyText"/>
      </w:pPr>
      <w:r w:rsidRPr="007F2BDD">
        <w:t>The PBAC noted that the submission presented</w:t>
      </w:r>
      <w:r w:rsidR="0029332D" w:rsidRPr="007F2BDD">
        <w:t xml:space="preserve"> safety data from </w:t>
      </w:r>
      <w:r w:rsidR="002F7981" w:rsidRPr="007F2BDD">
        <w:t xml:space="preserve">Trial </w:t>
      </w:r>
      <w:r w:rsidR="0029332D" w:rsidRPr="007F2BDD">
        <w:t>GRC88,</w:t>
      </w:r>
      <w:r w:rsidR="00B96343" w:rsidRPr="007F2BDD">
        <w:t xml:space="preserve"> a Safety Analysis Set and the advice of ATAGI that it had no specific concerns regarding safety of </w:t>
      </w:r>
      <w:proofErr w:type="spellStart"/>
      <w:r w:rsidR="00B96343" w:rsidRPr="007F2BDD">
        <w:t>Vaxigrip</w:t>
      </w:r>
      <w:proofErr w:type="spellEnd"/>
      <w:r w:rsidR="00B96343" w:rsidRPr="007F2BDD">
        <w:t xml:space="preserve"> Tetra in children a</w:t>
      </w:r>
      <w:r w:rsidR="00005969" w:rsidRPr="007F2BDD">
        <w:t>g</w:t>
      </w:r>
      <w:r w:rsidR="00B96343" w:rsidRPr="007F2BDD">
        <w:t>ed 6 months to &lt;5 years</w:t>
      </w:r>
      <w:r w:rsidR="00B96343" w:rsidRPr="007F2BDD">
        <w:rPr>
          <w:rStyle w:val="FootnoteReference"/>
        </w:rPr>
        <w:footnoteReference w:id="6"/>
      </w:r>
      <w:r w:rsidR="00B96343" w:rsidRPr="007F2BDD">
        <w:t xml:space="preserve">. </w:t>
      </w:r>
      <w:r w:rsidR="00F34823" w:rsidRPr="007F2BDD">
        <w:t xml:space="preserve">The </w:t>
      </w:r>
      <w:r w:rsidR="00DE1359" w:rsidRPr="007F2BDD">
        <w:t>PBAC</w:t>
      </w:r>
      <w:r w:rsidR="00F34823" w:rsidRPr="007F2BDD">
        <w:t xml:space="preserve"> considered </w:t>
      </w:r>
      <w:r w:rsidR="00D5564F" w:rsidRPr="007F2BDD">
        <w:t xml:space="preserve">the </w:t>
      </w:r>
      <w:r w:rsidR="0029332D" w:rsidRPr="007F2BDD">
        <w:t xml:space="preserve">clinical </w:t>
      </w:r>
      <w:r w:rsidR="00DE1359" w:rsidRPr="007F2BDD">
        <w:t xml:space="preserve">claim regarding safety </w:t>
      </w:r>
      <w:r w:rsidR="00487B5F" w:rsidRPr="007F2BDD">
        <w:t>was likely to be</w:t>
      </w:r>
      <w:r w:rsidR="00DE1359" w:rsidRPr="007F2BDD">
        <w:t xml:space="preserve"> reasonable, </w:t>
      </w:r>
      <w:r w:rsidR="0029332D" w:rsidRPr="007F2BDD">
        <w:t>noting</w:t>
      </w:r>
      <w:r w:rsidR="00DE1359" w:rsidRPr="007F2BDD">
        <w:t xml:space="preserve"> rates and serious adverse events, were similar between the comparator and </w:t>
      </w:r>
      <w:proofErr w:type="spellStart"/>
      <w:r w:rsidR="00DE1359" w:rsidRPr="007F2BDD">
        <w:t>FluQuadri</w:t>
      </w:r>
      <w:proofErr w:type="spellEnd"/>
      <w:r w:rsidR="00B96343" w:rsidRPr="007F2BDD">
        <w:t>, as well as similar to the rates observed in other QIVs</w:t>
      </w:r>
      <w:r w:rsidR="00F34823" w:rsidRPr="007F2BDD">
        <w:t>.</w:t>
      </w:r>
    </w:p>
    <w:p w:rsidR="00B00408" w:rsidRPr="007F2BDD" w:rsidRDefault="00B00408" w:rsidP="005F43D9">
      <w:pPr>
        <w:pStyle w:val="3-BodyText"/>
        <w:rPr>
          <w:snapToGrid w:val="0"/>
        </w:rPr>
      </w:pPr>
      <w:r w:rsidRPr="007F2BDD">
        <w:t>The PBAC accepted the cost-minimisation analysis presented in the submission for the at-risk population.</w:t>
      </w:r>
      <w:r w:rsidR="00564A0F" w:rsidRPr="007F2BDD">
        <w:t xml:space="preserve"> The PBAC advised the </w:t>
      </w:r>
      <w:r w:rsidR="00564A0F" w:rsidRPr="007F2BDD">
        <w:rPr>
          <w:snapToGrid w:val="0"/>
        </w:rPr>
        <w:t xml:space="preserve">equi-effective doses should be one dose of </w:t>
      </w:r>
      <w:proofErr w:type="spellStart"/>
      <w:r w:rsidR="00564A0F" w:rsidRPr="007F2BDD">
        <w:rPr>
          <w:snapToGrid w:val="0"/>
        </w:rPr>
        <w:t>FluQuadri</w:t>
      </w:r>
      <w:proofErr w:type="spellEnd"/>
      <w:r w:rsidR="00564A0F" w:rsidRPr="007F2BDD">
        <w:rPr>
          <w:snapToGrid w:val="0"/>
        </w:rPr>
        <w:t xml:space="preserve"> 0.5 mL and one dose of an alternative QIV, such as </w:t>
      </w:r>
      <w:proofErr w:type="spellStart"/>
      <w:r w:rsidR="00564A0F" w:rsidRPr="007F2BDD">
        <w:rPr>
          <w:snapToGrid w:val="0"/>
        </w:rPr>
        <w:t>FluQuadri</w:t>
      </w:r>
      <w:proofErr w:type="spellEnd"/>
      <w:r w:rsidR="00564A0F" w:rsidRPr="007F2BDD">
        <w:rPr>
          <w:snapToGrid w:val="0"/>
        </w:rPr>
        <w:t xml:space="preserve"> Junior 0.25 mL, </w:t>
      </w:r>
      <w:proofErr w:type="spellStart"/>
      <w:r w:rsidR="00564A0F" w:rsidRPr="007F2BDD">
        <w:rPr>
          <w:snapToGrid w:val="0"/>
        </w:rPr>
        <w:t>Fluarix</w:t>
      </w:r>
      <w:proofErr w:type="spellEnd"/>
      <w:r w:rsidR="00564A0F" w:rsidRPr="007F2BDD">
        <w:rPr>
          <w:snapToGrid w:val="0"/>
        </w:rPr>
        <w:t xml:space="preserve"> Tetra 0.5 mL or </w:t>
      </w:r>
      <w:proofErr w:type="spellStart"/>
      <w:r w:rsidR="00564A0F" w:rsidRPr="007F2BDD">
        <w:rPr>
          <w:snapToGrid w:val="0"/>
        </w:rPr>
        <w:t>Vaxigrip</w:t>
      </w:r>
      <w:proofErr w:type="spellEnd"/>
      <w:r w:rsidR="00564A0F" w:rsidRPr="007F2BDD">
        <w:rPr>
          <w:snapToGrid w:val="0"/>
        </w:rPr>
        <w:t xml:space="preserve"> Tetra 0.5 </w:t>
      </w:r>
      <w:proofErr w:type="spellStart"/>
      <w:r w:rsidR="00564A0F" w:rsidRPr="007F2BDD">
        <w:rPr>
          <w:snapToGrid w:val="0"/>
        </w:rPr>
        <w:t>mL.</w:t>
      </w:r>
      <w:proofErr w:type="spellEnd"/>
    </w:p>
    <w:p w:rsidR="006612CC" w:rsidRPr="007F2BDD" w:rsidRDefault="00564A0F" w:rsidP="005F43D9">
      <w:pPr>
        <w:pStyle w:val="3-BodyText"/>
        <w:rPr>
          <w:snapToGrid w:val="0"/>
        </w:rPr>
      </w:pPr>
      <w:r w:rsidRPr="007F2BDD">
        <w:t xml:space="preserve">The PBAC noted the submission used a market share approach to estimate the financial implications associated with listing </w:t>
      </w:r>
      <w:proofErr w:type="spellStart"/>
      <w:r w:rsidRPr="007F2BDD">
        <w:t>FluQuadri</w:t>
      </w:r>
      <w:proofErr w:type="spellEnd"/>
      <w:r w:rsidRPr="007F2BDD">
        <w:t xml:space="preserve"> for at-risk children aged 6-35 months, which it considered to be reasonable</w:t>
      </w:r>
      <w:r w:rsidR="007F2BDD">
        <w:t xml:space="preserve">. </w:t>
      </w:r>
      <w:r w:rsidR="00406A65" w:rsidRPr="007F2BDD">
        <w:t xml:space="preserve">The PBAC noted </w:t>
      </w:r>
      <w:r w:rsidRPr="007F2BDD">
        <w:t xml:space="preserve">that extending the listing for </w:t>
      </w:r>
      <w:proofErr w:type="spellStart"/>
      <w:r w:rsidRPr="007F2BDD">
        <w:t>FluQuadri</w:t>
      </w:r>
      <w:proofErr w:type="spellEnd"/>
      <w:r w:rsidRPr="007F2BDD">
        <w:t xml:space="preserve"> would not result in a </w:t>
      </w:r>
      <w:r w:rsidR="00406A65" w:rsidRPr="007F2BDD">
        <w:t>net cost to the NIP</w:t>
      </w:r>
      <w:r w:rsidRPr="007F2BDD">
        <w:t>,</w:t>
      </w:r>
      <w:r w:rsidR="00406A65" w:rsidRPr="007F2BDD">
        <w:t xml:space="preserve"> </w:t>
      </w:r>
      <w:r w:rsidR="009879DE" w:rsidRPr="007F2BDD">
        <w:t>since</w:t>
      </w:r>
      <w:r w:rsidR="00406A65" w:rsidRPr="007F2BDD">
        <w:t xml:space="preserve"> the</w:t>
      </w:r>
      <w:r w:rsidR="00DF15B7" w:rsidRPr="007F2BDD">
        <w:t xml:space="preserve"> requested NNP for </w:t>
      </w:r>
      <w:proofErr w:type="spellStart"/>
      <w:r w:rsidR="00DF15B7" w:rsidRPr="007F2BDD">
        <w:t>FluQuadri</w:t>
      </w:r>
      <w:proofErr w:type="spellEnd"/>
      <w:r w:rsidR="00DF15B7" w:rsidRPr="007F2BDD">
        <w:t xml:space="preserve"> was equal to </w:t>
      </w:r>
      <w:proofErr w:type="spellStart"/>
      <w:r w:rsidR="00DF15B7" w:rsidRPr="007F2BDD">
        <w:t>FluQuadri</w:t>
      </w:r>
      <w:proofErr w:type="spellEnd"/>
      <w:r w:rsidR="00DF15B7" w:rsidRPr="007F2BDD">
        <w:t xml:space="preserve"> Junior and there would be no difference in administration costs</w:t>
      </w:r>
      <w:r w:rsidR="00176BD0" w:rsidRPr="007F2BDD">
        <w:t xml:space="preserve"> or management of adverse events</w:t>
      </w:r>
      <w:r w:rsidR="00406A65" w:rsidRPr="007F2BDD">
        <w:t>.</w:t>
      </w:r>
      <w:r w:rsidR="00DF15B7" w:rsidRPr="007F2BDD">
        <w:t xml:space="preserve"> </w:t>
      </w:r>
    </w:p>
    <w:p w:rsidR="006612CC" w:rsidRPr="007F2BDD" w:rsidRDefault="006612CC" w:rsidP="005F43D9">
      <w:pPr>
        <w:pStyle w:val="3-BodyText"/>
        <w:rPr>
          <w:snapToGrid w:val="0"/>
        </w:rPr>
      </w:pPr>
      <w:r w:rsidRPr="007F2BDD">
        <w:rPr>
          <w:bCs/>
        </w:rPr>
        <w:lastRenderedPageBreak/>
        <w:t xml:space="preserve">The PBAC considered that using </w:t>
      </w:r>
      <w:r w:rsidRPr="007F2BDD">
        <w:t xml:space="preserve">the same dose (0.5 mL) of QIV across all age groups, and the planned delisting </w:t>
      </w:r>
      <w:proofErr w:type="spellStart"/>
      <w:r w:rsidRPr="007F2BDD">
        <w:t>FluQuadri</w:t>
      </w:r>
      <w:proofErr w:type="spellEnd"/>
      <w:r w:rsidRPr="007F2BDD">
        <w:t xml:space="preserve"> Junior, would simplify purchasing for healthcare providers, and reduce wastage, confusion and administration errors. </w:t>
      </w:r>
    </w:p>
    <w:p w:rsidR="00F34823" w:rsidRPr="007F2BDD" w:rsidRDefault="00F34823" w:rsidP="005F43D9">
      <w:pPr>
        <w:pStyle w:val="Heading3"/>
        <w:rPr>
          <w:i w:val="0"/>
        </w:rPr>
      </w:pPr>
      <w:r w:rsidRPr="007F2BDD">
        <w:rPr>
          <w:i w:val="0"/>
        </w:rPr>
        <w:t>Healthy children aged 6 months to &lt;5 years</w:t>
      </w:r>
    </w:p>
    <w:p w:rsidR="00963BC2" w:rsidRPr="007F2BDD" w:rsidRDefault="00F34823" w:rsidP="005F43D9">
      <w:pPr>
        <w:pStyle w:val="3-BodyText"/>
        <w:rPr>
          <w:rStyle w:val="3-BodyTextChar"/>
        </w:rPr>
      </w:pPr>
      <w:r w:rsidRPr="007F2BDD">
        <w:rPr>
          <w:rStyle w:val="3-BodyTextChar"/>
        </w:rPr>
        <w:t xml:space="preserve">The PBAC accepted </w:t>
      </w:r>
      <w:proofErr w:type="spellStart"/>
      <w:r w:rsidRPr="007F2BDD">
        <w:rPr>
          <w:rStyle w:val="3-BodyTextChar"/>
        </w:rPr>
        <w:t>Vaxigrip</w:t>
      </w:r>
      <w:proofErr w:type="spellEnd"/>
      <w:r w:rsidRPr="007F2BDD">
        <w:rPr>
          <w:rStyle w:val="3-BodyTextChar"/>
        </w:rPr>
        <w:t xml:space="preserve"> Tetra </w:t>
      </w:r>
      <w:r w:rsidR="006E5CC2" w:rsidRPr="007F2BDD">
        <w:rPr>
          <w:rStyle w:val="3-BodyTextChar"/>
        </w:rPr>
        <w:t xml:space="preserve">was the appropriate comparator </w:t>
      </w:r>
      <w:r w:rsidRPr="007F2BDD">
        <w:rPr>
          <w:rStyle w:val="3-BodyTextChar"/>
        </w:rPr>
        <w:t xml:space="preserve">for </w:t>
      </w:r>
      <w:r w:rsidR="006612CC" w:rsidRPr="007F2BDD">
        <w:rPr>
          <w:rStyle w:val="3-BodyTextChar"/>
        </w:rPr>
        <w:t>healthy children aged 6</w:t>
      </w:r>
      <w:r w:rsidR="00564A0F" w:rsidRPr="007F2BDD">
        <w:rPr>
          <w:rStyle w:val="3-BodyTextChar"/>
        </w:rPr>
        <w:t> </w:t>
      </w:r>
      <w:r w:rsidR="006612CC" w:rsidRPr="007F2BDD">
        <w:rPr>
          <w:rStyle w:val="3-BodyTextChar"/>
        </w:rPr>
        <w:t>months to &lt;5 years</w:t>
      </w:r>
      <w:r w:rsidRPr="007F2BDD">
        <w:rPr>
          <w:rStyle w:val="3-BodyTextChar"/>
        </w:rPr>
        <w:t xml:space="preserve">, </w:t>
      </w:r>
      <w:r w:rsidR="00DD788D" w:rsidRPr="007F2BDD">
        <w:rPr>
          <w:rStyle w:val="3-BodyTextChar"/>
        </w:rPr>
        <w:t xml:space="preserve">as </w:t>
      </w:r>
      <w:r w:rsidRPr="007F2BDD">
        <w:rPr>
          <w:rStyle w:val="3-BodyTextChar"/>
        </w:rPr>
        <w:t xml:space="preserve">it was the only QIV currently recommended for this population. </w:t>
      </w:r>
    </w:p>
    <w:p w:rsidR="002B189F" w:rsidRPr="007F2BDD" w:rsidRDefault="00C21120" w:rsidP="005F43D9">
      <w:pPr>
        <w:pStyle w:val="3-BodyText"/>
        <w:rPr>
          <w:iCs/>
        </w:rPr>
      </w:pPr>
      <w:r w:rsidRPr="007F2BDD">
        <w:t xml:space="preserve">The PBAC </w:t>
      </w:r>
      <w:r w:rsidR="007A1954" w:rsidRPr="007F2BDD">
        <w:t xml:space="preserve">recalled that in July 2019 it </w:t>
      </w:r>
      <w:r w:rsidR="00D64A03" w:rsidRPr="007F2BDD">
        <w:t>recommended</w:t>
      </w:r>
      <w:r w:rsidR="007A1954" w:rsidRPr="007F2BDD">
        <w:t xml:space="preserve"> </w:t>
      </w:r>
      <w:proofErr w:type="spellStart"/>
      <w:r w:rsidR="00717C14" w:rsidRPr="007F2BDD">
        <w:rPr>
          <w:iCs/>
        </w:rPr>
        <w:t>Vaxigrip</w:t>
      </w:r>
      <w:proofErr w:type="spellEnd"/>
      <w:r w:rsidR="00717C14" w:rsidRPr="007F2BDD">
        <w:rPr>
          <w:iCs/>
        </w:rPr>
        <w:t xml:space="preserve"> Tetra</w:t>
      </w:r>
      <w:r w:rsidR="00D64A03" w:rsidRPr="007F2BDD">
        <w:rPr>
          <w:iCs/>
        </w:rPr>
        <w:t xml:space="preserve"> for at-risk individuals who were (then) currently eligible for influenza vaccination through the NIP on the basis of non-inferiority of </w:t>
      </w:r>
      <w:proofErr w:type="spellStart"/>
      <w:r w:rsidR="00D64A03" w:rsidRPr="007F2BDD">
        <w:rPr>
          <w:iCs/>
        </w:rPr>
        <w:t>Vaxigrip</w:t>
      </w:r>
      <w:proofErr w:type="spellEnd"/>
      <w:r w:rsidR="00D64A03" w:rsidRPr="007F2BDD">
        <w:rPr>
          <w:iCs/>
        </w:rPr>
        <w:t xml:space="preserve"> Tetra compared with </w:t>
      </w:r>
      <w:proofErr w:type="spellStart"/>
      <w:r w:rsidR="00D64A03" w:rsidRPr="007F2BDD">
        <w:rPr>
          <w:iCs/>
        </w:rPr>
        <w:t>FluQuadri</w:t>
      </w:r>
      <w:proofErr w:type="spellEnd"/>
      <w:r w:rsidR="00D64A03" w:rsidRPr="007F2BDD">
        <w:rPr>
          <w:iCs/>
        </w:rPr>
        <w:t>/</w:t>
      </w:r>
      <w:proofErr w:type="spellStart"/>
      <w:r w:rsidR="00D64A03" w:rsidRPr="007F2BDD">
        <w:rPr>
          <w:iCs/>
        </w:rPr>
        <w:t>FluQuadri</w:t>
      </w:r>
      <w:proofErr w:type="spellEnd"/>
      <w:r w:rsidR="00D64A03" w:rsidRPr="007F2BDD">
        <w:rPr>
          <w:iCs/>
        </w:rPr>
        <w:t xml:space="preserve"> Junior on the basis of an indirect comparison of seroconversion rates</w:t>
      </w:r>
      <w:r w:rsidR="00717C14" w:rsidRPr="007F2BDD">
        <w:rPr>
          <w:rStyle w:val="FootnoteReference"/>
          <w:snapToGrid w:val="0"/>
        </w:rPr>
        <w:footnoteReference w:id="7"/>
      </w:r>
      <w:r w:rsidR="006E5CC2" w:rsidRPr="007F2BDD">
        <w:rPr>
          <w:rStyle w:val="3-BodyTextChar"/>
        </w:rPr>
        <w:t>.</w:t>
      </w:r>
      <w:r w:rsidR="00B04492" w:rsidRPr="007F2BDD">
        <w:rPr>
          <w:rStyle w:val="3-BodyTextChar"/>
        </w:rPr>
        <w:t xml:space="preserve"> </w:t>
      </w:r>
      <w:r w:rsidR="00D64A03" w:rsidRPr="007F2BDD">
        <w:rPr>
          <w:rStyle w:val="3-BodyTextChar"/>
        </w:rPr>
        <w:t>T</w:t>
      </w:r>
      <w:r w:rsidR="006E5CC2" w:rsidRPr="007F2BDD">
        <w:rPr>
          <w:rStyle w:val="3-BodyTextChar"/>
        </w:rPr>
        <w:t xml:space="preserve">he PBAC </w:t>
      </w:r>
      <w:r w:rsidR="00B04492" w:rsidRPr="007F2BDD">
        <w:rPr>
          <w:rStyle w:val="3-BodyTextChar"/>
        </w:rPr>
        <w:t>accepted that th</w:t>
      </w:r>
      <w:r w:rsidR="00D64A03" w:rsidRPr="007F2BDD">
        <w:rPr>
          <w:rStyle w:val="3-BodyTextChar"/>
        </w:rPr>
        <w:t>is</w:t>
      </w:r>
      <w:r w:rsidR="00B04492" w:rsidRPr="007F2BDD">
        <w:rPr>
          <w:rStyle w:val="3-BodyTextChar"/>
        </w:rPr>
        <w:t xml:space="preserve"> comparison was relevant to healthy children</w:t>
      </w:r>
      <w:r w:rsidR="00D64A03" w:rsidRPr="007F2BDD">
        <w:rPr>
          <w:rStyle w:val="3-BodyTextChar"/>
        </w:rPr>
        <w:t xml:space="preserve">, noting that the trials on which the indirect comparison was based excluded </w:t>
      </w:r>
      <w:r w:rsidR="00D64A03" w:rsidRPr="007F2BDD">
        <w:t>persons with underlying conditions for whom yearly seasonal vaccination is recommended</w:t>
      </w:r>
      <w:r w:rsidR="0029332D" w:rsidRPr="007F2BDD">
        <w:rPr>
          <w:rStyle w:val="3-BodyTextChar"/>
        </w:rPr>
        <w:t xml:space="preserve">. The PBAC noted </w:t>
      </w:r>
      <w:r w:rsidR="00717C14" w:rsidRPr="007F2BDD">
        <w:rPr>
          <w:rStyle w:val="3-BodyTextChar"/>
        </w:rPr>
        <w:t xml:space="preserve">that </w:t>
      </w:r>
      <w:r w:rsidR="00D64A03" w:rsidRPr="007F2BDD">
        <w:rPr>
          <w:rStyle w:val="3-BodyTextChar"/>
        </w:rPr>
        <w:t xml:space="preserve">while </w:t>
      </w:r>
      <w:r w:rsidR="0029332D" w:rsidRPr="007F2BDD">
        <w:rPr>
          <w:rStyle w:val="3-BodyTextChar"/>
        </w:rPr>
        <w:t xml:space="preserve">recommending </w:t>
      </w:r>
      <w:proofErr w:type="spellStart"/>
      <w:r w:rsidR="0029332D" w:rsidRPr="007F2BDD">
        <w:rPr>
          <w:rStyle w:val="3-BodyTextChar"/>
        </w:rPr>
        <w:t>Vaxigrip</w:t>
      </w:r>
      <w:proofErr w:type="spellEnd"/>
      <w:r w:rsidR="0029332D" w:rsidRPr="007F2BDD">
        <w:rPr>
          <w:rStyle w:val="3-BodyTextChar"/>
        </w:rPr>
        <w:t xml:space="preserve"> Tetra </w:t>
      </w:r>
      <w:r w:rsidR="00717C14" w:rsidRPr="007F2BDD">
        <w:rPr>
          <w:rStyle w:val="3-BodyTextChar"/>
        </w:rPr>
        <w:t>as non-inferior to other QIVs does not necessarily equate to non-inferiority in reverse</w:t>
      </w:r>
      <w:r w:rsidR="00FB5642" w:rsidRPr="007F2BDD">
        <w:rPr>
          <w:rStyle w:val="3-BodyTextChar"/>
        </w:rPr>
        <w:t xml:space="preserve">, </w:t>
      </w:r>
      <w:r w:rsidR="00FB5642" w:rsidRPr="007F2BDD">
        <w:rPr>
          <w:iCs/>
        </w:rPr>
        <w:t>t</w:t>
      </w:r>
      <w:r w:rsidR="007C4DD2" w:rsidRPr="007F2BDD">
        <w:rPr>
          <w:iCs/>
        </w:rPr>
        <w:t>he PBAC recalled</w:t>
      </w:r>
      <w:r w:rsidR="0029332D" w:rsidRPr="007F2BDD">
        <w:rPr>
          <w:iCs/>
        </w:rPr>
        <w:t xml:space="preserve"> that in July 2019</w:t>
      </w:r>
      <w:r w:rsidR="0000520F" w:rsidRPr="007F2BDD">
        <w:rPr>
          <w:iCs/>
        </w:rPr>
        <w:t xml:space="preserve"> </w:t>
      </w:r>
      <w:r w:rsidR="0029332D" w:rsidRPr="007F2BDD">
        <w:rPr>
          <w:iCs/>
        </w:rPr>
        <w:t>it had</w:t>
      </w:r>
      <w:r w:rsidR="005D78DD" w:rsidRPr="007F2BDD">
        <w:rPr>
          <w:iCs/>
        </w:rPr>
        <w:t xml:space="preserve"> considered that the evidence suggested that</w:t>
      </w:r>
      <w:r w:rsidR="00CA0BE6" w:rsidRPr="007F2BDD">
        <w:rPr>
          <w:iCs/>
        </w:rPr>
        <w:t xml:space="preserve"> </w:t>
      </w:r>
      <w:proofErr w:type="spellStart"/>
      <w:r w:rsidR="00CA0BE6" w:rsidRPr="007F2BDD">
        <w:rPr>
          <w:iCs/>
        </w:rPr>
        <w:t>Vaxigrip</w:t>
      </w:r>
      <w:proofErr w:type="spellEnd"/>
      <w:r w:rsidR="00CA0BE6" w:rsidRPr="007F2BDD">
        <w:rPr>
          <w:iCs/>
        </w:rPr>
        <w:t xml:space="preserve"> Tetra may be less effective than </w:t>
      </w:r>
      <w:proofErr w:type="spellStart"/>
      <w:r w:rsidR="00CA0BE6" w:rsidRPr="007F2BDD">
        <w:rPr>
          <w:iCs/>
        </w:rPr>
        <w:t>FluQuadri</w:t>
      </w:r>
      <w:proofErr w:type="spellEnd"/>
      <w:r w:rsidR="0029332D" w:rsidRPr="007F2BDD">
        <w:rPr>
          <w:iCs/>
        </w:rPr>
        <w:t xml:space="preserve">, </w:t>
      </w:r>
      <w:r w:rsidR="00FB5642" w:rsidRPr="007F2BDD">
        <w:rPr>
          <w:iCs/>
        </w:rPr>
        <w:t>but</w:t>
      </w:r>
      <w:r w:rsidR="00263409" w:rsidRPr="007F2BDD">
        <w:rPr>
          <w:iCs/>
        </w:rPr>
        <w:t xml:space="preserve"> </w:t>
      </w:r>
      <w:r w:rsidR="005D78DD" w:rsidRPr="007F2BDD">
        <w:rPr>
          <w:iCs/>
        </w:rPr>
        <w:t>on balance,</w:t>
      </w:r>
      <w:r w:rsidR="00CA0BE6" w:rsidRPr="007F2BDD">
        <w:rPr>
          <w:iCs/>
        </w:rPr>
        <w:t xml:space="preserve"> </w:t>
      </w:r>
      <w:r w:rsidR="0029332D" w:rsidRPr="007F2BDD">
        <w:rPr>
          <w:iCs/>
        </w:rPr>
        <w:t>it</w:t>
      </w:r>
      <w:r w:rsidR="00CA0BE6" w:rsidRPr="007F2BDD">
        <w:rPr>
          <w:iCs/>
        </w:rPr>
        <w:t xml:space="preserve"> </w:t>
      </w:r>
      <w:r w:rsidR="008D7F99" w:rsidRPr="007F2BDD">
        <w:rPr>
          <w:iCs/>
        </w:rPr>
        <w:t xml:space="preserve">had </w:t>
      </w:r>
      <w:r w:rsidR="00953DC0" w:rsidRPr="007F2BDD">
        <w:rPr>
          <w:iCs/>
        </w:rPr>
        <w:t>considered</w:t>
      </w:r>
      <w:r w:rsidR="002B189F" w:rsidRPr="007F2BDD">
        <w:rPr>
          <w:iCs/>
        </w:rPr>
        <w:t xml:space="preserve"> </w:t>
      </w:r>
      <w:proofErr w:type="spellStart"/>
      <w:r w:rsidR="0000520F" w:rsidRPr="007F2BDD">
        <w:rPr>
          <w:iCs/>
        </w:rPr>
        <w:t>Vaxigrip</w:t>
      </w:r>
      <w:proofErr w:type="spellEnd"/>
      <w:r w:rsidR="0000520F" w:rsidRPr="007F2BDD">
        <w:rPr>
          <w:iCs/>
        </w:rPr>
        <w:t xml:space="preserve"> Tetra to </w:t>
      </w:r>
      <w:r w:rsidR="0029332D" w:rsidRPr="007F2BDD">
        <w:rPr>
          <w:iCs/>
        </w:rPr>
        <w:t xml:space="preserve">be non-inferior to </w:t>
      </w:r>
      <w:proofErr w:type="spellStart"/>
      <w:r w:rsidR="0000520F" w:rsidRPr="007F2BDD">
        <w:rPr>
          <w:iCs/>
        </w:rPr>
        <w:t>FluQuadri</w:t>
      </w:r>
      <w:proofErr w:type="spellEnd"/>
      <w:r w:rsidR="005D78DD" w:rsidRPr="007F2BDD">
        <w:rPr>
          <w:iCs/>
          <w:vertAlign w:val="superscript"/>
        </w:rPr>
        <w:footnoteReference w:id="8"/>
      </w:r>
      <w:r w:rsidR="005D78DD" w:rsidRPr="007F2BDD">
        <w:rPr>
          <w:iCs/>
        </w:rPr>
        <w:t>.</w:t>
      </w:r>
      <w:r w:rsidR="008D7F99" w:rsidRPr="007F2BDD">
        <w:rPr>
          <w:iCs/>
        </w:rPr>
        <w:t xml:space="preserve"> </w:t>
      </w:r>
      <w:r w:rsidR="00FB5642" w:rsidRPr="007F2BDD">
        <w:rPr>
          <w:iCs/>
        </w:rPr>
        <w:t xml:space="preserve">Accordingly, </w:t>
      </w:r>
      <w:r w:rsidR="00CA0BE6" w:rsidRPr="007F2BDD">
        <w:rPr>
          <w:iCs/>
        </w:rPr>
        <w:t xml:space="preserve">the PBAC considered </w:t>
      </w:r>
      <w:r w:rsidR="008A4A97" w:rsidRPr="007F2BDD">
        <w:rPr>
          <w:iCs/>
        </w:rPr>
        <w:t xml:space="preserve">that </w:t>
      </w:r>
      <w:r w:rsidR="00FB5642" w:rsidRPr="007F2BDD">
        <w:rPr>
          <w:iCs/>
        </w:rPr>
        <w:t xml:space="preserve">the claim of </w:t>
      </w:r>
      <w:r w:rsidR="00CA0BE6" w:rsidRPr="007F2BDD">
        <w:rPr>
          <w:iCs/>
        </w:rPr>
        <w:t xml:space="preserve">non-inferior </w:t>
      </w:r>
      <w:r w:rsidR="00FB5642" w:rsidRPr="007F2BDD">
        <w:rPr>
          <w:iCs/>
        </w:rPr>
        <w:t xml:space="preserve">comparative effectiveness </w:t>
      </w:r>
      <w:r w:rsidR="00CA0BE6" w:rsidRPr="007F2BDD">
        <w:rPr>
          <w:iCs/>
        </w:rPr>
        <w:t xml:space="preserve">to </w:t>
      </w:r>
      <w:proofErr w:type="spellStart"/>
      <w:r w:rsidR="00CA0BE6" w:rsidRPr="007F2BDD">
        <w:rPr>
          <w:iCs/>
        </w:rPr>
        <w:t>Vaxigrip</w:t>
      </w:r>
      <w:proofErr w:type="spellEnd"/>
      <w:r w:rsidR="00CA0BE6" w:rsidRPr="007F2BDD">
        <w:rPr>
          <w:iCs/>
        </w:rPr>
        <w:t xml:space="preserve"> Tetra in </w:t>
      </w:r>
      <w:r w:rsidR="00FB5642" w:rsidRPr="007F2BDD">
        <w:rPr>
          <w:iCs/>
        </w:rPr>
        <w:t>healt</w:t>
      </w:r>
      <w:r w:rsidR="002C4912" w:rsidRPr="007F2BDD">
        <w:rPr>
          <w:iCs/>
        </w:rPr>
        <w:t>hy children aged 6 months to &lt;5 </w:t>
      </w:r>
      <w:r w:rsidR="00FB5642" w:rsidRPr="007F2BDD">
        <w:rPr>
          <w:iCs/>
        </w:rPr>
        <w:t>years was likely to be reasonable</w:t>
      </w:r>
      <w:r w:rsidR="00CA0BE6" w:rsidRPr="007F2BDD">
        <w:rPr>
          <w:iCs/>
        </w:rPr>
        <w:t xml:space="preserve">. </w:t>
      </w:r>
    </w:p>
    <w:p w:rsidR="00B00408" w:rsidRPr="007F2BDD" w:rsidRDefault="00DE1359" w:rsidP="005F43D9">
      <w:pPr>
        <w:pStyle w:val="3-BodyText"/>
        <w:rPr>
          <w:iCs/>
        </w:rPr>
      </w:pPr>
      <w:r w:rsidRPr="007F2BDD">
        <w:rPr>
          <w:iCs/>
        </w:rPr>
        <w:t xml:space="preserve">The PBAC </w:t>
      </w:r>
      <w:r w:rsidR="009D11BA" w:rsidRPr="007F2BDD">
        <w:rPr>
          <w:iCs/>
        </w:rPr>
        <w:t>noted ATAGI’s advice that the claims of non-inferiority and</w:t>
      </w:r>
      <w:r w:rsidRPr="007F2BDD">
        <w:rPr>
          <w:iCs/>
        </w:rPr>
        <w:t xml:space="preserve"> acceptable safety </w:t>
      </w:r>
      <w:r w:rsidR="009D11BA" w:rsidRPr="007F2BDD">
        <w:rPr>
          <w:iCs/>
        </w:rPr>
        <w:t xml:space="preserve">of </w:t>
      </w:r>
      <w:proofErr w:type="spellStart"/>
      <w:r w:rsidR="009D11BA" w:rsidRPr="007F2BDD">
        <w:rPr>
          <w:iCs/>
        </w:rPr>
        <w:t>Vaxigrip</w:t>
      </w:r>
      <w:proofErr w:type="spellEnd"/>
      <w:r w:rsidR="009D11BA" w:rsidRPr="007F2BDD">
        <w:rPr>
          <w:iCs/>
        </w:rPr>
        <w:t xml:space="preserve"> Tetra </w:t>
      </w:r>
      <w:r w:rsidR="00A546A5" w:rsidRPr="007F2BDD">
        <w:rPr>
          <w:iCs/>
        </w:rPr>
        <w:t xml:space="preserve">compared with </w:t>
      </w:r>
      <w:proofErr w:type="spellStart"/>
      <w:r w:rsidR="009D11BA" w:rsidRPr="007F2BDD">
        <w:rPr>
          <w:iCs/>
        </w:rPr>
        <w:t>FluQuadri</w:t>
      </w:r>
      <w:proofErr w:type="spellEnd"/>
      <w:r w:rsidR="009D11BA" w:rsidRPr="007F2BDD">
        <w:rPr>
          <w:iCs/>
        </w:rPr>
        <w:t xml:space="preserve"> were</w:t>
      </w:r>
      <w:r w:rsidRPr="007F2BDD">
        <w:rPr>
          <w:iCs/>
        </w:rPr>
        <w:t xml:space="preserve"> reasonable. </w:t>
      </w:r>
      <w:r w:rsidR="002C4912" w:rsidRPr="007F2BDD">
        <w:rPr>
          <w:iCs/>
        </w:rPr>
        <w:t>T</w:t>
      </w:r>
      <w:r w:rsidR="005A6FAA" w:rsidRPr="007F2BDD">
        <w:rPr>
          <w:iCs/>
        </w:rPr>
        <w:t xml:space="preserve">he PBAC considered the safety of </w:t>
      </w:r>
      <w:proofErr w:type="spellStart"/>
      <w:r w:rsidR="005A6FAA" w:rsidRPr="007F2BDD">
        <w:rPr>
          <w:iCs/>
        </w:rPr>
        <w:t>FluQuadri</w:t>
      </w:r>
      <w:proofErr w:type="spellEnd"/>
      <w:r w:rsidR="005A6FAA" w:rsidRPr="007F2BDD">
        <w:rPr>
          <w:iCs/>
        </w:rPr>
        <w:t xml:space="preserve"> was likely to be comparable to other QIVs</w:t>
      </w:r>
      <w:r w:rsidR="00F503DD" w:rsidRPr="007F2BDD">
        <w:rPr>
          <w:iCs/>
        </w:rPr>
        <w:t>, noting that the rates of adverse events were similar to those seen for other QIVs.</w:t>
      </w:r>
    </w:p>
    <w:p w:rsidR="00B00408" w:rsidRPr="007F2BDD" w:rsidRDefault="00A546A5" w:rsidP="005F43D9">
      <w:pPr>
        <w:pStyle w:val="3-BodyText"/>
        <w:rPr>
          <w:iCs/>
        </w:rPr>
      </w:pPr>
      <w:r w:rsidRPr="007F2BDD">
        <w:t xml:space="preserve">The PBAC accepted the cost-minimisation analysis presented in the PSCR for the healthy children population. The PBAC advised the </w:t>
      </w:r>
      <w:r w:rsidRPr="007F2BDD">
        <w:rPr>
          <w:snapToGrid w:val="0"/>
        </w:rPr>
        <w:t xml:space="preserve">equi-effective doses for this population should be one dose of </w:t>
      </w:r>
      <w:proofErr w:type="spellStart"/>
      <w:r w:rsidRPr="007F2BDD">
        <w:rPr>
          <w:snapToGrid w:val="0"/>
        </w:rPr>
        <w:t>FluQuadri</w:t>
      </w:r>
      <w:proofErr w:type="spellEnd"/>
      <w:r w:rsidRPr="007F2BDD">
        <w:rPr>
          <w:snapToGrid w:val="0"/>
        </w:rPr>
        <w:t xml:space="preserve"> 0.5 mL and one dose of </w:t>
      </w:r>
      <w:proofErr w:type="spellStart"/>
      <w:r w:rsidRPr="007F2BDD">
        <w:rPr>
          <w:snapToGrid w:val="0"/>
        </w:rPr>
        <w:t>Vaxigrip</w:t>
      </w:r>
      <w:proofErr w:type="spellEnd"/>
      <w:r w:rsidRPr="007F2BDD">
        <w:rPr>
          <w:snapToGrid w:val="0"/>
        </w:rPr>
        <w:t xml:space="preserve"> Tetra 0.5 </w:t>
      </w:r>
      <w:proofErr w:type="spellStart"/>
      <w:r w:rsidRPr="007F2BDD">
        <w:rPr>
          <w:snapToGrid w:val="0"/>
        </w:rPr>
        <w:t>mL.</w:t>
      </w:r>
      <w:proofErr w:type="spellEnd"/>
    </w:p>
    <w:p w:rsidR="00BF11D5" w:rsidRPr="007F2BDD" w:rsidRDefault="00BF11D5" w:rsidP="005F43D9">
      <w:pPr>
        <w:pStyle w:val="3-BodyText"/>
        <w:rPr>
          <w:iCs/>
        </w:rPr>
      </w:pPr>
      <w:r w:rsidRPr="007F2BDD">
        <w:t>The PBAC recalled ATAGI</w:t>
      </w:r>
      <w:r w:rsidR="00A07D37" w:rsidRPr="007F2BDD">
        <w:t>’s</w:t>
      </w:r>
      <w:r w:rsidR="00533973" w:rsidRPr="007F2BDD">
        <w:t xml:space="preserve"> </w:t>
      </w:r>
      <w:r w:rsidR="00A07D37" w:rsidRPr="007F2BDD">
        <w:t>advice</w:t>
      </w:r>
      <w:r w:rsidR="00533973" w:rsidRPr="007F2BDD">
        <w:rPr>
          <w:rStyle w:val="FootnoteReference"/>
        </w:rPr>
        <w:footnoteReference w:id="9"/>
      </w:r>
      <w:r w:rsidRPr="007F2BDD">
        <w:t xml:space="preserve"> that </w:t>
      </w:r>
      <w:r w:rsidR="00F107A9" w:rsidRPr="007F2BDD">
        <w:t xml:space="preserve">ongoing </w:t>
      </w:r>
      <w:r w:rsidRPr="007F2BDD">
        <w:t xml:space="preserve">safety surveillance </w:t>
      </w:r>
      <w:r w:rsidR="0057392D" w:rsidRPr="007F2BDD">
        <w:t xml:space="preserve">through </w:t>
      </w:r>
      <w:proofErr w:type="spellStart"/>
      <w:r w:rsidRPr="007F2BDD">
        <w:t>AusVaxSafety</w:t>
      </w:r>
      <w:proofErr w:type="spellEnd"/>
      <w:r w:rsidR="00F107A9" w:rsidRPr="007F2BDD">
        <w:t xml:space="preserve"> is warranted</w:t>
      </w:r>
      <w:r w:rsidR="0057392D" w:rsidRPr="007F2BDD">
        <w:t xml:space="preserve"> </w:t>
      </w:r>
      <w:r w:rsidRPr="007F2BDD">
        <w:t>to ensure the safety and effectiveness</w:t>
      </w:r>
      <w:r w:rsidR="00FB439A" w:rsidRPr="007F2BDD">
        <w:t xml:space="preserve"> of </w:t>
      </w:r>
      <w:proofErr w:type="spellStart"/>
      <w:r w:rsidRPr="007F2BDD">
        <w:t>Vaxigrip</w:t>
      </w:r>
      <w:proofErr w:type="spellEnd"/>
      <w:r w:rsidRPr="007F2BDD">
        <w:t xml:space="preserve"> Tetra</w:t>
      </w:r>
      <w:r w:rsidR="00991D44" w:rsidRPr="007F2BDD">
        <w:t xml:space="preserve">. The PBAC noted </w:t>
      </w:r>
      <w:r w:rsidR="00A07D37" w:rsidRPr="007F2BDD">
        <w:t xml:space="preserve">that the </w:t>
      </w:r>
      <w:r w:rsidRPr="007F2BDD">
        <w:rPr>
          <w:iCs/>
        </w:rPr>
        <w:t xml:space="preserve">Sponsor agreed to work with </w:t>
      </w:r>
      <w:proofErr w:type="spellStart"/>
      <w:r w:rsidRPr="007F2BDD">
        <w:t>AusVaxSafety</w:t>
      </w:r>
      <w:proofErr w:type="spellEnd"/>
      <w:r w:rsidRPr="007F2BDD">
        <w:rPr>
          <w:iCs/>
        </w:rPr>
        <w:t xml:space="preserve"> </w:t>
      </w:r>
      <w:r w:rsidR="00991D44" w:rsidRPr="007F2BDD">
        <w:rPr>
          <w:iCs/>
        </w:rPr>
        <w:t>to include this population</w:t>
      </w:r>
      <w:r w:rsidRPr="007F2BDD">
        <w:t xml:space="preserve">. </w:t>
      </w:r>
    </w:p>
    <w:p w:rsidR="009879DE" w:rsidRPr="007F2BDD" w:rsidRDefault="00176BD0" w:rsidP="005F43D9">
      <w:pPr>
        <w:pStyle w:val="3-BodyText"/>
        <w:rPr>
          <w:iCs/>
        </w:rPr>
      </w:pPr>
      <w:r w:rsidRPr="007F2BDD">
        <w:t xml:space="preserve">The PBAC </w:t>
      </w:r>
      <w:r w:rsidR="00A07D37" w:rsidRPr="007F2BDD">
        <w:t xml:space="preserve">considered </w:t>
      </w:r>
      <w:r w:rsidRPr="007F2BDD">
        <w:t xml:space="preserve">that </w:t>
      </w:r>
      <w:r w:rsidR="00A07D37" w:rsidRPr="007F2BDD">
        <w:t xml:space="preserve">use of </w:t>
      </w:r>
      <w:proofErr w:type="spellStart"/>
      <w:r w:rsidRPr="007F2BDD">
        <w:t>FluQuadri</w:t>
      </w:r>
      <w:proofErr w:type="spellEnd"/>
      <w:r w:rsidRPr="007F2BDD">
        <w:t xml:space="preserve"> would </w:t>
      </w:r>
      <w:r w:rsidR="00A07D37" w:rsidRPr="007F2BDD">
        <w:t xml:space="preserve">directly </w:t>
      </w:r>
      <w:r w:rsidRPr="007F2BDD">
        <w:t>substitute</w:t>
      </w:r>
      <w:r w:rsidR="00A07D37" w:rsidRPr="007F2BDD">
        <w:t xml:space="preserve"> for use of </w:t>
      </w:r>
      <w:proofErr w:type="spellStart"/>
      <w:r w:rsidR="00A07D37" w:rsidRPr="007F2BDD">
        <w:t>Vaxigrip</w:t>
      </w:r>
      <w:proofErr w:type="spellEnd"/>
      <w:r w:rsidR="00A07D37" w:rsidRPr="007F2BDD">
        <w:t xml:space="preserve"> Tetra</w:t>
      </w:r>
      <w:r w:rsidRPr="007F2BDD">
        <w:t xml:space="preserve">, </w:t>
      </w:r>
      <w:r w:rsidR="00A07D37" w:rsidRPr="007F2BDD">
        <w:t>resulting</w:t>
      </w:r>
      <w:r w:rsidRPr="007F2BDD">
        <w:t xml:space="preserve"> in a zero net cost to the NIP</w:t>
      </w:r>
      <w:r w:rsidR="007F2BDD">
        <w:t xml:space="preserve">. </w:t>
      </w:r>
    </w:p>
    <w:p w:rsidR="00B00408" w:rsidRPr="007F2BDD" w:rsidRDefault="00B00408" w:rsidP="005F43D9">
      <w:pPr>
        <w:pStyle w:val="3-BodyText"/>
        <w:rPr>
          <w:iCs/>
        </w:rPr>
      </w:pPr>
      <w:r w:rsidRPr="007F2BDD">
        <w:lastRenderedPageBreak/>
        <w:t>The PBAC noted the benefit of having a second QIV formulation available for this population on the NIP.</w:t>
      </w:r>
    </w:p>
    <w:p w:rsidR="00B24746" w:rsidRPr="007F2BDD" w:rsidRDefault="00B24746" w:rsidP="005F43D9">
      <w:pPr>
        <w:pStyle w:val="3-BodyText"/>
        <w:rPr>
          <w:snapToGrid w:val="0"/>
        </w:rPr>
      </w:pPr>
      <w:r w:rsidRPr="007F2BDD">
        <w:rPr>
          <w:snapToGrid w:val="0"/>
        </w:rPr>
        <w:t xml:space="preserve">The PBAC </w:t>
      </w:r>
      <w:r w:rsidR="00A8061E" w:rsidRPr="007F2BDD">
        <w:rPr>
          <w:snapToGrid w:val="0"/>
        </w:rPr>
        <w:t xml:space="preserve">noted </w:t>
      </w:r>
      <w:r w:rsidRPr="007F2BDD">
        <w:rPr>
          <w:snapToGrid w:val="0"/>
        </w:rPr>
        <w:t xml:space="preserve">that the submission did not seek ATAGI pre-submission advice for </w:t>
      </w:r>
      <w:r w:rsidR="00A07D37" w:rsidRPr="007F2BDD">
        <w:rPr>
          <w:snapToGrid w:val="0"/>
        </w:rPr>
        <w:t>this submission</w:t>
      </w:r>
      <w:r w:rsidRPr="007F2BDD">
        <w:rPr>
          <w:snapToGrid w:val="0"/>
        </w:rPr>
        <w:t xml:space="preserve">, providing instead the </w:t>
      </w:r>
      <w:r w:rsidRPr="007F2BDD">
        <w:rPr>
          <w:rFonts w:asciiTheme="minorHAnsi" w:hAnsiTheme="minorHAnsi"/>
          <w:bCs/>
        </w:rPr>
        <w:t>October 2018 Pre-</w:t>
      </w:r>
      <w:r w:rsidR="001D10DF" w:rsidRPr="007F2BDD">
        <w:rPr>
          <w:rFonts w:asciiTheme="minorHAnsi" w:hAnsiTheme="minorHAnsi"/>
          <w:bCs/>
        </w:rPr>
        <w:t>S</w:t>
      </w:r>
      <w:r w:rsidRPr="007F2BDD">
        <w:rPr>
          <w:rFonts w:asciiTheme="minorHAnsi" w:hAnsiTheme="minorHAnsi"/>
          <w:bCs/>
        </w:rPr>
        <w:t xml:space="preserve">ubmission </w:t>
      </w:r>
      <w:r w:rsidR="001D10DF" w:rsidRPr="007F2BDD">
        <w:rPr>
          <w:rFonts w:asciiTheme="minorHAnsi" w:hAnsiTheme="minorHAnsi"/>
          <w:bCs/>
        </w:rPr>
        <w:t>A</w:t>
      </w:r>
      <w:r w:rsidRPr="007F2BDD">
        <w:rPr>
          <w:rFonts w:asciiTheme="minorHAnsi" w:hAnsiTheme="minorHAnsi"/>
          <w:bCs/>
        </w:rPr>
        <w:t>dvice</w:t>
      </w:r>
      <w:r w:rsidRPr="007F2BDD">
        <w:rPr>
          <w:snapToGrid w:val="0"/>
        </w:rPr>
        <w:t xml:space="preserve"> for </w:t>
      </w:r>
      <w:proofErr w:type="spellStart"/>
      <w:r w:rsidRPr="007F2BDD">
        <w:rPr>
          <w:snapToGrid w:val="0"/>
        </w:rPr>
        <w:t>Vaxigrip</w:t>
      </w:r>
      <w:proofErr w:type="spellEnd"/>
      <w:r w:rsidRPr="007F2BDD">
        <w:rPr>
          <w:snapToGrid w:val="0"/>
        </w:rPr>
        <w:t xml:space="preserve"> Tetra that was considered by PBAC</w:t>
      </w:r>
      <w:r w:rsidR="002C4912" w:rsidRPr="007F2BDD">
        <w:rPr>
          <w:snapToGrid w:val="0"/>
        </w:rPr>
        <w:t xml:space="preserve"> for the same population</w:t>
      </w:r>
      <w:r w:rsidRPr="007F2BDD">
        <w:rPr>
          <w:snapToGrid w:val="0"/>
        </w:rPr>
        <w:t xml:space="preserve"> in July 2019. </w:t>
      </w:r>
      <w:r w:rsidR="00A8061E" w:rsidRPr="007F2BDD">
        <w:rPr>
          <w:snapToGrid w:val="0"/>
        </w:rPr>
        <w:t xml:space="preserve">The </w:t>
      </w:r>
      <w:r w:rsidR="00284863" w:rsidRPr="007F2BDD">
        <w:rPr>
          <w:snapToGrid w:val="0"/>
        </w:rPr>
        <w:t xml:space="preserve">PBAC considered that the </w:t>
      </w:r>
      <w:proofErr w:type="spellStart"/>
      <w:r w:rsidR="00284863" w:rsidRPr="007F2BDD">
        <w:rPr>
          <w:snapToGrid w:val="0"/>
        </w:rPr>
        <w:t>Vaxigrip</w:t>
      </w:r>
      <w:proofErr w:type="spellEnd"/>
      <w:r w:rsidR="00284863" w:rsidRPr="007F2BDD">
        <w:rPr>
          <w:snapToGrid w:val="0"/>
        </w:rPr>
        <w:t xml:space="preserve"> Tetra ATAGI advice was of relevance as the ESC had noted the </w:t>
      </w:r>
      <w:r w:rsidR="00284863" w:rsidRPr="007F2BDD">
        <w:rPr>
          <w:snapToGrid w:val="0"/>
          <w:shd w:val="clear" w:color="auto" w:fill="FFFFFF" w:themeFill="background1"/>
        </w:rPr>
        <w:t>similarity</w:t>
      </w:r>
      <w:r w:rsidR="00A8061E" w:rsidRPr="007F2BDD">
        <w:rPr>
          <w:snapToGrid w:val="0"/>
          <w:shd w:val="clear" w:color="auto" w:fill="FFFFFF" w:themeFill="background1"/>
        </w:rPr>
        <w:t xml:space="preserve"> between</w:t>
      </w:r>
      <w:r w:rsidR="00A8061E" w:rsidRPr="007F2BDD">
        <w:rPr>
          <w:snapToGrid w:val="0"/>
        </w:rPr>
        <w:t xml:space="preserve"> the vaccines; that the submission was for a vaccine previously considered by the PBAC and for an already recommended NIP population; and that it had considered the relevant data and ATAGI advice previously. In addition,</w:t>
      </w:r>
      <w:r w:rsidR="00743DFE" w:rsidRPr="007F2BDD">
        <w:rPr>
          <w:snapToGrid w:val="0"/>
        </w:rPr>
        <w:t xml:space="preserve"> t</w:t>
      </w:r>
      <w:r w:rsidRPr="007F2BDD">
        <w:rPr>
          <w:snapToGrid w:val="0"/>
        </w:rPr>
        <w:t>he PBAC noted the ATAGI post</w:t>
      </w:r>
      <w:r w:rsidR="00743DFE" w:rsidRPr="007F2BDD">
        <w:rPr>
          <w:snapToGrid w:val="0"/>
        </w:rPr>
        <w:t>-</w:t>
      </w:r>
      <w:r w:rsidRPr="007F2BDD">
        <w:rPr>
          <w:snapToGrid w:val="0"/>
        </w:rPr>
        <w:t xml:space="preserve">submission advice </w:t>
      </w:r>
      <w:r w:rsidR="00A07D37" w:rsidRPr="007F2BDD">
        <w:rPr>
          <w:snapToGrid w:val="0"/>
        </w:rPr>
        <w:t xml:space="preserve">provided for this submission </w:t>
      </w:r>
      <w:r w:rsidRPr="007F2BDD">
        <w:rPr>
          <w:snapToGrid w:val="0"/>
        </w:rPr>
        <w:t xml:space="preserve">was supportive of extending the </w:t>
      </w:r>
      <w:r w:rsidR="00991D44" w:rsidRPr="007F2BDD">
        <w:rPr>
          <w:snapToGrid w:val="0"/>
        </w:rPr>
        <w:t xml:space="preserve">NIP </w:t>
      </w:r>
      <w:r w:rsidRPr="007F2BDD">
        <w:rPr>
          <w:snapToGrid w:val="0"/>
        </w:rPr>
        <w:t xml:space="preserve">listing of </w:t>
      </w:r>
      <w:proofErr w:type="spellStart"/>
      <w:r w:rsidRPr="007F2BDD">
        <w:rPr>
          <w:snapToGrid w:val="0"/>
        </w:rPr>
        <w:t>FluQuadri</w:t>
      </w:r>
      <w:proofErr w:type="spellEnd"/>
      <w:r w:rsidRPr="007F2BDD">
        <w:rPr>
          <w:snapToGrid w:val="0"/>
        </w:rPr>
        <w:t xml:space="preserve"> in both </w:t>
      </w:r>
      <w:r w:rsidR="00A07D37" w:rsidRPr="007F2BDD">
        <w:rPr>
          <w:snapToGrid w:val="0"/>
        </w:rPr>
        <w:t xml:space="preserve">proposed </w:t>
      </w:r>
      <w:r w:rsidRPr="007F2BDD">
        <w:rPr>
          <w:snapToGrid w:val="0"/>
        </w:rPr>
        <w:t>populations</w:t>
      </w:r>
      <w:r w:rsidRPr="007F2BDD">
        <w:rPr>
          <w:rStyle w:val="FootnoteReference"/>
          <w:snapToGrid w:val="0"/>
        </w:rPr>
        <w:footnoteReference w:id="10"/>
      </w:r>
      <w:r w:rsidRPr="007F2BDD">
        <w:rPr>
          <w:snapToGrid w:val="0"/>
        </w:rPr>
        <w:t>.</w:t>
      </w:r>
    </w:p>
    <w:p w:rsidR="00E23BC1" w:rsidRPr="007F2BDD" w:rsidRDefault="0056124A" w:rsidP="005F43D9">
      <w:pPr>
        <w:pStyle w:val="3-BodyText"/>
        <w:rPr>
          <w:rFonts w:asciiTheme="minorHAnsi" w:hAnsiTheme="minorHAnsi"/>
          <w:bCs/>
          <w:i/>
          <w:snapToGrid w:val="0"/>
        </w:rPr>
      </w:pPr>
      <w:r w:rsidRPr="007F2BDD">
        <w:rPr>
          <w:snapToGrid w:val="0"/>
        </w:rPr>
        <w:t>The PB</w:t>
      </w:r>
      <w:r w:rsidR="00E23BC1" w:rsidRPr="007F2BDD">
        <w:rPr>
          <w:snapToGrid w:val="0"/>
        </w:rPr>
        <w:t>AC noted that this submission</w:t>
      </w:r>
      <w:r w:rsidR="003377A8" w:rsidRPr="007F2BDD">
        <w:rPr>
          <w:snapToGrid w:val="0"/>
        </w:rPr>
        <w:t xml:space="preserve"> </w:t>
      </w:r>
      <w:r w:rsidRPr="007F2BDD">
        <w:rPr>
          <w:snapToGrid w:val="0"/>
        </w:rPr>
        <w:t>is not eligible for an Independent Review</w:t>
      </w:r>
      <w:r w:rsidR="00E23BC1" w:rsidRPr="007F2BDD">
        <w:rPr>
          <w:snapToGrid w:val="0"/>
        </w:rPr>
        <w:t xml:space="preserve"> because </w:t>
      </w:r>
      <w:r w:rsidR="003377A8" w:rsidRPr="007F2BDD">
        <w:rPr>
          <w:rFonts w:asciiTheme="minorHAnsi" w:hAnsiTheme="minorHAnsi"/>
          <w:bCs/>
          <w:snapToGrid w:val="0"/>
        </w:rPr>
        <w:t xml:space="preserve">it is only relevant </w:t>
      </w:r>
      <w:r w:rsidR="00743DFE" w:rsidRPr="007F2BDD">
        <w:rPr>
          <w:rFonts w:asciiTheme="minorHAnsi" w:hAnsiTheme="minorHAnsi"/>
          <w:bCs/>
          <w:snapToGrid w:val="0"/>
        </w:rPr>
        <w:t>to submissions relating to the</w:t>
      </w:r>
      <w:r w:rsidR="003377A8" w:rsidRPr="007F2BDD">
        <w:rPr>
          <w:rFonts w:asciiTheme="minorHAnsi" w:hAnsiTheme="minorHAnsi"/>
          <w:bCs/>
          <w:snapToGrid w:val="0"/>
        </w:rPr>
        <w:t xml:space="preserve"> PBS.</w:t>
      </w:r>
      <w:r w:rsidR="003377A8" w:rsidRPr="007F2BDD">
        <w:rPr>
          <w:snapToGrid w:val="0"/>
        </w:rPr>
        <w:t xml:space="preserve"> </w:t>
      </w:r>
    </w:p>
    <w:p w:rsidR="0056124A" w:rsidRPr="001A185D" w:rsidRDefault="0056124A" w:rsidP="001A185D">
      <w:pPr>
        <w:rPr>
          <w:b/>
        </w:rPr>
      </w:pPr>
      <w:r w:rsidRPr="001A185D">
        <w:rPr>
          <w:b/>
        </w:rPr>
        <w:t>Outcome:</w:t>
      </w:r>
    </w:p>
    <w:p w:rsidR="006F623B" w:rsidRPr="00CE24C5" w:rsidRDefault="0056124A" w:rsidP="005F43D9">
      <w:pPr>
        <w:jc w:val="both"/>
        <w:rPr>
          <w:rFonts w:asciiTheme="minorHAnsi" w:hAnsiTheme="minorHAnsi"/>
          <w:bCs/>
          <w:snapToGrid w:val="0"/>
        </w:rPr>
      </w:pPr>
      <w:r w:rsidRPr="007F2BDD">
        <w:rPr>
          <w:rFonts w:asciiTheme="minorHAnsi" w:hAnsiTheme="minorHAnsi"/>
          <w:bCs/>
          <w:snapToGrid w:val="0"/>
        </w:rPr>
        <w:t>Recommended</w:t>
      </w:r>
    </w:p>
    <w:p w:rsidR="0056124A" w:rsidRPr="007F2BDD" w:rsidRDefault="0056124A" w:rsidP="005F43D9">
      <w:pPr>
        <w:pStyle w:val="2-SectionHeading"/>
        <w:rPr>
          <w:i/>
        </w:rPr>
      </w:pPr>
      <w:r w:rsidRPr="007F2BDD">
        <w:t>Recommended listing</w:t>
      </w:r>
    </w:p>
    <w:p w:rsidR="006D6308" w:rsidRDefault="005C0421" w:rsidP="005F43D9">
      <w:pPr>
        <w:pStyle w:val="3-BodyText"/>
        <w:rPr>
          <w:rFonts w:asciiTheme="minorHAnsi" w:hAnsiTheme="minorHAnsi"/>
          <w:bCs/>
          <w:snapToGrid w:val="0"/>
        </w:rPr>
      </w:pPr>
      <w:r w:rsidRPr="007F2BDD">
        <w:rPr>
          <w:rFonts w:asciiTheme="minorHAnsi" w:hAnsiTheme="minorHAnsi"/>
          <w:bCs/>
          <w:snapToGrid w:val="0"/>
        </w:rPr>
        <w:t>Amend existing listing on the NIP as follows</w:t>
      </w:r>
      <w:r w:rsidR="004131E9" w:rsidRPr="007F2BDD">
        <w:rPr>
          <w:rFonts w:asciiTheme="minorHAnsi" w:hAnsiTheme="minorHAnsi"/>
          <w:bCs/>
          <w:snapToGrid w:val="0"/>
        </w:rPr>
        <w:t xml:space="preserve"> (</w:t>
      </w:r>
      <w:r w:rsidR="004131E9" w:rsidRPr="007F2BDD">
        <w:t>additions in italics, deletions in strikethrough)</w:t>
      </w:r>
      <w:r w:rsidR="0056124A" w:rsidRPr="007F2BDD">
        <w:rPr>
          <w:rFonts w:asciiTheme="minorHAnsi" w:hAnsiTheme="minorHAnsi"/>
          <w:bCs/>
          <w:snapToGrid w:val="0"/>
        </w:rPr>
        <w:t>:</w:t>
      </w:r>
    </w:p>
    <w:p w:rsidR="006D6308" w:rsidRDefault="006D6308">
      <w:pPr>
        <w:rPr>
          <w:rFonts w:asciiTheme="minorHAnsi" w:hAnsiTheme="minorHAnsi"/>
          <w:bCs/>
          <w:snapToGrid w:val="0"/>
        </w:rPr>
      </w:pPr>
      <w:r>
        <w:rPr>
          <w:rFonts w:asciiTheme="minorHAnsi" w:hAnsiTheme="minorHAnsi"/>
          <w:bCs/>
          <w:snapToGrid w:val="0"/>
        </w:rPr>
        <w:br w:type="page"/>
      </w:r>
    </w:p>
    <w:tbl>
      <w:tblPr>
        <w:tblW w:w="5000" w:type="pct"/>
        <w:tblCellMar>
          <w:left w:w="28" w:type="dxa"/>
          <w:right w:w="28" w:type="dxa"/>
        </w:tblCellMar>
        <w:tblLook w:val="04A0" w:firstRow="1" w:lastRow="0" w:firstColumn="1" w:lastColumn="0" w:noHBand="0" w:noVBand="1"/>
      </w:tblPr>
      <w:tblGrid>
        <w:gridCol w:w="2266"/>
        <w:gridCol w:w="1136"/>
        <w:gridCol w:w="1094"/>
        <w:gridCol w:w="850"/>
        <w:gridCol w:w="657"/>
        <w:gridCol w:w="3024"/>
      </w:tblGrid>
      <w:tr w:rsidR="00131F7E" w:rsidRPr="00957E0A" w:rsidTr="00957E0A">
        <w:trPr>
          <w:cantSplit/>
        </w:trPr>
        <w:tc>
          <w:tcPr>
            <w:tcW w:w="1884" w:type="pct"/>
            <w:gridSpan w:val="2"/>
            <w:tcBorders>
              <w:top w:val="single" w:sz="4" w:space="0" w:color="auto"/>
              <w:left w:val="nil"/>
              <w:bottom w:val="single" w:sz="4" w:space="0" w:color="auto"/>
              <w:right w:val="nil"/>
            </w:tcBorders>
            <w:vAlign w:val="center"/>
            <w:hideMark/>
          </w:tcPr>
          <w:p w:rsidR="00131F7E" w:rsidRPr="00957E0A" w:rsidRDefault="00131F7E" w:rsidP="005F43D9">
            <w:pPr>
              <w:keepNext/>
              <w:snapToGrid w:val="0"/>
              <w:rPr>
                <w:rFonts w:ascii="Arial Narrow" w:hAnsi="Arial Narrow"/>
                <w:b/>
                <w:sz w:val="20"/>
                <w:szCs w:val="20"/>
              </w:rPr>
            </w:pPr>
            <w:r w:rsidRPr="00957E0A">
              <w:rPr>
                <w:rFonts w:ascii="Arial Narrow" w:hAnsi="Arial Narrow"/>
                <w:b/>
                <w:sz w:val="20"/>
                <w:szCs w:val="20"/>
              </w:rPr>
              <w:lastRenderedPageBreak/>
              <w:t>Name, Restriction,</w:t>
            </w:r>
          </w:p>
          <w:p w:rsidR="00131F7E" w:rsidRPr="00957E0A" w:rsidRDefault="00131F7E" w:rsidP="005F43D9">
            <w:pPr>
              <w:keepNext/>
              <w:snapToGrid w:val="0"/>
              <w:rPr>
                <w:rFonts w:ascii="Arial Narrow" w:hAnsi="Arial Narrow"/>
                <w:b/>
                <w:sz w:val="20"/>
                <w:szCs w:val="20"/>
              </w:rPr>
            </w:pPr>
            <w:r w:rsidRPr="00957E0A">
              <w:rPr>
                <w:rFonts w:ascii="Arial Narrow" w:hAnsi="Arial Narrow"/>
                <w:b/>
                <w:sz w:val="20"/>
                <w:szCs w:val="20"/>
              </w:rPr>
              <w:t>Manner of administration and form</w:t>
            </w:r>
          </w:p>
        </w:tc>
        <w:tc>
          <w:tcPr>
            <w:tcW w:w="606" w:type="pct"/>
            <w:tcBorders>
              <w:top w:val="single" w:sz="4" w:space="0" w:color="auto"/>
              <w:left w:val="nil"/>
              <w:bottom w:val="single" w:sz="4" w:space="0" w:color="auto"/>
              <w:right w:val="nil"/>
            </w:tcBorders>
            <w:vAlign w:val="center"/>
          </w:tcPr>
          <w:p w:rsidR="00131F7E" w:rsidRPr="00957E0A" w:rsidRDefault="00131F7E" w:rsidP="005F43D9">
            <w:pPr>
              <w:keepNext/>
              <w:snapToGrid w:val="0"/>
              <w:jc w:val="center"/>
              <w:rPr>
                <w:rFonts w:ascii="Arial Narrow" w:hAnsi="Arial Narrow"/>
                <w:b/>
                <w:sz w:val="20"/>
                <w:szCs w:val="20"/>
              </w:rPr>
            </w:pPr>
          </w:p>
        </w:tc>
        <w:tc>
          <w:tcPr>
            <w:tcW w:w="471" w:type="pct"/>
            <w:tcBorders>
              <w:top w:val="single" w:sz="4" w:space="0" w:color="auto"/>
              <w:left w:val="nil"/>
              <w:bottom w:val="single" w:sz="4" w:space="0" w:color="auto"/>
              <w:right w:val="nil"/>
            </w:tcBorders>
            <w:vAlign w:val="center"/>
          </w:tcPr>
          <w:p w:rsidR="00131F7E" w:rsidRPr="00957E0A" w:rsidRDefault="00131F7E" w:rsidP="005F43D9">
            <w:pPr>
              <w:keepNext/>
              <w:snapToGrid w:val="0"/>
              <w:jc w:val="center"/>
              <w:rPr>
                <w:rFonts w:ascii="Arial Narrow" w:hAnsi="Arial Narrow"/>
                <w:b/>
                <w:sz w:val="20"/>
                <w:szCs w:val="20"/>
              </w:rPr>
            </w:pPr>
          </w:p>
        </w:tc>
        <w:tc>
          <w:tcPr>
            <w:tcW w:w="2039" w:type="pct"/>
            <w:gridSpan w:val="2"/>
            <w:tcBorders>
              <w:top w:val="single" w:sz="4" w:space="0" w:color="auto"/>
              <w:left w:val="nil"/>
              <w:bottom w:val="single" w:sz="4" w:space="0" w:color="auto"/>
              <w:right w:val="nil"/>
            </w:tcBorders>
            <w:vAlign w:val="center"/>
            <w:hideMark/>
          </w:tcPr>
          <w:p w:rsidR="00131F7E" w:rsidRPr="00957E0A" w:rsidRDefault="00131F7E" w:rsidP="005F43D9">
            <w:pPr>
              <w:keepNext/>
              <w:snapToGrid w:val="0"/>
              <w:jc w:val="center"/>
              <w:rPr>
                <w:rFonts w:ascii="Arial Narrow" w:hAnsi="Arial Narrow"/>
                <w:b/>
                <w:sz w:val="20"/>
                <w:szCs w:val="20"/>
              </w:rPr>
            </w:pPr>
            <w:r w:rsidRPr="00957E0A">
              <w:rPr>
                <w:rFonts w:ascii="Arial Narrow" w:hAnsi="Arial Narrow"/>
                <w:b/>
                <w:sz w:val="20"/>
                <w:szCs w:val="20"/>
              </w:rPr>
              <w:t>Proprietary Name and Manufacturer</w:t>
            </w:r>
          </w:p>
        </w:tc>
      </w:tr>
      <w:tr w:rsidR="00131F7E" w:rsidRPr="00957E0A" w:rsidTr="00957E0A">
        <w:trPr>
          <w:cantSplit/>
        </w:trPr>
        <w:tc>
          <w:tcPr>
            <w:tcW w:w="1884" w:type="pct"/>
            <w:gridSpan w:val="2"/>
            <w:vAlign w:val="center"/>
            <w:hideMark/>
          </w:tcPr>
          <w:p w:rsidR="00131F7E" w:rsidRPr="00957E0A" w:rsidRDefault="00131F7E" w:rsidP="005F43D9">
            <w:pPr>
              <w:rPr>
                <w:rFonts w:ascii="Arial Narrow" w:hAnsi="Arial Narrow" w:cs="Times New Roman"/>
                <w:sz w:val="20"/>
                <w:szCs w:val="20"/>
              </w:rPr>
            </w:pPr>
            <w:r w:rsidRPr="00957E0A">
              <w:rPr>
                <w:rFonts w:ascii="Arial Narrow" w:hAnsi="Arial Narrow" w:cs="Times New Roman"/>
                <w:sz w:val="20"/>
                <w:szCs w:val="20"/>
              </w:rPr>
              <w:t xml:space="preserve">Inactivated </w:t>
            </w:r>
            <w:proofErr w:type="spellStart"/>
            <w:r w:rsidRPr="00957E0A">
              <w:rPr>
                <w:rFonts w:ascii="Arial Narrow" w:hAnsi="Arial Narrow" w:cs="Times New Roman"/>
                <w:sz w:val="20"/>
                <w:szCs w:val="20"/>
              </w:rPr>
              <w:t>Quadrivalent</w:t>
            </w:r>
            <w:proofErr w:type="spellEnd"/>
            <w:r w:rsidRPr="00957E0A">
              <w:rPr>
                <w:rFonts w:ascii="Arial Narrow" w:hAnsi="Arial Narrow" w:cs="Times New Roman"/>
                <w:sz w:val="20"/>
                <w:szCs w:val="20"/>
              </w:rPr>
              <w:t xml:space="preserve"> Influenza Vaccine (split </w:t>
            </w:r>
            <w:proofErr w:type="spellStart"/>
            <w:r w:rsidRPr="00957E0A">
              <w:rPr>
                <w:rFonts w:ascii="Arial Narrow" w:hAnsi="Arial Narrow" w:cs="Times New Roman"/>
                <w:sz w:val="20"/>
                <w:szCs w:val="20"/>
              </w:rPr>
              <w:t>virion</w:t>
            </w:r>
            <w:proofErr w:type="spellEnd"/>
            <w:r w:rsidRPr="00957E0A">
              <w:rPr>
                <w:rFonts w:ascii="Arial Narrow" w:hAnsi="Arial Narrow" w:cs="Times New Roman"/>
                <w:sz w:val="20"/>
                <w:szCs w:val="20"/>
              </w:rPr>
              <w:t>)</w:t>
            </w:r>
          </w:p>
          <w:p w:rsidR="00131F7E" w:rsidRPr="00957E0A" w:rsidRDefault="00131F7E" w:rsidP="005F43D9">
            <w:pPr>
              <w:rPr>
                <w:rFonts w:ascii="Arial Narrow" w:hAnsi="Arial Narrow" w:cs="Times New Roman"/>
                <w:sz w:val="20"/>
                <w:szCs w:val="20"/>
              </w:rPr>
            </w:pPr>
            <w:r w:rsidRPr="00957E0A">
              <w:rPr>
                <w:rFonts w:ascii="Arial Narrow" w:hAnsi="Arial Narrow" w:cs="Times New Roman"/>
                <w:sz w:val="20"/>
                <w:szCs w:val="20"/>
              </w:rPr>
              <w:t>Injection</w:t>
            </w:r>
            <w:r w:rsidR="00957E0A">
              <w:rPr>
                <w:rFonts w:ascii="Arial Narrow" w:hAnsi="Arial Narrow" w:cs="Times New Roman"/>
                <w:sz w:val="20"/>
                <w:szCs w:val="20"/>
              </w:rPr>
              <w:t xml:space="preserve"> </w:t>
            </w:r>
            <w:r w:rsidR="00957E0A" w:rsidRPr="00957E0A">
              <w:rPr>
                <w:rFonts w:ascii="Arial Narrow" w:hAnsi="Arial Narrow" w:cs="Times New Roman"/>
                <w:sz w:val="20"/>
                <w:szCs w:val="20"/>
              </w:rPr>
              <w:t>0.5 mL</w:t>
            </w:r>
          </w:p>
          <w:p w:rsidR="00131F7E" w:rsidRPr="00957E0A" w:rsidRDefault="00131F7E" w:rsidP="005F43D9">
            <w:pPr>
              <w:rPr>
                <w:rFonts w:ascii="Arial Narrow" w:hAnsi="Arial Narrow" w:cs="Times New Roman"/>
                <w:sz w:val="20"/>
                <w:szCs w:val="20"/>
              </w:rPr>
            </w:pPr>
          </w:p>
        </w:tc>
        <w:tc>
          <w:tcPr>
            <w:tcW w:w="606" w:type="pct"/>
            <w:vAlign w:val="center"/>
          </w:tcPr>
          <w:p w:rsidR="00131F7E" w:rsidRPr="00957E0A" w:rsidRDefault="00131F7E" w:rsidP="005F43D9">
            <w:pPr>
              <w:keepNext/>
              <w:snapToGrid w:val="0"/>
              <w:jc w:val="center"/>
              <w:rPr>
                <w:rFonts w:ascii="Arial Narrow" w:hAnsi="Arial Narrow"/>
                <w:sz w:val="20"/>
                <w:szCs w:val="20"/>
              </w:rPr>
            </w:pPr>
          </w:p>
          <w:p w:rsidR="00131F7E" w:rsidRPr="00957E0A" w:rsidRDefault="00131F7E" w:rsidP="005F43D9">
            <w:pPr>
              <w:keepNext/>
              <w:snapToGrid w:val="0"/>
              <w:jc w:val="center"/>
              <w:rPr>
                <w:rFonts w:ascii="Arial Narrow" w:hAnsi="Arial Narrow"/>
                <w:sz w:val="20"/>
                <w:szCs w:val="20"/>
              </w:rPr>
            </w:pPr>
          </w:p>
        </w:tc>
        <w:tc>
          <w:tcPr>
            <w:tcW w:w="471" w:type="pct"/>
            <w:vAlign w:val="center"/>
          </w:tcPr>
          <w:p w:rsidR="00131F7E" w:rsidRPr="00957E0A" w:rsidRDefault="00131F7E" w:rsidP="005F43D9">
            <w:pPr>
              <w:keepNext/>
              <w:snapToGrid w:val="0"/>
              <w:jc w:val="center"/>
              <w:rPr>
                <w:rFonts w:ascii="Arial Narrow" w:hAnsi="Arial Narrow"/>
                <w:sz w:val="20"/>
                <w:szCs w:val="20"/>
              </w:rPr>
            </w:pPr>
          </w:p>
          <w:p w:rsidR="00131F7E" w:rsidRPr="00957E0A" w:rsidRDefault="00131F7E" w:rsidP="005F43D9">
            <w:pPr>
              <w:keepNext/>
              <w:snapToGrid w:val="0"/>
              <w:jc w:val="center"/>
              <w:rPr>
                <w:rFonts w:ascii="Arial Narrow" w:hAnsi="Arial Narrow"/>
                <w:sz w:val="20"/>
                <w:szCs w:val="20"/>
              </w:rPr>
            </w:pPr>
          </w:p>
        </w:tc>
        <w:tc>
          <w:tcPr>
            <w:tcW w:w="364" w:type="pct"/>
            <w:vAlign w:val="center"/>
          </w:tcPr>
          <w:p w:rsidR="00131F7E" w:rsidRPr="00957E0A" w:rsidRDefault="00131F7E" w:rsidP="005F43D9">
            <w:pPr>
              <w:keepNext/>
              <w:snapToGrid w:val="0"/>
              <w:rPr>
                <w:rFonts w:ascii="Arial Narrow" w:hAnsi="Arial Narrow"/>
                <w:sz w:val="20"/>
                <w:szCs w:val="20"/>
              </w:rPr>
            </w:pPr>
          </w:p>
        </w:tc>
        <w:tc>
          <w:tcPr>
            <w:tcW w:w="1675" w:type="pct"/>
            <w:vAlign w:val="center"/>
            <w:hideMark/>
          </w:tcPr>
          <w:p w:rsidR="00131F7E" w:rsidRPr="00957E0A" w:rsidRDefault="00131F7E" w:rsidP="005F43D9">
            <w:pPr>
              <w:rPr>
                <w:rFonts w:ascii="Arial Narrow" w:hAnsi="Arial Narrow" w:cs="Times New Roman"/>
                <w:sz w:val="20"/>
                <w:szCs w:val="20"/>
              </w:rPr>
            </w:pPr>
            <w:proofErr w:type="spellStart"/>
            <w:r w:rsidRPr="00957E0A">
              <w:rPr>
                <w:rFonts w:ascii="Arial Narrow" w:hAnsi="Arial Narrow" w:cs="Times New Roman"/>
                <w:sz w:val="20"/>
                <w:szCs w:val="20"/>
              </w:rPr>
              <w:t>FluQuadri</w:t>
            </w:r>
            <w:r w:rsidRPr="00957E0A">
              <w:rPr>
                <w:rFonts w:ascii="Arial Narrow" w:hAnsi="Arial Narrow" w:cs="Times New Roman"/>
                <w:sz w:val="20"/>
                <w:szCs w:val="20"/>
                <w:vertAlign w:val="superscript"/>
              </w:rPr>
              <w:t>TM</w:t>
            </w:r>
            <w:proofErr w:type="spellEnd"/>
            <w:r w:rsidRPr="00957E0A">
              <w:rPr>
                <w:rFonts w:ascii="Arial Narrow" w:hAnsi="Arial Narrow" w:cs="Times New Roman"/>
                <w:sz w:val="20"/>
                <w:szCs w:val="20"/>
              </w:rPr>
              <w:t xml:space="preserve"> </w:t>
            </w:r>
          </w:p>
          <w:p w:rsidR="00131F7E" w:rsidRPr="00957E0A" w:rsidRDefault="00077C4C" w:rsidP="005F43D9">
            <w:pPr>
              <w:rPr>
                <w:rFonts w:ascii="Arial Narrow" w:hAnsi="Arial Narrow" w:cs="Times New Roman"/>
                <w:sz w:val="20"/>
                <w:szCs w:val="20"/>
              </w:rPr>
            </w:pPr>
            <w:r w:rsidRPr="00957E0A">
              <w:rPr>
                <w:rFonts w:ascii="Arial Narrow" w:hAnsi="Arial Narrow" w:cs="Times New Roman"/>
                <w:sz w:val="20"/>
                <w:szCs w:val="20"/>
              </w:rPr>
              <w:t>S</w:t>
            </w:r>
            <w:r w:rsidR="00131F7E" w:rsidRPr="00957E0A">
              <w:rPr>
                <w:rFonts w:ascii="Arial Narrow" w:hAnsi="Arial Narrow" w:cs="Times New Roman"/>
                <w:sz w:val="20"/>
                <w:szCs w:val="20"/>
              </w:rPr>
              <w:t>anofi-</w:t>
            </w:r>
            <w:r w:rsidRPr="00957E0A">
              <w:rPr>
                <w:rFonts w:ascii="Arial Narrow" w:hAnsi="Arial Narrow" w:cs="Times New Roman"/>
                <w:sz w:val="20"/>
                <w:szCs w:val="20"/>
              </w:rPr>
              <w:t>A</w:t>
            </w:r>
            <w:r w:rsidR="00131F7E" w:rsidRPr="00957E0A">
              <w:rPr>
                <w:rFonts w:ascii="Arial Narrow" w:hAnsi="Arial Narrow" w:cs="Times New Roman"/>
                <w:sz w:val="20"/>
                <w:szCs w:val="20"/>
              </w:rPr>
              <w:t>ventis</w:t>
            </w:r>
          </w:p>
          <w:p w:rsidR="00131F7E" w:rsidRPr="00957E0A" w:rsidRDefault="00131F7E" w:rsidP="005F43D9">
            <w:pPr>
              <w:keepNext/>
              <w:snapToGrid w:val="0"/>
              <w:rPr>
                <w:rFonts w:ascii="Arial Narrow" w:hAnsi="Arial Narrow"/>
                <w:sz w:val="20"/>
                <w:szCs w:val="20"/>
              </w:rPr>
            </w:pPr>
            <w:r w:rsidRPr="00957E0A">
              <w:rPr>
                <w:rFonts w:ascii="Arial Narrow" w:hAnsi="Arial Narrow"/>
                <w:sz w:val="20"/>
                <w:szCs w:val="20"/>
              </w:rPr>
              <w:t>(Australia) Pty Ltd</w:t>
            </w:r>
          </w:p>
        </w:tc>
      </w:tr>
      <w:tr w:rsidR="005C0421" w:rsidRPr="00957E0A" w:rsidTr="00957E0A">
        <w:trPr>
          <w:cantSplit/>
        </w:trPr>
        <w:tc>
          <w:tcPr>
            <w:tcW w:w="1255" w:type="pct"/>
            <w:tcBorders>
              <w:top w:val="single" w:sz="4" w:space="0" w:color="auto"/>
              <w:left w:val="single" w:sz="4" w:space="0" w:color="auto"/>
              <w:bottom w:val="single" w:sz="4" w:space="0" w:color="auto"/>
              <w:right w:val="single" w:sz="4" w:space="0" w:color="auto"/>
            </w:tcBorders>
            <w:hideMark/>
          </w:tcPr>
          <w:p w:rsidR="005C0421" w:rsidRPr="00957E0A" w:rsidRDefault="005C0421" w:rsidP="005F43D9">
            <w:pPr>
              <w:rPr>
                <w:rFonts w:ascii="Arial Narrow" w:hAnsi="Arial Narrow" w:cs="Times New Roman"/>
                <w:b/>
                <w:bCs/>
                <w:sz w:val="20"/>
                <w:szCs w:val="20"/>
              </w:rPr>
            </w:pPr>
            <w:r w:rsidRPr="00957E0A">
              <w:rPr>
                <w:rFonts w:ascii="Arial Narrow" w:hAnsi="Arial Narrow" w:cs="Times New Roman"/>
                <w:b/>
                <w:bCs/>
                <w:sz w:val="20"/>
                <w:szCs w:val="20"/>
              </w:rPr>
              <w:t>Category/Program</w:t>
            </w:r>
          </w:p>
        </w:tc>
        <w:tc>
          <w:tcPr>
            <w:tcW w:w="3745" w:type="pct"/>
            <w:gridSpan w:val="5"/>
            <w:tcBorders>
              <w:top w:val="single" w:sz="4" w:space="0" w:color="auto"/>
              <w:left w:val="single" w:sz="4" w:space="0" w:color="auto"/>
              <w:bottom w:val="single" w:sz="4" w:space="0" w:color="auto"/>
              <w:right w:val="single" w:sz="4" w:space="0" w:color="auto"/>
            </w:tcBorders>
            <w:hideMark/>
          </w:tcPr>
          <w:p w:rsidR="005C0421" w:rsidRPr="00957E0A" w:rsidRDefault="005C0421" w:rsidP="005F43D9">
            <w:pPr>
              <w:rPr>
                <w:rFonts w:ascii="Arial Narrow" w:hAnsi="Arial Narrow" w:cs="Times New Roman"/>
                <w:b/>
                <w:bCs/>
                <w:sz w:val="20"/>
                <w:szCs w:val="20"/>
              </w:rPr>
            </w:pPr>
            <w:r w:rsidRPr="00957E0A">
              <w:rPr>
                <w:rFonts w:ascii="Arial Narrow" w:hAnsi="Arial Narrow" w:cs="Times New Roman"/>
                <w:b/>
                <w:bCs/>
                <w:sz w:val="20"/>
                <w:szCs w:val="20"/>
              </w:rPr>
              <w:t>NIP</w:t>
            </w:r>
          </w:p>
        </w:tc>
      </w:tr>
      <w:tr w:rsidR="005C0421" w:rsidRPr="00957E0A" w:rsidTr="00957E0A">
        <w:trPr>
          <w:cantSplit/>
        </w:trPr>
        <w:tc>
          <w:tcPr>
            <w:tcW w:w="1255" w:type="pct"/>
            <w:tcBorders>
              <w:top w:val="single" w:sz="4" w:space="0" w:color="auto"/>
              <w:left w:val="single" w:sz="4" w:space="0" w:color="auto"/>
              <w:right w:val="single" w:sz="4" w:space="0" w:color="auto"/>
            </w:tcBorders>
            <w:hideMark/>
          </w:tcPr>
          <w:p w:rsidR="005C0421" w:rsidRPr="00957E0A" w:rsidRDefault="005C0421" w:rsidP="005F43D9">
            <w:pPr>
              <w:rPr>
                <w:rFonts w:ascii="Arial Narrow" w:hAnsi="Arial Narrow" w:cs="Times New Roman"/>
                <w:iCs/>
                <w:sz w:val="20"/>
                <w:szCs w:val="20"/>
              </w:rPr>
            </w:pPr>
            <w:r w:rsidRPr="00957E0A">
              <w:rPr>
                <w:rFonts w:ascii="Arial Narrow" w:hAnsi="Arial Narrow" w:cs="Times New Roman"/>
                <w:iCs/>
                <w:sz w:val="20"/>
                <w:szCs w:val="20"/>
              </w:rPr>
              <w:t xml:space="preserve">Groups eligible for the requested NIP listing of  </w:t>
            </w:r>
            <w:proofErr w:type="spellStart"/>
            <w:r w:rsidRPr="00957E0A">
              <w:rPr>
                <w:rFonts w:ascii="Arial Narrow" w:hAnsi="Arial Narrow" w:cs="Times New Roman"/>
                <w:iCs/>
                <w:sz w:val="20"/>
                <w:szCs w:val="20"/>
              </w:rPr>
              <w:t>FluQuadri</w:t>
            </w:r>
            <w:proofErr w:type="spellEnd"/>
            <w:r w:rsidRPr="00957E0A">
              <w:rPr>
                <w:rFonts w:ascii="Arial Narrow" w:hAnsi="Arial Narrow" w:cs="Times New Roman"/>
                <w:iCs/>
                <w:sz w:val="20"/>
                <w:szCs w:val="20"/>
              </w:rPr>
              <w:t xml:space="preserve"> </w:t>
            </w:r>
          </w:p>
          <w:p w:rsidR="005C0421" w:rsidRPr="00957E0A" w:rsidRDefault="005C0421" w:rsidP="005F43D9">
            <w:pPr>
              <w:rPr>
                <w:rFonts w:ascii="Arial Narrow" w:hAnsi="Arial Narrow" w:cs="Times New Roman"/>
                <w:i/>
                <w:iCs/>
                <w:sz w:val="20"/>
                <w:szCs w:val="20"/>
              </w:rPr>
            </w:pPr>
          </w:p>
          <w:p w:rsidR="005C0421" w:rsidRPr="00957E0A" w:rsidRDefault="005C0421" w:rsidP="005F43D9">
            <w:pPr>
              <w:rPr>
                <w:rFonts w:ascii="Arial Narrow" w:hAnsi="Arial Narrow" w:cs="Times New Roman"/>
                <w:i/>
                <w:iCs/>
                <w:sz w:val="20"/>
                <w:szCs w:val="20"/>
              </w:rPr>
            </w:pPr>
          </w:p>
        </w:tc>
        <w:tc>
          <w:tcPr>
            <w:tcW w:w="3745" w:type="pct"/>
            <w:gridSpan w:val="5"/>
            <w:tcBorders>
              <w:top w:val="single" w:sz="4" w:space="0" w:color="auto"/>
              <w:left w:val="single" w:sz="4" w:space="0" w:color="auto"/>
              <w:right w:val="single" w:sz="4" w:space="0" w:color="auto"/>
            </w:tcBorders>
            <w:hideMark/>
          </w:tcPr>
          <w:p w:rsidR="005C0421" w:rsidRPr="00957E0A" w:rsidRDefault="005C0421" w:rsidP="005F43D9">
            <w:pPr>
              <w:rPr>
                <w:rFonts w:ascii="Arial Narrow" w:hAnsi="Arial Narrow" w:cs="Times New Roman"/>
                <w:i/>
                <w:iCs/>
                <w:sz w:val="20"/>
                <w:szCs w:val="20"/>
              </w:rPr>
            </w:pPr>
            <w:r w:rsidRPr="00957E0A">
              <w:rPr>
                <w:rFonts w:ascii="Arial Narrow" w:hAnsi="Arial Narrow" w:cs="Times New Roman"/>
                <w:i/>
                <w:iCs/>
                <w:sz w:val="20"/>
                <w:szCs w:val="20"/>
              </w:rPr>
              <w:t>Children aged ≥6 months to &lt;5 years of age</w:t>
            </w:r>
          </w:p>
          <w:p w:rsidR="005C0421" w:rsidRPr="00957E0A" w:rsidRDefault="005C0421" w:rsidP="005F43D9">
            <w:pPr>
              <w:rPr>
                <w:rFonts w:ascii="Arial Narrow" w:hAnsi="Arial Narrow" w:cs="Times New Roman"/>
                <w:iCs/>
                <w:sz w:val="20"/>
                <w:szCs w:val="20"/>
              </w:rPr>
            </w:pPr>
            <w:r w:rsidRPr="00957E0A">
              <w:rPr>
                <w:rFonts w:ascii="Arial Narrow" w:hAnsi="Arial Narrow" w:cs="Times New Roman"/>
                <w:iCs/>
                <w:sz w:val="20"/>
                <w:szCs w:val="20"/>
              </w:rPr>
              <w:t>Persons aged ≥</w:t>
            </w:r>
            <w:r w:rsidRPr="00957E0A">
              <w:rPr>
                <w:rFonts w:ascii="Arial Narrow" w:hAnsi="Arial Narrow" w:cs="Times New Roman"/>
                <w:i/>
                <w:iCs/>
                <w:sz w:val="20"/>
                <w:szCs w:val="20"/>
              </w:rPr>
              <w:t>6 months</w:t>
            </w:r>
            <w:r w:rsidR="004131E9" w:rsidRPr="00957E0A">
              <w:rPr>
                <w:rFonts w:ascii="Arial Narrow" w:hAnsi="Arial Narrow" w:cs="Times New Roman"/>
                <w:iCs/>
                <w:sz w:val="20"/>
                <w:szCs w:val="20"/>
              </w:rPr>
              <w:t xml:space="preserve"> </w:t>
            </w:r>
            <w:r w:rsidR="004131E9" w:rsidRPr="00957E0A">
              <w:rPr>
                <w:rFonts w:ascii="Arial Narrow" w:hAnsi="Arial Narrow" w:cs="Times New Roman"/>
                <w:iCs/>
                <w:strike/>
                <w:sz w:val="20"/>
                <w:szCs w:val="20"/>
              </w:rPr>
              <w:t>3 years</w:t>
            </w:r>
            <w:r w:rsidRPr="00957E0A">
              <w:rPr>
                <w:rFonts w:ascii="Arial Narrow" w:hAnsi="Arial Narrow" w:cs="Times New Roman"/>
                <w:iCs/>
                <w:sz w:val="20"/>
                <w:szCs w:val="20"/>
              </w:rPr>
              <w:t xml:space="preserve"> who are at increased risk of influenza complications, specifically: </w:t>
            </w:r>
          </w:p>
          <w:p w:rsidR="005C0421" w:rsidRPr="00957E0A" w:rsidRDefault="005C0421" w:rsidP="005F43D9">
            <w:pPr>
              <w:pStyle w:val="TableText0"/>
              <w:numPr>
                <w:ilvl w:val="0"/>
                <w:numId w:val="32"/>
              </w:numPr>
              <w:rPr>
                <w:szCs w:val="20"/>
              </w:rPr>
            </w:pPr>
            <w:r w:rsidRPr="00957E0A">
              <w:rPr>
                <w:szCs w:val="20"/>
              </w:rPr>
              <w:t>has cardiac disease including cyanotic congenital heart disease, coronary artery disease and congestive heart failure; or</w:t>
            </w:r>
          </w:p>
          <w:p w:rsidR="005C0421" w:rsidRPr="00957E0A" w:rsidRDefault="005C0421" w:rsidP="005F43D9">
            <w:pPr>
              <w:pStyle w:val="TableText0"/>
              <w:numPr>
                <w:ilvl w:val="0"/>
                <w:numId w:val="32"/>
              </w:numPr>
              <w:rPr>
                <w:szCs w:val="20"/>
              </w:rPr>
            </w:pPr>
            <w:r w:rsidRPr="00957E0A">
              <w:rPr>
                <w:szCs w:val="20"/>
              </w:rPr>
              <w:t xml:space="preserve">has a chronic respiratory condition including </w:t>
            </w:r>
            <w:proofErr w:type="spellStart"/>
            <w:r w:rsidRPr="00957E0A">
              <w:rPr>
                <w:szCs w:val="20"/>
              </w:rPr>
              <w:t>suppurative</w:t>
            </w:r>
            <w:proofErr w:type="spellEnd"/>
            <w:r w:rsidRPr="00957E0A">
              <w:rPr>
                <w:szCs w:val="20"/>
              </w:rPr>
              <w:t xml:space="preserve"> lung disease, bronchiectasis, cystic fibrosis, chronic obstructive pulmonary disease, chronic emphysema and severe asthma; or</w:t>
            </w:r>
          </w:p>
          <w:p w:rsidR="005C0421" w:rsidRPr="00957E0A" w:rsidRDefault="005C0421" w:rsidP="005F43D9">
            <w:pPr>
              <w:pStyle w:val="TableText0"/>
              <w:numPr>
                <w:ilvl w:val="0"/>
                <w:numId w:val="32"/>
              </w:numPr>
              <w:rPr>
                <w:szCs w:val="20"/>
              </w:rPr>
            </w:pPr>
            <w:r w:rsidRPr="00957E0A">
              <w:rPr>
                <w:szCs w:val="20"/>
              </w:rPr>
              <w:t xml:space="preserve">has another chronic illness requiring regular medical follow up or hospitalisation in the preceding year, including diabetes mellitus, chronic metabolic diseases, chronic renal failure, </w:t>
            </w:r>
            <w:proofErr w:type="spellStart"/>
            <w:r w:rsidRPr="00957E0A">
              <w:rPr>
                <w:szCs w:val="20"/>
              </w:rPr>
              <w:t>haemoglobinopathies</w:t>
            </w:r>
            <w:proofErr w:type="spellEnd"/>
            <w:r w:rsidRPr="00957E0A">
              <w:rPr>
                <w:szCs w:val="20"/>
              </w:rPr>
              <w:t xml:space="preserve"> and impaired immunity (including drug induced immune impairment); or</w:t>
            </w:r>
          </w:p>
          <w:p w:rsidR="005C0421" w:rsidRPr="00957E0A" w:rsidRDefault="005C0421" w:rsidP="005F43D9">
            <w:pPr>
              <w:pStyle w:val="TableText0"/>
              <w:numPr>
                <w:ilvl w:val="0"/>
                <w:numId w:val="32"/>
              </w:numPr>
              <w:rPr>
                <w:szCs w:val="20"/>
              </w:rPr>
            </w:pPr>
            <w:r w:rsidRPr="00957E0A">
              <w:rPr>
                <w:szCs w:val="20"/>
              </w:rPr>
              <w:t>has a chronic neurological condition, including multiple sclerosis, spinal cord injuries, seizure disorders or other neuromuscular disorders; or</w:t>
            </w:r>
          </w:p>
          <w:p w:rsidR="005C0421" w:rsidRPr="00957E0A" w:rsidRDefault="005C0421" w:rsidP="005F43D9">
            <w:pPr>
              <w:pStyle w:val="TableText0"/>
              <w:numPr>
                <w:ilvl w:val="0"/>
                <w:numId w:val="32"/>
              </w:numPr>
              <w:rPr>
                <w:szCs w:val="20"/>
              </w:rPr>
            </w:pPr>
            <w:r w:rsidRPr="00957E0A">
              <w:rPr>
                <w:szCs w:val="20"/>
              </w:rPr>
              <w:t>has impaired immunity, including HIV infection; or</w:t>
            </w:r>
          </w:p>
          <w:p w:rsidR="005C0421" w:rsidRPr="00957E0A" w:rsidRDefault="005C0421" w:rsidP="005F43D9">
            <w:pPr>
              <w:pStyle w:val="TableText0"/>
              <w:numPr>
                <w:ilvl w:val="0"/>
                <w:numId w:val="32"/>
              </w:numPr>
              <w:rPr>
                <w:szCs w:val="20"/>
              </w:rPr>
            </w:pPr>
            <w:r w:rsidRPr="00957E0A">
              <w:rPr>
                <w:szCs w:val="20"/>
              </w:rPr>
              <w:t>is a person aged less than 11 years and receiving long-term aspirin therapy</w:t>
            </w:r>
          </w:p>
          <w:p w:rsidR="005C0421" w:rsidRPr="00957E0A" w:rsidRDefault="005C0421" w:rsidP="005F43D9">
            <w:pPr>
              <w:rPr>
                <w:rFonts w:ascii="Arial Narrow" w:hAnsi="Arial Narrow" w:cs="Times New Roman"/>
                <w:iCs/>
                <w:sz w:val="20"/>
                <w:szCs w:val="20"/>
              </w:rPr>
            </w:pPr>
            <w:r w:rsidRPr="00957E0A">
              <w:rPr>
                <w:rFonts w:ascii="Arial Narrow" w:hAnsi="Arial Narrow" w:cs="Times New Roman"/>
                <w:iCs/>
                <w:sz w:val="20"/>
                <w:szCs w:val="20"/>
              </w:rPr>
              <w:t>Aboriginal and Torres Strait Islander people aged ≥</w:t>
            </w:r>
            <w:r w:rsidRPr="00957E0A">
              <w:rPr>
                <w:rFonts w:ascii="Arial Narrow" w:hAnsi="Arial Narrow" w:cs="Times New Roman"/>
                <w:i/>
                <w:iCs/>
                <w:sz w:val="20"/>
                <w:szCs w:val="20"/>
              </w:rPr>
              <w:t>6 months</w:t>
            </w:r>
            <w:r w:rsidR="004131E9" w:rsidRPr="00957E0A">
              <w:rPr>
                <w:rFonts w:ascii="Arial Narrow" w:hAnsi="Arial Narrow" w:cs="Times New Roman"/>
                <w:iCs/>
                <w:sz w:val="20"/>
                <w:szCs w:val="20"/>
              </w:rPr>
              <w:t xml:space="preserve"> </w:t>
            </w:r>
            <w:r w:rsidR="004131E9" w:rsidRPr="00957E0A">
              <w:rPr>
                <w:rFonts w:ascii="Arial Narrow" w:hAnsi="Arial Narrow" w:cs="Times New Roman"/>
                <w:iCs/>
                <w:strike/>
                <w:sz w:val="20"/>
                <w:szCs w:val="20"/>
              </w:rPr>
              <w:t>3 years</w:t>
            </w:r>
          </w:p>
          <w:p w:rsidR="005C0421" w:rsidRPr="00957E0A" w:rsidRDefault="005C0421" w:rsidP="005F43D9">
            <w:pPr>
              <w:rPr>
                <w:rFonts w:ascii="Arial Narrow" w:hAnsi="Arial Narrow" w:cs="Times New Roman"/>
                <w:iCs/>
                <w:sz w:val="20"/>
                <w:szCs w:val="20"/>
              </w:rPr>
            </w:pPr>
            <w:r w:rsidRPr="00957E0A">
              <w:rPr>
                <w:rFonts w:ascii="Arial Narrow" w:hAnsi="Arial Narrow" w:cs="Times New Roman"/>
                <w:iCs/>
                <w:sz w:val="20"/>
                <w:szCs w:val="20"/>
              </w:rPr>
              <w:t xml:space="preserve">Persons aged ≥65 years </w:t>
            </w:r>
          </w:p>
          <w:p w:rsidR="005C0421" w:rsidRPr="00957E0A" w:rsidRDefault="005C0421" w:rsidP="005F43D9">
            <w:pPr>
              <w:rPr>
                <w:rFonts w:ascii="Arial Narrow" w:hAnsi="Arial Narrow" w:cs="Times New Roman"/>
                <w:i/>
                <w:iCs/>
                <w:sz w:val="20"/>
                <w:szCs w:val="20"/>
              </w:rPr>
            </w:pPr>
            <w:r w:rsidRPr="00957E0A">
              <w:rPr>
                <w:rFonts w:ascii="Arial Narrow" w:hAnsi="Arial Narrow" w:cs="Times New Roman"/>
                <w:iCs/>
                <w:sz w:val="20"/>
                <w:szCs w:val="20"/>
              </w:rPr>
              <w:t>Pregnant women</w:t>
            </w:r>
          </w:p>
        </w:tc>
      </w:tr>
      <w:tr w:rsidR="005C0421" w:rsidRPr="00957E0A" w:rsidTr="00957E0A">
        <w:trPr>
          <w:cantSplit/>
        </w:trPr>
        <w:tc>
          <w:tcPr>
            <w:tcW w:w="1255" w:type="pct"/>
            <w:tcBorders>
              <w:top w:val="single" w:sz="4" w:space="0" w:color="auto"/>
              <w:left w:val="single" w:sz="4" w:space="0" w:color="auto"/>
              <w:bottom w:val="single" w:sz="4" w:space="0" w:color="auto"/>
              <w:right w:val="single" w:sz="4" w:space="0" w:color="auto"/>
            </w:tcBorders>
            <w:hideMark/>
          </w:tcPr>
          <w:p w:rsidR="005C0421" w:rsidRPr="00957E0A" w:rsidRDefault="005C0421" w:rsidP="005F43D9">
            <w:pPr>
              <w:rPr>
                <w:rFonts w:ascii="Arial Narrow" w:hAnsi="Arial Narrow" w:cs="Times New Roman"/>
                <w:sz w:val="20"/>
                <w:szCs w:val="20"/>
              </w:rPr>
            </w:pPr>
            <w:r w:rsidRPr="00957E0A">
              <w:rPr>
                <w:rFonts w:ascii="Arial Narrow" w:hAnsi="Arial Narrow" w:cs="Times New Roman"/>
                <w:sz w:val="20"/>
                <w:szCs w:val="20"/>
              </w:rPr>
              <w:t>Number and timing of doses</w:t>
            </w:r>
          </w:p>
        </w:tc>
        <w:tc>
          <w:tcPr>
            <w:tcW w:w="3745" w:type="pct"/>
            <w:gridSpan w:val="5"/>
            <w:tcBorders>
              <w:top w:val="single" w:sz="4" w:space="0" w:color="auto"/>
              <w:left w:val="single" w:sz="4" w:space="0" w:color="auto"/>
              <w:bottom w:val="single" w:sz="4" w:space="0" w:color="auto"/>
              <w:right w:val="single" w:sz="4" w:space="0" w:color="auto"/>
            </w:tcBorders>
            <w:hideMark/>
          </w:tcPr>
          <w:p w:rsidR="005C0421" w:rsidRPr="00957E0A" w:rsidRDefault="005C0421" w:rsidP="005F43D9">
            <w:pPr>
              <w:rPr>
                <w:rFonts w:ascii="Arial Narrow" w:hAnsi="Arial Narrow" w:cs="Times New Roman"/>
                <w:sz w:val="20"/>
                <w:szCs w:val="20"/>
              </w:rPr>
            </w:pPr>
            <w:r w:rsidRPr="00957E0A">
              <w:rPr>
                <w:rFonts w:ascii="Arial Narrow" w:hAnsi="Arial Narrow" w:cs="Times New Roman"/>
                <w:sz w:val="20"/>
                <w:szCs w:val="20"/>
              </w:rPr>
              <w:t>Should be administered in accordance with the national recommendation as per the current Immunisation Handbook:</w:t>
            </w:r>
          </w:p>
          <w:p w:rsidR="005C0421" w:rsidRPr="00957E0A" w:rsidRDefault="005C0421" w:rsidP="005F43D9">
            <w:pPr>
              <w:rPr>
                <w:rFonts w:ascii="Arial Narrow" w:hAnsi="Arial Narrow" w:cs="Times New Roman"/>
                <w:sz w:val="20"/>
                <w:szCs w:val="20"/>
              </w:rPr>
            </w:pPr>
            <w:r w:rsidRPr="00957E0A">
              <w:rPr>
                <w:rFonts w:ascii="Arial Narrow" w:hAnsi="Arial Narrow" w:cs="Times New Roman"/>
                <w:sz w:val="20"/>
                <w:szCs w:val="20"/>
              </w:rPr>
              <w:t xml:space="preserve">Children </w:t>
            </w:r>
            <w:r w:rsidRPr="00957E0A">
              <w:rPr>
                <w:rFonts w:ascii="Arial Narrow" w:hAnsi="Arial Narrow" w:cs="Times New Roman"/>
                <w:i/>
                <w:iCs/>
                <w:sz w:val="20"/>
                <w:szCs w:val="20"/>
              </w:rPr>
              <w:t>≥</w:t>
            </w:r>
            <w:r w:rsidRPr="00957E0A">
              <w:rPr>
                <w:rFonts w:ascii="Arial Narrow" w:hAnsi="Arial Narrow" w:cs="Times New Roman"/>
                <w:sz w:val="20"/>
                <w:szCs w:val="20"/>
              </w:rPr>
              <w:t>6 months to &lt;9 years of age:</w:t>
            </w:r>
          </w:p>
          <w:p w:rsidR="005C0421" w:rsidRPr="00957E0A" w:rsidRDefault="005C0421" w:rsidP="005F43D9">
            <w:pPr>
              <w:pStyle w:val="TableText0"/>
              <w:numPr>
                <w:ilvl w:val="0"/>
                <w:numId w:val="32"/>
              </w:numPr>
              <w:rPr>
                <w:szCs w:val="20"/>
              </w:rPr>
            </w:pPr>
            <w:r w:rsidRPr="00957E0A">
              <w:rPr>
                <w:szCs w:val="20"/>
              </w:rPr>
              <w:t>If the child has not previously been vaccinated: two 0.5 ml injections at least one month apart.</w:t>
            </w:r>
          </w:p>
          <w:p w:rsidR="005C0421" w:rsidRPr="00957E0A" w:rsidRDefault="005C0421" w:rsidP="005F43D9">
            <w:pPr>
              <w:pStyle w:val="TableText0"/>
              <w:numPr>
                <w:ilvl w:val="0"/>
                <w:numId w:val="32"/>
              </w:numPr>
              <w:rPr>
                <w:i/>
                <w:szCs w:val="20"/>
              </w:rPr>
            </w:pPr>
            <w:r w:rsidRPr="00957E0A">
              <w:rPr>
                <w:szCs w:val="20"/>
              </w:rPr>
              <w:t>If the child has been previously vaccinated: a single 0.5 ml injection.</w:t>
            </w:r>
          </w:p>
        </w:tc>
      </w:tr>
    </w:tbl>
    <w:p w:rsidR="005C0421" w:rsidRPr="007F2BDD" w:rsidRDefault="005C0421" w:rsidP="005F43D9">
      <w:pPr>
        <w:pStyle w:val="TableFooter"/>
      </w:pPr>
      <w:r w:rsidRPr="007F2BDD">
        <w:t>NIP = National Immunisation Program; HIV = Human Immunodeficiency Virus</w:t>
      </w:r>
    </w:p>
    <w:p w:rsidR="00C95224" w:rsidRPr="008C3E5D" w:rsidRDefault="009044EF" w:rsidP="008C3E5D">
      <w:pPr>
        <w:pStyle w:val="3Bodytext"/>
        <w:numPr>
          <w:ilvl w:val="0"/>
          <w:numId w:val="0"/>
        </w:numPr>
        <w:rPr>
          <w:b/>
          <w:caps/>
          <w:sz w:val="36"/>
        </w:rPr>
      </w:pPr>
      <w:r w:rsidRPr="00542E9A">
        <w:rPr>
          <w:rFonts w:ascii="Arial" w:hAnsi="Arial" w:cs="Arial"/>
          <w:i/>
          <w:sz w:val="22"/>
        </w:rPr>
        <w:t>This restriction may be subject to further review. Should there be any changes made to the restriction the Sponsor will be informed</w:t>
      </w:r>
      <w:r>
        <w:rPr>
          <w:rFonts w:ascii="Arial" w:hAnsi="Arial" w:cs="Arial"/>
          <w:i/>
          <w:sz w:val="22"/>
        </w:rPr>
        <w:t>.</w:t>
      </w:r>
    </w:p>
    <w:p w:rsidR="00C95224" w:rsidRPr="00C95224" w:rsidRDefault="00C95224" w:rsidP="00C95224">
      <w:pPr>
        <w:pStyle w:val="2-SectionHeading"/>
      </w:pPr>
      <w:r w:rsidRPr="00C95224">
        <w:t>Context for Decision</w:t>
      </w:r>
    </w:p>
    <w:p w:rsidR="0056124A" w:rsidRDefault="00E07002" w:rsidP="008C3E5D">
      <w:pPr>
        <w:spacing w:line="276" w:lineRule="auto"/>
        <w:jc w:val="both"/>
        <w:rPr>
          <w:rFonts w:asciiTheme="minorHAnsi" w:eastAsiaTheme="minorHAnsi" w:hAnsiTheme="minorHAnsi"/>
          <w:szCs w:val="22"/>
          <w:lang w:eastAsia="en-US"/>
        </w:rPr>
      </w:pPr>
      <w:r w:rsidRPr="00E07002">
        <w:rPr>
          <w:rFonts w:asciiTheme="minorHAnsi" w:eastAsiaTheme="minorHAnsi" w:hAnsiTheme="minorHAnsi"/>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E07002" w:rsidRPr="008C3E5D" w:rsidRDefault="00E07002" w:rsidP="008C3E5D">
      <w:pPr>
        <w:spacing w:line="276" w:lineRule="auto"/>
        <w:jc w:val="both"/>
        <w:rPr>
          <w:rFonts w:asciiTheme="minorHAnsi" w:eastAsiaTheme="minorHAnsi" w:hAnsiTheme="minorHAnsi"/>
          <w:szCs w:val="22"/>
          <w:lang w:eastAsia="en-US"/>
        </w:rPr>
      </w:pPr>
    </w:p>
    <w:p w:rsidR="00C95224" w:rsidRPr="00C95224" w:rsidRDefault="00C95224" w:rsidP="00C95224">
      <w:pPr>
        <w:pStyle w:val="2-SectionHeading"/>
      </w:pPr>
      <w:r w:rsidRPr="00C95224">
        <w:t>Sponsor’s Comment</w:t>
      </w:r>
    </w:p>
    <w:p w:rsidR="00C95224" w:rsidRPr="00C95224" w:rsidRDefault="00E208CB" w:rsidP="00C95224">
      <w:pPr>
        <w:rPr>
          <w:lang w:eastAsia="en-US"/>
        </w:rPr>
      </w:pPr>
      <w:r w:rsidRPr="00E208CB">
        <w:rPr>
          <w:rFonts w:asciiTheme="minorHAnsi" w:eastAsiaTheme="minorHAnsi" w:hAnsiTheme="minorHAnsi"/>
          <w:bCs/>
          <w:szCs w:val="22"/>
          <w:lang w:val="en-GB" w:eastAsia="en-US"/>
        </w:rPr>
        <w:lastRenderedPageBreak/>
        <w:t xml:space="preserve">Sanofi Pasteur welcomes the PBAC’s recommendation to extend the current NIP listing of the </w:t>
      </w:r>
      <w:proofErr w:type="spellStart"/>
      <w:r w:rsidRPr="00E208CB">
        <w:rPr>
          <w:rFonts w:asciiTheme="minorHAnsi" w:eastAsiaTheme="minorHAnsi" w:hAnsiTheme="minorHAnsi"/>
          <w:bCs/>
          <w:szCs w:val="22"/>
          <w:lang w:val="en-GB" w:eastAsia="en-US"/>
        </w:rPr>
        <w:t>quadrivalent</w:t>
      </w:r>
      <w:proofErr w:type="spellEnd"/>
      <w:r w:rsidRPr="00E208CB">
        <w:rPr>
          <w:rFonts w:asciiTheme="minorHAnsi" w:eastAsiaTheme="minorHAnsi" w:hAnsiTheme="minorHAnsi"/>
          <w:bCs/>
          <w:szCs w:val="22"/>
          <w:lang w:val="en-GB" w:eastAsia="en-US"/>
        </w:rPr>
        <w:t xml:space="preserve"> influenza vaccine, </w:t>
      </w:r>
      <w:proofErr w:type="spellStart"/>
      <w:r w:rsidRPr="00E208CB">
        <w:rPr>
          <w:rFonts w:asciiTheme="minorHAnsi" w:eastAsiaTheme="minorHAnsi" w:hAnsiTheme="minorHAnsi"/>
          <w:bCs/>
          <w:szCs w:val="22"/>
          <w:lang w:val="en-GB" w:eastAsia="en-US"/>
        </w:rPr>
        <w:t>FluQuadri</w:t>
      </w:r>
      <w:proofErr w:type="spellEnd"/>
      <w:r w:rsidRPr="00E208CB">
        <w:rPr>
          <w:rFonts w:asciiTheme="minorHAnsi" w:eastAsiaTheme="minorHAnsi" w:hAnsiTheme="minorHAnsi"/>
          <w:bCs/>
          <w:szCs w:val="22"/>
          <w:lang w:val="en-GB" w:eastAsia="en-US"/>
        </w:rPr>
        <w:t>, to include healthy children aged 6 months to under 5 years.</w:t>
      </w:r>
    </w:p>
    <w:sectPr w:rsidR="00C95224" w:rsidRPr="00C95224" w:rsidSect="00E3078C">
      <w:headerReference w:type="default" r:id="rId8"/>
      <w:footerReference w:type="default" r:id="rId9"/>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13BAE" w16cid:durableId="2121FDBB"/>
  <w16cid:commentId w16cid:paraId="51FB693D" w16cid:durableId="2121FDBC"/>
  <w16cid:commentId w16cid:paraId="350119B6" w16cid:durableId="2121FF8D"/>
  <w16cid:commentId w16cid:paraId="064418B6" w16cid:durableId="2121FDBF"/>
  <w16cid:commentId w16cid:paraId="7D74BD6E" w16cid:durableId="2121FEF1"/>
  <w16cid:commentId w16cid:paraId="02941176" w16cid:durableId="2121FDC0"/>
  <w16cid:commentId w16cid:paraId="056E8FF2" w16cid:durableId="2121FF77"/>
  <w16cid:commentId w16cid:paraId="7D94F39B" w16cid:durableId="2121FDC2"/>
  <w16cid:commentId w16cid:paraId="56527716" w16cid:durableId="2122002B"/>
  <w16cid:commentId w16cid:paraId="764A7105" w16cid:durableId="2121FDC5"/>
  <w16cid:commentId w16cid:paraId="20DEB6C4" w16cid:durableId="2121FDC6"/>
  <w16cid:commentId w16cid:paraId="1B16510D" w16cid:durableId="2121FDC7"/>
  <w16cid:commentId w16cid:paraId="42301D04" w16cid:durableId="2121FDC8"/>
  <w16cid:commentId w16cid:paraId="4AD5EC42" w16cid:durableId="2121FDC9"/>
  <w16cid:commentId w16cid:paraId="0BD57699" w16cid:durableId="2121FDCA"/>
  <w16cid:commentId w16cid:paraId="17337E29" w16cid:durableId="2121FDCB"/>
  <w16cid:commentId w16cid:paraId="2D7BB5AD" w16cid:durableId="2121FDCC"/>
  <w16cid:commentId w16cid:paraId="4B3BAC76" w16cid:durableId="21220096"/>
  <w16cid:commentId w16cid:paraId="4B53FA84" w16cid:durableId="2121FDCE"/>
  <w16cid:commentId w16cid:paraId="6FBE7703" w16cid:durableId="212200C3"/>
  <w16cid:commentId w16cid:paraId="78E89EDB" w16cid:durableId="2121FDD0"/>
  <w16cid:commentId w16cid:paraId="0F231FA3" w16cid:durableId="2121FDD1"/>
  <w16cid:commentId w16cid:paraId="51816F3B" w16cid:durableId="2121FDD2"/>
  <w16cid:commentId w16cid:paraId="6D94FB0E" w16cid:durableId="2121FDD3"/>
  <w16cid:commentId w16cid:paraId="07703303" w16cid:durableId="2121FDD4"/>
  <w16cid:commentId w16cid:paraId="7661B55B" w16cid:durableId="2121FDD5"/>
  <w16cid:commentId w16cid:paraId="1D7757E6" w16cid:durableId="2121FDD6"/>
  <w16cid:commentId w16cid:paraId="452DEF31" w16cid:durableId="2121FDDA"/>
  <w16cid:commentId w16cid:paraId="7B8A01A7" w16cid:durableId="2121FDDC"/>
  <w16cid:commentId w16cid:paraId="3DCF15A0" w16cid:durableId="2121FD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E9" w:rsidRDefault="00AE73E9" w:rsidP="00124A51">
      <w:r>
        <w:separator/>
      </w:r>
    </w:p>
    <w:p w:rsidR="00AE73E9" w:rsidRDefault="00AE73E9"/>
  </w:endnote>
  <w:endnote w:type="continuationSeparator" w:id="0">
    <w:p w:rsidR="00AE73E9" w:rsidRDefault="00AE73E9" w:rsidP="00124A51">
      <w:r>
        <w:continuationSeparator/>
      </w:r>
    </w:p>
    <w:p w:rsidR="00AE73E9" w:rsidRDefault="00AE7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00642"/>
      <w:docPartObj>
        <w:docPartGallery w:val="Page Numbers (Bottom of Page)"/>
        <w:docPartUnique/>
      </w:docPartObj>
    </w:sdtPr>
    <w:sdtEndPr>
      <w:rPr>
        <w:noProof/>
      </w:rPr>
    </w:sdtEndPr>
    <w:sdtContent>
      <w:p w:rsidR="00B903B6" w:rsidRPr="00DB4C97" w:rsidRDefault="00B903B6">
        <w:pPr>
          <w:pStyle w:val="Footer"/>
          <w:jc w:val="center"/>
          <w:rPr>
            <w:rFonts w:asciiTheme="minorHAnsi" w:hAnsiTheme="minorHAnsi"/>
          </w:rPr>
        </w:pPr>
      </w:p>
      <w:p w:rsidR="00B903B6" w:rsidRDefault="00B903B6">
        <w:pPr>
          <w:pStyle w:val="Footer"/>
          <w:jc w:val="center"/>
        </w:pPr>
        <w:r w:rsidRPr="00DB4C97">
          <w:rPr>
            <w:rFonts w:asciiTheme="minorHAnsi" w:hAnsiTheme="minorHAnsi"/>
            <w:b/>
          </w:rPr>
          <w:fldChar w:fldCharType="begin"/>
        </w:r>
        <w:r w:rsidRPr="00DB4C97">
          <w:rPr>
            <w:rFonts w:asciiTheme="minorHAnsi" w:hAnsiTheme="minorHAnsi"/>
            <w:b/>
          </w:rPr>
          <w:instrText xml:space="preserve"> PAGE   \* MERGEFORMAT </w:instrText>
        </w:r>
        <w:r w:rsidRPr="00DB4C97">
          <w:rPr>
            <w:rFonts w:asciiTheme="minorHAnsi" w:hAnsiTheme="minorHAnsi"/>
            <w:b/>
          </w:rPr>
          <w:fldChar w:fldCharType="separate"/>
        </w:r>
        <w:r w:rsidR="004B5564">
          <w:rPr>
            <w:rFonts w:asciiTheme="minorHAnsi" w:hAnsiTheme="minorHAnsi"/>
            <w:b/>
            <w:noProof/>
          </w:rPr>
          <w:t>21</w:t>
        </w:r>
        <w:r w:rsidRPr="00DB4C97">
          <w:rPr>
            <w:rFonts w:asciiTheme="minorHAnsi" w:hAnsiTheme="minorHAnsi"/>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E9" w:rsidRDefault="00AE73E9" w:rsidP="00124A51">
      <w:r>
        <w:separator/>
      </w:r>
    </w:p>
    <w:p w:rsidR="00AE73E9" w:rsidRDefault="00AE73E9"/>
  </w:footnote>
  <w:footnote w:type="continuationSeparator" w:id="0">
    <w:p w:rsidR="00AE73E9" w:rsidRDefault="00AE73E9" w:rsidP="00124A51">
      <w:r>
        <w:continuationSeparator/>
      </w:r>
    </w:p>
    <w:p w:rsidR="00AE73E9" w:rsidRDefault="00AE73E9"/>
  </w:footnote>
  <w:footnote w:id="1">
    <w:p w:rsidR="00B903B6" w:rsidRPr="008305C2" w:rsidRDefault="00B903B6" w:rsidP="005F43D9">
      <w:pPr>
        <w:pStyle w:val="TableFigureFooter"/>
        <w:jc w:val="left"/>
        <w:rPr>
          <w:lang w:val="en-US"/>
        </w:rPr>
      </w:pPr>
      <w:r>
        <w:rPr>
          <w:rStyle w:val="FootnoteReference"/>
        </w:rPr>
        <w:footnoteRef/>
      </w:r>
      <w:r>
        <w:t xml:space="preserve"> </w:t>
      </w:r>
      <w:r w:rsidRPr="008305C2">
        <w:t xml:space="preserve">2019 NIP funded seasonal influenza vaccines – vaccine guide for providers (factsheet). Department of Health. </w:t>
      </w:r>
      <w:hyperlink r:id="rId1" w:history="1">
        <w:r w:rsidRPr="00BD5103">
          <w:rPr>
            <w:rStyle w:val="Hyperlink"/>
          </w:rPr>
          <w:t>https://www.health.gov.au/resources/publications/2019-nip-funded-seasonal-influenza-vaccines-vaccine-guide-for-providers-factsheet</w:t>
        </w:r>
      </w:hyperlink>
      <w:r>
        <w:t xml:space="preserve"> </w:t>
      </w:r>
    </w:p>
  </w:footnote>
  <w:footnote w:id="2">
    <w:p w:rsidR="00B903B6" w:rsidRDefault="00B903B6" w:rsidP="005F43D9">
      <w:pPr>
        <w:pStyle w:val="TableFigureFooter"/>
      </w:pPr>
      <w:r w:rsidRPr="00472285">
        <w:rPr>
          <w:rStyle w:val="FootnoteReference"/>
        </w:rPr>
        <w:footnoteRef/>
      </w:r>
      <w:r w:rsidRPr="00472285">
        <w:t xml:space="preserve"> </w:t>
      </w:r>
      <w:r>
        <w:t xml:space="preserve">FDA Approval Letter of 23 January 2019 to Sanofi Pasteur Inc.: </w:t>
      </w:r>
      <w:hyperlink r:id="rId2" w:history="1">
        <w:r w:rsidRPr="00961195">
          <w:rPr>
            <w:rStyle w:val="Hyperlink"/>
          </w:rPr>
          <w:t>https://www.fda.gov/media/119855/download</w:t>
        </w:r>
      </w:hyperlink>
      <w:r>
        <w:t xml:space="preserve"> </w:t>
      </w:r>
    </w:p>
    <w:p w:rsidR="00B903B6" w:rsidRDefault="00B903B6" w:rsidP="005F43D9">
      <w:pPr>
        <w:pStyle w:val="TableFigureFooter"/>
      </w:pPr>
      <w:r>
        <w:t xml:space="preserve">Approved package insert: </w:t>
      </w:r>
      <w:hyperlink r:id="rId3" w:history="1">
        <w:r>
          <w:rPr>
            <w:rStyle w:val="Hyperlink"/>
          </w:rPr>
          <w:t>https://www.fda.gov/media/119856/download</w:t>
        </w:r>
      </w:hyperlink>
      <w:r>
        <w:t xml:space="preserve">  </w:t>
      </w:r>
    </w:p>
  </w:footnote>
  <w:footnote w:id="3">
    <w:p w:rsidR="00B903B6" w:rsidRDefault="00B903B6" w:rsidP="008E447A">
      <w:pPr>
        <w:pStyle w:val="TableFigureFooter"/>
      </w:pPr>
      <w:r>
        <w:rPr>
          <w:rStyle w:val="FootnoteReference"/>
          <w:szCs w:val="18"/>
        </w:rPr>
        <w:footnoteRef/>
      </w:r>
      <w:r>
        <w:t xml:space="preserve"> </w:t>
      </w:r>
      <w:r>
        <w:rPr>
          <w:lang w:val="en-US"/>
        </w:rPr>
        <w:t xml:space="preserve">Solicited adverse events (AEs) were collected for 7 days after each vaccination; unsolicited AEs were </w:t>
      </w:r>
      <w:r>
        <w:t>collected from Visit 1 to Visit 2 (0-28 days) for subjects receiving 1 dose and from Visit 1 to Visit 3 (0-56 days) for subjects receiving 2 doses; and serious AEs (SAEs) and any pre-specified AEs of special interest (AESIs) were collected up-to the end of the trial (p38 of the submission).</w:t>
      </w:r>
    </w:p>
  </w:footnote>
  <w:footnote w:id="4">
    <w:p w:rsidR="00B903B6" w:rsidRDefault="00B903B6" w:rsidP="006D6308">
      <w:pPr>
        <w:pStyle w:val="TableFigureFooter"/>
      </w:pPr>
      <w:r>
        <w:rPr>
          <w:rStyle w:val="FootnoteReference"/>
        </w:rPr>
        <w:footnoteRef/>
      </w:r>
      <w:r>
        <w:t xml:space="preserve"> p30, QIV, </w:t>
      </w:r>
      <w:proofErr w:type="spellStart"/>
      <w:r>
        <w:t>Vaxigrip</w:t>
      </w:r>
      <w:proofErr w:type="spellEnd"/>
      <w:r>
        <w:t xml:space="preserve"> Tetra, PSD, July 2019 PBAC meeting </w:t>
      </w:r>
    </w:p>
  </w:footnote>
  <w:footnote w:id="5">
    <w:p w:rsidR="00B903B6" w:rsidRDefault="00B903B6" w:rsidP="006D6308">
      <w:pPr>
        <w:pStyle w:val="TableFigureFooter"/>
      </w:pPr>
      <w:r w:rsidRPr="00533973">
        <w:rPr>
          <w:vertAlign w:val="superscript"/>
        </w:rPr>
        <w:footnoteRef/>
      </w:r>
      <w:r w:rsidRPr="00E520CE">
        <w:t xml:space="preserve"> </w:t>
      </w:r>
      <w:r>
        <w:t xml:space="preserve">p30, QIV, </w:t>
      </w:r>
      <w:proofErr w:type="spellStart"/>
      <w:r>
        <w:t>Vaxigrip</w:t>
      </w:r>
      <w:proofErr w:type="spellEnd"/>
      <w:r>
        <w:t xml:space="preserve"> Tetra, PSD, July 2019 PBAC meeting </w:t>
      </w:r>
    </w:p>
  </w:footnote>
  <w:footnote w:id="6">
    <w:p w:rsidR="00B903B6" w:rsidRDefault="00B903B6" w:rsidP="006D6308">
      <w:pPr>
        <w:pStyle w:val="TableFigureFooter"/>
      </w:pPr>
      <w:r w:rsidRPr="00533973">
        <w:rPr>
          <w:rStyle w:val="FootnoteReference"/>
        </w:rPr>
        <w:footnoteRef/>
      </w:r>
      <w:r w:rsidRPr="00533973">
        <w:t xml:space="preserve"> </w:t>
      </w:r>
      <w:r>
        <w:t xml:space="preserve">p1, </w:t>
      </w:r>
      <w:r w:rsidRPr="00852184">
        <w:t xml:space="preserve">ATAGI October 2018 Pre-Submission Advice, QIV, </w:t>
      </w:r>
      <w:proofErr w:type="spellStart"/>
      <w:r w:rsidRPr="00852184">
        <w:t>Vaxigrip</w:t>
      </w:r>
      <w:proofErr w:type="spellEnd"/>
      <w:r w:rsidRPr="00852184">
        <w:t xml:space="preserve"> Tetra, </w:t>
      </w:r>
      <w:r>
        <w:t>July</w:t>
      </w:r>
      <w:r w:rsidRPr="00852184">
        <w:t xml:space="preserve"> 201</w:t>
      </w:r>
      <w:r>
        <w:t>9</w:t>
      </w:r>
      <w:r w:rsidRPr="00852184">
        <w:t xml:space="preserve"> PBAC </w:t>
      </w:r>
      <w:r>
        <w:t>meeting</w:t>
      </w:r>
      <w:r w:rsidRPr="002F7981">
        <w:t xml:space="preserve"> </w:t>
      </w:r>
    </w:p>
  </w:footnote>
  <w:footnote w:id="7">
    <w:p w:rsidR="00B903B6" w:rsidRDefault="00B903B6" w:rsidP="006D6308">
      <w:pPr>
        <w:pStyle w:val="TableFigureFooter"/>
      </w:pPr>
      <w:r>
        <w:rPr>
          <w:rStyle w:val="FootnoteReference"/>
        </w:rPr>
        <w:footnoteRef/>
      </w:r>
      <w:r>
        <w:t xml:space="preserve"> paragraph 5.2 &amp; 7.10, QIV, </w:t>
      </w:r>
      <w:proofErr w:type="spellStart"/>
      <w:r>
        <w:t>Vaxigrip</w:t>
      </w:r>
      <w:proofErr w:type="spellEnd"/>
      <w:r>
        <w:t xml:space="preserve"> Tetra, PSD, July 2019 PBAC meeting </w:t>
      </w:r>
    </w:p>
  </w:footnote>
  <w:footnote w:id="8">
    <w:p w:rsidR="00B903B6" w:rsidRDefault="00B903B6" w:rsidP="006D6308">
      <w:pPr>
        <w:pStyle w:val="TableFigureFooter"/>
      </w:pPr>
      <w:r>
        <w:rPr>
          <w:rStyle w:val="FootnoteReference"/>
        </w:rPr>
        <w:footnoteRef/>
      </w:r>
      <w:r>
        <w:t xml:space="preserve"> paragraph 7.12, QIV, </w:t>
      </w:r>
      <w:proofErr w:type="spellStart"/>
      <w:r>
        <w:t>Vaxigrip</w:t>
      </w:r>
      <w:proofErr w:type="spellEnd"/>
      <w:r>
        <w:t xml:space="preserve"> Tetra, PSD, July 2019 PBAC meeting </w:t>
      </w:r>
    </w:p>
  </w:footnote>
  <w:footnote w:id="9">
    <w:p w:rsidR="00B903B6" w:rsidRDefault="00B903B6" w:rsidP="006D6308">
      <w:pPr>
        <w:pStyle w:val="TableFigureFooter"/>
      </w:pPr>
      <w:r>
        <w:rPr>
          <w:rStyle w:val="FootnoteReference"/>
        </w:rPr>
        <w:footnoteRef/>
      </w:r>
      <w:r>
        <w:t xml:space="preserve"> p6, ATAGI October 2019 Post</w:t>
      </w:r>
      <w:r w:rsidRPr="00EA1175">
        <w:t xml:space="preserve">-Submission Advice, </w:t>
      </w:r>
      <w:r>
        <w:t xml:space="preserve">QIV, </w:t>
      </w:r>
      <w:proofErr w:type="spellStart"/>
      <w:r>
        <w:t>FluQuadri</w:t>
      </w:r>
      <w:proofErr w:type="spellEnd"/>
      <w:r>
        <w:t>, November 2019 PBAC meeting</w:t>
      </w:r>
      <w:r w:rsidRPr="002F7981">
        <w:t xml:space="preserve"> </w:t>
      </w:r>
    </w:p>
  </w:footnote>
  <w:footnote w:id="10">
    <w:p w:rsidR="00B903B6" w:rsidRDefault="00B903B6" w:rsidP="00852184">
      <w:pPr>
        <w:pStyle w:val="FootnoteText"/>
      </w:pPr>
      <w:r>
        <w:rPr>
          <w:rStyle w:val="FootnoteReference"/>
        </w:rPr>
        <w:footnoteRef/>
      </w:r>
      <w:r>
        <w:t xml:space="preserve"> p1, ATAGI October 2019 Post-Submission Advice, QIV, </w:t>
      </w:r>
      <w:proofErr w:type="spellStart"/>
      <w:r>
        <w:t>FluQuadri</w:t>
      </w:r>
      <w:proofErr w:type="spellEnd"/>
      <w:r>
        <w:t xml:space="preserve">, November 2019 PBAC meeting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B6" w:rsidRPr="00DB4C97" w:rsidRDefault="00B903B6" w:rsidP="0056124A">
    <w:pPr>
      <w:pStyle w:val="Header"/>
      <w:keepNext/>
      <w:ind w:left="360"/>
      <w:jc w:val="center"/>
      <w:rPr>
        <w:rFonts w:asciiTheme="minorHAnsi" w:hAnsiTheme="minorHAnsi"/>
        <w:i/>
      </w:rPr>
    </w:pPr>
    <w:r>
      <w:rPr>
        <w:rFonts w:asciiTheme="minorHAnsi" w:hAnsiTheme="minorHAnsi"/>
        <w:i/>
      </w:rPr>
      <w:t>Public Summary Document</w:t>
    </w:r>
    <w:r w:rsidRPr="00DB4C97">
      <w:rPr>
        <w:rFonts w:asciiTheme="minorHAnsi" w:hAnsiTheme="minorHAnsi"/>
        <w:i/>
      </w:rPr>
      <w:t xml:space="preserve"> – November 2019 PBAC Meeting</w:t>
    </w:r>
  </w:p>
  <w:p w:rsidR="00B903B6" w:rsidRPr="00DB4C97" w:rsidRDefault="00B903B6" w:rsidP="0056124A">
    <w:pPr>
      <w:jc w:val="cent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B575B4"/>
    <w:multiLevelType w:val="hybridMultilevel"/>
    <w:tmpl w:val="9CBC5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712D6"/>
    <w:multiLevelType w:val="multilevel"/>
    <w:tmpl w:val="9A148D10"/>
    <w:lvl w:ilvl="0">
      <w:start w:val="3"/>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i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A87B6A"/>
    <w:multiLevelType w:val="hybridMultilevel"/>
    <w:tmpl w:val="D8106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FA65A5"/>
    <w:multiLevelType w:val="hybridMultilevel"/>
    <w:tmpl w:val="83C6A2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731021"/>
    <w:multiLevelType w:val="hybridMultilevel"/>
    <w:tmpl w:val="D0F2650A"/>
    <w:lvl w:ilvl="0" w:tplc="0CCC50C0">
      <w:start w:val="1"/>
      <w:numFmt w:val="lowerLetter"/>
      <w:pStyle w:val="apar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pStyle w:val="apara"/>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380977"/>
    <w:multiLevelType w:val="hybridMultilevel"/>
    <w:tmpl w:val="9A02D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A77B05"/>
    <w:multiLevelType w:val="hybridMultilevel"/>
    <w:tmpl w:val="79A42838"/>
    <w:lvl w:ilvl="0" w:tplc="0C090001">
      <w:start w:val="1"/>
      <w:numFmt w:val="bullet"/>
      <w:pStyle w:val="ListBullet3"/>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346AD7"/>
    <w:multiLevelType w:val="hybridMultilevel"/>
    <w:tmpl w:val="794A8E30"/>
    <w:lvl w:ilvl="0" w:tplc="2208152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1647A81"/>
    <w:multiLevelType w:val="hybridMultilevel"/>
    <w:tmpl w:val="0A70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4D1357"/>
    <w:multiLevelType w:val="multilevel"/>
    <w:tmpl w:val="8E2E049E"/>
    <w:lvl w:ilvl="0">
      <w:start w:val="1"/>
      <w:numFmt w:val="decimal"/>
      <w:lvlText w:val="%1"/>
      <w:lvlJc w:val="left"/>
      <w:pPr>
        <w:ind w:left="720" w:hanging="720"/>
      </w:pPr>
      <w:rPr>
        <w:rFonts w:hint="default"/>
        <w:b/>
        <w:color w:val="FFFFFF" w:themeColor="background1"/>
      </w:rPr>
    </w:lvl>
    <w:lvl w:ilvl="1">
      <w:start w:val="1"/>
      <w:numFmt w:val="decimal"/>
      <w:lvlText w:val="%1.%2"/>
      <w:lvlJc w:val="left"/>
      <w:pPr>
        <w:ind w:left="720" w:hanging="720"/>
      </w:pPr>
      <w:rPr>
        <w:rFonts w:asciiTheme="minorHAnsi" w:hAnsiTheme="minorHAnsi" w:cstheme="minorHAnsi" w:hint="default"/>
        <w:b w:val="0"/>
        <w:i w:val="0"/>
        <w:iCs/>
        <w:sz w:val="24"/>
        <w:szCs w:val="24"/>
      </w:rPr>
    </w:lvl>
    <w:lvl w:ilvl="2">
      <w:start w:val="1"/>
      <w:numFmt w:val="bullet"/>
      <w:pStyle w:val="ListParagraph"/>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530DEB"/>
    <w:multiLevelType w:val="hybridMultilevel"/>
    <w:tmpl w:val="539E3B94"/>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6" w15:restartNumberingAfterBreak="0">
    <w:nsid w:val="40862922"/>
    <w:multiLevelType w:val="hybridMultilevel"/>
    <w:tmpl w:val="7D581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490493A8"/>
    <w:lvl w:ilvl="0" w:tplc="E988B30E">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pStyle w:val="Bulletpoints"/>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26B66"/>
    <w:multiLevelType w:val="multilevel"/>
    <w:tmpl w:val="FEF002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2402FC"/>
    <w:multiLevelType w:val="hybridMultilevel"/>
    <w:tmpl w:val="A1048D06"/>
    <w:lvl w:ilvl="0" w:tplc="9A5E6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17EC2"/>
    <w:multiLevelType w:val="hybridMultilevel"/>
    <w:tmpl w:val="D632B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4D033C"/>
    <w:multiLevelType w:val="multilevel"/>
    <w:tmpl w:val="2F9AA11C"/>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914F53"/>
    <w:multiLevelType w:val="hybridMultilevel"/>
    <w:tmpl w:val="F56497D8"/>
    <w:lvl w:ilvl="0" w:tplc="303032AA">
      <w:start w:val="1"/>
      <w:numFmt w:val="bullet"/>
      <w:pStyle w:val="TableTex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BB0600"/>
    <w:multiLevelType w:val="hybridMultilevel"/>
    <w:tmpl w:val="01D462C0"/>
    <w:lvl w:ilvl="0" w:tplc="F83CD784">
      <w:start w:val="1"/>
      <w:numFmt w:val="decimal"/>
      <w:pStyle w:val="mainheadings"/>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8853B0"/>
    <w:multiLevelType w:val="hybridMultilevel"/>
    <w:tmpl w:val="766C7F84"/>
    <w:lvl w:ilvl="0" w:tplc="C55AB352">
      <w:start w:val="1"/>
      <w:numFmt w:val="bullet"/>
      <w:pStyle w:val="BulletsComments"/>
      <w:lvlText w:val=""/>
      <w:lvlJc w:val="left"/>
      <w:pPr>
        <w:ind w:left="2148" w:hanging="360"/>
      </w:pPr>
      <w:rPr>
        <w:rFonts w:ascii="Symbol" w:hAnsi="Symbol" w:hint="default"/>
      </w:rPr>
    </w:lvl>
    <w:lvl w:ilvl="1" w:tplc="0C090003">
      <w:start w:val="1"/>
      <w:numFmt w:val="bullet"/>
      <w:lvlText w:val="o"/>
      <w:lvlJc w:val="left"/>
      <w:pPr>
        <w:ind w:left="2868" w:hanging="360"/>
      </w:pPr>
      <w:rPr>
        <w:rFonts w:ascii="Courier New" w:hAnsi="Courier New" w:cs="Courier New" w:hint="default"/>
      </w:rPr>
    </w:lvl>
    <w:lvl w:ilvl="2" w:tplc="0C090005" w:tentative="1">
      <w:start w:val="1"/>
      <w:numFmt w:val="bullet"/>
      <w:lvlText w:val=""/>
      <w:lvlJc w:val="left"/>
      <w:pPr>
        <w:ind w:left="3588" w:hanging="360"/>
      </w:pPr>
      <w:rPr>
        <w:rFonts w:ascii="Wingdings" w:hAnsi="Wingdings" w:hint="default"/>
      </w:rPr>
    </w:lvl>
    <w:lvl w:ilvl="3" w:tplc="0C090001" w:tentative="1">
      <w:start w:val="1"/>
      <w:numFmt w:val="bullet"/>
      <w:lvlText w:val=""/>
      <w:lvlJc w:val="left"/>
      <w:pPr>
        <w:ind w:left="4308" w:hanging="360"/>
      </w:pPr>
      <w:rPr>
        <w:rFonts w:ascii="Symbol" w:hAnsi="Symbol" w:hint="default"/>
      </w:rPr>
    </w:lvl>
    <w:lvl w:ilvl="4" w:tplc="0C090003" w:tentative="1">
      <w:start w:val="1"/>
      <w:numFmt w:val="bullet"/>
      <w:lvlText w:val="o"/>
      <w:lvlJc w:val="left"/>
      <w:pPr>
        <w:ind w:left="5028" w:hanging="360"/>
      </w:pPr>
      <w:rPr>
        <w:rFonts w:ascii="Courier New" w:hAnsi="Courier New" w:cs="Courier New" w:hint="default"/>
      </w:rPr>
    </w:lvl>
    <w:lvl w:ilvl="5" w:tplc="0C090005" w:tentative="1">
      <w:start w:val="1"/>
      <w:numFmt w:val="bullet"/>
      <w:lvlText w:val=""/>
      <w:lvlJc w:val="left"/>
      <w:pPr>
        <w:ind w:left="5748" w:hanging="360"/>
      </w:pPr>
      <w:rPr>
        <w:rFonts w:ascii="Wingdings" w:hAnsi="Wingdings" w:hint="default"/>
      </w:rPr>
    </w:lvl>
    <w:lvl w:ilvl="6" w:tplc="0C090001" w:tentative="1">
      <w:start w:val="1"/>
      <w:numFmt w:val="bullet"/>
      <w:lvlText w:val=""/>
      <w:lvlJc w:val="left"/>
      <w:pPr>
        <w:ind w:left="6468" w:hanging="360"/>
      </w:pPr>
      <w:rPr>
        <w:rFonts w:ascii="Symbol" w:hAnsi="Symbol" w:hint="default"/>
      </w:rPr>
    </w:lvl>
    <w:lvl w:ilvl="7" w:tplc="0C090003" w:tentative="1">
      <w:start w:val="1"/>
      <w:numFmt w:val="bullet"/>
      <w:lvlText w:val="o"/>
      <w:lvlJc w:val="left"/>
      <w:pPr>
        <w:ind w:left="7188" w:hanging="360"/>
      </w:pPr>
      <w:rPr>
        <w:rFonts w:ascii="Courier New" w:hAnsi="Courier New" w:cs="Courier New" w:hint="default"/>
      </w:rPr>
    </w:lvl>
    <w:lvl w:ilvl="8" w:tplc="0C090005" w:tentative="1">
      <w:start w:val="1"/>
      <w:numFmt w:val="bullet"/>
      <w:lvlText w:val=""/>
      <w:lvlJc w:val="left"/>
      <w:pPr>
        <w:ind w:left="7908" w:hanging="360"/>
      </w:pPr>
      <w:rPr>
        <w:rFonts w:ascii="Wingdings" w:hAnsi="Wingdings" w:hint="default"/>
      </w:rPr>
    </w:lvl>
  </w:abstractNum>
  <w:num w:numId="1">
    <w:abstractNumId w:val="17"/>
  </w:num>
  <w:num w:numId="2">
    <w:abstractNumId w:val="23"/>
  </w:num>
  <w:num w:numId="3">
    <w:abstractNumId w:val="8"/>
  </w:num>
  <w:num w:numId="4">
    <w:abstractNumId w:val="25"/>
  </w:num>
  <w:num w:numId="5">
    <w:abstractNumId w:val="11"/>
  </w:num>
  <w:num w:numId="6">
    <w:abstractNumId w:val="15"/>
  </w:num>
  <w:num w:numId="7">
    <w:abstractNumId w:val="22"/>
  </w:num>
  <w:num w:numId="8">
    <w:abstractNumId w:val="21"/>
  </w:num>
  <w:num w:numId="9">
    <w:abstractNumId w:val="24"/>
  </w:num>
  <w:num w:numId="10">
    <w:abstractNumId w:val="3"/>
  </w:num>
  <w:num w:numId="11">
    <w:abstractNumId w:val="22"/>
  </w:num>
  <w:num w:numId="12">
    <w:abstractNumId w:val="2"/>
  </w:num>
  <w:num w:numId="13">
    <w:abstractNumId w:val="14"/>
  </w:num>
  <w:num w:numId="14">
    <w:abstractNumId w:val="13"/>
  </w:num>
  <w:num w:numId="15">
    <w:abstractNumId w:val="5"/>
  </w:num>
  <w:num w:numId="16">
    <w:abstractNumId w:val="16"/>
  </w:num>
  <w:num w:numId="17">
    <w:abstractNumId w:val="9"/>
  </w:num>
  <w:num w:numId="18">
    <w:abstractNumId w:val="18"/>
  </w:num>
  <w:num w:numId="19">
    <w:abstractNumId w:val="22"/>
  </w:num>
  <w:num w:numId="20">
    <w:abstractNumId w:val="22"/>
  </w:num>
  <w:num w:numId="21">
    <w:abstractNumId w:val="12"/>
  </w:num>
  <w:num w:numId="22">
    <w:abstractNumId w:val="2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 w:numId="27">
    <w:abstractNumId w:val="1"/>
  </w:num>
  <w:num w:numId="28">
    <w:abstractNumId w:val="0"/>
  </w:num>
  <w:num w:numId="29">
    <w:abstractNumId w:val="7"/>
  </w:num>
  <w:num w:numId="30">
    <w:abstractNumId w:val="10"/>
  </w:num>
  <w:num w:numId="31">
    <w:abstractNumId w:val="6"/>
  </w:num>
  <w:num w:numId="32">
    <w:abstractNumId w:val="4"/>
  </w:num>
  <w:num w:numId="33">
    <w:abstractNumId w:val="14"/>
  </w:num>
  <w:num w:numId="34">
    <w:abstractNumId w:val="14"/>
  </w:num>
  <w:num w:numId="35">
    <w:abstractNumId w:val="22"/>
  </w:num>
  <w:num w:numId="36">
    <w:abstractNumId w:val="22"/>
  </w:num>
  <w:num w:numId="3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0NjQB0pYmRgZmFko6SsGpxcWZ+XkgBYaGtQCD1nxVLQAAAA=="/>
  </w:docVars>
  <w:rsids>
    <w:rsidRoot w:val="00E65E79"/>
    <w:rsid w:val="00000790"/>
    <w:rsid w:val="000008C6"/>
    <w:rsid w:val="0000110B"/>
    <w:rsid w:val="00001671"/>
    <w:rsid w:val="00001CCF"/>
    <w:rsid w:val="00003499"/>
    <w:rsid w:val="00003795"/>
    <w:rsid w:val="000039B7"/>
    <w:rsid w:val="000043E9"/>
    <w:rsid w:val="00004B98"/>
    <w:rsid w:val="00004F01"/>
    <w:rsid w:val="0000520F"/>
    <w:rsid w:val="00005969"/>
    <w:rsid w:val="00007292"/>
    <w:rsid w:val="00007BDA"/>
    <w:rsid w:val="00007D75"/>
    <w:rsid w:val="0001065F"/>
    <w:rsid w:val="00010E39"/>
    <w:rsid w:val="00012443"/>
    <w:rsid w:val="000125AB"/>
    <w:rsid w:val="00012C94"/>
    <w:rsid w:val="00012FFE"/>
    <w:rsid w:val="00013197"/>
    <w:rsid w:val="00013247"/>
    <w:rsid w:val="000148D0"/>
    <w:rsid w:val="0001492C"/>
    <w:rsid w:val="0001586F"/>
    <w:rsid w:val="00015886"/>
    <w:rsid w:val="000158B3"/>
    <w:rsid w:val="000160EE"/>
    <w:rsid w:val="000162EF"/>
    <w:rsid w:val="0001646B"/>
    <w:rsid w:val="00020624"/>
    <w:rsid w:val="00020C25"/>
    <w:rsid w:val="00020ED3"/>
    <w:rsid w:val="000218D4"/>
    <w:rsid w:val="00021D19"/>
    <w:rsid w:val="0002225F"/>
    <w:rsid w:val="0002247E"/>
    <w:rsid w:val="0002366B"/>
    <w:rsid w:val="00023763"/>
    <w:rsid w:val="00024CBF"/>
    <w:rsid w:val="000251C0"/>
    <w:rsid w:val="000260D9"/>
    <w:rsid w:val="00026A64"/>
    <w:rsid w:val="000303AD"/>
    <w:rsid w:val="000304B3"/>
    <w:rsid w:val="00030A95"/>
    <w:rsid w:val="00030D4C"/>
    <w:rsid w:val="000320DE"/>
    <w:rsid w:val="00032DA4"/>
    <w:rsid w:val="00032EF4"/>
    <w:rsid w:val="00033415"/>
    <w:rsid w:val="00033863"/>
    <w:rsid w:val="00035931"/>
    <w:rsid w:val="00035BF9"/>
    <w:rsid w:val="00035DC0"/>
    <w:rsid w:val="00035F16"/>
    <w:rsid w:val="000363FD"/>
    <w:rsid w:val="00036829"/>
    <w:rsid w:val="00036CB5"/>
    <w:rsid w:val="00037FEC"/>
    <w:rsid w:val="00040588"/>
    <w:rsid w:val="00040895"/>
    <w:rsid w:val="00040E68"/>
    <w:rsid w:val="0004176A"/>
    <w:rsid w:val="00042517"/>
    <w:rsid w:val="0004257A"/>
    <w:rsid w:val="0004278B"/>
    <w:rsid w:val="00042AA0"/>
    <w:rsid w:val="00043C37"/>
    <w:rsid w:val="00043F21"/>
    <w:rsid w:val="00043F64"/>
    <w:rsid w:val="00044902"/>
    <w:rsid w:val="00044A1D"/>
    <w:rsid w:val="00044B9D"/>
    <w:rsid w:val="00045017"/>
    <w:rsid w:val="000459EC"/>
    <w:rsid w:val="00045A2B"/>
    <w:rsid w:val="00045EA0"/>
    <w:rsid w:val="0004618F"/>
    <w:rsid w:val="0004698F"/>
    <w:rsid w:val="0004756E"/>
    <w:rsid w:val="000477DF"/>
    <w:rsid w:val="00047823"/>
    <w:rsid w:val="000502A5"/>
    <w:rsid w:val="00050710"/>
    <w:rsid w:val="00050D4B"/>
    <w:rsid w:val="00050DF1"/>
    <w:rsid w:val="0005156D"/>
    <w:rsid w:val="00051B1D"/>
    <w:rsid w:val="000527B9"/>
    <w:rsid w:val="000539D0"/>
    <w:rsid w:val="00054621"/>
    <w:rsid w:val="000546D7"/>
    <w:rsid w:val="00054856"/>
    <w:rsid w:val="0005544D"/>
    <w:rsid w:val="00055E20"/>
    <w:rsid w:val="00056785"/>
    <w:rsid w:val="0005734C"/>
    <w:rsid w:val="0005741D"/>
    <w:rsid w:val="00057B49"/>
    <w:rsid w:val="00060258"/>
    <w:rsid w:val="000604FF"/>
    <w:rsid w:val="00060E80"/>
    <w:rsid w:val="00061F08"/>
    <w:rsid w:val="0006472D"/>
    <w:rsid w:val="00064CFE"/>
    <w:rsid w:val="00064F38"/>
    <w:rsid w:val="00064FC0"/>
    <w:rsid w:val="000661D4"/>
    <w:rsid w:val="00066360"/>
    <w:rsid w:val="00066807"/>
    <w:rsid w:val="00067A27"/>
    <w:rsid w:val="00067AC1"/>
    <w:rsid w:val="000707D9"/>
    <w:rsid w:val="00070DD9"/>
    <w:rsid w:val="00070EED"/>
    <w:rsid w:val="00071248"/>
    <w:rsid w:val="00071509"/>
    <w:rsid w:val="00071919"/>
    <w:rsid w:val="000720B9"/>
    <w:rsid w:val="00072898"/>
    <w:rsid w:val="000737F7"/>
    <w:rsid w:val="000739F7"/>
    <w:rsid w:val="00075540"/>
    <w:rsid w:val="000759C2"/>
    <w:rsid w:val="00075AA5"/>
    <w:rsid w:val="00075F94"/>
    <w:rsid w:val="0007672F"/>
    <w:rsid w:val="00077162"/>
    <w:rsid w:val="000774F0"/>
    <w:rsid w:val="00077C4C"/>
    <w:rsid w:val="0008018A"/>
    <w:rsid w:val="00080220"/>
    <w:rsid w:val="00080598"/>
    <w:rsid w:val="00080909"/>
    <w:rsid w:val="00080CAD"/>
    <w:rsid w:val="000812CA"/>
    <w:rsid w:val="0008258D"/>
    <w:rsid w:val="0008310E"/>
    <w:rsid w:val="000834AD"/>
    <w:rsid w:val="00083E99"/>
    <w:rsid w:val="00084E37"/>
    <w:rsid w:val="000856C5"/>
    <w:rsid w:val="000876CB"/>
    <w:rsid w:val="0008794E"/>
    <w:rsid w:val="00090ABC"/>
    <w:rsid w:val="00090C7E"/>
    <w:rsid w:val="00090CA0"/>
    <w:rsid w:val="00092600"/>
    <w:rsid w:val="0009262B"/>
    <w:rsid w:val="00092A7B"/>
    <w:rsid w:val="00093310"/>
    <w:rsid w:val="0009445C"/>
    <w:rsid w:val="00094B31"/>
    <w:rsid w:val="0009527B"/>
    <w:rsid w:val="00095509"/>
    <w:rsid w:val="00095C18"/>
    <w:rsid w:val="00095FE5"/>
    <w:rsid w:val="00096284"/>
    <w:rsid w:val="000965ED"/>
    <w:rsid w:val="0009739A"/>
    <w:rsid w:val="000975F9"/>
    <w:rsid w:val="00097849"/>
    <w:rsid w:val="000A00EF"/>
    <w:rsid w:val="000A0E8D"/>
    <w:rsid w:val="000A16E1"/>
    <w:rsid w:val="000A1F44"/>
    <w:rsid w:val="000A27DF"/>
    <w:rsid w:val="000A3749"/>
    <w:rsid w:val="000A3848"/>
    <w:rsid w:val="000A3A95"/>
    <w:rsid w:val="000A42FA"/>
    <w:rsid w:val="000A44B8"/>
    <w:rsid w:val="000A561E"/>
    <w:rsid w:val="000A6ABC"/>
    <w:rsid w:val="000A785D"/>
    <w:rsid w:val="000A7986"/>
    <w:rsid w:val="000A7CB3"/>
    <w:rsid w:val="000A7D08"/>
    <w:rsid w:val="000B0670"/>
    <w:rsid w:val="000B0E75"/>
    <w:rsid w:val="000B0FF5"/>
    <w:rsid w:val="000B1772"/>
    <w:rsid w:val="000B1B19"/>
    <w:rsid w:val="000B2EB7"/>
    <w:rsid w:val="000B32BB"/>
    <w:rsid w:val="000B377A"/>
    <w:rsid w:val="000B40CB"/>
    <w:rsid w:val="000B46AB"/>
    <w:rsid w:val="000B4D33"/>
    <w:rsid w:val="000B5115"/>
    <w:rsid w:val="000B5EF9"/>
    <w:rsid w:val="000B683C"/>
    <w:rsid w:val="000B6CAC"/>
    <w:rsid w:val="000B72BB"/>
    <w:rsid w:val="000B7451"/>
    <w:rsid w:val="000B7612"/>
    <w:rsid w:val="000B7A03"/>
    <w:rsid w:val="000B7F9E"/>
    <w:rsid w:val="000C20E0"/>
    <w:rsid w:val="000C28B5"/>
    <w:rsid w:val="000C2CA7"/>
    <w:rsid w:val="000C3245"/>
    <w:rsid w:val="000C3514"/>
    <w:rsid w:val="000C3BC5"/>
    <w:rsid w:val="000C3DF9"/>
    <w:rsid w:val="000C3F6A"/>
    <w:rsid w:val="000C3FDB"/>
    <w:rsid w:val="000C435D"/>
    <w:rsid w:val="000C4DEE"/>
    <w:rsid w:val="000C4E3A"/>
    <w:rsid w:val="000C5295"/>
    <w:rsid w:val="000C53FE"/>
    <w:rsid w:val="000C5AAF"/>
    <w:rsid w:val="000C5CD2"/>
    <w:rsid w:val="000C6713"/>
    <w:rsid w:val="000C6E7E"/>
    <w:rsid w:val="000C79AC"/>
    <w:rsid w:val="000D0415"/>
    <w:rsid w:val="000D0A6C"/>
    <w:rsid w:val="000D0A98"/>
    <w:rsid w:val="000D152D"/>
    <w:rsid w:val="000D1966"/>
    <w:rsid w:val="000D1BFC"/>
    <w:rsid w:val="000D281A"/>
    <w:rsid w:val="000D2F42"/>
    <w:rsid w:val="000D2F44"/>
    <w:rsid w:val="000D2FD0"/>
    <w:rsid w:val="000D326A"/>
    <w:rsid w:val="000D511C"/>
    <w:rsid w:val="000D51FB"/>
    <w:rsid w:val="000D53D2"/>
    <w:rsid w:val="000D55AB"/>
    <w:rsid w:val="000D55B9"/>
    <w:rsid w:val="000D60F5"/>
    <w:rsid w:val="000D6115"/>
    <w:rsid w:val="000D71DE"/>
    <w:rsid w:val="000D742A"/>
    <w:rsid w:val="000D7882"/>
    <w:rsid w:val="000E0160"/>
    <w:rsid w:val="000E135D"/>
    <w:rsid w:val="000E1764"/>
    <w:rsid w:val="000E1A3D"/>
    <w:rsid w:val="000E2799"/>
    <w:rsid w:val="000E2DB6"/>
    <w:rsid w:val="000E2F8C"/>
    <w:rsid w:val="000E41E3"/>
    <w:rsid w:val="000E46DC"/>
    <w:rsid w:val="000E4E87"/>
    <w:rsid w:val="000E529C"/>
    <w:rsid w:val="000E57A0"/>
    <w:rsid w:val="000E66A3"/>
    <w:rsid w:val="000E68C0"/>
    <w:rsid w:val="000E6991"/>
    <w:rsid w:val="000E7485"/>
    <w:rsid w:val="000E7A8A"/>
    <w:rsid w:val="000E7D03"/>
    <w:rsid w:val="000F00BA"/>
    <w:rsid w:val="000F1DDC"/>
    <w:rsid w:val="000F2CA2"/>
    <w:rsid w:val="000F316A"/>
    <w:rsid w:val="000F3258"/>
    <w:rsid w:val="000F356A"/>
    <w:rsid w:val="000F3C74"/>
    <w:rsid w:val="000F3E3E"/>
    <w:rsid w:val="000F404E"/>
    <w:rsid w:val="000F4BB8"/>
    <w:rsid w:val="000F4BEA"/>
    <w:rsid w:val="000F6627"/>
    <w:rsid w:val="000F7127"/>
    <w:rsid w:val="000F7251"/>
    <w:rsid w:val="000F7F18"/>
    <w:rsid w:val="00100F8A"/>
    <w:rsid w:val="0010186B"/>
    <w:rsid w:val="00101C61"/>
    <w:rsid w:val="00101E53"/>
    <w:rsid w:val="00102E71"/>
    <w:rsid w:val="00104226"/>
    <w:rsid w:val="001044E7"/>
    <w:rsid w:val="00104C05"/>
    <w:rsid w:val="00104F48"/>
    <w:rsid w:val="00105434"/>
    <w:rsid w:val="00105A62"/>
    <w:rsid w:val="00105AE2"/>
    <w:rsid w:val="0010632A"/>
    <w:rsid w:val="00106AE7"/>
    <w:rsid w:val="00106B80"/>
    <w:rsid w:val="00106C22"/>
    <w:rsid w:val="001074E7"/>
    <w:rsid w:val="00107BF8"/>
    <w:rsid w:val="00107E0E"/>
    <w:rsid w:val="0011032E"/>
    <w:rsid w:val="00110973"/>
    <w:rsid w:val="00110DEA"/>
    <w:rsid w:val="001113D1"/>
    <w:rsid w:val="00111AD5"/>
    <w:rsid w:val="00112CB6"/>
    <w:rsid w:val="0011348B"/>
    <w:rsid w:val="00113D52"/>
    <w:rsid w:val="00113F1D"/>
    <w:rsid w:val="00114724"/>
    <w:rsid w:val="00114B0B"/>
    <w:rsid w:val="001150FE"/>
    <w:rsid w:val="00115596"/>
    <w:rsid w:val="00115982"/>
    <w:rsid w:val="0011683D"/>
    <w:rsid w:val="00116C53"/>
    <w:rsid w:val="001175ED"/>
    <w:rsid w:val="0011791F"/>
    <w:rsid w:val="001205AA"/>
    <w:rsid w:val="00121799"/>
    <w:rsid w:val="00121F7D"/>
    <w:rsid w:val="001222FC"/>
    <w:rsid w:val="0012236A"/>
    <w:rsid w:val="00122C35"/>
    <w:rsid w:val="001233EA"/>
    <w:rsid w:val="00123E37"/>
    <w:rsid w:val="001248F8"/>
    <w:rsid w:val="00124A51"/>
    <w:rsid w:val="00125062"/>
    <w:rsid w:val="0012630D"/>
    <w:rsid w:val="00126621"/>
    <w:rsid w:val="0012774A"/>
    <w:rsid w:val="00127846"/>
    <w:rsid w:val="001301E9"/>
    <w:rsid w:val="0013020D"/>
    <w:rsid w:val="00130D87"/>
    <w:rsid w:val="0013170A"/>
    <w:rsid w:val="00131C6E"/>
    <w:rsid w:val="00131D82"/>
    <w:rsid w:val="00131F7E"/>
    <w:rsid w:val="00132064"/>
    <w:rsid w:val="0013359D"/>
    <w:rsid w:val="00133D36"/>
    <w:rsid w:val="0013403B"/>
    <w:rsid w:val="00134EFF"/>
    <w:rsid w:val="00135B9E"/>
    <w:rsid w:val="00135FF4"/>
    <w:rsid w:val="0013654E"/>
    <w:rsid w:val="00136EFD"/>
    <w:rsid w:val="00137645"/>
    <w:rsid w:val="0014015A"/>
    <w:rsid w:val="0014021C"/>
    <w:rsid w:val="00140416"/>
    <w:rsid w:val="001407F9"/>
    <w:rsid w:val="00140DA4"/>
    <w:rsid w:val="00140E99"/>
    <w:rsid w:val="00142400"/>
    <w:rsid w:val="00142F3F"/>
    <w:rsid w:val="00143235"/>
    <w:rsid w:val="00143474"/>
    <w:rsid w:val="00144E54"/>
    <w:rsid w:val="001454CF"/>
    <w:rsid w:val="00145540"/>
    <w:rsid w:val="00145547"/>
    <w:rsid w:val="001456B0"/>
    <w:rsid w:val="00145C0F"/>
    <w:rsid w:val="00146D8D"/>
    <w:rsid w:val="001472DC"/>
    <w:rsid w:val="00151551"/>
    <w:rsid w:val="001519D6"/>
    <w:rsid w:val="001523CB"/>
    <w:rsid w:val="0015242A"/>
    <w:rsid w:val="00152604"/>
    <w:rsid w:val="00152B86"/>
    <w:rsid w:val="00152BBA"/>
    <w:rsid w:val="00152C12"/>
    <w:rsid w:val="0015394E"/>
    <w:rsid w:val="00154491"/>
    <w:rsid w:val="001545E9"/>
    <w:rsid w:val="00156246"/>
    <w:rsid w:val="00157123"/>
    <w:rsid w:val="00157130"/>
    <w:rsid w:val="001574DD"/>
    <w:rsid w:val="001576B1"/>
    <w:rsid w:val="001578AE"/>
    <w:rsid w:val="00157C45"/>
    <w:rsid w:val="001608FC"/>
    <w:rsid w:val="00160A4C"/>
    <w:rsid w:val="001628B4"/>
    <w:rsid w:val="00162913"/>
    <w:rsid w:val="001630DE"/>
    <w:rsid w:val="0016318E"/>
    <w:rsid w:val="0016399B"/>
    <w:rsid w:val="00163EFF"/>
    <w:rsid w:val="001646EE"/>
    <w:rsid w:val="00165BFD"/>
    <w:rsid w:val="001661FB"/>
    <w:rsid w:val="00166530"/>
    <w:rsid w:val="00166600"/>
    <w:rsid w:val="001666BF"/>
    <w:rsid w:val="0016791E"/>
    <w:rsid w:val="00167933"/>
    <w:rsid w:val="00167B02"/>
    <w:rsid w:val="00167FBF"/>
    <w:rsid w:val="00171C3E"/>
    <w:rsid w:val="00172212"/>
    <w:rsid w:val="001729CA"/>
    <w:rsid w:val="00173306"/>
    <w:rsid w:val="00173565"/>
    <w:rsid w:val="00173B07"/>
    <w:rsid w:val="00174D8A"/>
    <w:rsid w:val="00176875"/>
    <w:rsid w:val="00176BD0"/>
    <w:rsid w:val="0017762A"/>
    <w:rsid w:val="0017762C"/>
    <w:rsid w:val="001776D7"/>
    <w:rsid w:val="00177FA9"/>
    <w:rsid w:val="001808F4"/>
    <w:rsid w:val="00180907"/>
    <w:rsid w:val="00181710"/>
    <w:rsid w:val="001819BC"/>
    <w:rsid w:val="00181D9C"/>
    <w:rsid w:val="0018325C"/>
    <w:rsid w:val="0018347B"/>
    <w:rsid w:val="001838A0"/>
    <w:rsid w:val="00183943"/>
    <w:rsid w:val="00183CB2"/>
    <w:rsid w:val="0018472E"/>
    <w:rsid w:val="00184FC5"/>
    <w:rsid w:val="001855AE"/>
    <w:rsid w:val="001857A4"/>
    <w:rsid w:val="00185D84"/>
    <w:rsid w:val="00185FEB"/>
    <w:rsid w:val="0018623E"/>
    <w:rsid w:val="00187205"/>
    <w:rsid w:val="0018752F"/>
    <w:rsid w:val="0018785A"/>
    <w:rsid w:val="001906F3"/>
    <w:rsid w:val="001907D2"/>
    <w:rsid w:val="001908CC"/>
    <w:rsid w:val="001916A9"/>
    <w:rsid w:val="00191AAF"/>
    <w:rsid w:val="00191AB2"/>
    <w:rsid w:val="00192088"/>
    <w:rsid w:val="001929B6"/>
    <w:rsid w:val="0019316A"/>
    <w:rsid w:val="00193BD4"/>
    <w:rsid w:val="00193D6C"/>
    <w:rsid w:val="001944DD"/>
    <w:rsid w:val="00194ED5"/>
    <w:rsid w:val="00195222"/>
    <w:rsid w:val="001959C5"/>
    <w:rsid w:val="0019655A"/>
    <w:rsid w:val="0019690C"/>
    <w:rsid w:val="001975D8"/>
    <w:rsid w:val="00197AC6"/>
    <w:rsid w:val="00197EC4"/>
    <w:rsid w:val="001A185D"/>
    <w:rsid w:val="001A1D6B"/>
    <w:rsid w:val="001A2456"/>
    <w:rsid w:val="001A2B94"/>
    <w:rsid w:val="001A3916"/>
    <w:rsid w:val="001A3ED5"/>
    <w:rsid w:val="001A4001"/>
    <w:rsid w:val="001A43FA"/>
    <w:rsid w:val="001A444D"/>
    <w:rsid w:val="001A4713"/>
    <w:rsid w:val="001A59FB"/>
    <w:rsid w:val="001A6306"/>
    <w:rsid w:val="001A6354"/>
    <w:rsid w:val="001A751C"/>
    <w:rsid w:val="001A76C2"/>
    <w:rsid w:val="001A7AE8"/>
    <w:rsid w:val="001B155F"/>
    <w:rsid w:val="001B1E20"/>
    <w:rsid w:val="001B204E"/>
    <w:rsid w:val="001B2075"/>
    <w:rsid w:val="001B294A"/>
    <w:rsid w:val="001B3043"/>
    <w:rsid w:val="001B3443"/>
    <w:rsid w:val="001B350F"/>
    <w:rsid w:val="001B39BD"/>
    <w:rsid w:val="001B41F4"/>
    <w:rsid w:val="001B4246"/>
    <w:rsid w:val="001B42D9"/>
    <w:rsid w:val="001B4737"/>
    <w:rsid w:val="001B4AC8"/>
    <w:rsid w:val="001B4D20"/>
    <w:rsid w:val="001B4E7F"/>
    <w:rsid w:val="001B4F8A"/>
    <w:rsid w:val="001B5A7E"/>
    <w:rsid w:val="001B5BBC"/>
    <w:rsid w:val="001B762F"/>
    <w:rsid w:val="001C03C3"/>
    <w:rsid w:val="001C0C3C"/>
    <w:rsid w:val="001C1FE5"/>
    <w:rsid w:val="001C2451"/>
    <w:rsid w:val="001C2A4A"/>
    <w:rsid w:val="001C2A9B"/>
    <w:rsid w:val="001C2C77"/>
    <w:rsid w:val="001C3BAB"/>
    <w:rsid w:val="001C4299"/>
    <w:rsid w:val="001C4ADF"/>
    <w:rsid w:val="001C566A"/>
    <w:rsid w:val="001C5F94"/>
    <w:rsid w:val="001C6E66"/>
    <w:rsid w:val="001C75E9"/>
    <w:rsid w:val="001C7E02"/>
    <w:rsid w:val="001C7EFB"/>
    <w:rsid w:val="001D10DF"/>
    <w:rsid w:val="001D1E4E"/>
    <w:rsid w:val="001D2054"/>
    <w:rsid w:val="001D36DF"/>
    <w:rsid w:val="001D4516"/>
    <w:rsid w:val="001D49AB"/>
    <w:rsid w:val="001D4BC4"/>
    <w:rsid w:val="001D4C22"/>
    <w:rsid w:val="001D4EF0"/>
    <w:rsid w:val="001D6801"/>
    <w:rsid w:val="001D69F9"/>
    <w:rsid w:val="001D6DDC"/>
    <w:rsid w:val="001D7836"/>
    <w:rsid w:val="001D7F33"/>
    <w:rsid w:val="001E13C3"/>
    <w:rsid w:val="001E1A80"/>
    <w:rsid w:val="001E238E"/>
    <w:rsid w:val="001E2483"/>
    <w:rsid w:val="001E25FC"/>
    <w:rsid w:val="001E2B1E"/>
    <w:rsid w:val="001E30D4"/>
    <w:rsid w:val="001E30E2"/>
    <w:rsid w:val="001E41A4"/>
    <w:rsid w:val="001E43E5"/>
    <w:rsid w:val="001E4E08"/>
    <w:rsid w:val="001E4F24"/>
    <w:rsid w:val="001E4F86"/>
    <w:rsid w:val="001E5273"/>
    <w:rsid w:val="001E52EB"/>
    <w:rsid w:val="001E538F"/>
    <w:rsid w:val="001E5440"/>
    <w:rsid w:val="001E61D2"/>
    <w:rsid w:val="001E6AB0"/>
    <w:rsid w:val="001E6C9D"/>
    <w:rsid w:val="001E740C"/>
    <w:rsid w:val="001E7E9C"/>
    <w:rsid w:val="001F06E8"/>
    <w:rsid w:val="001F09A8"/>
    <w:rsid w:val="001F1235"/>
    <w:rsid w:val="001F1890"/>
    <w:rsid w:val="001F1CB3"/>
    <w:rsid w:val="001F276A"/>
    <w:rsid w:val="001F3849"/>
    <w:rsid w:val="001F38B5"/>
    <w:rsid w:val="001F414E"/>
    <w:rsid w:val="001F5036"/>
    <w:rsid w:val="001F5AC6"/>
    <w:rsid w:val="001F5FC1"/>
    <w:rsid w:val="001F62A9"/>
    <w:rsid w:val="001F66FF"/>
    <w:rsid w:val="001F678C"/>
    <w:rsid w:val="001F68F6"/>
    <w:rsid w:val="001F7361"/>
    <w:rsid w:val="001F785B"/>
    <w:rsid w:val="001F7C84"/>
    <w:rsid w:val="00200B01"/>
    <w:rsid w:val="002011B0"/>
    <w:rsid w:val="00202A45"/>
    <w:rsid w:val="00203181"/>
    <w:rsid w:val="002032F2"/>
    <w:rsid w:val="00203783"/>
    <w:rsid w:val="0020385F"/>
    <w:rsid w:val="0020658D"/>
    <w:rsid w:val="00206619"/>
    <w:rsid w:val="0020661A"/>
    <w:rsid w:val="00206E94"/>
    <w:rsid w:val="00206FF6"/>
    <w:rsid w:val="00207021"/>
    <w:rsid w:val="0020732F"/>
    <w:rsid w:val="002074B1"/>
    <w:rsid w:val="00207775"/>
    <w:rsid w:val="0020780B"/>
    <w:rsid w:val="00207D00"/>
    <w:rsid w:val="00207EE8"/>
    <w:rsid w:val="002105C1"/>
    <w:rsid w:val="0021062A"/>
    <w:rsid w:val="00210734"/>
    <w:rsid w:val="00211BA5"/>
    <w:rsid w:val="0021267C"/>
    <w:rsid w:val="00212743"/>
    <w:rsid w:val="002135B6"/>
    <w:rsid w:val="00213FAB"/>
    <w:rsid w:val="00214872"/>
    <w:rsid w:val="0021506B"/>
    <w:rsid w:val="00215839"/>
    <w:rsid w:val="00215992"/>
    <w:rsid w:val="00215FD7"/>
    <w:rsid w:val="00216A98"/>
    <w:rsid w:val="00216D79"/>
    <w:rsid w:val="002177B4"/>
    <w:rsid w:val="00217B96"/>
    <w:rsid w:val="00220B66"/>
    <w:rsid w:val="0022129E"/>
    <w:rsid w:val="002214B9"/>
    <w:rsid w:val="00222D3B"/>
    <w:rsid w:val="0022362D"/>
    <w:rsid w:val="00223670"/>
    <w:rsid w:val="00223B49"/>
    <w:rsid w:val="00223CBB"/>
    <w:rsid w:val="00223ED4"/>
    <w:rsid w:val="00224929"/>
    <w:rsid w:val="00224DD4"/>
    <w:rsid w:val="00226446"/>
    <w:rsid w:val="0022667F"/>
    <w:rsid w:val="00226C81"/>
    <w:rsid w:val="00227B22"/>
    <w:rsid w:val="00230288"/>
    <w:rsid w:val="002309CC"/>
    <w:rsid w:val="0023129B"/>
    <w:rsid w:val="0023209F"/>
    <w:rsid w:val="002338FC"/>
    <w:rsid w:val="00233959"/>
    <w:rsid w:val="00233C46"/>
    <w:rsid w:val="002346A4"/>
    <w:rsid w:val="00235221"/>
    <w:rsid w:val="00235B99"/>
    <w:rsid w:val="0023607C"/>
    <w:rsid w:val="0023629D"/>
    <w:rsid w:val="00236A50"/>
    <w:rsid w:val="00236E13"/>
    <w:rsid w:val="00237255"/>
    <w:rsid w:val="00237971"/>
    <w:rsid w:val="002405A2"/>
    <w:rsid w:val="002407F6"/>
    <w:rsid w:val="0024088B"/>
    <w:rsid w:val="002409F3"/>
    <w:rsid w:val="00241234"/>
    <w:rsid w:val="002413F6"/>
    <w:rsid w:val="00241656"/>
    <w:rsid w:val="002421F1"/>
    <w:rsid w:val="002424AF"/>
    <w:rsid w:val="00242AFC"/>
    <w:rsid w:val="002430C4"/>
    <w:rsid w:val="002439DC"/>
    <w:rsid w:val="00244169"/>
    <w:rsid w:val="00244878"/>
    <w:rsid w:val="002449FF"/>
    <w:rsid w:val="00244DC8"/>
    <w:rsid w:val="002458BA"/>
    <w:rsid w:val="0024626C"/>
    <w:rsid w:val="00246295"/>
    <w:rsid w:val="0024636C"/>
    <w:rsid w:val="00246DDB"/>
    <w:rsid w:val="00247580"/>
    <w:rsid w:val="00247925"/>
    <w:rsid w:val="00247935"/>
    <w:rsid w:val="00247F80"/>
    <w:rsid w:val="00250155"/>
    <w:rsid w:val="00250875"/>
    <w:rsid w:val="00250D5F"/>
    <w:rsid w:val="00250FF7"/>
    <w:rsid w:val="0025102A"/>
    <w:rsid w:val="00251410"/>
    <w:rsid w:val="00251E0E"/>
    <w:rsid w:val="002521D8"/>
    <w:rsid w:val="002522B7"/>
    <w:rsid w:val="00252708"/>
    <w:rsid w:val="00253547"/>
    <w:rsid w:val="002538B9"/>
    <w:rsid w:val="00254201"/>
    <w:rsid w:val="002546D1"/>
    <w:rsid w:val="00254DCF"/>
    <w:rsid w:val="00255005"/>
    <w:rsid w:val="0025534B"/>
    <w:rsid w:val="00255380"/>
    <w:rsid w:val="00255682"/>
    <w:rsid w:val="0025570D"/>
    <w:rsid w:val="00255BB7"/>
    <w:rsid w:val="00256109"/>
    <w:rsid w:val="002562FA"/>
    <w:rsid w:val="002569AF"/>
    <w:rsid w:val="00256AB1"/>
    <w:rsid w:val="002573EA"/>
    <w:rsid w:val="00257541"/>
    <w:rsid w:val="00257B7F"/>
    <w:rsid w:val="00260015"/>
    <w:rsid w:val="002612A5"/>
    <w:rsid w:val="00261323"/>
    <w:rsid w:val="00261E8F"/>
    <w:rsid w:val="00262A1A"/>
    <w:rsid w:val="00262A87"/>
    <w:rsid w:val="00262E9D"/>
    <w:rsid w:val="00263069"/>
    <w:rsid w:val="00263409"/>
    <w:rsid w:val="00263504"/>
    <w:rsid w:val="00263751"/>
    <w:rsid w:val="002637FD"/>
    <w:rsid w:val="00264D26"/>
    <w:rsid w:val="00266BB9"/>
    <w:rsid w:val="00267034"/>
    <w:rsid w:val="002671D1"/>
    <w:rsid w:val="002672C9"/>
    <w:rsid w:val="00267423"/>
    <w:rsid w:val="00267642"/>
    <w:rsid w:val="00267AEA"/>
    <w:rsid w:val="002700E6"/>
    <w:rsid w:val="002712C0"/>
    <w:rsid w:val="00271A78"/>
    <w:rsid w:val="00271F25"/>
    <w:rsid w:val="0027294B"/>
    <w:rsid w:val="0027305B"/>
    <w:rsid w:val="0027479B"/>
    <w:rsid w:val="002749AC"/>
    <w:rsid w:val="0027591A"/>
    <w:rsid w:val="00275920"/>
    <w:rsid w:val="00275A63"/>
    <w:rsid w:val="00275C5A"/>
    <w:rsid w:val="00275FF0"/>
    <w:rsid w:val="00276582"/>
    <w:rsid w:val="00276E5A"/>
    <w:rsid w:val="0028027F"/>
    <w:rsid w:val="00281014"/>
    <w:rsid w:val="002813BC"/>
    <w:rsid w:val="002815ED"/>
    <w:rsid w:val="0028333D"/>
    <w:rsid w:val="00283C0C"/>
    <w:rsid w:val="002841C6"/>
    <w:rsid w:val="00284285"/>
    <w:rsid w:val="00284698"/>
    <w:rsid w:val="00284863"/>
    <w:rsid w:val="002854D4"/>
    <w:rsid w:val="002863E8"/>
    <w:rsid w:val="00286C95"/>
    <w:rsid w:val="0028727B"/>
    <w:rsid w:val="002874E9"/>
    <w:rsid w:val="00287DA3"/>
    <w:rsid w:val="00290809"/>
    <w:rsid w:val="00292195"/>
    <w:rsid w:val="0029261E"/>
    <w:rsid w:val="00292806"/>
    <w:rsid w:val="00292E7A"/>
    <w:rsid w:val="0029332D"/>
    <w:rsid w:val="00293428"/>
    <w:rsid w:val="002937EE"/>
    <w:rsid w:val="002959C5"/>
    <w:rsid w:val="00296192"/>
    <w:rsid w:val="002961E7"/>
    <w:rsid w:val="002968C3"/>
    <w:rsid w:val="002979F8"/>
    <w:rsid w:val="00297B60"/>
    <w:rsid w:val="00297F9C"/>
    <w:rsid w:val="002A083B"/>
    <w:rsid w:val="002A0964"/>
    <w:rsid w:val="002A0E56"/>
    <w:rsid w:val="002A10F1"/>
    <w:rsid w:val="002A110E"/>
    <w:rsid w:val="002A14AB"/>
    <w:rsid w:val="002A1766"/>
    <w:rsid w:val="002A1ECF"/>
    <w:rsid w:val="002A20C0"/>
    <w:rsid w:val="002A2F50"/>
    <w:rsid w:val="002A34DD"/>
    <w:rsid w:val="002A45B9"/>
    <w:rsid w:val="002A5257"/>
    <w:rsid w:val="002A6387"/>
    <w:rsid w:val="002A6C5E"/>
    <w:rsid w:val="002A7A7F"/>
    <w:rsid w:val="002A7B4C"/>
    <w:rsid w:val="002B011F"/>
    <w:rsid w:val="002B02EB"/>
    <w:rsid w:val="002B047D"/>
    <w:rsid w:val="002B09A4"/>
    <w:rsid w:val="002B09B2"/>
    <w:rsid w:val="002B0D84"/>
    <w:rsid w:val="002B189F"/>
    <w:rsid w:val="002B1C1F"/>
    <w:rsid w:val="002B1E2C"/>
    <w:rsid w:val="002B23F9"/>
    <w:rsid w:val="002B26C9"/>
    <w:rsid w:val="002B432F"/>
    <w:rsid w:val="002B48B1"/>
    <w:rsid w:val="002B62B3"/>
    <w:rsid w:val="002B6319"/>
    <w:rsid w:val="002B6754"/>
    <w:rsid w:val="002B6CCE"/>
    <w:rsid w:val="002B765F"/>
    <w:rsid w:val="002B7AEF"/>
    <w:rsid w:val="002C198D"/>
    <w:rsid w:val="002C199E"/>
    <w:rsid w:val="002C1D73"/>
    <w:rsid w:val="002C2419"/>
    <w:rsid w:val="002C2510"/>
    <w:rsid w:val="002C2775"/>
    <w:rsid w:val="002C27C1"/>
    <w:rsid w:val="002C3403"/>
    <w:rsid w:val="002C3CC7"/>
    <w:rsid w:val="002C4912"/>
    <w:rsid w:val="002C4E85"/>
    <w:rsid w:val="002C5099"/>
    <w:rsid w:val="002C5889"/>
    <w:rsid w:val="002C6252"/>
    <w:rsid w:val="002C71CE"/>
    <w:rsid w:val="002C79BA"/>
    <w:rsid w:val="002C7B4C"/>
    <w:rsid w:val="002C7CE3"/>
    <w:rsid w:val="002D01C8"/>
    <w:rsid w:val="002D02FF"/>
    <w:rsid w:val="002D0DF5"/>
    <w:rsid w:val="002D1812"/>
    <w:rsid w:val="002D1B1B"/>
    <w:rsid w:val="002D215D"/>
    <w:rsid w:val="002D2ACA"/>
    <w:rsid w:val="002D35BE"/>
    <w:rsid w:val="002D381C"/>
    <w:rsid w:val="002D3CEE"/>
    <w:rsid w:val="002D4351"/>
    <w:rsid w:val="002D459D"/>
    <w:rsid w:val="002D4793"/>
    <w:rsid w:val="002D4B49"/>
    <w:rsid w:val="002D56BA"/>
    <w:rsid w:val="002D577C"/>
    <w:rsid w:val="002D57D9"/>
    <w:rsid w:val="002D5D74"/>
    <w:rsid w:val="002D64F0"/>
    <w:rsid w:val="002D6BA1"/>
    <w:rsid w:val="002D6DD0"/>
    <w:rsid w:val="002E0AC3"/>
    <w:rsid w:val="002E0BEA"/>
    <w:rsid w:val="002E12CF"/>
    <w:rsid w:val="002E15B9"/>
    <w:rsid w:val="002E207C"/>
    <w:rsid w:val="002E2158"/>
    <w:rsid w:val="002E30D7"/>
    <w:rsid w:val="002E3603"/>
    <w:rsid w:val="002E43AF"/>
    <w:rsid w:val="002E467C"/>
    <w:rsid w:val="002E4ECF"/>
    <w:rsid w:val="002E53F1"/>
    <w:rsid w:val="002E580D"/>
    <w:rsid w:val="002E59AE"/>
    <w:rsid w:val="002E6D19"/>
    <w:rsid w:val="002E76F2"/>
    <w:rsid w:val="002E7722"/>
    <w:rsid w:val="002F07BA"/>
    <w:rsid w:val="002F0DA9"/>
    <w:rsid w:val="002F1329"/>
    <w:rsid w:val="002F174C"/>
    <w:rsid w:val="002F188B"/>
    <w:rsid w:val="002F1A1A"/>
    <w:rsid w:val="002F1A68"/>
    <w:rsid w:val="002F328D"/>
    <w:rsid w:val="002F353D"/>
    <w:rsid w:val="002F3827"/>
    <w:rsid w:val="002F41D4"/>
    <w:rsid w:val="002F45F9"/>
    <w:rsid w:val="002F542B"/>
    <w:rsid w:val="002F557D"/>
    <w:rsid w:val="002F577E"/>
    <w:rsid w:val="002F5BB9"/>
    <w:rsid w:val="002F643C"/>
    <w:rsid w:val="002F71C0"/>
    <w:rsid w:val="002F7981"/>
    <w:rsid w:val="0030035C"/>
    <w:rsid w:val="00301017"/>
    <w:rsid w:val="0030155F"/>
    <w:rsid w:val="003023E1"/>
    <w:rsid w:val="0030246F"/>
    <w:rsid w:val="00302A29"/>
    <w:rsid w:val="0030362A"/>
    <w:rsid w:val="00304F1E"/>
    <w:rsid w:val="0030587B"/>
    <w:rsid w:val="00305D53"/>
    <w:rsid w:val="003066DE"/>
    <w:rsid w:val="00306BF3"/>
    <w:rsid w:val="00306D98"/>
    <w:rsid w:val="00306DA6"/>
    <w:rsid w:val="00306F30"/>
    <w:rsid w:val="0030713D"/>
    <w:rsid w:val="0030786C"/>
    <w:rsid w:val="00307ACD"/>
    <w:rsid w:val="0031031A"/>
    <w:rsid w:val="003104D2"/>
    <w:rsid w:val="00310635"/>
    <w:rsid w:val="00310698"/>
    <w:rsid w:val="00310981"/>
    <w:rsid w:val="00310C8F"/>
    <w:rsid w:val="003130CE"/>
    <w:rsid w:val="003131C4"/>
    <w:rsid w:val="00313C5D"/>
    <w:rsid w:val="00313E7C"/>
    <w:rsid w:val="00314197"/>
    <w:rsid w:val="00314BA2"/>
    <w:rsid w:val="00315498"/>
    <w:rsid w:val="00315500"/>
    <w:rsid w:val="00316157"/>
    <w:rsid w:val="0031663A"/>
    <w:rsid w:val="003166EB"/>
    <w:rsid w:val="00316CA8"/>
    <w:rsid w:val="00316D2B"/>
    <w:rsid w:val="003173CC"/>
    <w:rsid w:val="003203C3"/>
    <w:rsid w:val="003214F8"/>
    <w:rsid w:val="00321BEA"/>
    <w:rsid w:val="00321E60"/>
    <w:rsid w:val="00322107"/>
    <w:rsid w:val="00322846"/>
    <w:rsid w:val="0032335F"/>
    <w:rsid w:val="00323D91"/>
    <w:rsid w:val="00324314"/>
    <w:rsid w:val="00324C98"/>
    <w:rsid w:val="0032585A"/>
    <w:rsid w:val="003260AD"/>
    <w:rsid w:val="003269C6"/>
    <w:rsid w:val="00326DA7"/>
    <w:rsid w:val="003270E4"/>
    <w:rsid w:val="00330A7C"/>
    <w:rsid w:val="00330F5C"/>
    <w:rsid w:val="0033168D"/>
    <w:rsid w:val="00332082"/>
    <w:rsid w:val="0033228F"/>
    <w:rsid w:val="00332363"/>
    <w:rsid w:val="00332551"/>
    <w:rsid w:val="00332E29"/>
    <w:rsid w:val="00333085"/>
    <w:rsid w:val="0033316F"/>
    <w:rsid w:val="0033408A"/>
    <w:rsid w:val="00334457"/>
    <w:rsid w:val="00334FD5"/>
    <w:rsid w:val="0033552E"/>
    <w:rsid w:val="00335DC6"/>
    <w:rsid w:val="003366C9"/>
    <w:rsid w:val="00336B57"/>
    <w:rsid w:val="00336E61"/>
    <w:rsid w:val="003371B0"/>
    <w:rsid w:val="003377A8"/>
    <w:rsid w:val="00337890"/>
    <w:rsid w:val="003406C2"/>
    <w:rsid w:val="003407DA"/>
    <w:rsid w:val="00340DF1"/>
    <w:rsid w:val="00341BCA"/>
    <w:rsid w:val="00342193"/>
    <w:rsid w:val="003429C4"/>
    <w:rsid w:val="003432FB"/>
    <w:rsid w:val="00343733"/>
    <w:rsid w:val="003448E4"/>
    <w:rsid w:val="00344DA7"/>
    <w:rsid w:val="00344F5A"/>
    <w:rsid w:val="00346285"/>
    <w:rsid w:val="00346A71"/>
    <w:rsid w:val="00346AEA"/>
    <w:rsid w:val="00347FA2"/>
    <w:rsid w:val="00350C04"/>
    <w:rsid w:val="00350D17"/>
    <w:rsid w:val="003517F9"/>
    <w:rsid w:val="0035264C"/>
    <w:rsid w:val="00352C91"/>
    <w:rsid w:val="00353C7F"/>
    <w:rsid w:val="00354268"/>
    <w:rsid w:val="00355C07"/>
    <w:rsid w:val="00355DF6"/>
    <w:rsid w:val="0035620E"/>
    <w:rsid w:val="0036040C"/>
    <w:rsid w:val="003624C4"/>
    <w:rsid w:val="00362BC7"/>
    <w:rsid w:val="0036401B"/>
    <w:rsid w:val="003654AC"/>
    <w:rsid w:val="00365552"/>
    <w:rsid w:val="003660E3"/>
    <w:rsid w:val="00367100"/>
    <w:rsid w:val="00367216"/>
    <w:rsid w:val="00367221"/>
    <w:rsid w:val="003674BD"/>
    <w:rsid w:val="00367A60"/>
    <w:rsid w:val="00367B6D"/>
    <w:rsid w:val="00370484"/>
    <w:rsid w:val="00370E25"/>
    <w:rsid w:val="003710CF"/>
    <w:rsid w:val="00372C88"/>
    <w:rsid w:val="00373241"/>
    <w:rsid w:val="0037358A"/>
    <w:rsid w:val="00373751"/>
    <w:rsid w:val="00373F38"/>
    <w:rsid w:val="0037409A"/>
    <w:rsid w:val="003750F6"/>
    <w:rsid w:val="003751C9"/>
    <w:rsid w:val="003759A6"/>
    <w:rsid w:val="00375BAE"/>
    <w:rsid w:val="003760FC"/>
    <w:rsid w:val="00376456"/>
    <w:rsid w:val="00376636"/>
    <w:rsid w:val="003774DD"/>
    <w:rsid w:val="003774F1"/>
    <w:rsid w:val="00377C31"/>
    <w:rsid w:val="003803C0"/>
    <w:rsid w:val="0038044F"/>
    <w:rsid w:val="00380681"/>
    <w:rsid w:val="00380C10"/>
    <w:rsid w:val="00380D67"/>
    <w:rsid w:val="0038154A"/>
    <w:rsid w:val="00381674"/>
    <w:rsid w:val="003818A1"/>
    <w:rsid w:val="00382199"/>
    <w:rsid w:val="00382675"/>
    <w:rsid w:val="00382DD7"/>
    <w:rsid w:val="00383003"/>
    <w:rsid w:val="00383503"/>
    <w:rsid w:val="0038365C"/>
    <w:rsid w:val="0038369B"/>
    <w:rsid w:val="00383B78"/>
    <w:rsid w:val="00383C7F"/>
    <w:rsid w:val="00383EB7"/>
    <w:rsid w:val="00383F36"/>
    <w:rsid w:val="00384532"/>
    <w:rsid w:val="003845EB"/>
    <w:rsid w:val="0038487A"/>
    <w:rsid w:val="003849AF"/>
    <w:rsid w:val="00385A9D"/>
    <w:rsid w:val="00385AD8"/>
    <w:rsid w:val="00386733"/>
    <w:rsid w:val="003869BE"/>
    <w:rsid w:val="00386A1C"/>
    <w:rsid w:val="00386F93"/>
    <w:rsid w:val="0038768D"/>
    <w:rsid w:val="00387F5A"/>
    <w:rsid w:val="003902B1"/>
    <w:rsid w:val="00391566"/>
    <w:rsid w:val="00391ADF"/>
    <w:rsid w:val="00392382"/>
    <w:rsid w:val="00392FAA"/>
    <w:rsid w:val="003938CC"/>
    <w:rsid w:val="00394384"/>
    <w:rsid w:val="00394EF9"/>
    <w:rsid w:val="00396896"/>
    <w:rsid w:val="00396BA3"/>
    <w:rsid w:val="00396FD0"/>
    <w:rsid w:val="00397360"/>
    <w:rsid w:val="0039750A"/>
    <w:rsid w:val="003A1535"/>
    <w:rsid w:val="003A1779"/>
    <w:rsid w:val="003A1A7A"/>
    <w:rsid w:val="003A1C8E"/>
    <w:rsid w:val="003A1EA6"/>
    <w:rsid w:val="003A2392"/>
    <w:rsid w:val="003A2797"/>
    <w:rsid w:val="003A2831"/>
    <w:rsid w:val="003A2C5B"/>
    <w:rsid w:val="003A3A62"/>
    <w:rsid w:val="003A3ED1"/>
    <w:rsid w:val="003A470A"/>
    <w:rsid w:val="003A4F9E"/>
    <w:rsid w:val="003A5014"/>
    <w:rsid w:val="003A5C9F"/>
    <w:rsid w:val="003A6218"/>
    <w:rsid w:val="003A7735"/>
    <w:rsid w:val="003A7DB1"/>
    <w:rsid w:val="003B004B"/>
    <w:rsid w:val="003B04D0"/>
    <w:rsid w:val="003B061E"/>
    <w:rsid w:val="003B0971"/>
    <w:rsid w:val="003B0E86"/>
    <w:rsid w:val="003B156E"/>
    <w:rsid w:val="003B170A"/>
    <w:rsid w:val="003B3C41"/>
    <w:rsid w:val="003B44BB"/>
    <w:rsid w:val="003B5033"/>
    <w:rsid w:val="003B5B61"/>
    <w:rsid w:val="003B670D"/>
    <w:rsid w:val="003B6720"/>
    <w:rsid w:val="003B73D0"/>
    <w:rsid w:val="003B77E6"/>
    <w:rsid w:val="003C0B55"/>
    <w:rsid w:val="003C10A9"/>
    <w:rsid w:val="003C12FF"/>
    <w:rsid w:val="003C1654"/>
    <w:rsid w:val="003C1BEA"/>
    <w:rsid w:val="003C1E73"/>
    <w:rsid w:val="003C231B"/>
    <w:rsid w:val="003C3B36"/>
    <w:rsid w:val="003C49B0"/>
    <w:rsid w:val="003C5220"/>
    <w:rsid w:val="003C6FC8"/>
    <w:rsid w:val="003C7187"/>
    <w:rsid w:val="003C72ED"/>
    <w:rsid w:val="003C7D19"/>
    <w:rsid w:val="003D049B"/>
    <w:rsid w:val="003D0C76"/>
    <w:rsid w:val="003D11FE"/>
    <w:rsid w:val="003D1828"/>
    <w:rsid w:val="003D1DE4"/>
    <w:rsid w:val="003D2422"/>
    <w:rsid w:val="003D2563"/>
    <w:rsid w:val="003D2D27"/>
    <w:rsid w:val="003D378D"/>
    <w:rsid w:val="003D39A1"/>
    <w:rsid w:val="003D3FBF"/>
    <w:rsid w:val="003D4A30"/>
    <w:rsid w:val="003D578D"/>
    <w:rsid w:val="003D6D64"/>
    <w:rsid w:val="003D7129"/>
    <w:rsid w:val="003D7776"/>
    <w:rsid w:val="003D79BB"/>
    <w:rsid w:val="003D7C98"/>
    <w:rsid w:val="003E0543"/>
    <w:rsid w:val="003E0586"/>
    <w:rsid w:val="003E0931"/>
    <w:rsid w:val="003E0DE0"/>
    <w:rsid w:val="003E158D"/>
    <w:rsid w:val="003E16E2"/>
    <w:rsid w:val="003E174A"/>
    <w:rsid w:val="003E235A"/>
    <w:rsid w:val="003E268F"/>
    <w:rsid w:val="003E3300"/>
    <w:rsid w:val="003E397F"/>
    <w:rsid w:val="003E3DA5"/>
    <w:rsid w:val="003E3FB9"/>
    <w:rsid w:val="003E4CCC"/>
    <w:rsid w:val="003E4E72"/>
    <w:rsid w:val="003E4F77"/>
    <w:rsid w:val="003E4F8F"/>
    <w:rsid w:val="003E571E"/>
    <w:rsid w:val="003E688B"/>
    <w:rsid w:val="003F01EA"/>
    <w:rsid w:val="003F05CF"/>
    <w:rsid w:val="003F1405"/>
    <w:rsid w:val="003F15F8"/>
    <w:rsid w:val="003F296F"/>
    <w:rsid w:val="003F3E0F"/>
    <w:rsid w:val="003F4156"/>
    <w:rsid w:val="003F514E"/>
    <w:rsid w:val="003F5738"/>
    <w:rsid w:val="003F6BDD"/>
    <w:rsid w:val="003F6CC3"/>
    <w:rsid w:val="003F7208"/>
    <w:rsid w:val="003F7AC2"/>
    <w:rsid w:val="003F7F0A"/>
    <w:rsid w:val="004002E9"/>
    <w:rsid w:val="00400B29"/>
    <w:rsid w:val="004014ED"/>
    <w:rsid w:val="004015FA"/>
    <w:rsid w:val="004024BD"/>
    <w:rsid w:val="00402528"/>
    <w:rsid w:val="004029F0"/>
    <w:rsid w:val="00402F24"/>
    <w:rsid w:val="004035EB"/>
    <w:rsid w:val="00404502"/>
    <w:rsid w:val="004049EB"/>
    <w:rsid w:val="00404C0A"/>
    <w:rsid w:val="0040504B"/>
    <w:rsid w:val="0040616B"/>
    <w:rsid w:val="00406A65"/>
    <w:rsid w:val="0040731B"/>
    <w:rsid w:val="00407606"/>
    <w:rsid w:val="00410708"/>
    <w:rsid w:val="004108F2"/>
    <w:rsid w:val="00410EC7"/>
    <w:rsid w:val="00410FA0"/>
    <w:rsid w:val="00411092"/>
    <w:rsid w:val="0041190D"/>
    <w:rsid w:val="00411B39"/>
    <w:rsid w:val="00412344"/>
    <w:rsid w:val="00412440"/>
    <w:rsid w:val="00412C4F"/>
    <w:rsid w:val="00412D09"/>
    <w:rsid w:val="004131E9"/>
    <w:rsid w:val="00413594"/>
    <w:rsid w:val="00413726"/>
    <w:rsid w:val="00413A1E"/>
    <w:rsid w:val="00413CA6"/>
    <w:rsid w:val="00413F1E"/>
    <w:rsid w:val="00414476"/>
    <w:rsid w:val="00414C2E"/>
    <w:rsid w:val="004151CF"/>
    <w:rsid w:val="00415EEE"/>
    <w:rsid w:val="004160A9"/>
    <w:rsid w:val="00416364"/>
    <w:rsid w:val="004175B0"/>
    <w:rsid w:val="004202AB"/>
    <w:rsid w:val="00420AA6"/>
    <w:rsid w:val="00420B9F"/>
    <w:rsid w:val="00420CEB"/>
    <w:rsid w:val="00420E28"/>
    <w:rsid w:val="0042143D"/>
    <w:rsid w:val="00421741"/>
    <w:rsid w:val="004219F9"/>
    <w:rsid w:val="00421C18"/>
    <w:rsid w:val="00422260"/>
    <w:rsid w:val="00422FB2"/>
    <w:rsid w:val="004233C2"/>
    <w:rsid w:val="00423722"/>
    <w:rsid w:val="00423B27"/>
    <w:rsid w:val="0042413F"/>
    <w:rsid w:val="004247DF"/>
    <w:rsid w:val="004247E5"/>
    <w:rsid w:val="004249CE"/>
    <w:rsid w:val="004253F2"/>
    <w:rsid w:val="004258B9"/>
    <w:rsid w:val="00425928"/>
    <w:rsid w:val="00425D29"/>
    <w:rsid w:val="00426122"/>
    <w:rsid w:val="00426245"/>
    <w:rsid w:val="00427063"/>
    <w:rsid w:val="00427214"/>
    <w:rsid w:val="0042721A"/>
    <w:rsid w:val="004274F1"/>
    <w:rsid w:val="00427CB9"/>
    <w:rsid w:val="00427D2F"/>
    <w:rsid w:val="004319F8"/>
    <w:rsid w:val="00431E55"/>
    <w:rsid w:val="00431EB7"/>
    <w:rsid w:val="004320B6"/>
    <w:rsid w:val="004321F6"/>
    <w:rsid w:val="00433044"/>
    <w:rsid w:val="00434240"/>
    <w:rsid w:val="00435C64"/>
    <w:rsid w:val="004363AC"/>
    <w:rsid w:val="004373A0"/>
    <w:rsid w:val="004375B9"/>
    <w:rsid w:val="004377A2"/>
    <w:rsid w:val="00437F9E"/>
    <w:rsid w:val="004409E1"/>
    <w:rsid w:val="0044197C"/>
    <w:rsid w:val="004420F8"/>
    <w:rsid w:val="004428D0"/>
    <w:rsid w:val="00444299"/>
    <w:rsid w:val="004443A7"/>
    <w:rsid w:val="0044442C"/>
    <w:rsid w:val="0044452E"/>
    <w:rsid w:val="004456B5"/>
    <w:rsid w:val="004458AC"/>
    <w:rsid w:val="00445941"/>
    <w:rsid w:val="00445AE2"/>
    <w:rsid w:val="00445CF5"/>
    <w:rsid w:val="004464EB"/>
    <w:rsid w:val="0044662F"/>
    <w:rsid w:val="00446C05"/>
    <w:rsid w:val="004470AF"/>
    <w:rsid w:val="00447D26"/>
    <w:rsid w:val="00451A7B"/>
    <w:rsid w:val="00451BC8"/>
    <w:rsid w:val="00452351"/>
    <w:rsid w:val="004526E0"/>
    <w:rsid w:val="00453645"/>
    <w:rsid w:val="004539B2"/>
    <w:rsid w:val="00453DF6"/>
    <w:rsid w:val="00455D45"/>
    <w:rsid w:val="004565C8"/>
    <w:rsid w:val="00456909"/>
    <w:rsid w:val="004576E0"/>
    <w:rsid w:val="0046088E"/>
    <w:rsid w:val="00461934"/>
    <w:rsid w:val="00462457"/>
    <w:rsid w:val="004624B6"/>
    <w:rsid w:val="00462619"/>
    <w:rsid w:val="00463398"/>
    <w:rsid w:val="004636BF"/>
    <w:rsid w:val="004637ED"/>
    <w:rsid w:val="00464595"/>
    <w:rsid w:val="004647D4"/>
    <w:rsid w:val="00464A9B"/>
    <w:rsid w:val="004671E4"/>
    <w:rsid w:val="00467E4E"/>
    <w:rsid w:val="0047001D"/>
    <w:rsid w:val="004703EE"/>
    <w:rsid w:val="00470D5D"/>
    <w:rsid w:val="00470D96"/>
    <w:rsid w:val="00470E72"/>
    <w:rsid w:val="00472285"/>
    <w:rsid w:val="00472915"/>
    <w:rsid w:val="00472A79"/>
    <w:rsid w:val="00473A03"/>
    <w:rsid w:val="00473F19"/>
    <w:rsid w:val="0047410D"/>
    <w:rsid w:val="00474744"/>
    <w:rsid w:val="00474A8B"/>
    <w:rsid w:val="00474C27"/>
    <w:rsid w:val="00474CE8"/>
    <w:rsid w:val="0047555F"/>
    <w:rsid w:val="00475E22"/>
    <w:rsid w:val="0047616D"/>
    <w:rsid w:val="0047634C"/>
    <w:rsid w:val="004767B1"/>
    <w:rsid w:val="00476AC5"/>
    <w:rsid w:val="00476C69"/>
    <w:rsid w:val="00476EF6"/>
    <w:rsid w:val="00477FC9"/>
    <w:rsid w:val="0048083D"/>
    <w:rsid w:val="0048088E"/>
    <w:rsid w:val="00480A95"/>
    <w:rsid w:val="00480FDA"/>
    <w:rsid w:val="004815B7"/>
    <w:rsid w:val="00481626"/>
    <w:rsid w:val="004816CE"/>
    <w:rsid w:val="00482720"/>
    <w:rsid w:val="00482C43"/>
    <w:rsid w:val="004835E7"/>
    <w:rsid w:val="004848BA"/>
    <w:rsid w:val="004864D8"/>
    <w:rsid w:val="0048665B"/>
    <w:rsid w:val="004867E2"/>
    <w:rsid w:val="00486E28"/>
    <w:rsid w:val="0048798F"/>
    <w:rsid w:val="00487B5F"/>
    <w:rsid w:val="00487E7F"/>
    <w:rsid w:val="004901C6"/>
    <w:rsid w:val="00490A7D"/>
    <w:rsid w:val="00490D7C"/>
    <w:rsid w:val="00491B3A"/>
    <w:rsid w:val="004922A6"/>
    <w:rsid w:val="004923F5"/>
    <w:rsid w:val="004926C3"/>
    <w:rsid w:val="00492CFD"/>
    <w:rsid w:val="004931FB"/>
    <w:rsid w:val="0049329D"/>
    <w:rsid w:val="004936AB"/>
    <w:rsid w:val="00493AE4"/>
    <w:rsid w:val="00493C95"/>
    <w:rsid w:val="00494A9F"/>
    <w:rsid w:val="00494C6C"/>
    <w:rsid w:val="00494DD5"/>
    <w:rsid w:val="0049576F"/>
    <w:rsid w:val="00495C91"/>
    <w:rsid w:val="004962D2"/>
    <w:rsid w:val="00496FF4"/>
    <w:rsid w:val="004970A4"/>
    <w:rsid w:val="004979FE"/>
    <w:rsid w:val="004A0DA1"/>
    <w:rsid w:val="004A15F6"/>
    <w:rsid w:val="004A1E51"/>
    <w:rsid w:val="004A23B2"/>
    <w:rsid w:val="004A24E2"/>
    <w:rsid w:val="004A284A"/>
    <w:rsid w:val="004A39CA"/>
    <w:rsid w:val="004A4735"/>
    <w:rsid w:val="004A4D4D"/>
    <w:rsid w:val="004A52E9"/>
    <w:rsid w:val="004A54CC"/>
    <w:rsid w:val="004A605B"/>
    <w:rsid w:val="004A60B2"/>
    <w:rsid w:val="004A61F5"/>
    <w:rsid w:val="004A6597"/>
    <w:rsid w:val="004A7848"/>
    <w:rsid w:val="004B0561"/>
    <w:rsid w:val="004B11B9"/>
    <w:rsid w:val="004B124C"/>
    <w:rsid w:val="004B159F"/>
    <w:rsid w:val="004B1CB4"/>
    <w:rsid w:val="004B1D2F"/>
    <w:rsid w:val="004B217C"/>
    <w:rsid w:val="004B23A6"/>
    <w:rsid w:val="004B2468"/>
    <w:rsid w:val="004B253E"/>
    <w:rsid w:val="004B2705"/>
    <w:rsid w:val="004B2996"/>
    <w:rsid w:val="004B2B3B"/>
    <w:rsid w:val="004B2F18"/>
    <w:rsid w:val="004B2FB0"/>
    <w:rsid w:val="004B32D5"/>
    <w:rsid w:val="004B3DDB"/>
    <w:rsid w:val="004B44FD"/>
    <w:rsid w:val="004B46D9"/>
    <w:rsid w:val="004B4B35"/>
    <w:rsid w:val="004B4C94"/>
    <w:rsid w:val="004B525F"/>
    <w:rsid w:val="004B5564"/>
    <w:rsid w:val="004B5CBF"/>
    <w:rsid w:val="004B5CFC"/>
    <w:rsid w:val="004B64EE"/>
    <w:rsid w:val="004B660D"/>
    <w:rsid w:val="004B6E38"/>
    <w:rsid w:val="004B725A"/>
    <w:rsid w:val="004B73C5"/>
    <w:rsid w:val="004B774D"/>
    <w:rsid w:val="004B7863"/>
    <w:rsid w:val="004C0561"/>
    <w:rsid w:val="004C08CE"/>
    <w:rsid w:val="004C0CE3"/>
    <w:rsid w:val="004C10F7"/>
    <w:rsid w:val="004C1638"/>
    <w:rsid w:val="004C1C15"/>
    <w:rsid w:val="004C49EF"/>
    <w:rsid w:val="004C4AED"/>
    <w:rsid w:val="004C596B"/>
    <w:rsid w:val="004C5C35"/>
    <w:rsid w:val="004C5D34"/>
    <w:rsid w:val="004C62FD"/>
    <w:rsid w:val="004C63E1"/>
    <w:rsid w:val="004C6682"/>
    <w:rsid w:val="004C76FB"/>
    <w:rsid w:val="004C7CDA"/>
    <w:rsid w:val="004D055B"/>
    <w:rsid w:val="004D0569"/>
    <w:rsid w:val="004D0C2E"/>
    <w:rsid w:val="004D0C63"/>
    <w:rsid w:val="004D1033"/>
    <w:rsid w:val="004D10F7"/>
    <w:rsid w:val="004D20D2"/>
    <w:rsid w:val="004D2440"/>
    <w:rsid w:val="004D2937"/>
    <w:rsid w:val="004D2C2D"/>
    <w:rsid w:val="004D4776"/>
    <w:rsid w:val="004D5629"/>
    <w:rsid w:val="004D6461"/>
    <w:rsid w:val="004D6480"/>
    <w:rsid w:val="004D6488"/>
    <w:rsid w:val="004D6811"/>
    <w:rsid w:val="004D7227"/>
    <w:rsid w:val="004D7ECF"/>
    <w:rsid w:val="004D7F1E"/>
    <w:rsid w:val="004E06CC"/>
    <w:rsid w:val="004E0E7F"/>
    <w:rsid w:val="004E0EB8"/>
    <w:rsid w:val="004E2062"/>
    <w:rsid w:val="004E2926"/>
    <w:rsid w:val="004E2ADC"/>
    <w:rsid w:val="004E348B"/>
    <w:rsid w:val="004E43B2"/>
    <w:rsid w:val="004E452C"/>
    <w:rsid w:val="004E4825"/>
    <w:rsid w:val="004E574E"/>
    <w:rsid w:val="004E588E"/>
    <w:rsid w:val="004E5D14"/>
    <w:rsid w:val="004E5D2A"/>
    <w:rsid w:val="004E5F94"/>
    <w:rsid w:val="004E6496"/>
    <w:rsid w:val="004E7A1E"/>
    <w:rsid w:val="004F002F"/>
    <w:rsid w:val="004F0276"/>
    <w:rsid w:val="004F0643"/>
    <w:rsid w:val="004F08EE"/>
    <w:rsid w:val="004F1D02"/>
    <w:rsid w:val="004F1E88"/>
    <w:rsid w:val="004F1FE2"/>
    <w:rsid w:val="004F207C"/>
    <w:rsid w:val="004F2679"/>
    <w:rsid w:val="004F2CB3"/>
    <w:rsid w:val="004F2DCA"/>
    <w:rsid w:val="004F2F21"/>
    <w:rsid w:val="004F3568"/>
    <w:rsid w:val="004F3806"/>
    <w:rsid w:val="004F3C81"/>
    <w:rsid w:val="004F4351"/>
    <w:rsid w:val="004F4618"/>
    <w:rsid w:val="004F4762"/>
    <w:rsid w:val="004F53B3"/>
    <w:rsid w:val="004F623F"/>
    <w:rsid w:val="004F6913"/>
    <w:rsid w:val="004F6A99"/>
    <w:rsid w:val="004F7865"/>
    <w:rsid w:val="00501875"/>
    <w:rsid w:val="00501B2D"/>
    <w:rsid w:val="0050219B"/>
    <w:rsid w:val="005025D5"/>
    <w:rsid w:val="00502E7E"/>
    <w:rsid w:val="00503F15"/>
    <w:rsid w:val="00503F17"/>
    <w:rsid w:val="00504C64"/>
    <w:rsid w:val="00504CC8"/>
    <w:rsid w:val="00504DCD"/>
    <w:rsid w:val="00506217"/>
    <w:rsid w:val="00506928"/>
    <w:rsid w:val="00506A5B"/>
    <w:rsid w:val="00506E87"/>
    <w:rsid w:val="005074F2"/>
    <w:rsid w:val="00507769"/>
    <w:rsid w:val="005078C7"/>
    <w:rsid w:val="00510C06"/>
    <w:rsid w:val="00510F2C"/>
    <w:rsid w:val="00511C65"/>
    <w:rsid w:val="00512010"/>
    <w:rsid w:val="0051239E"/>
    <w:rsid w:val="00512551"/>
    <w:rsid w:val="00513974"/>
    <w:rsid w:val="0051404D"/>
    <w:rsid w:val="005140F3"/>
    <w:rsid w:val="005144FF"/>
    <w:rsid w:val="0051501C"/>
    <w:rsid w:val="005152B5"/>
    <w:rsid w:val="00515AF3"/>
    <w:rsid w:val="005164CC"/>
    <w:rsid w:val="00516727"/>
    <w:rsid w:val="00516EBE"/>
    <w:rsid w:val="0051724E"/>
    <w:rsid w:val="00517343"/>
    <w:rsid w:val="00517920"/>
    <w:rsid w:val="00517A64"/>
    <w:rsid w:val="00517BDE"/>
    <w:rsid w:val="00517F3F"/>
    <w:rsid w:val="00520606"/>
    <w:rsid w:val="0052110D"/>
    <w:rsid w:val="00521129"/>
    <w:rsid w:val="00521319"/>
    <w:rsid w:val="00521BDC"/>
    <w:rsid w:val="00522291"/>
    <w:rsid w:val="00522AAC"/>
    <w:rsid w:val="00522BC8"/>
    <w:rsid w:val="00523837"/>
    <w:rsid w:val="005238CD"/>
    <w:rsid w:val="00523C28"/>
    <w:rsid w:val="0052403B"/>
    <w:rsid w:val="00524161"/>
    <w:rsid w:val="00525453"/>
    <w:rsid w:val="00526B8A"/>
    <w:rsid w:val="00526D68"/>
    <w:rsid w:val="0052713D"/>
    <w:rsid w:val="00527D2E"/>
    <w:rsid w:val="005301C8"/>
    <w:rsid w:val="0053047B"/>
    <w:rsid w:val="00530759"/>
    <w:rsid w:val="0053159A"/>
    <w:rsid w:val="005319EC"/>
    <w:rsid w:val="00531DAB"/>
    <w:rsid w:val="005320DE"/>
    <w:rsid w:val="00532674"/>
    <w:rsid w:val="00533162"/>
    <w:rsid w:val="00533314"/>
    <w:rsid w:val="00533973"/>
    <w:rsid w:val="00533C2B"/>
    <w:rsid w:val="00534B16"/>
    <w:rsid w:val="00534DB5"/>
    <w:rsid w:val="00534EC2"/>
    <w:rsid w:val="005354DF"/>
    <w:rsid w:val="00535549"/>
    <w:rsid w:val="00535EFE"/>
    <w:rsid w:val="00536928"/>
    <w:rsid w:val="00536F42"/>
    <w:rsid w:val="00537182"/>
    <w:rsid w:val="005371CB"/>
    <w:rsid w:val="00537B72"/>
    <w:rsid w:val="005401CA"/>
    <w:rsid w:val="00540A3D"/>
    <w:rsid w:val="00540BB6"/>
    <w:rsid w:val="00540DD1"/>
    <w:rsid w:val="00540E2D"/>
    <w:rsid w:val="00542743"/>
    <w:rsid w:val="005428CE"/>
    <w:rsid w:val="00542B66"/>
    <w:rsid w:val="00542BFA"/>
    <w:rsid w:val="00542C2D"/>
    <w:rsid w:val="00542DA3"/>
    <w:rsid w:val="00543E55"/>
    <w:rsid w:val="00544CBE"/>
    <w:rsid w:val="005461C4"/>
    <w:rsid w:val="00546917"/>
    <w:rsid w:val="005470B5"/>
    <w:rsid w:val="0054717E"/>
    <w:rsid w:val="00547429"/>
    <w:rsid w:val="00547E96"/>
    <w:rsid w:val="00550B56"/>
    <w:rsid w:val="00550D2E"/>
    <w:rsid w:val="00551985"/>
    <w:rsid w:val="00551B44"/>
    <w:rsid w:val="00552499"/>
    <w:rsid w:val="005524C2"/>
    <w:rsid w:val="00552BD3"/>
    <w:rsid w:val="00552DBB"/>
    <w:rsid w:val="005533E1"/>
    <w:rsid w:val="0055393E"/>
    <w:rsid w:val="00555109"/>
    <w:rsid w:val="005564F8"/>
    <w:rsid w:val="00556B42"/>
    <w:rsid w:val="005570CA"/>
    <w:rsid w:val="005572B6"/>
    <w:rsid w:val="00557BF1"/>
    <w:rsid w:val="0056124A"/>
    <w:rsid w:val="00561A03"/>
    <w:rsid w:val="00562BD9"/>
    <w:rsid w:val="005632E0"/>
    <w:rsid w:val="00563434"/>
    <w:rsid w:val="00564A0F"/>
    <w:rsid w:val="00564B86"/>
    <w:rsid w:val="0056696F"/>
    <w:rsid w:val="00566FAE"/>
    <w:rsid w:val="00567562"/>
    <w:rsid w:val="00567769"/>
    <w:rsid w:val="00567A90"/>
    <w:rsid w:val="0057182F"/>
    <w:rsid w:val="00571E51"/>
    <w:rsid w:val="00572269"/>
    <w:rsid w:val="0057244A"/>
    <w:rsid w:val="00572466"/>
    <w:rsid w:val="00573385"/>
    <w:rsid w:val="0057392D"/>
    <w:rsid w:val="00574764"/>
    <w:rsid w:val="00574F3D"/>
    <w:rsid w:val="00575D27"/>
    <w:rsid w:val="00575D81"/>
    <w:rsid w:val="00575D8D"/>
    <w:rsid w:val="005768AD"/>
    <w:rsid w:val="00576972"/>
    <w:rsid w:val="00576A3B"/>
    <w:rsid w:val="00576C9A"/>
    <w:rsid w:val="00576D39"/>
    <w:rsid w:val="005771A4"/>
    <w:rsid w:val="00577C55"/>
    <w:rsid w:val="00577EDD"/>
    <w:rsid w:val="0058060E"/>
    <w:rsid w:val="00580D1C"/>
    <w:rsid w:val="00580D31"/>
    <w:rsid w:val="00580FFA"/>
    <w:rsid w:val="00581032"/>
    <w:rsid w:val="0058110E"/>
    <w:rsid w:val="005819FF"/>
    <w:rsid w:val="00581FCE"/>
    <w:rsid w:val="00581FD1"/>
    <w:rsid w:val="00582854"/>
    <w:rsid w:val="0058285B"/>
    <w:rsid w:val="00582BE2"/>
    <w:rsid w:val="00583639"/>
    <w:rsid w:val="00583699"/>
    <w:rsid w:val="005838A5"/>
    <w:rsid w:val="00583968"/>
    <w:rsid w:val="00584155"/>
    <w:rsid w:val="0058463A"/>
    <w:rsid w:val="00584FA6"/>
    <w:rsid w:val="00585756"/>
    <w:rsid w:val="00585CDD"/>
    <w:rsid w:val="00586974"/>
    <w:rsid w:val="00587058"/>
    <w:rsid w:val="005870E8"/>
    <w:rsid w:val="00587854"/>
    <w:rsid w:val="00587A42"/>
    <w:rsid w:val="00590F32"/>
    <w:rsid w:val="0059163A"/>
    <w:rsid w:val="00591957"/>
    <w:rsid w:val="0059234B"/>
    <w:rsid w:val="00593500"/>
    <w:rsid w:val="005936FE"/>
    <w:rsid w:val="005943D1"/>
    <w:rsid w:val="00594423"/>
    <w:rsid w:val="0059475D"/>
    <w:rsid w:val="00594843"/>
    <w:rsid w:val="00594B1F"/>
    <w:rsid w:val="00594C7D"/>
    <w:rsid w:val="0059561E"/>
    <w:rsid w:val="005956CB"/>
    <w:rsid w:val="005957F6"/>
    <w:rsid w:val="005957FC"/>
    <w:rsid w:val="00596B60"/>
    <w:rsid w:val="0059759A"/>
    <w:rsid w:val="00597721"/>
    <w:rsid w:val="00597BF9"/>
    <w:rsid w:val="005A122D"/>
    <w:rsid w:val="005A1C86"/>
    <w:rsid w:val="005A373D"/>
    <w:rsid w:val="005A4211"/>
    <w:rsid w:val="005A4AE7"/>
    <w:rsid w:val="005A4FFC"/>
    <w:rsid w:val="005A5439"/>
    <w:rsid w:val="005A5AD4"/>
    <w:rsid w:val="005A5B9A"/>
    <w:rsid w:val="005A6FAA"/>
    <w:rsid w:val="005A75A5"/>
    <w:rsid w:val="005B035B"/>
    <w:rsid w:val="005B0F60"/>
    <w:rsid w:val="005B1D73"/>
    <w:rsid w:val="005B1FFB"/>
    <w:rsid w:val="005B2373"/>
    <w:rsid w:val="005B29DA"/>
    <w:rsid w:val="005B35A5"/>
    <w:rsid w:val="005B4B53"/>
    <w:rsid w:val="005B4EDD"/>
    <w:rsid w:val="005B5857"/>
    <w:rsid w:val="005B60F6"/>
    <w:rsid w:val="005C008E"/>
    <w:rsid w:val="005C0421"/>
    <w:rsid w:val="005C0AA9"/>
    <w:rsid w:val="005C142D"/>
    <w:rsid w:val="005C16E7"/>
    <w:rsid w:val="005C1825"/>
    <w:rsid w:val="005C1B83"/>
    <w:rsid w:val="005C1F4E"/>
    <w:rsid w:val="005C2A31"/>
    <w:rsid w:val="005C2BD4"/>
    <w:rsid w:val="005C2D4C"/>
    <w:rsid w:val="005C2D55"/>
    <w:rsid w:val="005C346B"/>
    <w:rsid w:val="005C3CB9"/>
    <w:rsid w:val="005C4219"/>
    <w:rsid w:val="005C4666"/>
    <w:rsid w:val="005C4D32"/>
    <w:rsid w:val="005C5288"/>
    <w:rsid w:val="005C59BE"/>
    <w:rsid w:val="005C611A"/>
    <w:rsid w:val="005C6535"/>
    <w:rsid w:val="005C6C73"/>
    <w:rsid w:val="005C75C8"/>
    <w:rsid w:val="005C7707"/>
    <w:rsid w:val="005C79E2"/>
    <w:rsid w:val="005D044D"/>
    <w:rsid w:val="005D090C"/>
    <w:rsid w:val="005D0ABD"/>
    <w:rsid w:val="005D1078"/>
    <w:rsid w:val="005D1450"/>
    <w:rsid w:val="005D18AD"/>
    <w:rsid w:val="005D26B4"/>
    <w:rsid w:val="005D31A2"/>
    <w:rsid w:val="005D3F04"/>
    <w:rsid w:val="005D42AB"/>
    <w:rsid w:val="005D4453"/>
    <w:rsid w:val="005D46DA"/>
    <w:rsid w:val="005D5173"/>
    <w:rsid w:val="005D52F2"/>
    <w:rsid w:val="005D5829"/>
    <w:rsid w:val="005D5BC9"/>
    <w:rsid w:val="005D5CC0"/>
    <w:rsid w:val="005D78DD"/>
    <w:rsid w:val="005E1749"/>
    <w:rsid w:val="005E188A"/>
    <w:rsid w:val="005E28C1"/>
    <w:rsid w:val="005E2B49"/>
    <w:rsid w:val="005E2B7F"/>
    <w:rsid w:val="005E2D21"/>
    <w:rsid w:val="005E3921"/>
    <w:rsid w:val="005E42A3"/>
    <w:rsid w:val="005E433F"/>
    <w:rsid w:val="005E4C62"/>
    <w:rsid w:val="005E540B"/>
    <w:rsid w:val="005E5776"/>
    <w:rsid w:val="005E62C7"/>
    <w:rsid w:val="005E6CBC"/>
    <w:rsid w:val="005E73C0"/>
    <w:rsid w:val="005F0406"/>
    <w:rsid w:val="005F1CBB"/>
    <w:rsid w:val="005F1E46"/>
    <w:rsid w:val="005F24BB"/>
    <w:rsid w:val="005F2625"/>
    <w:rsid w:val="005F2706"/>
    <w:rsid w:val="005F3024"/>
    <w:rsid w:val="005F3B90"/>
    <w:rsid w:val="005F43D9"/>
    <w:rsid w:val="005F4A77"/>
    <w:rsid w:val="005F5559"/>
    <w:rsid w:val="005F6A8F"/>
    <w:rsid w:val="005F74BB"/>
    <w:rsid w:val="005F7ED5"/>
    <w:rsid w:val="0060028B"/>
    <w:rsid w:val="006004F1"/>
    <w:rsid w:val="0060133F"/>
    <w:rsid w:val="006013C1"/>
    <w:rsid w:val="006034BE"/>
    <w:rsid w:val="00603DB9"/>
    <w:rsid w:val="00604144"/>
    <w:rsid w:val="00604339"/>
    <w:rsid w:val="006052CA"/>
    <w:rsid w:val="00605F08"/>
    <w:rsid w:val="00606340"/>
    <w:rsid w:val="00607595"/>
    <w:rsid w:val="00607669"/>
    <w:rsid w:val="00607755"/>
    <w:rsid w:val="00607AFD"/>
    <w:rsid w:val="006112A0"/>
    <w:rsid w:val="00612826"/>
    <w:rsid w:val="00612B3E"/>
    <w:rsid w:val="00612F97"/>
    <w:rsid w:val="0061345D"/>
    <w:rsid w:val="00613647"/>
    <w:rsid w:val="00613C5A"/>
    <w:rsid w:val="00613F10"/>
    <w:rsid w:val="0061449C"/>
    <w:rsid w:val="00614A43"/>
    <w:rsid w:val="00614D79"/>
    <w:rsid w:val="006152B4"/>
    <w:rsid w:val="00615E3B"/>
    <w:rsid w:val="0061612D"/>
    <w:rsid w:val="00616802"/>
    <w:rsid w:val="00616D24"/>
    <w:rsid w:val="00616DA5"/>
    <w:rsid w:val="006175F9"/>
    <w:rsid w:val="00617895"/>
    <w:rsid w:val="00617E12"/>
    <w:rsid w:val="00617E1F"/>
    <w:rsid w:val="00620422"/>
    <w:rsid w:val="00620F13"/>
    <w:rsid w:val="00621477"/>
    <w:rsid w:val="00621783"/>
    <w:rsid w:val="006219DE"/>
    <w:rsid w:val="00622BA2"/>
    <w:rsid w:val="00622BF9"/>
    <w:rsid w:val="00622DB7"/>
    <w:rsid w:val="0062454E"/>
    <w:rsid w:val="00624DAB"/>
    <w:rsid w:val="00626F5E"/>
    <w:rsid w:val="00627466"/>
    <w:rsid w:val="00627CE6"/>
    <w:rsid w:val="00630BC1"/>
    <w:rsid w:val="0063158F"/>
    <w:rsid w:val="00631D24"/>
    <w:rsid w:val="00631D6B"/>
    <w:rsid w:val="0063202F"/>
    <w:rsid w:val="00632BAC"/>
    <w:rsid w:val="006330A1"/>
    <w:rsid w:val="00633ACE"/>
    <w:rsid w:val="00633FCA"/>
    <w:rsid w:val="0063479F"/>
    <w:rsid w:val="00634EAB"/>
    <w:rsid w:val="006353F0"/>
    <w:rsid w:val="00635FB1"/>
    <w:rsid w:val="00636097"/>
    <w:rsid w:val="006364A1"/>
    <w:rsid w:val="0063762C"/>
    <w:rsid w:val="00637BFD"/>
    <w:rsid w:val="00637DBD"/>
    <w:rsid w:val="00637F06"/>
    <w:rsid w:val="006401D4"/>
    <w:rsid w:val="00640449"/>
    <w:rsid w:val="006406D9"/>
    <w:rsid w:val="00640AC9"/>
    <w:rsid w:val="00640B2F"/>
    <w:rsid w:val="00641799"/>
    <w:rsid w:val="00641C4E"/>
    <w:rsid w:val="00642267"/>
    <w:rsid w:val="006438D8"/>
    <w:rsid w:val="00644493"/>
    <w:rsid w:val="0064449B"/>
    <w:rsid w:val="0064589A"/>
    <w:rsid w:val="00645ADD"/>
    <w:rsid w:val="00645EAA"/>
    <w:rsid w:val="00645FBC"/>
    <w:rsid w:val="006462E3"/>
    <w:rsid w:val="0064660F"/>
    <w:rsid w:val="0064664F"/>
    <w:rsid w:val="006471CC"/>
    <w:rsid w:val="0064782C"/>
    <w:rsid w:val="006504E9"/>
    <w:rsid w:val="00650703"/>
    <w:rsid w:val="0065079F"/>
    <w:rsid w:val="00651656"/>
    <w:rsid w:val="0065379F"/>
    <w:rsid w:val="0065388B"/>
    <w:rsid w:val="00654600"/>
    <w:rsid w:val="00654CD5"/>
    <w:rsid w:val="00654F19"/>
    <w:rsid w:val="006550C7"/>
    <w:rsid w:val="006552F7"/>
    <w:rsid w:val="00655582"/>
    <w:rsid w:val="00655999"/>
    <w:rsid w:val="0065676E"/>
    <w:rsid w:val="00656786"/>
    <w:rsid w:val="00656F94"/>
    <w:rsid w:val="00656FF7"/>
    <w:rsid w:val="00657117"/>
    <w:rsid w:val="0066078D"/>
    <w:rsid w:val="006612CC"/>
    <w:rsid w:val="00661C6B"/>
    <w:rsid w:val="00662081"/>
    <w:rsid w:val="006620FA"/>
    <w:rsid w:val="0066270D"/>
    <w:rsid w:val="00662861"/>
    <w:rsid w:val="0066430C"/>
    <w:rsid w:val="0066464A"/>
    <w:rsid w:val="0066488C"/>
    <w:rsid w:val="00665D09"/>
    <w:rsid w:val="00667846"/>
    <w:rsid w:val="0067031C"/>
    <w:rsid w:val="00670CA8"/>
    <w:rsid w:val="006718FB"/>
    <w:rsid w:val="006722DC"/>
    <w:rsid w:val="006725A6"/>
    <w:rsid w:val="00672C79"/>
    <w:rsid w:val="00674E07"/>
    <w:rsid w:val="00674E42"/>
    <w:rsid w:val="0067507F"/>
    <w:rsid w:val="006754C9"/>
    <w:rsid w:val="006758C3"/>
    <w:rsid w:val="00676A1A"/>
    <w:rsid w:val="00681459"/>
    <w:rsid w:val="00681CAF"/>
    <w:rsid w:val="00681D0C"/>
    <w:rsid w:val="00681F5A"/>
    <w:rsid w:val="00682112"/>
    <w:rsid w:val="006825AD"/>
    <w:rsid w:val="00682ACE"/>
    <w:rsid w:val="00682D66"/>
    <w:rsid w:val="00682EF4"/>
    <w:rsid w:val="00683372"/>
    <w:rsid w:val="00683851"/>
    <w:rsid w:val="00683F10"/>
    <w:rsid w:val="00684083"/>
    <w:rsid w:val="0068603A"/>
    <w:rsid w:val="00686623"/>
    <w:rsid w:val="00686957"/>
    <w:rsid w:val="00687061"/>
    <w:rsid w:val="006872BA"/>
    <w:rsid w:val="006879CB"/>
    <w:rsid w:val="00690749"/>
    <w:rsid w:val="00691648"/>
    <w:rsid w:val="006917D7"/>
    <w:rsid w:val="006917FA"/>
    <w:rsid w:val="006919FB"/>
    <w:rsid w:val="00692236"/>
    <w:rsid w:val="006924B3"/>
    <w:rsid w:val="00692509"/>
    <w:rsid w:val="00692681"/>
    <w:rsid w:val="00693986"/>
    <w:rsid w:val="00694F44"/>
    <w:rsid w:val="00696287"/>
    <w:rsid w:val="0069695F"/>
    <w:rsid w:val="00696D2F"/>
    <w:rsid w:val="00697088"/>
    <w:rsid w:val="00697188"/>
    <w:rsid w:val="006A0840"/>
    <w:rsid w:val="006A3D33"/>
    <w:rsid w:val="006A5F64"/>
    <w:rsid w:val="006A7406"/>
    <w:rsid w:val="006A7408"/>
    <w:rsid w:val="006A7BBB"/>
    <w:rsid w:val="006A7E5F"/>
    <w:rsid w:val="006B0798"/>
    <w:rsid w:val="006B0E33"/>
    <w:rsid w:val="006B148F"/>
    <w:rsid w:val="006B1BBA"/>
    <w:rsid w:val="006B261B"/>
    <w:rsid w:val="006B2ADF"/>
    <w:rsid w:val="006B2BEE"/>
    <w:rsid w:val="006B2C90"/>
    <w:rsid w:val="006B3081"/>
    <w:rsid w:val="006B3280"/>
    <w:rsid w:val="006B36B5"/>
    <w:rsid w:val="006B392E"/>
    <w:rsid w:val="006B3C79"/>
    <w:rsid w:val="006B4062"/>
    <w:rsid w:val="006B4B08"/>
    <w:rsid w:val="006B4DB6"/>
    <w:rsid w:val="006B5F14"/>
    <w:rsid w:val="006B61D4"/>
    <w:rsid w:val="006B6DD0"/>
    <w:rsid w:val="006C16BC"/>
    <w:rsid w:val="006C1DA8"/>
    <w:rsid w:val="006C1EC3"/>
    <w:rsid w:val="006C2270"/>
    <w:rsid w:val="006C274B"/>
    <w:rsid w:val="006C2A8E"/>
    <w:rsid w:val="006C3DEC"/>
    <w:rsid w:val="006C3F04"/>
    <w:rsid w:val="006C414B"/>
    <w:rsid w:val="006C4171"/>
    <w:rsid w:val="006C50BF"/>
    <w:rsid w:val="006C54E9"/>
    <w:rsid w:val="006C5D2D"/>
    <w:rsid w:val="006C6660"/>
    <w:rsid w:val="006C7175"/>
    <w:rsid w:val="006C7C91"/>
    <w:rsid w:val="006C7D13"/>
    <w:rsid w:val="006D0E51"/>
    <w:rsid w:val="006D3C7D"/>
    <w:rsid w:val="006D4FE0"/>
    <w:rsid w:val="006D5D1E"/>
    <w:rsid w:val="006D5D5F"/>
    <w:rsid w:val="006D5DEC"/>
    <w:rsid w:val="006D60FD"/>
    <w:rsid w:val="006D6308"/>
    <w:rsid w:val="006D6806"/>
    <w:rsid w:val="006D6A12"/>
    <w:rsid w:val="006D6ABF"/>
    <w:rsid w:val="006D6BBA"/>
    <w:rsid w:val="006D6EBA"/>
    <w:rsid w:val="006D6FA3"/>
    <w:rsid w:val="006D74D9"/>
    <w:rsid w:val="006D7EEB"/>
    <w:rsid w:val="006E182F"/>
    <w:rsid w:val="006E2AD4"/>
    <w:rsid w:val="006E2B77"/>
    <w:rsid w:val="006E2E9F"/>
    <w:rsid w:val="006E3595"/>
    <w:rsid w:val="006E3ED2"/>
    <w:rsid w:val="006E5CC2"/>
    <w:rsid w:val="006E5DE8"/>
    <w:rsid w:val="006E5EC3"/>
    <w:rsid w:val="006E6EA5"/>
    <w:rsid w:val="006E7B38"/>
    <w:rsid w:val="006E7E54"/>
    <w:rsid w:val="006F0248"/>
    <w:rsid w:val="006F09DF"/>
    <w:rsid w:val="006F101E"/>
    <w:rsid w:val="006F1482"/>
    <w:rsid w:val="006F1EF7"/>
    <w:rsid w:val="006F306C"/>
    <w:rsid w:val="006F40AA"/>
    <w:rsid w:val="006F58FD"/>
    <w:rsid w:val="006F623B"/>
    <w:rsid w:val="006F63A5"/>
    <w:rsid w:val="006F6484"/>
    <w:rsid w:val="006F6856"/>
    <w:rsid w:val="006F73C5"/>
    <w:rsid w:val="006F7C5D"/>
    <w:rsid w:val="0070092A"/>
    <w:rsid w:val="007009A7"/>
    <w:rsid w:val="0070142B"/>
    <w:rsid w:val="0070276E"/>
    <w:rsid w:val="00702835"/>
    <w:rsid w:val="007028D1"/>
    <w:rsid w:val="00702F8F"/>
    <w:rsid w:val="007039C4"/>
    <w:rsid w:val="00703FB2"/>
    <w:rsid w:val="00704017"/>
    <w:rsid w:val="00704BD6"/>
    <w:rsid w:val="0070663C"/>
    <w:rsid w:val="007066AF"/>
    <w:rsid w:val="00707669"/>
    <w:rsid w:val="00707D2B"/>
    <w:rsid w:val="00710C79"/>
    <w:rsid w:val="00711819"/>
    <w:rsid w:val="00711A36"/>
    <w:rsid w:val="0071207E"/>
    <w:rsid w:val="0071233D"/>
    <w:rsid w:val="0071335F"/>
    <w:rsid w:val="007143E0"/>
    <w:rsid w:val="00714E6A"/>
    <w:rsid w:val="0071529C"/>
    <w:rsid w:val="007153F2"/>
    <w:rsid w:val="00715FEC"/>
    <w:rsid w:val="00716154"/>
    <w:rsid w:val="00716CA2"/>
    <w:rsid w:val="007172AD"/>
    <w:rsid w:val="007175F0"/>
    <w:rsid w:val="00717C14"/>
    <w:rsid w:val="0072041D"/>
    <w:rsid w:val="007217AC"/>
    <w:rsid w:val="00722A50"/>
    <w:rsid w:val="00722B1B"/>
    <w:rsid w:val="00723039"/>
    <w:rsid w:val="0072348D"/>
    <w:rsid w:val="0072383D"/>
    <w:rsid w:val="007240AA"/>
    <w:rsid w:val="0072416F"/>
    <w:rsid w:val="00724260"/>
    <w:rsid w:val="0072473D"/>
    <w:rsid w:val="00724B98"/>
    <w:rsid w:val="00725D0B"/>
    <w:rsid w:val="00727918"/>
    <w:rsid w:val="00727C8C"/>
    <w:rsid w:val="00727C94"/>
    <w:rsid w:val="00727CAF"/>
    <w:rsid w:val="00730C93"/>
    <w:rsid w:val="00730FE2"/>
    <w:rsid w:val="00731C72"/>
    <w:rsid w:val="00731EAE"/>
    <w:rsid w:val="00734459"/>
    <w:rsid w:val="007346AB"/>
    <w:rsid w:val="007348AC"/>
    <w:rsid w:val="00735033"/>
    <w:rsid w:val="00735285"/>
    <w:rsid w:val="00735328"/>
    <w:rsid w:val="00735557"/>
    <w:rsid w:val="00735561"/>
    <w:rsid w:val="0073632D"/>
    <w:rsid w:val="0073685B"/>
    <w:rsid w:val="0073716A"/>
    <w:rsid w:val="00740579"/>
    <w:rsid w:val="00740ACD"/>
    <w:rsid w:val="007416CD"/>
    <w:rsid w:val="00742323"/>
    <w:rsid w:val="007424C4"/>
    <w:rsid w:val="0074322C"/>
    <w:rsid w:val="007433FF"/>
    <w:rsid w:val="00743AA8"/>
    <w:rsid w:val="00743DFE"/>
    <w:rsid w:val="00743F45"/>
    <w:rsid w:val="007448CB"/>
    <w:rsid w:val="00744C5D"/>
    <w:rsid w:val="00744F97"/>
    <w:rsid w:val="00745416"/>
    <w:rsid w:val="007458F8"/>
    <w:rsid w:val="0074643D"/>
    <w:rsid w:val="00746F4D"/>
    <w:rsid w:val="00746FC1"/>
    <w:rsid w:val="0074750A"/>
    <w:rsid w:val="00750B07"/>
    <w:rsid w:val="00751C14"/>
    <w:rsid w:val="00751DD6"/>
    <w:rsid w:val="00752142"/>
    <w:rsid w:val="007523F9"/>
    <w:rsid w:val="007525DA"/>
    <w:rsid w:val="00753C7A"/>
    <w:rsid w:val="00753C85"/>
    <w:rsid w:val="0075589E"/>
    <w:rsid w:val="007566E4"/>
    <w:rsid w:val="00756962"/>
    <w:rsid w:val="007573E8"/>
    <w:rsid w:val="00760C4E"/>
    <w:rsid w:val="00760CC0"/>
    <w:rsid w:val="00760D43"/>
    <w:rsid w:val="0076124F"/>
    <w:rsid w:val="007613E1"/>
    <w:rsid w:val="00761751"/>
    <w:rsid w:val="0076268F"/>
    <w:rsid w:val="00762698"/>
    <w:rsid w:val="00762FDC"/>
    <w:rsid w:val="00763A9F"/>
    <w:rsid w:val="0076422D"/>
    <w:rsid w:val="0076424B"/>
    <w:rsid w:val="00764817"/>
    <w:rsid w:val="0076499A"/>
    <w:rsid w:val="007655EC"/>
    <w:rsid w:val="00765B1A"/>
    <w:rsid w:val="00765E21"/>
    <w:rsid w:val="007671D9"/>
    <w:rsid w:val="007671E7"/>
    <w:rsid w:val="00767399"/>
    <w:rsid w:val="0077042D"/>
    <w:rsid w:val="0077122B"/>
    <w:rsid w:val="007714DB"/>
    <w:rsid w:val="007727CF"/>
    <w:rsid w:val="00772E02"/>
    <w:rsid w:val="00774268"/>
    <w:rsid w:val="00776081"/>
    <w:rsid w:val="00776C61"/>
    <w:rsid w:val="007776DC"/>
    <w:rsid w:val="00777CD7"/>
    <w:rsid w:val="00777ED2"/>
    <w:rsid w:val="007804A1"/>
    <w:rsid w:val="00780C49"/>
    <w:rsid w:val="00780F97"/>
    <w:rsid w:val="00781011"/>
    <w:rsid w:val="007813BB"/>
    <w:rsid w:val="00781567"/>
    <w:rsid w:val="00781780"/>
    <w:rsid w:val="00781FAA"/>
    <w:rsid w:val="0078298A"/>
    <w:rsid w:val="00782AD4"/>
    <w:rsid w:val="007835CA"/>
    <w:rsid w:val="00783B3C"/>
    <w:rsid w:val="007843F2"/>
    <w:rsid w:val="00784EC8"/>
    <w:rsid w:val="007853BC"/>
    <w:rsid w:val="007854EA"/>
    <w:rsid w:val="00786381"/>
    <w:rsid w:val="00787260"/>
    <w:rsid w:val="007875A6"/>
    <w:rsid w:val="007875D7"/>
    <w:rsid w:val="007877A0"/>
    <w:rsid w:val="00790231"/>
    <w:rsid w:val="0079053F"/>
    <w:rsid w:val="00790957"/>
    <w:rsid w:val="00791131"/>
    <w:rsid w:val="007924CE"/>
    <w:rsid w:val="007926A0"/>
    <w:rsid w:val="00792BAB"/>
    <w:rsid w:val="00792DE2"/>
    <w:rsid w:val="00792EA2"/>
    <w:rsid w:val="00793C28"/>
    <w:rsid w:val="00793DD8"/>
    <w:rsid w:val="00794AB6"/>
    <w:rsid w:val="00795941"/>
    <w:rsid w:val="00795B85"/>
    <w:rsid w:val="007A0A12"/>
    <w:rsid w:val="007A12DA"/>
    <w:rsid w:val="007A132D"/>
    <w:rsid w:val="007A1891"/>
    <w:rsid w:val="007A193A"/>
    <w:rsid w:val="007A1954"/>
    <w:rsid w:val="007A1BF1"/>
    <w:rsid w:val="007A3AC0"/>
    <w:rsid w:val="007A3FFC"/>
    <w:rsid w:val="007A4774"/>
    <w:rsid w:val="007A4B9D"/>
    <w:rsid w:val="007A4E25"/>
    <w:rsid w:val="007A5837"/>
    <w:rsid w:val="007A5C54"/>
    <w:rsid w:val="007A6501"/>
    <w:rsid w:val="007A7547"/>
    <w:rsid w:val="007A7DC7"/>
    <w:rsid w:val="007A7E72"/>
    <w:rsid w:val="007B0119"/>
    <w:rsid w:val="007B0C2B"/>
    <w:rsid w:val="007B0D62"/>
    <w:rsid w:val="007B0D68"/>
    <w:rsid w:val="007B103F"/>
    <w:rsid w:val="007B1CCE"/>
    <w:rsid w:val="007B251D"/>
    <w:rsid w:val="007B2E09"/>
    <w:rsid w:val="007B30A1"/>
    <w:rsid w:val="007B426B"/>
    <w:rsid w:val="007B42DB"/>
    <w:rsid w:val="007B4F58"/>
    <w:rsid w:val="007B528D"/>
    <w:rsid w:val="007B52B3"/>
    <w:rsid w:val="007B55CE"/>
    <w:rsid w:val="007B55ED"/>
    <w:rsid w:val="007B6587"/>
    <w:rsid w:val="007B6FE3"/>
    <w:rsid w:val="007B77D1"/>
    <w:rsid w:val="007C0458"/>
    <w:rsid w:val="007C0A7C"/>
    <w:rsid w:val="007C117A"/>
    <w:rsid w:val="007C186E"/>
    <w:rsid w:val="007C1B28"/>
    <w:rsid w:val="007C1CD9"/>
    <w:rsid w:val="007C2D63"/>
    <w:rsid w:val="007C361D"/>
    <w:rsid w:val="007C3A98"/>
    <w:rsid w:val="007C3D0A"/>
    <w:rsid w:val="007C4798"/>
    <w:rsid w:val="007C4B84"/>
    <w:rsid w:val="007C4DD2"/>
    <w:rsid w:val="007C54E4"/>
    <w:rsid w:val="007C5AD1"/>
    <w:rsid w:val="007C5E86"/>
    <w:rsid w:val="007C627C"/>
    <w:rsid w:val="007C6815"/>
    <w:rsid w:val="007C6DF3"/>
    <w:rsid w:val="007C7537"/>
    <w:rsid w:val="007C7545"/>
    <w:rsid w:val="007C755E"/>
    <w:rsid w:val="007C7A78"/>
    <w:rsid w:val="007C7BF9"/>
    <w:rsid w:val="007C7E4C"/>
    <w:rsid w:val="007D004F"/>
    <w:rsid w:val="007D0B38"/>
    <w:rsid w:val="007D1B74"/>
    <w:rsid w:val="007D1EEB"/>
    <w:rsid w:val="007D1FB7"/>
    <w:rsid w:val="007D475E"/>
    <w:rsid w:val="007D5440"/>
    <w:rsid w:val="007D5577"/>
    <w:rsid w:val="007D5B0F"/>
    <w:rsid w:val="007D78BF"/>
    <w:rsid w:val="007D7DDD"/>
    <w:rsid w:val="007E0E88"/>
    <w:rsid w:val="007E1964"/>
    <w:rsid w:val="007E2FCC"/>
    <w:rsid w:val="007E3292"/>
    <w:rsid w:val="007E3C3D"/>
    <w:rsid w:val="007E42D8"/>
    <w:rsid w:val="007E54C4"/>
    <w:rsid w:val="007E6122"/>
    <w:rsid w:val="007E631D"/>
    <w:rsid w:val="007E6F07"/>
    <w:rsid w:val="007E73BD"/>
    <w:rsid w:val="007E7694"/>
    <w:rsid w:val="007F04A0"/>
    <w:rsid w:val="007F0992"/>
    <w:rsid w:val="007F1017"/>
    <w:rsid w:val="007F10CE"/>
    <w:rsid w:val="007F27CA"/>
    <w:rsid w:val="007F27FA"/>
    <w:rsid w:val="007F294A"/>
    <w:rsid w:val="007F2BDD"/>
    <w:rsid w:val="007F2E77"/>
    <w:rsid w:val="007F392D"/>
    <w:rsid w:val="007F3CE0"/>
    <w:rsid w:val="007F4244"/>
    <w:rsid w:val="007F43DB"/>
    <w:rsid w:val="007F48A1"/>
    <w:rsid w:val="007F4A3F"/>
    <w:rsid w:val="007F4A61"/>
    <w:rsid w:val="007F5545"/>
    <w:rsid w:val="007F58F0"/>
    <w:rsid w:val="007F5F86"/>
    <w:rsid w:val="007F60D9"/>
    <w:rsid w:val="007F6149"/>
    <w:rsid w:val="007F61C2"/>
    <w:rsid w:val="007F70F1"/>
    <w:rsid w:val="007F73AB"/>
    <w:rsid w:val="007F7522"/>
    <w:rsid w:val="007F793B"/>
    <w:rsid w:val="008004E8"/>
    <w:rsid w:val="00801169"/>
    <w:rsid w:val="008012EA"/>
    <w:rsid w:val="00801452"/>
    <w:rsid w:val="00801608"/>
    <w:rsid w:val="00801AE0"/>
    <w:rsid w:val="00801C4B"/>
    <w:rsid w:val="008020ED"/>
    <w:rsid w:val="008023C3"/>
    <w:rsid w:val="00802870"/>
    <w:rsid w:val="00802E70"/>
    <w:rsid w:val="0080305E"/>
    <w:rsid w:val="00803291"/>
    <w:rsid w:val="00803C2F"/>
    <w:rsid w:val="00803ECB"/>
    <w:rsid w:val="0080431E"/>
    <w:rsid w:val="00804818"/>
    <w:rsid w:val="00804E38"/>
    <w:rsid w:val="00805142"/>
    <w:rsid w:val="00805480"/>
    <w:rsid w:val="00807A8B"/>
    <w:rsid w:val="008103CF"/>
    <w:rsid w:val="00810448"/>
    <w:rsid w:val="008106E9"/>
    <w:rsid w:val="0081131F"/>
    <w:rsid w:val="00811383"/>
    <w:rsid w:val="00811B66"/>
    <w:rsid w:val="00811C55"/>
    <w:rsid w:val="00811C93"/>
    <w:rsid w:val="00811FC8"/>
    <w:rsid w:val="008120D8"/>
    <w:rsid w:val="00812149"/>
    <w:rsid w:val="00812CAC"/>
    <w:rsid w:val="00813A65"/>
    <w:rsid w:val="00814617"/>
    <w:rsid w:val="0081477B"/>
    <w:rsid w:val="00815376"/>
    <w:rsid w:val="00815A52"/>
    <w:rsid w:val="0081650E"/>
    <w:rsid w:val="008166EF"/>
    <w:rsid w:val="0081716F"/>
    <w:rsid w:val="00820621"/>
    <w:rsid w:val="008217CA"/>
    <w:rsid w:val="00821BFF"/>
    <w:rsid w:val="00822610"/>
    <w:rsid w:val="00823017"/>
    <w:rsid w:val="00823A5D"/>
    <w:rsid w:val="00824781"/>
    <w:rsid w:val="00824B70"/>
    <w:rsid w:val="00824DAD"/>
    <w:rsid w:val="00825751"/>
    <w:rsid w:val="008264EB"/>
    <w:rsid w:val="00830050"/>
    <w:rsid w:val="00830512"/>
    <w:rsid w:val="008305C2"/>
    <w:rsid w:val="00830C80"/>
    <w:rsid w:val="00830C8F"/>
    <w:rsid w:val="00831213"/>
    <w:rsid w:val="0083359F"/>
    <w:rsid w:val="008335B1"/>
    <w:rsid w:val="0083391E"/>
    <w:rsid w:val="00833B05"/>
    <w:rsid w:val="008362B4"/>
    <w:rsid w:val="00837A02"/>
    <w:rsid w:val="0084090D"/>
    <w:rsid w:val="00840CA2"/>
    <w:rsid w:val="008417DE"/>
    <w:rsid w:val="008423BE"/>
    <w:rsid w:val="0084374F"/>
    <w:rsid w:val="00843B12"/>
    <w:rsid w:val="00844454"/>
    <w:rsid w:val="008450E3"/>
    <w:rsid w:val="00845457"/>
    <w:rsid w:val="00846661"/>
    <w:rsid w:val="00846D65"/>
    <w:rsid w:val="00846EC7"/>
    <w:rsid w:val="008473AC"/>
    <w:rsid w:val="00847DF5"/>
    <w:rsid w:val="00850157"/>
    <w:rsid w:val="00850874"/>
    <w:rsid w:val="008508AE"/>
    <w:rsid w:val="00851A5A"/>
    <w:rsid w:val="00851BFE"/>
    <w:rsid w:val="00851CE0"/>
    <w:rsid w:val="00852090"/>
    <w:rsid w:val="00852184"/>
    <w:rsid w:val="0085227F"/>
    <w:rsid w:val="0085309D"/>
    <w:rsid w:val="008537DE"/>
    <w:rsid w:val="0085397E"/>
    <w:rsid w:val="00853F4B"/>
    <w:rsid w:val="00854150"/>
    <w:rsid w:val="008545E1"/>
    <w:rsid w:val="00854F14"/>
    <w:rsid w:val="00856897"/>
    <w:rsid w:val="00856E9A"/>
    <w:rsid w:val="00857359"/>
    <w:rsid w:val="0086075D"/>
    <w:rsid w:val="00861DDD"/>
    <w:rsid w:val="00862502"/>
    <w:rsid w:val="00862D33"/>
    <w:rsid w:val="00862D39"/>
    <w:rsid w:val="00863D54"/>
    <w:rsid w:val="00864596"/>
    <w:rsid w:val="00864AC2"/>
    <w:rsid w:val="00864C03"/>
    <w:rsid w:val="0086539F"/>
    <w:rsid w:val="00865C52"/>
    <w:rsid w:val="00865FE0"/>
    <w:rsid w:val="008660D4"/>
    <w:rsid w:val="0086663F"/>
    <w:rsid w:val="00866B06"/>
    <w:rsid w:val="00867158"/>
    <w:rsid w:val="00870556"/>
    <w:rsid w:val="00871FA9"/>
    <w:rsid w:val="008723C5"/>
    <w:rsid w:val="008728E9"/>
    <w:rsid w:val="00872984"/>
    <w:rsid w:val="00872C93"/>
    <w:rsid w:val="008739E0"/>
    <w:rsid w:val="00874034"/>
    <w:rsid w:val="0087433D"/>
    <w:rsid w:val="008749F5"/>
    <w:rsid w:val="00874BAA"/>
    <w:rsid w:val="008753C9"/>
    <w:rsid w:val="00875550"/>
    <w:rsid w:val="00875E78"/>
    <w:rsid w:val="00875F6D"/>
    <w:rsid w:val="00876331"/>
    <w:rsid w:val="0087635A"/>
    <w:rsid w:val="0087672D"/>
    <w:rsid w:val="0087799E"/>
    <w:rsid w:val="00880CA7"/>
    <w:rsid w:val="008811B6"/>
    <w:rsid w:val="008821F9"/>
    <w:rsid w:val="008824F8"/>
    <w:rsid w:val="00882874"/>
    <w:rsid w:val="008833CD"/>
    <w:rsid w:val="00883787"/>
    <w:rsid w:val="00883896"/>
    <w:rsid w:val="0088394D"/>
    <w:rsid w:val="00884C98"/>
    <w:rsid w:val="00885614"/>
    <w:rsid w:val="00886CD2"/>
    <w:rsid w:val="00886DBF"/>
    <w:rsid w:val="00887171"/>
    <w:rsid w:val="008872DA"/>
    <w:rsid w:val="008872EC"/>
    <w:rsid w:val="00890438"/>
    <w:rsid w:val="00890A0F"/>
    <w:rsid w:val="00890FB4"/>
    <w:rsid w:val="008919D2"/>
    <w:rsid w:val="00892A36"/>
    <w:rsid w:val="00893140"/>
    <w:rsid w:val="00893239"/>
    <w:rsid w:val="008942FD"/>
    <w:rsid w:val="00894489"/>
    <w:rsid w:val="00895B5A"/>
    <w:rsid w:val="00895EB7"/>
    <w:rsid w:val="0089638A"/>
    <w:rsid w:val="008963A5"/>
    <w:rsid w:val="00897401"/>
    <w:rsid w:val="00897B73"/>
    <w:rsid w:val="00897EBD"/>
    <w:rsid w:val="008A10E6"/>
    <w:rsid w:val="008A2A4E"/>
    <w:rsid w:val="008A3363"/>
    <w:rsid w:val="008A3371"/>
    <w:rsid w:val="008A3710"/>
    <w:rsid w:val="008A3C3E"/>
    <w:rsid w:val="008A434B"/>
    <w:rsid w:val="008A4511"/>
    <w:rsid w:val="008A4A97"/>
    <w:rsid w:val="008A4CB3"/>
    <w:rsid w:val="008A4EB4"/>
    <w:rsid w:val="008A5552"/>
    <w:rsid w:val="008A68C2"/>
    <w:rsid w:val="008A71F3"/>
    <w:rsid w:val="008A7628"/>
    <w:rsid w:val="008A79DE"/>
    <w:rsid w:val="008B01D5"/>
    <w:rsid w:val="008B146F"/>
    <w:rsid w:val="008B1757"/>
    <w:rsid w:val="008B1ADA"/>
    <w:rsid w:val="008B2F14"/>
    <w:rsid w:val="008B3B08"/>
    <w:rsid w:val="008B4474"/>
    <w:rsid w:val="008B473D"/>
    <w:rsid w:val="008B4825"/>
    <w:rsid w:val="008B50B8"/>
    <w:rsid w:val="008B5DBA"/>
    <w:rsid w:val="008B6236"/>
    <w:rsid w:val="008B7D7E"/>
    <w:rsid w:val="008C0E6C"/>
    <w:rsid w:val="008C15D3"/>
    <w:rsid w:val="008C17F9"/>
    <w:rsid w:val="008C2E75"/>
    <w:rsid w:val="008C3E5D"/>
    <w:rsid w:val="008C4375"/>
    <w:rsid w:val="008C4710"/>
    <w:rsid w:val="008C4B9B"/>
    <w:rsid w:val="008C63A0"/>
    <w:rsid w:val="008C77B8"/>
    <w:rsid w:val="008C7A4C"/>
    <w:rsid w:val="008C7ECB"/>
    <w:rsid w:val="008D0415"/>
    <w:rsid w:val="008D0427"/>
    <w:rsid w:val="008D0BB6"/>
    <w:rsid w:val="008D0D1B"/>
    <w:rsid w:val="008D0D52"/>
    <w:rsid w:val="008D13A0"/>
    <w:rsid w:val="008D1D04"/>
    <w:rsid w:val="008D3188"/>
    <w:rsid w:val="008D3A8B"/>
    <w:rsid w:val="008D407A"/>
    <w:rsid w:val="008D4248"/>
    <w:rsid w:val="008D439D"/>
    <w:rsid w:val="008D44F0"/>
    <w:rsid w:val="008D4755"/>
    <w:rsid w:val="008D4C3D"/>
    <w:rsid w:val="008D4C46"/>
    <w:rsid w:val="008D5956"/>
    <w:rsid w:val="008D5A93"/>
    <w:rsid w:val="008D6A26"/>
    <w:rsid w:val="008D70A7"/>
    <w:rsid w:val="008D70DC"/>
    <w:rsid w:val="008D74E2"/>
    <w:rsid w:val="008D7655"/>
    <w:rsid w:val="008D7989"/>
    <w:rsid w:val="008D7ABD"/>
    <w:rsid w:val="008D7F99"/>
    <w:rsid w:val="008E0072"/>
    <w:rsid w:val="008E0D26"/>
    <w:rsid w:val="008E0D3C"/>
    <w:rsid w:val="008E1109"/>
    <w:rsid w:val="008E1B9E"/>
    <w:rsid w:val="008E1D26"/>
    <w:rsid w:val="008E2776"/>
    <w:rsid w:val="008E398E"/>
    <w:rsid w:val="008E3C18"/>
    <w:rsid w:val="008E3CAB"/>
    <w:rsid w:val="008E447A"/>
    <w:rsid w:val="008E4EC8"/>
    <w:rsid w:val="008E503D"/>
    <w:rsid w:val="008E55AB"/>
    <w:rsid w:val="008E7868"/>
    <w:rsid w:val="008F00F2"/>
    <w:rsid w:val="008F0180"/>
    <w:rsid w:val="008F0647"/>
    <w:rsid w:val="008F086D"/>
    <w:rsid w:val="008F1016"/>
    <w:rsid w:val="008F120A"/>
    <w:rsid w:val="008F1D36"/>
    <w:rsid w:val="008F21F6"/>
    <w:rsid w:val="008F248D"/>
    <w:rsid w:val="008F27E0"/>
    <w:rsid w:val="008F2A1A"/>
    <w:rsid w:val="008F3B5E"/>
    <w:rsid w:val="008F48EB"/>
    <w:rsid w:val="008F4927"/>
    <w:rsid w:val="008F49A1"/>
    <w:rsid w:val="008F4F0B"/>
    <w:rsid w:val="008F53BB"/>
    <w:rsid w:val="008F53E2"/>
    <w:rsid w:val="008F5BB8"/>
    <w:rsid w:val="008F5D10"/>
    <w:rsid w:val="008F7567"/>
    <w:rsid w:val="008F7FD9"/>
    <w:rsid w:val="00900567"/>
    <w:rsid w:val="00900B6D"/>
    <w:rsid w:val="00900DA6"/>
    <w:rsid w:val="0090196E"/>
    <w:rsid w:val="00902329"/>
    <w:rsid w:val="0090274A"/>
    <w:rsid w:val="00902A93"/>
    <w:rsid w:val="00903315"/>
    <w:rsid w:val="0090339D"/>
    <w:rsid w:val="0090361B"/>
    <w:rsid w:val="00903B0D"/>
    <w:rsid w:val="0090403C"/>
    <w:rsid w:val="0090444B"/>
    <w:rsid w:val="009044EF"/>
    <w:rsid w:val="009046C4"/>
    <w:rsid w:val="00905344"/>
    <w:rsid w:val="00905691"/>
    <w:rsid w:val="00906078"/>
    <w:rsid w:val="009062A5"/>
    <w:rsid w:val="00907E95"/>
    <w:rsid w:val="00910809"/>
    <w:rsid w:val="00910EF3"/>
    <w:rsid w:val="00911272"/>
    <w:rsid w:val="009115DC"/>
    <w:rsid w:val="00911792"/>
    <w:rsid w:val="0091265C"/>
    <w:rsid w:val="00913140"/>
    <w:rsid w:val="00913166"/>
    <w:rsid w:val="00913405"/>
    <w:rsid w:val="009135D6"/>
    <w:rsid w:val="009136E2"/>
    <w:rsid w:val="00914C77"/>
    <w:rsid w:val="00915F60"/>
    <w:rsid w:val="00916E2E"/>
    <w:rsid w:val="00917223"/>
    <w:rsid w:val="00917491"/>
    <w:rsid w:val="009179A6"/>
    <w:rsid w:val="00917D7B"/>
    <w:rsid w:val="00920851"/>
    <w:rsid w:val="0092186F"/>
    <w:rsid w:val="00921E6C"/>
    <w:rsid w:val="0092275C"/>
    <w:rsid w:val="00922BC4"/>
    <w:rsid w:val="009235E3"/>
    <w:rsid w:val="0092369B"/>
    <w:rsid w:val="009238D4"/>
    <w:rsid w:val="00923AF8"/>
    <w:rsid w:val="00923D38"/>
    <w:rsid w:val="00923FBC"/>
    <w:rsid w:val="00924DC2"/>
    <w:rsid w:val="00924DCD"/>
    <w:rsid w:val="00925450"/>
    <w:rsid w:val="00925C00"/>
    <w:rsid w:val="00925CB2"/>
    <w:rsid w:val="00925E38"/>
    <w:rsid w:val="00926986"/>
    <w:rsid w:val="00926D19"/>
    <w:rsid w:val="00927366"/>
    <w:rsid w:val="00927E05"/>
    <w:rsid w:val="00930525"/>
    <w:rsid w:val="00931178"/>
    <w:rsid w:val="009316C9"/>
    <w:rsid w:val="00931958"/>
    <w:rsid w:val="00931CCF"/>
    <w:rsid w:val="00932266"/>
    <w:rsid w:val="00932456"/>
    <w:rsid w:val="0093260E"/>
    <w:rsid w:val="00932BC0"/>
    <w:rsid w:val="00932D17"/>
    <w:rsid w:val="0093363B"/>
    <w:rsid w:val="0093369E"/>
    <w:rsid w:val="009337B8"/>
    <w:rsid w:val="00934857"/>
    <w:rsid w:val="00934FA8"/>
    <w:rsid w:val="009351ED"/>
    <w:rsid w:val="00936640"/>
    <w:rsid w:val="00936990"/>
    <w:rsid w:val="00936ABC"/>
    <w:rsid w:val="00936BC5"/>
    <w:rsid w:val="00937300"/>
    <w:rsid w:val="00937558"/>
    <w:rsid w:val="00940206"/>
    <w:rsid w:val="0094064A"/>
    <w:rsid w:val="0094102D"/>
    <w:rsid w:val="0094182C"/>
    <w:rsid w:val="0094226F"/>
    <w:rsid w:val="0094350B"/>
    <w:rsid w:val="00943D3B"/>
    <w:rsid w:val="0094493D"/>
    <w:rsid w:val="00944C28"/>
    <w:rsid w:val="009451C4"/>
    <w:rsid w:val="009455A9"/>
    <w:rsid w:val="009469A9"/>
    <w:rsid w:val="00946B09"/>
    <w:rsid w:val="00946FC9"/>
    <w:rsid w:val="00947583"/>
    <w:rsid w:val="0094761A"/>
    <w:rsid w:val="00947E7E"/>
    <w:rsid w:val="00950A33"/>
    <w:rsid w:val="00950A8E"/>
    <w:rsid w:val="00950EBF"/>
    <w:rsid w:val="009510A2"/>
    <w:rsid w:val="00951913"/>
    <w:rsid w:val="00952304"/>
    <w:rsid w:val="00952605"/>
    <w:rsid w:val="0095274D"/>
    <w:rsid w:val="009530ED"/>
    <w:rsid w:val="00953257"/>
    <w:rsid w:val="009533BC"/>
    <w:rsid w:val="00953DC0"/>
    <w:rsid w:val="00954415"/>
    <w:rsid w:val="00954A2B"/>
    <w:rsid w:val="00955124"/>
    <w:rsid w:val="009551DC"/>
    <w:rsid w:val="00956256"/>
    <w:rsid w:val="00956470"/>
    <w:rsid w:val="00957CC3"/>
    <w:rsid w:val="00957E0A"/>
    <w:rsid w:val="00960E0B"/>
    <w:rsid w:val="00961881"/>
    <w:rsid w:val="00962CB9"/>
    <w:rsid w:val="0096316C"/>
    <w:rsid w:val="009639BC"/>
    <w:rsid w:val="00963BC2"/>
    <w:rsid w:val="00964312"/>
    <w:rsid w:val="0096451A"/>
    <w:rsid w:val="00964746"/>
    <w:rsid w:val="00965B8A"/>
    <w:rsid w:val="00967124"/>
    <w:rsid w:val="00967208"/>
    <w:rsid w:val="00967B55"/>
    <w:rsid w:val="00967F6D"/>
    <w:rsid w:val="0097062B"/>
    <w:rsid w:val="00970A72"/>
    <w:rsid w:val="009716FB"/>
    <w:rsid w:val="009717AC"/>
    <w:rsid w:val="00972668"/>
    <w:rsid w:val="00974785"/>
    <w:rsid w:val="00974BC8"/>
    <w:rsid w:val="0097564B"/>
    <w:rsid w:val="009756E5"/>
    <w:rsid w:val="00975BA5"/>
    <w:rsid w:val="0097650F"/>
    <w:rsid w:val="009766C9"/>
    <w:rsid w:val="009775D5"/>
    <w:rsid w:val="00977BFC"/>
    <w:rsid w:val="00977D5D"/>
    <w:rsid w:val="00980B52"/>
    <w:rsid w:val="00980F13"/>
    <w:rsid w:val="00980FDD"/>
    <w:rsid w:val="0098110F"/>
    <w:rsid w:val="00981123"/>
    <w:rsid w:val="00982937"/>
    <w:rsid w:val="00983B86"/>
    <w:rsid w:val="00983E57"/>
    <w:rsid w:val="00984762"/>
    <w:rsid w:val="00984AEB"/>
    <w:rsid w:val="00984D8B"/>
    <w:rsid w:val="00984EB8"/>
    <w:rsid w:val="0098584F"/>
    <w:rsid w:val="0098663D"/>
    <w:rsid w:val="0098675D"/>
    <w:rsid w:val="00986BAD"/>
    <w:rsid w:val="00987128"/>
    <w:rsid w:val="009879DE"/>
    <w:rsid w:val="00990686"/>
    <w:rsid w:val="00990E00"/>
    <w:rsid w:val="00990E12"/>
    <w:rsid w:val="009914FD"/>
    <w:rsid w:val="00991D44"/>
    <w:rsid w:val="00992D8A"/>
    <w:rsid w:val="00993FE8"/>
    <w:rsid w:val="009944F0"/>
    <w:rsid w:val="00994FE7"/>
    <w:rsid w:val="009954DD"/>
    <w:rsid w:val="0099582F"/>
    <w:rsid w:val="00995A79"/>
    <w:rsid w:val="00995D0E"/>
    <w:rsid w:val="00996B1A"/>
    <w:rsid w:val="00997D80"/>
    <w:rsid w:val="009A005C"/>
    <w:rsid w:val="009A01BE"/>
    <w:rsid w:val="009A0898"/>
    <w:rsid w:val="009A0A6E"/>
    <w:rsid w:val="009A2465"/>
    <w:rsid w:val="009A24F4"/>
    <w:rsid w:val="009A282F"/>
    <w:rsid w:val="009A2B8D"/>
    <w:rsid w:val="009A3770"/>
    <w:rsid w:val="009A3D65"/>
    <w:rsid w:val="009A5672"/>
    <w:rsid w:val="009A6420"/>
    <w:rsid w:val="009A6D02"/>
    <w:rsid w:val="009A6F91"/>
    <w:rsid w:val="009A7BAD"/>
    <w:rsid w:val="009A7F10"/>
    <w:rsid w:val="009B0001"/>
    <w:rsid w:val="009B03B3"/>
    <w:rsid w:val="009B04B1"/>
    <w:rsid w:val="009B04F6"/>
    <w:rsid w:val="009B0E0B"/>
    <w:rsid w:val="009B11C8"/>
    <w:rsid w:val="009B2808"/>
    <w:rsid w:val="009B3E26"/>
    <w:rsid w:val="009B4A87"/>
    <w:rsid w:val="009B4EC2"/>
    <w:rsid w:val="009B517A"/>
    <w:rsid w:val="009B7F4A"/>
    <w:rsid w:val="009C1AD8"/>
    <w:rsid w:val="009C1E4B"/>
    <w:rsid w:val="009C28B4"/>
    <w:rsid w:val="009C2F5A"/>
    <w:rsid w:val="009C3181"/>
    <w:rsid w:val="009C416C"/>
    <w:rsid w:val="009C486A"/>
    <w:rsid w:val="009C4D08"/>
    <w:rsid w:val="009C50D2"/>
    <w:rsid w:val="009C5297"/>
    <w:rsid w:val="009C52A0"/>
    <w:rsid w:val="009C5A0A"/>
    <w:rsid w:val="009C5A8B"/>
    <w:rsid w:val="009C66A0"/>
    <w:rsid w:val="009C6CEA"/>
    <w:rsid w:val="009C79B7"/>
    <w:rsid w:val="009C7B85"/>
    <w:rsid w:val="009D11BA"/>
    <w:rsid w:val="009D2267"/>
    <w:rsid w:val="009D2291"/>
    <w:rsid w:val="009D23CB"/>
    <w:rsid w:val="009D2CB9"/>
    <w:rsid w:val="009D2D18"/>
    <w:rsid w:val="009D34E5"/>
    <w:rsid w:val="009D364E"/>
    <w:rsid w:val="009D4075"/>
    <w:rsid w:val="009D43E8"/>
    <w:rsid w:val="009D4BD9"/>
    <w:rsid w:val="009D52EC"/>
    <w:rsid w:val="009D5B91"/>
    <w:rsid w:val="009D6FD3"/>
    <w:rsid w:val="009D739A"/>
    <w:rsid w:val="009D767B"/>
    <w:rsid w:val="009D792E"/>
    <w:rsid w:val="009E0C05"/>
    <w:rsid w:val="009E0DFE"/>
    <w:rsid w:val="009E135A"/>
    <w:rsid w:val="009E13F8"/>
    <w:rsid w:val="009E1FAA"/>
    <w:rsid w:val="009E22C4"/>
    <w:rsid w:val="009E277D"/>
    <w:rsid w:val="009E3467"/>
    <w:rsid w:val="009E4A02"/>
    <w:rsid w:val="009E4C07"/>
    <w:rsid w:val="009E4D85"/>
    <w:rsid w:val="009E4E30"/>
    <w:rsid w:val="009E56C7"/>
    <w:rsid w:val="009E5A98"/>
    <w:rsid w:val="009E6DB7"/>
    <w:rsid w:val="009E6EFC"/>
    <w:rsid w:val="009F0B10"/>
    <w:rsid w:val="009F1CF6"/>
    <w:rsid w:val="009F1F83"/>
    <w:rsid w:val="009F2427"/>
    <w:rsid w:val="009F2B44"/>
    <w:rsid w:val="009F2E12"/>
    <w:rsid w:val="009F383E"/>
    <w:rsid w:val="009F4721"/>
    <w:rsid w:val="009F4A91"/>
    <w:rsid w:val="009F50C7"/>
    <w:rsid w:val="009F5329"/>
    <w:rsid w:val="009F55DE"/>
    <w:rsid w:val="009F5BB8"/>
    <w:rsid w:val="009F6093"/>
    <w:rsid w:val="00A00026"/>
    <w:rsid w:val="00A00EAC"/>
    <w:rsid w:val="00A01184"/>
    <w:rsid w:val="00A013EB"/>
    <w:rsid w:val="00A03D43"/>
    <w:rsid w:val="00A04002"/>
    <w:rsid w:val="00A04227"/>
    <w:rsid w:val="00A04380"/>
    <w:rsid w:val="00A04438"/>
    <w:rsid w:val="00A0458F"/>
    <w:rsid w:val="00A045FD"/>
    <w:rsid w:val="00A05099"/>
    <w:rsid w:val="00A052F2"/>
    <w:rsid w:val="00A0613A"/>
    <w:rsid w:val="00A06B0D"/>
    <w:rsid w:val="00A06F90"/>
    <w:rsid w:val="00A079EE"/>
    <w:rsid w:val="00A07A5E"/>
    <w:rsid w:val="00A07CE0"/>
    <w:rsid w:val="00A07D37"/>
    <w:rsid w:val="00A10D68"/>
    <w:rsid w:val="00A10EF3"/>
    <w:rsid w:val="00A11CD0"/>
    <w:rsid w:val="00A122FD"/>
    <w:rsid w:val="00A12CF1"/>
    <w:rsid w:val="00A134A0"/>
    <w:rsid w:val="00A13948"/>
    <w:rsid w:val="00A14F95"/>
    <w:rsid w:val="00A1555B"/>
    <w:rsid w:val="00A155C5"/>
    <w:rsid w:val="00A15AC2"/>
    <w:rsid w:val="00A15DB5"/>
    <w:rsid w:val="00A1638E"/>
    <w:rsid w:val="00A16AD8"/>
    <w:rsid w:val="00A17F91"/>
    <w:rsid w:val="00A20012"/>
    <w:rsid w:val="00A20822"/>
    <w:rsid w:val="00A217D5"/>
    <w:rsid w:val="00A21ACA"/>
    <w:rsid w:val="00A21CF3"/>
    <w:rsid w:val="00A220B5"/>
    <w:rsid w:val="00A2331D"/>
    <w:rsid w:val="00A233E7"/>
    <w:rsid w:val="00A2376E"/>
    <w:rsid w:val="00A239C5"/>
    <w:rsid w:val="00A24A56"/>
    <w:rsid w:val="00A24BF8"/>
    <w:rsid w:val="00A254D0"/>
    <w:rsid w:val="00A255EA"/>
    <w:rsid w:val="00A255F5"/>
    <w:rsid w:val="00A25D77"/>
    <w:rsid w:val="00A25F7E"/>
    <w:rsid w:val="00A266FB"/>
    <w:rsid w:val="00A270A7"/>
    <w:rsid w:val="00A2716E"/>
    <w:rsid w:val="00A274A5"/>
    <w:rsid w:val="00A275DE"/>
    <w:rsid w:val="00A27AEC"/>
    <w:rsid w:val="00A31262"/>
    <w:rsid w:val="00A31AA8"/>
    <w:rsid w:val="00A320DB"/>
    <w:rsid w:val="00A32691"/>
    <w:rsid w:val="00A32D8F"/>
    <w:rsid w:val="00A3428F"/>
    <w:rsid w:val="00A35D16"/>
    <w:rsid w:val="00A37431"/>
    <w:rsid w:val="00A37BCD"/>
    <w:rsid w:val="00A40FA8"/>
    <w:rsid w:val="00A41527"/>
    <w:rsid w:val="00A419E8"/>
    <w:rsid w:val="00A427A0"/>
    <w:rsid w:val="00A43443"/>
    <w:rsid w:val="00A4368E"/>
    <w:rsid w:val="00A43C59"/>
    <w:rsid w:val="00A443AC"/>
    <w:rsid w:val="00A443D4"/>
    <w:rsid w:val="00A46D8E"/>
    <w:rsid w:val="00A4761C"/>
    <w:rsid w:val="00A500E0"/>
    <w:rsid w:val="00A50ECD"/>
    <w:rsid w:val="00A51021"/>
    <w:rsid w:val="00A518F3"/>
    <w:rsid w:val="00A52198"/>
    <w:rsid w:val="00A52729"/>
    <w:rsid w:val="00A53044"/>
    <w:rsid w:val="00A53675"/>
    <w:rsid w:val="00A53FFF"/>
    <w:rsid w:val="00A54044"/>
    <w:rsid w:val="00A54480"/>
    <w:rsid w:val="00A546A5"/>
    <w:rsid w:val="00A54D62"/>
    <w:rsid w:val="00A559C6"/>
    <w:rsid w:val="00A564D7"/>
    <w:rsid w:val="00A56B6A"/>
    <w:rsid w:val="00A578DC"/>
    <w:rsid w:val="00A5795B"/>
    <w:rsid w:val="00A602EF"/>
    <w:rsid w:val="00A6046F"/>
    <w:rsid w:val="00A617D7"/>
    <w:rsid w:val="00A61F40"/>
    <w:rsid w:val="00A62372"/>
    <w:rsid w:val="00A62B4D"/>
    <w:rsid w:val="00A639DB"/>
    <w:rsid w:val="00A64C93"/>
    <w:rsid w:val="00A65911"/>
    <w:rsid w:val="00A659B9"/>
    <w:rsid w:val="00A65D6D"/>
    <w:rsid w:val="00A664A0"/>
    <w:rsid w:val="00A66664"/>
    <w:rsid w:val="00A668AE"/>
    <w:rsid w:val="00A66E49"/>
    <w:rsid w:val="00A67153"/>
    <w:rsid w:val="00A67199"/>
    <w:rsid w:val="00A6725B"/>
    <w:rsid w:val="00A70605"/>
    <w:rsid w:val="00A71758"/>
    <w:rsid w:val="00A727F5"/>
    <w:rsid w:val="00A72F04"/>
    <w:rsid w:val="00A73134"/>
    <w:rsid w:val="00A73E67"/>
    <w:rsid w:val="00A75369"/>
    <w:rsid w:val="00A75798"/>
    <w:rsid w:val="00A7636C"/>
    <w:rsid w:val="00A76476"/>
    <w:rsid w:val="00A777B2"/>
    <w:rsid w:val="00A8004A"/>
    <w:rsid w:val="00A80238"/>
    <w:rsid w:val="00A8061E"/>
    <w:rsid w:val="00A80631"/>
    <w:rsid w:val="00A81D82"/>
    <w:rsid w:val="00A81F27"/>
    <w:rsid w:val="00A8277A"/>
    <w:rsid w:val="00A831AA"/>
    <w:rsid w:val="00A83924"/>
    <w:rsid w:val="00A84A44"/>
    <w:rsid w:val="00A85123"/>
    <w:rsid w:val="00A85512"/>
    <w:rsid w:val="00A85571"/>
    <w:rsid w:val="00A86E8B"/>
    <w:rsid w:val="00A86F65"/>
    <w:rsid w:val="00A87164"/>
    <w:rsid w:val="00A90065"/>
    <w:rsid w:val="00A9007E"/>
    <w:rsid w:val="00A900C5"/>
    <w:rsid w:val="00A90D8A"/>
    <w:rsid w:val="00A90FC8"/>
    <w:rsid w:val="00A9114C"/>
    <w:rsid w:val="00A911B5"/>
    <w:rsid w:val="00A91AA1"/>
    <w:rsid w:val="00A91C05"/>
    <w:rsid w:val="00A923D4"/>
    <w:rsid w:val="00A926FA"/>
    <w:rsid w:val="00A93072"/>
    <w:rsid w:val="00A936FD"/>
    <w:rsid w:val="00A93953"/>
    <w:rsid w:val="00A93C53"/>
    <w:rsid w:val="00A94C73"/>
    <w:rsid w:val="00A95018"/>
    <w:rsid w:val="00A95264"/>
    <w:rsid w:val="00A959D8"/>
    <w:rsid w:val="00A97C71"/>
    <w:rsid w:val="00AA09A1"/>
    <w:rsid w:val="00AA113D"/>
    <w:rsid w:val="00AA14C4"/>
    <w:rsid w:val="00AA23FB"/>
    <w:rsid w:val="00AA282F"/>
    <w:rsid w:val="00AA2EB9"/>
    <w:rsid w:val="00AA3D42"/>
    <w:rsid w:val="00AA4E4B"/>
    <w:rsid w:val="00AA6008"/>
    <w:rsid w:val="00AA6C7D"/>
    <w:rsid w:val="00AA70E7"/>
    <w:rsid w:val="00AA743C"/>
    <w:rsid w:val="00AA7FD6"/>
    <w:rsid w:val="00AB042A"/>
    <w:rsid w:val="00AB0518"/>
    <w:rsid w:val="00AB0762"/>
    <w:rsid w:val="00AB0FD4"/>
    <w:rsid w:val="00AB1197"/>
    <w:rsid w:val="00AB11D0"/>
    <w:rsid w:val="00AB17A6"/>
    <w:rsid w:val="00AB1B59"/>
    <w:rsid w:val="00AB1FC1"/>
    <w:rsid w:val="00AB218E"/>
    <w:rsid w:val="00AB28F2"/>
    <w:rsid w:val="00AB2936"/>
    <w:rsid w:val="00AB2C59"/>
    <w:rsid w:val="00AB2D34"/>
    <w:rsid w:val="00AB2D6E"/>
    <w:rsid w:val="00AB3430"/>
    <w:rsid w:val="00AB4AD1"/>
    <w:rsid w:val="00AB57EC"/>
    <w:rsid w:val="00AB5E67"/>
    <w:rsid w:val="00AB5FAC"/>
    <w:rsid w:val="00AB6169"/>
    <w:rsid w:val="00AB646A"/>
    <w:rsid w:val="00AB6872"/>
    <w:rsid w:val="00AB6E48"/>
    <w:rsid w:val="00AB7CFA"/>
    <w:rsid w:val="00AC07C5"/>
    <w:rsid w:val="00AC1360"/>
    <w:rsid w:val="00AC2440"/>
    <w:rsid w:val="00AC2E4E"/>
    <w:rsid w:val="00AC30E4"/>
    <w:rsid w:val="00AC444E"/>
    <w:rsid w:val="00AC5B48"/>
    <w:rsid w:val="00AC5D57"/>
    <w:rsid w:val="00AC5F08"/>
    <w:rsid w:val="00AC75EF"/>
    <w:rsid w:val="00AD0495"/>
    <w:rsid w:val="00AD0C9A"/>
    <w:rsid w:val="00AD1233"/>
    <w:rsid w:val="00AD2E10"/>
    <w:rsid w:val="00AD3573"/>
    <w:rsid w:val="00AD4019"/>
    <w:rsid w:val="00AD4252"/>
    <w:rsid w:val="00AD4B79"/>
    <w:rsid w:val="00AD50BB"/>
    <w:rsid w:val="00AD513F"/>
    <w:rsid w:val="00AD58ED"/>
    <w:rsid w:val="00AD5AA3"/>
    <w:rsid w:val="00AD5D83"/>
    <w:rsid w:val="00AD6502"/>
    <w:rsid w:val="00AD6ABE"/>
    <w:rsid w:val="00AD6F32"/>
    <w:rsid w:val="00AD7778"/>
    <w:rsid w:val="00AD793F"/>
    <w:rsid w:val="00AE072C"/>
    <w:rsid w:val="00AE0F0A"/>
    <w:rsid w:val="00AE27AF"/>
    <w:rsid w:val="00AE2CA9"/>
    <w:rsid w:val="00AE3260"/>
    <w:rsid w:val="00AE3E05"/>
    <w:rsid w:val="00AE4E41"/>
    <w:rsid w:val="00AE58F9"/>
    <w:rsid w:val="00AE73E9"/>
    <w:rsid w:val="00AF1315"/>
    <w:rsid w:val="00AF19BF"/>
    <w:rsid w:val="00AF1B1D"/>
    <w:rsid w:val="00AF2192"/>
    <w:rsid w:val="00AF2689"/>
    <w:rsid w:val="00AF2B86"/>
    <w:rsid w:val="00AF2DC3"/>
    <w:rsid w:val="00AF3962"/>
    <w:rsid w:val="00AF398D"/>
    <w:rsid w:val="00AF4926"/>
    <w:rsid w:val="00AF59EB"/>
    <w:rsid w:val="00AF6506"/>
    <w:rsid w:val="00B0013E"/>
    <w:rsid w:val="00B00408"/>
    <w:rsid w:val="00B01637"/>
    <w:rsid w:val="00B016CF"/>
    <w:rsid w:val="00B01E8C"/>
    <w:rsid w:val="00B02966"/>
    <w:rsid w:val="00B02F40"/>
    <w:rsid w:val="00B0304F"/>
    <w:rsid w:val="00B033E5"/>
    <w:rsid w:val="00B03422"/>
    <w:rsid w:val="00B0351B"/>
    <w:rsid w:val="00B03802"/>
    <w:rsid w:val="00B03A63"/>
    <w:rsid w:val="00B03C3B"/>
    <w:rsid w:val="00B03DCA"/>
    <w:rsid w:val="00B03F23"/>
    <w:rsid w:val="00B03F6A"/>
    <w:rsid w:val="00B04492"/>
    <w:rsid w:val="00B05D87"/>
    <w:rsid w:val="00B06696"/>
    <w:rsid w:val="00B07D19"/>
    <w:rsid w:val="00B1031F"/>
    <w:rsid w:val="00B10B03"/>
    <w:rsid w:val="00B11A9D"/>
    <w:rsid w:val="00B11D3A"/>
    <w:rsid w:val="00B12212"/>
    <w:rsid w:val="00B12DBF"/>
    <w:rsid w:val="00B13419"/>
    <w:rsid w:val="00B144F5"/>
    <w:rsid w:val="00B14DDF"/>
    <w:rsid w:val="00B15DF1"/>
    <w:rsid w:val="00B15E4D"/>
    <w:rsid w:val="00B162C7"/>
    <w:rsid w:val="00B167CD"/>
    <w:rsid w:val="00B16A02"/>
    <w:rsid w:val="00B17316"/>
    <w:rsid w:val="00B17806"/>
    <w:rsid w:val="00B201A4"/>
    <w:rsid w:val="00B213A6"/>
    <w:rsid w:val="00B2293D"/>
    <w:rsid w:val="00B22B29"/>
    <w:rsid w:val="00B22DEA"/>
    <w:rsid w:val="00B22E52"/>
    <w:rsid w:val="00B23A76"/>
    <w:rsid w:val="00B24746"/>
    <w:rsid w:val="00B24DF6"/>
    <w:rsid w:val="00B25612"/>
    <w:rsid w:val="00B26A3A"/>
    <w:rsid w:val="00B27326"/>
    <w:rsid w:val="00B318F5"/>
    <w:rsid w:val="00B32B5F"/>
    <w:rsid w:val="00B3389E"/>
    <w:rsid w:val="00B3416F"/>
    <w:rsid w:val="00B34995"/>
    <w:rsid w:val="00B34D7C"/>
    <w:rsid w:val="00B34FE2"/>
    <w:rsid w:val="00B357D8"/>
    <w:rsid w:val="00B35CC1"/>
    <w:rsid w:val="00B35F22"/>
    <w:rsid w:val="00B36A6C"/>
    <w:rsid w:val="00B371EB"/>
    <w:rsid w:val="00B3777C"/>
    <w:rsid w:val="00B379C8"/>
    <w:rsid w:val="00B37BFC"/>
    <w:rsid w:val="00B40358"/>
    <w:rsid w:val="00B40A38"/>
    <w:rsid w:val="00B41614"/>
    <w:rsid w:val="00B41D4A"/>
    <w:rsid w:val="00B421A5"/>
    <w:rsid w:val="00B42614"/>
    <w:rsid w:val="00B42851"/>
    <w:rsid w:val="00B42E93"/>
    <w:rsid w:val="00B42F80"/>
    <w:rsid w:val="00B435CB"/>
    <w:rsid w:val="00B43618"/>
    <w:rsid w:val="00B43B63"/>
    <w:rsid w:val="00B43D54"/>
    <w:rsid w:val="00B4501E"/>
    <w:rsid w:val="00B455C1"/>
    <w:rsid w:val="00B45697"/>
    <w:rsid w:val="00B45BB7"/>
    <w:rsid w:val="00B4610B"/>
    <w:rsid w:val="00B46456"/>
    <w:rsid w:val="00B46476"/>
    <w:rsid w:val="00B46965"/>
    <w:rsid w:val="00B46A6A"/>
    <w:rsid w:val="00B47094"/>
    <w:rsid w:val="00B4736B"/>
    <w:rsid w:val="00B4759E"/>
    <w:rsid w:val="00B47B71"/>
    <w:rsid w:val="00B501AC"/>
    <w:rsid w:val="00B504B7"/>
    <w:rsid w:val="00B50DB8"/>
    <w:rsid w:val="00B51221"/>
    <w:rsid w:val="00B51AAA"/>
    <w:rsid w:val="00B52947"/>
    <w:rsid w:val="00B5305A"/>
    <w:rsid w:val="00B53654"/>
    <w:rsid w:val="00B53674"/>
    <w:rsid w:val="00B53905"/>
    <w:rsid w:val="00B53C6D"/>
    <w:rsid w:val="00B54B5B"/>
    <w:rsid w:val="00B550DE"/>
    <w:rsid w:val="00B5562E"/>
    <w:rsid w:val="00B55716"/>
    <w:rsid w:val="00B56945"/>
    <w:rsid w:val="00B57000"/>
    <w:rsid w:val="00B573B2"/>
    <w:rsid w:val="00B60939"/>
    <w:rsid w:val="00B60AFD"/>
    <w:rsid w:val="00B60C3F"/>
    <w:rsid w:val="00B60D02"/>
    <w:rsid w:val="00B61AD2"/>
    <w:rsid w:val="00B61DAF"/>
    <w:rsid w:val="00B61F52"/>
    <w:rsid w:val="00B62715"/>
    <w:rsid w:val="00B62B4A"/>
    <w:rsid w:val="00B62E67"/>
    <w:rsid w:val="00B62F16"/>
    <w:rsid w:val="00B63BF2"/>
    <w:rsid w:val="00B63D3C"/>
    <w:rsid w:val="00B64603"/>
    <w:rsid w:val="00B64C64"/>
    <w:rsid w:val="00B64F0E"/>
    <w:rsid w:val="00B676FF"/>
    <w:rsid w:val="00B70264"/>
    <w:rsid w:val="00B703E8"/>
    <w:rsid w:val="00B717C8"/>
    <w:rsid w:val="00B71BA6"/>
    <w:rsid w:val="00B7200D"/>
    <w:rsid w:val="00B7202B"/>
    <w:rsid w:val="00B72474"/>
    <w:rsid w:val="00B72909"/>
    <w:rsid w:val="00B72B2F"/>
    <w:rsid w:val="00B746BF"/>
    <w:rsid w:val="00B74A15"/>
    <w:rsid w:val="00B74CED"/>
    <w:rsid w:val="00B75E3B"/>
    <w:rsid w:val="00B76E31"/>
    <w:rsid w:val="00B77539"/>
    <w:rsid w:val="00B77938"/>
    <w:rsid w:val="00B8073E"/>
    <w:rsid w:val="00B80818"/>
    <w:rsid w:val="00B81690"/>
    <w:rsid w:val="00B818A4"/>
    <w:rsid w:val="00B820CB"/>
    <w:rsid w:val="00B8236F"/>
    <w:rsid w:val="00B825CE"/>
    <w:rsid w:val="00B8264F"/>
    <w:rsid w:val="00B82F9E"/>
    <w:rsid w:val="00B84117"/>
    <w:rsid w:val="00B8491A"/>
    <w:rsid w:val="00B84E27"/>
    <w:rsid w:val="00B85358"/>
    <w:rsid w:val="00B85A00"/>
    <w:rsid w:val="00B85AA2"/>
    <w:rsid w:val="00B85C3D"/>
    <w:rsid w:val="00B85CD5"/>
    <w:rsid w:val="00B861B0"/>
    <w:rsid w:val="00B863A4"/>
    <w:rsid w:val="00B8649C"/>
    <w:rsid w:val="00B869BA"/>
    <w:rsid w:val="00B86A85"/>
    <w:rsid w:val="00B86D31"/>
    <w:rsid w:val="00B876D3"/>
    <w:rsid w:val="00B87F0A"/>
    <w:rsid w:val="00B90399"/>
    <w:rsid w:val="00B903B6"/>
    <w:rsid w:val="00B90E0E"/>
    <w:rsid w:val="00B911B8"/>
    <w:rsid w:val="00B9221C"/>
    <w:rsid w:val="00B9286C"/>
    <w:rsid w:val="00B92ABB"/>
    <w:rsid w:val="00B92C8C"/>
    <w:rsid w:val="00B92D0B"/>
    <w:rsid w:val="00B9312A"/>
    <w:rsid w:val="00B93307"/>
    <w:rsid w:val="00B94945"/>
    <w:rsid w:val="00B94B12"/>
    <w:rsid w:val="00B9534D"/>
    <w:rsid w:val="00B96343"/>
    <w:rsid w:val="00B9793B"/>
    <w:rsid w:val="00B97CF0"/>
    <w:rsid w:val="00BA009E"/>
    <w:rsid w:val="00BA0EB0"/>
    <w:rsid w:val="00BA0F40"/>
    <w:rsid w:val="00BA143D"/>
    <w:rsid w:val="00BA307A"/>
    <w:rsid w:val="00BA322D"/>
    <w:rsid w:val="00BA36A5"/>
    <w:rsid w:val="00BA45B6"/>
    <w:rsid w:val="00BA4719"/>
    <w:rsid w:val="00BA4F77"/>
    <w:rsid w:val="00BA514E"/>
    <w:rsid w:val="00BA5391"/>
    <w:rsid w:val="00BA6B5C"/>
    <w:rsid w:val="00BA7681"/>
    <w:rsid w:val="00BB03CA"/>
    <w:rsid w:val="00BB0BC4"/>
    <w:rsid w:val="00BB0BDD"/>
    <w:rsid w:val="00BB1009"/>
    <w:rsid w:val="00BB26C0"/>
    <w:rsid w:val="00BB299A"/>
    <w:rsid w:val="00BB2A73"/>
    <w:rsid w:val="00BB2C26"/>
    <w:rsid w:val="00BB2CCC"/>
    <w:rsid w:val="00BB431A"/>
    <w:rsid w:val="00BB4ACC"/>
    <w:rsid w:val="00BB4F03"/>
    <w:rsid w:val="00BB6704"/>
    <w:rsid w:val="00BB692C"/>
    <w:rsid w:val="00BB6C32"/>
    <w:rsid w:val="00BB703E"/>
    <w:rsid w:val="00BB7405"/>
    <w:rsid w:val="00BB7831"/>
    <w:rsid w:val="00BB7952"/>
    <w:rsid w:val="00BB7A27"/>
    <w:rsid w:val="00BC170B"/>
    <w:rsid w:val="00BC19EF"/>
    <w:rsid w:val="00BC1A51"/>
    <w:rsid w:val="00BC1CCE"/>
    <w:rsid w:val="00BC1D22"/>
    <w:rsid w:val="00BC3631"/>
    <w:rsid w:val="00BC3BA9"/>
    <w:rsid w:val="00BC453C"/>
    <w:rsid w:val="00BC4784"/>
    <w:rsid w:val="00BC4E1A"/>
    <w:rsid w:val="00BC4E34"/>
    <w:rsid w:val="00BC56F6"/>
    <w:rsid w:val="00BC57B2"/>
    <w:rsid w:val="00BC61C4"/>
    <w:rsid w:val="00BC62D8"/>
    <w:rsid w:val="00BC654C"/>
    <w:rsid w:val="00BC7597"/>
    <w:rsid w:val="00BD04D4"/>
    <w:rsid w:val="00BD0657"/>
    <w:rsid w:val="00BD0800"/>
    <w:rsid w:val="00BD097C"/>
    <w:rsid w:val="00BD138B"/>
    <w:rsid w:val="00BD13E5"/>
    <w:rsid w:val="00BD1A41"/>
    <w:rsid w:val="00BD1D33"/>
    <w:rsid w:val="00BD1DA3"/>
    <w:rsid w:val="00BD28BF"/>
    <w:rsid w:val="00BD36D2"/>
    <w:rsid w:val="00BD36D6"/>
    <w:rsid w:val="00BD37F5"/>
    <w:rsid w:val="00BD3CBC"/>
    <w:rsid w:val="00BD478A"/>
    <w:rsid w:val="00BD50A2"/>
    <w:rsid w:val="00BD538C"/>
    <w:rsid w:val="00BD5D82"/>
    <w:rsid w:val="00BD68A3"/>
    <w:rsid w:val="00BD6938"/>
    <w:rsid w:val="00BD6CF3"/>
    <w:rsid w:val="00BD71B2"/>
    <w:rsid w:val="00BD7DB3"/>
    <w:rsid w:val="00BE1550"/>
    <w:rsid w:val="00BE1DC0"/>
    <w:rsid w:val="00BE2180"/>
    <w:rsid w:val="00BE21F2"/>
    <w:rsid w:val="00BE2240"/>
    <w:rsid w:val="00BE2727"/>
    <w:rsid w:val="00BE31AC"/>
    <w:rsid w:val="00BE39FF"/>
    <w:rsid w:val="00BE4275"/>
    <w:rsid w:val="00BE4B67"/>
    <w:rsid w:val="00BE4E88"/>
    <w:rsid w:val="00BE506D"/>
    <w:rsid w:val="00BE55BD"/>
    <w:rsid w:val="00BE607D"/>
    <w:rsid w:val="00BE619F"/>
    <w:rsid w:val="00BE75E7"/>
    <w:rsid w:val="00BE7C18"/>
    <w:rsid w:val="00BF02A7"/>
    <w:rsid w:val="00BF0F95"/>
    <w:rsid w:val="00BF11D5"/>
    <w:rsid w:val="00BF2297"/>
    <w:rsid w:val="00BF2433"/>
    <w:rsid w:val="00BF2B89"/>
    <w:rsid w:val="00BF2D1C"/>
    <w:rsid w:val="00BF3BAB"/>
    <w:rsid w:val="00BF3D46"/>
    <w:rsid w:val="00BF518D"/>
    <w:rsid w:val="00BF5373"/>
    <w:rsid w:val="00BF57A0"/>
    <w:rsid w:val="00BF590F"/>
    <w:rsid w:val="00BF5A2A"/>
    <w:rsid w:val="00BF61C9"/>
    <w:rsid w:val="00BF633F"/>
    <w:rsid w:val="00BF6C94"/>
    <w:rsid w:val="00BF7719"/>
    <w:rsid w:val="00BF7E45"/>
    <w:rsid w:val="00C00424"/>
    <w:rsid w:val="00C0104A"/>
    <w:rsid w:val="00C0118C"/>
    <w:rsid w:val="00C02934"/>
    <w:rsid w:val="00C031F3"/>
    <w:rsid w:val="00C03300"/>
    <w:rsid w:val="00C037E0"/>
    <w:rsid w:val="00C04EAB"/>
    <w:rsid w:val="00C05439"/>
    <w:rsid w:val="00C06160"/>
    <w:rsid w:val="00C062E6"/>
    <w:rsid w:val="00C0667D"/>
    <w:rsid w:val="00C1039E"/>
    <w:rsid w:val="00C11919"/>
    <w:rsid w:val="00C126DF"/>
    <w:rsid w:val="00C12C14"/>
    <w:rsid w:val="00C133BF"/>
    <w:rsid w:val="00C1387F"/>
    <w:rsid w:val="00C1397C"/>
    <w:rsid w:val="00C148F7"/>
    <w:rsid w:val="00C15335"/>
    <w:rsid w:val="00C16082"/>
    <w:rsid w:val="00C16C38"/>
    <w:rsid w:val="00C16EE5"/>
    <w:rsid w:val="00C17060"/>
    <w:rsid w:val="00C200AA"/>
    <w:rsid w:val="00C20805"/>
    <w:rsid w:val="00C2089A"/>
    <w:rsid w:val="00C208B8"/>
    <w:rsid w:val="00C20D73"/>
    <w:rsid w:val="00C210C6"/>
    <w:rsid w:val="00C21120"/>
    <w:rsid w:val="00C213B1"/>
    <w:rsid w:val="00C2214F"/>
    <w:rsid w:val="00C22B0E"/>
    <w:rsid w:val="00C22B59"/>
    <w:rsid w:val="00C237ED"/>
    <w:rsid w:val="00C24632"/>
    <w:rsid w:val="00C246BE"/>
    <w:rsid w:val="00C24733"/>
    <w:rsid w:val="00C25418"/>
    <w:rsid w:val="00C25BF7"/>
    <w:rsid w:val="00C25C7D"/>
    <w:rsid w:val="00C25D92"/>
    <w:rsid w:val="00C25D9C"/>
    <w:rsid w:val="00C26230"/>
    <w:rsid w:val="00C263EC"/>
    <w:rsid w:val="00C26DBD"/>
    <w:rsid w:val="00C2778B"/>
    <w:rsid w:val="00C31447"/>
    <w:rsid w:val="00C31649"/>
    <w:rsid w:val="00C317C0"/>
    <w:rsid w:val="00C325BD"/>
    <w:rsid w:val="00C32ABB"/>
    <w:rsid w:val="00C32CFF"/>
    <w:rsid w:val="00C32E4D"/>
    <w:rsid w:val="00C332F2"/>
    <w:rsid w:val="00C33325"/>
    <w:rsid w:val="00C33407"/>
    <w:rsid w:val="00C3428B"/>
    <w:rsid w:val="00C34A1C"/>
    <w:rsid w:val="00C35126"/>
    <w:rsid w:val="00C36499"/>
    <w:rsid w:val="00C40385"/>
    <w:rsid w:val="00C403D0"/>
    <w:rsid w:val="00C4054D"/>
    <w:rsid w:val="00C418B9"/>
    <w:rsid w:val="00C420F5"/>
    <w:rsid w:val="00C42BDC"/>
    <w:rsid w:val="00C43394"/>
    <w:rsid w:val="00C436A1"/>
    <w:rsid w:val="00C437B8"/>
    <w:rsid w:val="00C4383D"/>
    <w:rsid w:val="00C44473"/>
    <w:rsid w:val="00C445F7"/>
    <w:rsid w:val="00C44BB0"/>
    <w:rsid w:val="00C44DA6"/>
    <w:rsid w:val="00C44F91"/>
    <w:rsid w:val="00C45207"/>
    <w:rsid w:val="00C45A75"/>
    <w:rsid w:val="00C45B59"/>
    <w:rsid w:val="00C46B32"/>
    <w:rsid w:val="00C4747F"/>
    <w:rsid w:val="00C474D8"/>
    <w:rsid w:val="00C475AA"/>
    <w:rsid w:val="00C47AC0"/>
    <w:rsid w:val="00C5035D"/>
    <w:rsid w:val="00C506AF"/>
    <w:rsid w:val="00C508F5"/>
    <w:rsid w:val="00C51026"/>
    <w:rsid w:val="00C51E7D"/>
    <w:rsid w:val="00C52020"/>
    <w:rsid w:val="00C525F6"/>
    <w:rsid w:val="00C5298E"/>
    <w:rsid w:val="00C52EC3"/>
    <w:rsid w:val="00C53820"/>
    <w:rsid w:val="00C53DAA"/>
    <w:rsid w:val="00C54027"/>
    <w:rsid w:val="00C54208"/>
    <w:rsid w:val="00C55A42"/>
    <w:rsid w:val="00C55CB8"/>
    <w:rsid w:val="00C5686C"/>
    <w:rsid w:val="00C56B23"/>
    <w:rsid w:val="00C57752"/>
    <w:rsid w:val="00C607F6"/>
    <w:rsid w:val="00C60810"/>
    <w:rsid w:val="00C60891"/>
    <w:rsid w:val="00C61C95"/>
    <w:rsid w:val="00C622A6"/>
    <w:rsid w:val="00C626A3"/>
    <w:rsid w:val="00C6322E"/>
    <w:rsid w:val="00C63DE1"/>
    <w:rsid w:val="00C64572"/>
    <w:rsid w:val="00C64F11"/>
    <w:rsid w:val="00C65576"/>
    <w:rsid w:val="00C66165"/>
    <w:rsid w:val="00C679BC"/>
    <w:rsid w:val="00C712AB"/>
    <w:rsid w:val="00C7151A"/>
    <w:rsid w:val="00C716C3"/>
    <w:rsid w:val="00C71BB1"/>
    <w:rsid w:val="00C71DD2"/>
    <w:rsid w:val="00C71F60"/>
    <w:rsid w:val="00C72241"/>
    <w:rsid w:val="00C72A43"/>
    <w:rsid w:val="00C73489"/>
    <w:rsid w:val="00C7361C"/>
    <w:rsid w:val="00C738E2"/>
    <w:rsid w:val="00C73E85"/>
    <w:rsid w:val="00C73F61"/>
    <w:rsid w:val="00C750C8"/>
    <w:rsid w:val="00C7560F"/>
    <w:rsid w:val="00C75622"/>
    <w:rsid w:val="00C759EE"/>
    <w:rsid w:val="00C7631A"/>
    <w:rsid w:val="00C76CB2"/>
    <w:rsid w:val="00C76E4E"/>
    <w:rsid w:val="00C76F16"/>
    <w:rsid w:val="00C772D6"/>
    <w:rsid w:val="00C77511"/>
    <w:rsid w:val="00C80042"/>
    <w:rsid w:val="00C8015F"/>
    <w:rsid w:val="00C80A0E"/>
    <w:rsid w:val="00C8167B"/>
    <w:rsid w:val="00C8213F"/>
    <w:rsid w:val="00C8346D"/>
    <w:rsid w:val="00C8350F"/>
    <w:rsid w:val="00C835DC"/>
    <w:rsid w:val="00C848F4"/>
    <w:rsid w:val="00C87896"/>
    <w:rsid w:val="00C8797A"/>
    <w:rsid w:val="00C900B8"/>
    <w:rsid w:val="00C90B9F"/>
    <w:rsid w:val="00C90C71"/>
    <w:rsid w:val="00C90DEE"/>
    <w:rsid w:val="00C90EA2"/>
    <w:rsid w:val="00C90FE2"/>
    <w:rsid w:val="00C9120C"/>
    <w:rsid w:val="00C9135B"/>
    <w:rsid w:val="00C92329"/>
    <w:rsid w:val="00C92CE2"/>
    <w:rsid w:val="00C931CF"/>
    <w:rsid w:val="00C934BB"/>
    <w:rsid w:val="00C938CF"/>
    <w:rsid w:val="00C944ED"/>
    <w:rsid w:val="00C94531"/>
    <w:rsid w:val="00C94CFD"/>
    <w:rsid w:val="00C94F24"/>
    <w:rsid w:val="00C95224"/>
    <w:rsid w:val="00C95CE4"/>
    <w:rsid w:val="00C9624D"/>
    <w:rsid w:val="00C96510"/>
    <w:rsid w:val="00C969DA"/>
    <w:rsid w:val="00C96B6F"/>
    <w:rsid w:val="00C97C3F"/>
    <w:rsid w:val="00C97E9D"/>
    <w:rsid w:val="00CA0202"/>
    <w:rsid w:val="00CA0BE6"/>
    <w:rsid w:val="00CA0C7B"/>
    <w:rsid w:val="00CA1072"/>
    <w:rsid w:val="00CA10CC"/>
    <w:rsid w:val="00CA1F90"/>
    <w:rsid w:val="00CA2214"/>
    <w:rsid w:val="00CA2C77"/>
    <w:rsid w:val="00CA3109"/>
    <w:rsid w:val="00CA37B9"/>
    <w:rsid w:val="00CA444F"/>
    <w:rsid w:val="00CA4772"/>
    <w:rsid w:val="00CA5245"/>
    <w:rsid w:val="00CA5297"/>
    <w:rsid w:val="00CA5869"/>
    <w:rsid w:val="00CA660E"/>
    <w:rsid w:val="00CA6FBC"/>
    <w:rsid w:val="00CA71F4"/>
    <w:rsid w:val="00CA7B09"/>
    <w:rsid w:val="00CA7BD3"/>
    <w:rsid w:val="00CA7E6C"/>
    <w:rsid w:val="00CB0043"/>
    <w:rsid w:val="00CB0F7C"/>
    <w:rsid w:val="00CB114A"/>
    <w:rsid w:val="00CB138B"/>
    <w:rsid w:val="00CB1576"/>
    <w:rsid w:val="00CB17A9"/>
    <w:rsid w:val="00CB19ED"/>
    <w:rsid w:val="00CB1C8D"/>
    <w:rsid w:val="00CB2F2A"/>
    <w:rsid w:val="00CB4323"/>
    <w:rsid w:val="00CB46B4"/>
    <w:rsid w:val="00CB4C74"/>
    <w:rsid w:val="00CB4E8E"/>
    <w:rsid w:val="00CB4E94"/>
    <w:rsid w:val="00CB5251"/>
    <w:rsid w:val="00CB58E4"/>
    <w:rsid w:val="00CB597B"/>
    <w:rsid w:val="00CB5B1A"/>
    <w:rsid w:val="00CB694E"/>
    <w:rsid w:val="00CB6B22"/>
    <w:rsid w:val="00CB7B68"/>
    <w:rsid w:val="00CB7F5F"/>
    <w:rsid w:val="00CC0D06"/>
    <w:rsid w:val="00CC10A5"/>
    <w:rsid w:val="00CC18A0"/>
    <w:rsid w:val="00CC1B39"/>
    <w:rsid w:val="00CC21B8"/>
    <w:rsid w:val="00CC2398"/>
    <w:rsid w:val="00CC2885"/>
    <w:rsid w:val="00CC2E0C"/>
    <w:rsid w:val="00CC3EF3"/>
    <w:rsid w:val="00CC5160"/>
    <w:rsid w:val="00CC51C0"/>
    <w:rsid w:val="00CC5248"/>
    <w:rsid w:val="00CC5F2F"/>
    <w:rsid w:val="00CC5F66"/>
    <w:rsid w:val="00CC61C8"/>
    <w:rsid w:val="00CC6E4A"/>
    <w:rsid w:val="00CC7717"/>
    <w:rsid w:val="00CC7D19"/>
    <w:rsid w:val="00CC7EDC"/>
    <w:rsid w:val="00CD082F"/>
    <w:rsid w:val="00CD0ED9"/>
    <w:rsid w:val="00CD12BE"/>
    <w:rsid w:val="00CD19D7"/>
    <w:rsid w:val="00CD2D50"/>
    <w:rsid w:val="00CD4E33"/>
    <w:rsid w:val="00CD4F88"/>
    <w:rsid w:val="00CD5AC5"/>
    <w:rsid w:val="00CD5B01"/>
    <w:rsid w:val="00CD6ADC"/>
    <w:rsid w:val="00CD6C54"/>
    <w:rsid w:val="00CD6F03"/>
    <w:rsid w:val="00CD732F"/>
    <w:rsid w:val="00CD7970"/>
    <w:rsid w:val="00CD7C2D"/>
    <w:rsid w:val="00CE02A3"/>
    <w:rsid w:val="00CE0BD0"/>
    <w:rsid w:val="00CE153C"/>
    <w:rsid w:val="00CE1DD1"/>
    <w:rsid w:val="00CE2208"/>
    <w:rsid w:val="00CE24C5"/>
    <w:rsid w:val="00CE254B"/>
    <w:rsid w:val="00CE260C"/>
    <w:rsid w:val="00CE2661"/>
    <w:rsid w:val="00CE449C"/>
    <w:rsid w:val="00CE5C9E"/>
    <w:rsid w:val="00CE6274"/>
    <w:rsid w:val="00CE6331"/>
    <w:rsid w:val="00CE6AF4"/>
    <w:rsid w:val="00CF0F3C"/>
    <w:rsid w:val="00CF1737"/>
    <w:rsid w:val="00CF189B"/>
    <w:rsid w:val="00CF1D20"/>
    <w:rsid w:val="00CF1DF7"/>
    <w:rsid w:val="00CF254F"/>
    <w:rsid w:val="00CF2B8D"/>
    <w:rsid w:val="00CF32CD"/>
    <w:rsid w:val="00CF4413"/>
    <w:rsid w:val="00CF456B"/>
    <w:rsid w:val="00CF4F07"/>
    <w:rsid w:val="00CF50D0"/>
    <w:rsid w:val="00CF531D"/>
    <w:rsid w:val="00CF55D1"/>
    <w:rsid w:val="00CF56C4"/>
    <w:rsid w:val="00CF5A22"/>
    <w:rsid w:val="00CF5F61"/>
    <w:rsid w:val="00CF6BC8"/>
    <w:rsid w:val="00CF6D05"/>
    <w:rsid w:val="00CF7CF9"/>
    <w:rsid w:val="00D003EF"/>
    <w:rsid w:val="00D0262E"/>
    <w:rsid w:val="00D03FD6"/>
    <w:rsid w:val="00D04758"/>
    <w:rsid w:val="00D04D74"/>
    <w:rsid w:val="00D055E8"/>
    <w:rsid w:val="00D061C3"/>
    <w:rsid w:val="00D06A7E"/>
    <w:rsid w:val="00D070F7"/>
    <w:rsid w:val="00D10037"/>
    <w:rsid w:val="00D1032C"/>
    <w:rsid w:val="00D103D9"/>
    <w:rsid w:val="00D10413"/>
    <w:rsid w:val="00D10EF8"/>
    <w:rsid w:val="00D110BD"/>
    <w:rsid w:val="00D11337"/>
    <w:rsid w:val="00D11A82"/>
    <w:rsid w:val="00D11CF9"/>
    <w:rsid w:val="00D11FFD"/>
    <w:rsid w:val="00D120B1"/>
    <w:rsid w:val="00D123BF"/>
    <w:rsid w:val="00D13675"/>
    <w:rsid w:val="00D13F3B"/>
    <w:rsid w:val="00D141E1"/>
    <w:rsid w:val="00D142F3"/>
    <w:rsid w:val="00D150FE"/>
    <w:rsid w:val="00D15A58"/>
    <w:rsid w:val="00D15BC7"/>
    <w:rsid w:val="00D171F8"/>
    <w:rsid w:val="00D17D6C"/>
    <w:rsid w:val="00D20942"/>
    <w:rsid w:val="00D20959"/>
    <w:rsid w:val="00D20A8F"/>
    <w:rsid w:val="00D20E2D"/>
    <w:rsid w:val="00D214FB"/>
    <w:rsid w:val="00D21895"/>
    <w:rsid w:val="00D230FE"/>
    <w:rsid w:val="00D231FE"/>
    <w:rsid w:val="00D24DEF"/>
    <w:rsid w:val="00D24DF5"/>
    <w:rsid w:val="00D2754D"/>
    <w:rsid w:val="00D2778C"/>
    <w:rsid w:val="00D27B27"/>
    <w:rsid w:val="00D300BB"/>
    <w:rsid w:val="00D30A72"/>
    <w:rsid w:val="00D3294E"/>
    <w:rsid w:val="00D330F1"/>
    <w:rsid w:val="00D33BE9"/>
    <w:rsid w:val="00D33E49"/>
    <w:rsid w:val="00D33E9A"/>
    <w:rsid w:val="00D34A5A"/>
    <w:rsid w:val="00D3539F"/>
    <w:rsid w:val="00D35611"/>
    <w:rsid w:val="00D357FF"/>
    <w:rsid w:val="00D359C5"/>
    <w:rsid w:val="00D36690"/>
    <w:rsid w:val="00D36E1E"/>
    <w:rsid w:val="00D3725D"/>
    <w:rsid w:val="00D373C9"/>
    <w:rsid w:val="00D37804"/>
    <w:rsid w:val="00D400D1"/>
    <w:rsid w:val="00D40B39"/>
    <w:rsid w:val="00D424C7"/>
    <w:rsid w:val="00D438E9"/>
    <w:rsid w:val="00D43B2A"/>
    <w:rsid w:val="00D44DC2"/>
    <w:rsid w:val="00D4522D"/>
    <w:rsid w:val="00D45FB7"/>
    <w:rsid w:val="00D46683"/>
    <w:rsid w:val="00D47121"/>
    <w:rsid w:val="00D47575"/>
    <w:rsid w:val="00D47C1C"/>
    <w:rsid w:val="00D500C8"/>
    <w:rsid w:val="00D50703"/>
    <w:rsid w:val="00D519D6"/>
    <w:rsid w:val="00D51A71"/>
    <w:rsid w:val="00D51BB2"/>
    <w:rsid w:val="00D53661"/>
    <w:rsid w:val="00D53D67"/>
    <w:rsid w:val="00D53F00"/>
    <w:rsid w:val="00D53F3E"/>
    <w:rsid w:val="00D544E9"/>
    <w:rsid w:val="00D545CF"/>
    <w:rsid w:val="00D55075"/>
    <w:rsid w:val="00D5564F"/>
    <w:rsid w:val="00D55A23"/>
    <w:rsid w:val="00D55C5E"/>
    <w:rsid w:val="00D55D5E"/>
    <w:rsid w:val="00D571FB"/>
    <w:rsid w:val="00D578EB"/>
    <w:rsid w:val="00D57B42"/>
    <w:rsid w:val="00D60C2D"/>
    <w:rsid w:val="00D60E65"/>
    <w:rsid w:val="00D61171"/>
    <w:rsid w:val="00D61521"/>
    <w:rsid w:val="00D61D55"/>
    <w:rsid w:val="00D63058"/>
    <w:rsid w:val="00D63937"/>
    <w:rsid w:val="00D64307"/>
    <w:rsid w:val="00D64A03"/>
    <w:rsid w:val="00D64B58"/>
    <w:rsid w:val="00D6574A"/>
    <w:rsid w:val="00D65A3C"/>
    <w:rsid w:val="00D65EF9"/>
    <w:rsid w:val="00D6612D"/>
    <w:rsid w:val="00D66551"/>
    <w:rsid w:val="00D667B3"/>
    <w:rsid w:val="00D669CF"/>
    <w:rsid w:val="00D669DD"/>
    <w:rsid w:val="00D67163"/>
    <w:rsid w:val="00D7080F"/>
    <w:rsid w:val="00D70C0A"/>
    <w:rsid w:val="00D70D14"/>
    <w:rsid w:val="00D70F16"/>
    <w:rsid w:val="00D7178E"/>
    <w:rsid w:val="00D719D2"/>
    <w:rsid w:val="00D71A9B"/>
    <w:rsid w:val="00D7245F"/>
    <w:rsid w:val="00D729FD"/>
    <w:rsid w:val="00D72A03"/>
    <w:rsid w:val="00D72AC1"/>
    <w:rsid w:val="00D72FCA"/>
    <w:rsid w:val="00D73384"/>
    <w:rsid w:val="00D735FE"/>
    <w:rsid w:val="00D742D0"/>
    <w:rsid w:val="00D752B4"/>
    <w:rsid w:val="00D76A44"/>
    <w:rsid w:val="00D77401"/>
    <w:rsid w:val="00D7777F"/>
    <w:rsid w:val="00D806A3"/>
    <w:rsid w:val="00D815EF"/>
    <w:rsid w:val="00D8199C"/>
    <w:rsid w:val="00D81DDB"/>
    <w:rsid w:val="00D82BC7"/>
    <w:rsid w:val="00D855F9"/>
    <w:rsid w:val="00D85C98"/>
    <w:rsid w:val="00D86BD1"/>
    <w:rsid w:val="00D8713B"/>
    <w:rsid w:val="00D876E3"/>
    <w:rsid w:val="00D87E38"/>
    <w:rsid w:val="00D91273"/>
    <w:rsid w:val="00D91408"/>
    <w:rsid w:val="00D91923"/>
    <w:rsid w:val="00D91C59"/>
    <w:rsid w:val="00D92C6C"/>
    <w:rsid w:val="00D92D14"/>
    <w:rsid w:val="00D93264"/>
    <w:rsid w:val="00D933FB"/>
    <w:rsid w:val="00D93495"/>
    <w:rsid w:val="00D93753"/>
    <w:rsid w:val="00D93B1A"/>
    <w:rsid w:val="00D94A91"/>
    <w:rsid w:val="00D962B8"/>
    <w:rsid w:val="00D972E0"/>
    <w:rsid w:val="00D97DA0"/>
    <w:rsid w:val="00DA0219"/>
    <w:rsid w:val="00DA02FB"/>
    <w:rsid w:val="00DA0708"/>
    <w:rsid w:val="00DA0D95"/>
    <w:rsid w:val="00DA0E58"/>
    <w:rsid w:val="00DA1114"/>
    <w:rsid w:val="00DA1220"/>
    <w:rsid w:val="00DA16F9"/>
    <w:rsid w:val="00DA2001"/>
    <w:rsid w:val="00DA3167"/>
    <w:rsid w:val="00DA3D45"/>
    <w:rsid w:val="00DA3E6A"/>
    <w:rsid w:val="00DA4585"/>
    <w:rsid w:val="00DA4883"/>
    <w:rsid w:val="00DA4D88"/>
    <w:rsid w:val="00DA4DC3"/>
    <w:rsid w:val="00DA5DB7"/>
    <w:rsid w:val="00DA6ECE"/>
    <w:rsid w:val="00DA77A5"/>
    <w:rsid w:val="00DA7922"/>
    <w:rsid w:val="00DA7979"/>
    <w:rsid w:val="00DA7A5C"/>
    <w:rsid w:val="00DB05F3"/>
    <w:rsid w:val="00DB08BF"/>
    <w:rsid w:val="00DB17D2"/>
    <w:rsid w:val="00DB18B5"/>
    <w:rsid w:val="00DB19A4"/>
    <w:rsid w:val="00DB1CAF"/>
    <w:rsid w:val="00DB4817"/>
    <w:rsid w:val="00DB484F"/>
    <w:rsid w:val="00DB4C97"/>
    <w:rsid w:val="00DB51EB"/>
    <w:rsid w:val="00DB5FA4"/>
    <w:rsid w:val="00DB6324"/>
    <w:rsid w:val="00DB657A"/>
    <w:rsid w:val="00DB6BE0"/>
    <w:rsid w:val="00DB7392"/>
    <w:rsid w:val="00DB7F6B"/>
    <w:rsid w:val="00DC04F6"/>
    <w:rsid w:val="00DC07A7"/>
    <w:rsid w:val="00DC0D25"/>
    <w:rsid w:val="00DC1D3E"/>
    <w:rsid w:val="00DC205A"/>
    <w:rsid w:val="00DC23C0"/>
    <w:rsid w:val="00DC2B1F"/>
    <w:rsid w:val="00DC2F27"/>
    <w:rsid w:val="00DC3033"/>
    <w:rsid w:val="00DC3268"/>
    <w:rsid w:val="00DC39F1"/>
    <w:rsid w:val="00DC3C57"/>
    <w:rsid w:val="00DC502E"/>
    <w:rsid w:val="00DC514F"/>
    <w:rsid w:val="00DC5501"/>
    <w:rsid w:val="00DC6293"/>
    <w:rsid w:val="00DD1198"/>
    <w:rsid w:val="00DD12C4"/>
    <w:rsid w:val="00DD1510"/>
    <w:rsid w:val="00DD2376"/>
    <w:rsid w:val="00DD258F"/>
    <w:rsid w:val="00DD273C"/>
    <w:rsid w:val="00DD2795"/>
    <w:rsid w:val="00DD2B55"/>
    <w:rsid w:val="00DD2F1E"/>
    <w:rsid w:val="00DD386E"/>
    <w:rsid w:val="00DD3CD6"/>
    <w:rsid w:val="00DD3D3B"/>
    <w:rsid w:val="00DD3F28"/>
    <w:rsid w:val="00DD4537"/>
    <w:rsid w:val="00DD47F1"/>
    <w:rsid w:val="00DD4B3D"/>
    <w:rsid w:val="00DD4E15"/>
    <w:rsid w:val="00DD5090"/>
    <w:rsid w:val="00DD5173"/>
    <w:rsid w:val="00DD5229"/>
    <w:rsid w:val="00DD5900"/>
    <w:rsid w:val="00DD62C2"/>
    <w:rsid w:val="00DD788D"/>
    <w:rsid w:val="00DD79F3"/>
    <w:rsid w:val="00DD7C58"/>
    <w:rsid w:val="00DE07E0"/>
    <w:rsid w:val="00DE124B"/>
    <w:rsid w:val="00DE1359"/>
    <w:rsid w:val="00DE2071"/>
    <w:rsid w:val="00DE241F"/>
    <w:rsid w:val="00DE2E3E"/>
    <w:rsid w:val="00DE3138"/>
    <w:rsid w:val="00DE37F8"/>
    <w:rsid w:val="00DE3E3E"/>
    <w:rsid w:val="00DE4132"/>
    <w:rsid w:val="00DE4ABD"/>
    <w:rsid w:val="00DE4FCB"/>
    <w:rsid w:val="00DE53CC"/>
    <w:rsid w:val="00DE5932"/>
    <w:rsid w:val="00DE5F8A"/>
    <w:rsid w:val="00DE7031"/>
    <w:rsid w:val="00DE73EB"/>
    <w:rsid w:val="00DE7832"/>
    <w:rsid w:val="00DE7D98"/>
    <w:rsid w:val="00DF05C6"/>
    <w:rsid w:val="00DF12FE"/>
    <w:rsid w:val="00DF15B7"/>
    <w:rsid w:val="00DF18FC"/>
    <w:rsid w:val="00DF1A71"/>
    <w:rsid w:val="00DF1B91"/>
    <w:rsid w:val="00DF1D82"/>
    <w:rsid w:val="00DF245F"/>
    <w:rsid w:val="00DF2AE7"/>
    <w:rsid w:val="00DF2B65"/>
    <w:rsid w:val="00DF2C33"/>
    <w:rsid w:val="00DF4386"/>
    <w:rsid w:val="00DF5309"/>
    <w:rsid w:val="00DF54B2"/>
    <w:rsid w:val="00DF5872"/>
    <w:rsid w:val="00DF5D2B"/>
    <w:rsid w:val="00DF61AB"/>
    <w:rsid w:val="00DF641C"/>
    <w:rsid w:val="00DF678D"/>
    <w:rsid w:val="00DF7260"/>
    <w:rsid w:val="00E00987"/>
    <w:rsid w:val="00E00AC7"/>
    <w:rsid w:val="00E00BB8"/>
    <w:rsid w:val="00E00E8E"/>
    <w:rsid w:val="00E01B79"/>
    <w:rsid w:val="00E02494"/>
    <w:rsid w:val="00E0298A"/>
    <w:rsid w:val="00E036A0"/>
    <w:rsid w:val="00E037C5"/>
    <w:rsid w:val="00E03A28"/>
    <w:rsid w:val="00E03AA7"/>
    <w:rsid w:val="00E0435B"/>
    <w:rsid w:val="00E044EC"/>
    <w:rsid w:val="00E05630"/>
    <w:rsid w:val="00E05E7B"/>
    <w:rsid w:val="00E060A6"/>
    <w:rsid w:val="00E06759"/>
    <w:rsid w:val="00E06DBB"/>
    <w:rsid w:val="00E07002"/>
    <w:rsid w:val="00E07959"/>
    <w:rsid w:val="00E07A06"/>
    <w:rsid w:val="00E07F1A"/>
    <w:rsid w:val="00E10149"/>
    <w:rsid w:val="00E10654"/>
    <w:rsid w:val="00E10755"/>
    <w:rsid w:val="00E108C6"/>
    <w:rsid w:val="00E10A91"/>
    <w:rsid w:val="00E10C7F"/>
    <w:rsid w:val="00E116DD"/>
    <w:rsid w:val="00E117A7"/>
    <w:rsid w:val="00E12077"/>
    <w:rsid w:val="00E12660"/>
    <w:rsid w:val="00E12B75"/>
    <w:rsid w:val="00E12CC6"/>
    <w:rsid w:val="00E12E04"/>
    <w:rsid w:val="00E13EFF"/>
    <w:rsid w:val="00E14457"/>
    <w:rsid w:val="00E14F11"/>
    <w:rsid w:val="00E14FD8"/>
    <w:rsid w:val="00E158AB"/>
    <w:rsid w:val="00E158C0"/>
    <w:rsid w:val="00E15C01"/>
    <w:rsid w:val="00E15C3E"/>
    <w:rsid w:val="00E16372"/>
    <w:rsid w:val="00E166FD"/>
    <w:rsid w:val="00E16A8A"/>
    <w:rsid w:val="00E16D53"/>
    <w:rsid w:val="00E1747C"/>
    <w:rsid w:val="00E208CB"/>
    <w:rsid w:val="00E20C7D"/>
    <w:rsid w:val="00E20E4D"/>
    <w:rsid w:val="00E20ED6"/>
    <w:rsid w:val="00E2106A"/>
    <w:rsid w:val="00E21358"/>
    <w:rsid w:val="00E21626"/>
    <w:rsid w:val="00E21A0C"/>
    <w:rsid w:val="00E21DEC"/>
    <w:rsid w:val="00E2249B"/>
    <w:rsid w:val="00E22A0D"/>
    <w:rsid w:val="00E22B24"/>
    <w:rsid w:val="00E23BC1"/>
    <w:rsid w:val="00E23C20"/>
    <w:rsid w:val="00E257B4"/>
    <w:rsid w:val="00E258D8"/>
    <w:rsid w:val="00E25D62"/>
    <w:rsid w:val="00E25E1C"/>
    <w:rsid w:val="00E27242"/>
    <w:rsid w:val="00E2771E"/>
    <w:rsid w:val="00E27FD6"/>
    <w:rsid w:val="00E3078C"/>
    <w:rsid w:val="00E30E24"/>
    <w:rsid w:val="00E31419"/>
    <w:rsid w:val="00E32343"/>
    <w:rsid w:val="00E32646"/>
    <w:rsid w:val="00E32CF6"/>
    <w:rsid w:val="00E342D8"/>
    <w:rsid w:val="00E3486B"/>
    <w:rsid w:val="00E34948"/>
    <w:rsid w:val="00E350B3"/>
    <w:rsid w:val="00E35385"/>
    <w:rsid w:val="00E3591C"/>
    <w:rsid w:val="00E36608"/>
    <w:rsid w:val="00E368B7"/>
    <w:rsid w:val="00E36D20"/>
    <w:rsid w:val="00E36D26"/>
    <w:rsid w:val="00E37569"/>
    <w:rsid w:val="00E410A2"/>
    <w:rsid w:val="00E4160E"/>
    <w:rsid w:val="00E41E30"/>
    <w:rsid w:val="00E431B1"/>
    <w:rsid w:val="00E43D70"/>
    <w:rsid w:val="00E45993"/>
    <w:rsid w:val="00E45C3A"/>
    <w:rsid w:val="00E46470"/>
    <w:rsid w:val="00E465E1"/>
    <w:rsid w:val="00E466F3"/>
    <w:rsid w:val="00E469E7"/>
    <w:rsid w:val="00E473D8"/>
    <w:rsid w:val="00E47B2C"/>
    <w:rsid w:val="00E50019"/>
    <w:rsid w:val="00E503C1"/>
    <w:rsid w:val="00E5078B"/>
    <w:rsid w:val="00E50963"/>
    <w:rsid w:val="00E51560"/>
    <w:rsid w:val="00E516C0"/>
    <w:rsid w:val="00E519A2"/>
    <w:rsid w:val="00E51BC1"/>
    <w:rsid w:val="00E520CE"/>
    <w:rsid w:val="00E52AFA"/>
    <w:rsid w:val="00E52BA9"/>
    <w:rsid w:val="00E52F64"/>
    <w:rsid w:val="00E5343E"/>
    <w:rsid w:val="00E54347"/>
    <w:rsid w:val="00E54C62"/>
    <w:rsid w:val="00E55424"/>
    <w:rsid w:val="00E55BB5"/>
    <w:rsid w:val="00E55E9F"/>
    <w:rsid w:val="00E56E66"/>
    <w:rsid w:val="00E56E6D"/>
    <w:rsid w:val="00E57062"/>
    <w:rsid w:val="00E578AB"/>
    <w:rsid w:val="00E57C58"/>
    <w:rsid w:val="00E61271"/>
    <w:rsid w:val="00E61461"/>
    <w:rsid w:val="00E61C02"/>
    <w:rsid w:val="00E61C31"/>
    <w:rsid w:val="00E61FA9"/>
    <w:rsid w:val="00E6219F"/>
    <w:rsid w:val="00E623D1"/>
    <w:rsid w:val="00E63A3E"/>
    <w:rsid w:val="00E64592"/>
    <w:rsid w:val="00E6508B"/>
    <w:rsid w:val="00E6529A"/>
    <w:rsid w:val="00E659DF"/>
    <w:rsid w:val="00E65E79"/>
    <w:rsid w:val="00E66BA2"/>
    <w:rsid w:val="00E67416"/>
    <w:rsid w:val="00E674D1"/>
    <w:rsid w:val="00E67981"/>
    <w:rsid w:val="00E67D12"/>
    <w:rsid w:val="00E70173"/>
    <w:rsid w:val="00E71832"/>
    <w:rsid w:val="00E718B6"/>
    <w:rsid w:val="00E71ACE"/>
    <w:rsid w:val="00E71C16"/>
    <w:rsid w:val="00E71E33"/>
    <w:rsid w:val="00E723BA"/>
    <w:rsid w:val="00E73581"/>
    <w:rsid w:val="00E73ADC"/>
    <w:rsid w:val="00E73D60"/>
    <w:rsid w:val="00E758FE"/>
    <w:rsid w:val="00E75DFE"/>
    <w:rsid w:val="00E76CEB"/>
    <w:rsid w:val="00E77039"/>
    <w:rsid w:val="00E7717E"/>
    <w:rsid w:val="00E8174A"/>
    <w:rsid w:val="00E8205E"/>
    <w:rsid w:val="00E82385"/>
    <w:rsid w:val="00E823A2"/>
    <w:rsid w:val="00E833F7"/>
    <w:rsid w:val="00E83BDF"/>
    <w:rsid w:val="00E83E0B"/>
    <w:rsid w:val="00E83F81"/>
    <w:rsid w:val="00E840FE"/>
    <w:rsid w:val="00E84AE2"/>
    <w:rsid w:val="00E856AE"/>
    <w:rsid w:val="00E86222"/>
    <w:rsid w:val="00E873B6"/>
    <w:rsid w:val="00E87A1D"/>
    <w:rsid w:val="00E9041D"/>
    <w:rsid w:val="00E90B6E"/>
    <w:rsid w:val="00E926A5"/>
    <w:rsid w:val="00E93E29"/>
    <w:rsid w:val="00E940E0"/>
    <w:rsid w:val="00E943B1"/>
    <w:rsid w:val="00E963F7"/>
    <w:rsid w:val="00E96EFF"/>
    <w:rsid w:val="00E9727F"/>
    <w:rsid w:val="00E9752D"/>
    <w:rsid w:val="00E97BA8"/>
    <w:rsid w:val="00E97C00"/>
    <w:rsid w:val="00E97C6C"/>
    <w:rsid w:val="00EA004A"/>
    <w:rsid w:val="00EA01E2"/>
    <w:rsid w:val="00EA08F9"/>
    <w:rsid w:val="00EA09CC"/>
    <w:rsid w:val="00EA1175"/>
    <w:rsid w:val="00EA1494"/>
    <w:rsid w:val="00EA17C3"/>
    <w:rsid w:val="00EA1A90"/>
    <w:rsid w:val="00EA1D24"/>
    <w:rsid w:val="00EA1F85"/>
    <w:rsid w:val="00EA293A"/>
    <w:rsid w:val="00EA2CAA"/>
    <w:rsid w:val="00EA2D24"/>
    <w:rsid w:val="00EA3145"/>
    <w:rsid w:val="00EA3547"/>
    <w:rsid w:val="00EA3864"/>
    <w:rsid w:val="00EA3F65"/>
    <w:rsid w:val="00EA4181"/>
    <w:rsid w:val="00EA5095"/>
    <w:rsid w:val="00EA551D"/>
    <w:rsid w:val="00EA57F9"/>
    <w:rsid w:val="00EA5A91"/>
    <w:rsid w:val="00EA65FF"/>
    <w:rsid w:val="00EA76FC"/>
    <w:rsid w:val="00EB0A8D"/>
    <w:rsid w:val="00EB15B6"/>
    <w:rsid w:val="00EB1908"/>
    <w:rsid w:val="00EB1B99"/>
    <w:rsid w:val="00EB2202"/>
    <w:rsid w:val="00EB23A1"/>
    <w:rsid w:val="00EB2893"/>
    <w:rsid w:val="00EB30F8"/>
    <w:rsid w:val="00EB41CC"/>
    <w:rsid w:val="00EB4916"/>
    <w:rsid w:val="00EB5A0A"/>
    <w:rsid w:val="00EB5FB5"/>
    <w:rsid w:val="00EB7E09"/>
    <w:rsid w:val="00EB7E81"/>
    <w:rsid w:val="00EC0083"/>
    <w:rsid w:val="00EC00C9"/>
    <w:rsid w:val="00EC01B4"/>
    <w:rsid w:val="00EC2649"/>
    <w:rsid w:val="00EC268A"/>
    <w:rsid w:val="00EC3D83"/>
    <w:rsid w:val="00EC41CA"/>
    <w:rsid w:val="00EC4417"/>
    <w:rsid w:val="00EC4C60"/>
    <w:rsid w:val="00EC4E87"/>
    <w:rsid w:val="00EC5D49"/>
    <w:rsid w:val="00EC6482"/>
    <w:rsid w:val="00EC7658"/>
    <w:rsid w:val="00EC7996"/>
    <w:rsid w:val="00ED0D6A"/>
    <w:rsid w:val="00ED14D1"/>
    <w:rsid w:val="00ED2F9D"/>
    <w:rsid w:val="00ED3275"/>
    <w:rsid w:val="00ED3527"/>
    <w:rsid w:val="00ED3758"/>
    <w:rsid w:val="00ED382B"/>
    <w:rsid w:val="00ED4531"/>
    <w:rsid w:val="00ED57EA"/>
    <w:rsid w:val="00ED6851"/>
    <w:rsid w:val="00ED7A04"/>
    <w:rsid w:val="00EE03D8"/>
    <w:rsid w:val="00EE06F1"/>
    <w:rsid w:val="00EE07D3"/>
    <w:rsid w:val="00EE12AA"/>
    <w:rsid w:val="00EE160C"/>
    <w:rsid w:val="00EE1A64"/>
    <w:rsid w:val="00EE1F92"/>
    <w:rsid w:val="00EE22AF"/>
    <w:rsid w:val="00EE29D8"/>
    <w:rsid w:val="00EE2B11"/>
    <w:rsid w:val="00EE2E2D"/>
    <w:rsid w:val="00EE349E"/>
    <w:rsid w:val="00EE39DB"/>
    <w:rsid w:val="00EE3B17"/>
    <w:rsid w:val="00EE40CF"/>
    <w:rsid w:val="00EE5FFF"/>
    <w:rsid w:val="00EE63E7"/>
    <w:rsid w:val="00EE6F0B"/>
    <w:rsid w:val="00EE7735"/>
    <w:rsid w:val="00EE7A9A"/>
    <w:rsid w:val="00EF0171"/>
    <w:rsid w:val="00EF173D"/>
    <w:rsid w:val="00EF1B25"/>
    <w:rsid w:val="00EF219D"/>
    <w:rsid w:val="00EF26E8"/>
    <w:rsid w:val="00EF2886"/>
    <w:rsid w:val="00EF2C84"/>
    <w:rsid w:val="00EF34A2"/>
    <w:rsid w:val="00EF4747"/>
    <w:rsid w:val="00EF4BF8"/>
    <w:rsid w:val="00EF4C74"/>
    <w:rsid w:val="00EF4E16"/>
    <w:rsid w:val="00EF5B72"/>
    <w:rsid w:val="00EF62E1"/>
    <w:rsid w:val="00EF6BCC"/>
    <w:rsid w:val="00EF787E"/>
    <w:rsid w:val="00EF7908"/>
    <w:rsid w:val="00F0010F"/>
    <w:rsid w:val="00F002DC"/>
    <w:rsid w:val="00F008D9"/>
    <w:rsid w:val="00F01459"/>
    <w:rsid w:val="00F014ED"/>
    <w:rsid w:val="00F01FA5"/>
    <w:rsid w:val="00F02253"/>
    <w:rsid w:val="00F0285B"/>
    <w:rsid w:val="00F02EDF"/>
    <w:rsid w:val="00F03C16"/>
    <w:rsid w:val="00F03C2E"/>
    <w:rsid w:val="00F03FE3"/>
    <w:rsid w:val="00F04360"/>
    <w:rsid w:val="00F04A66"/>
    <w:rsid w:val="00F04FEF"/>
    <w:rsid w:val="00F0501C"/>
    <w:rsid w:val="00F0516C"/>
    <w:rsid w:val="00F05EB5"/>
    <w:rsid w:val="00F06491"/>
    <w:rsid w:val="00F067A2"/>
    <w:rsid w:val="00F0708D"/>
    <w:rsid w:val="00F07C40"/>
    <w:rsid w:val="00F101AE"/>
    <w:rsid w:val="00F103F2"/>
    <w:rsid w:val="00F107A9"/>
    <w:rsid w:val="00F10A30"/>
    <w:rsid w:val="00F11E98"/>
    <w:rsid w:val="00F12370"/>
    <w:rsid w:val="00F1263A"/>
    <w:rsid w:val="00F12649"/>
    <w:rsid w:val="00F12A43"/>
    <w:rsid w:val="00F13308"/>
    <w:rsid w:val="00F145B0"/>
    <w:rsid w:val="00F15B37"/>
    <w:rsid w:val="00F15CCD"/>
    <w:rsid w:val="00F162D7"/>
    <w:rsid w:val="00F164D7"/>
    <w:rsid w:val="00F16502"/>
    <w:rsid w:val="00F16B0F"/>
    <w:rsid w:val="00F16B2E"/>
    <w:rsid w:val="00F17470"/>
    <w:rsid w:val="00F1782D"/>
    <w:rsid w:val="00F17CE1"/>
    <w:rsid w:val="00F17F99"/>
    <w:rsid w:val="00F17FBA"/>
    <w:rsid w:val="00F202E3"/>
    <w:rsid w:val="00F209D5"/>
    <w:rsid w:val="00F20C56"/>
    <w:rsid w:val="00F21E89"/>
    <w:rsid w:val="00F224AB"/>
    <w:rsid w:val="00F22D72"/>
    <w:rsid w:val="00F2320C"/>
    <w:rsid w:val="00F237AE"/>
    <w:rsid w:val="00F23858"/>
    <w:rsid w:val="00F23F83"/>
    <w:rsid w:val="00F24083"/>
    <w:rsid w:val="00F243D8"/>
    <w:rsid w:val="00F24837"/>
    <w:rsid w:val="00F2575F"/>
    <w:rsid w:val="00F25AD8"/>
    <w:rsid w:val="00F25F71"/>
    <w:rsid w:val="00F27565"/>
    <w:rsid w:val="00F27766"/>
    <w:rsid w:val="00F27A62"/>
    <w:rsid w:val="00F30C62"/>
    <w:rsid w:val="00F310D4"/>
    <w:rsid w:val="00F31301"/>
    <w:rsid w:val="00F31D5A"/>
    <w:rsid w:val="00F32758"/>
    <w:rsid w:val="00F32BA8"/>
    <w:rsid w:val="00F336FC"/>
    <w:rsid w:val="00F33DE9"/>
    <w:rsid w:val="00F34823"/>
    <w:rsid w:val="00F351D9"/>
    <w:rsid w:val="00F35D77"/>
    <w:rsid w:val="00F3619A"/>
    <w:rsid w:val="00F36505"/>
    <w:rsid w:val="00F36849"/>
    <w:rsid w:val="00F37315"/>
    <w:rsid w:val="00F37797"/>
    <w:rsid w:val="00F403C7"/>
    <w:rsid w:val="00F40872"/>
    <w:rsid w:val="00F40AAA"/>
    <w:rsid w:val="00F40BA7"/>
    <w:rsid w:val="00F4143A"/>
    <w:rsid w:val="00F436EB"/>
    <w:rsid w:val="00F43E5B"/>
    <w:rsid w:val="00F443F9"/>
    <w:rsid w:val="00F444CA"/>
    <w:rsid w:val="00F453F7"/>
    <w:rsid w:val="00F45CDE"/>
    <w:rsid w:val="00F45DA9"/>
    <w:rsid w:val="00F4601B"/>
    <w:rsid w:val="00F46BDC"/>
    <w:rsid w:val="00F46CB6"/>
    <w:rsid w:val="00F46FF3"/>
    <w:rsid w:val="00F4719D"/>
    <w:rsid w:val="00F473DF"/>
    <w:rsid w:val="00F47C41"/>
    <w:rsid w:val="00F47DE8"/>
    <w:rsid w:val="00F503DD"/>
    <w:rsid w:val="00F50562"/>
    <w:rsid w:val="00F50A0B"/>
    <w:rsid w:val="00F50AE8"/>
    <w:rsid w:val="00F52157"/>
    <w:rsid w:val="00F53A13"/>
    <w:rsid w:val="00F53A75"/>
    <w:rsid w:val="00F542C1"/>
    <w:rsid w:val="00F5459D"/>
    <w:rsid w:val="00F549C1"/>
    <w:rsid w:val="00F55E73"/>
    <w:rsid w:val="00F55EDA"/>
    <w:rsid w:val="00F56592"/>
    <w:rsid w:val="00F56D8D"/>
    <w:rsid w:val="00F56DF8"/>
    <w:rsid w:val="00F579DE"/>
    <w:rsid w:val="00F60092"/>
    <w:rsid w:val="00F60A3D"/>
    <w:rsid w:val="00F612C8"/>
    <w:rsid w:val="00F6138E"/>
    <w:rsid w:val="00F621A1"/>
    <w:rsid w:val="00F62483"/>
    <w:rsid w:val="00F64245"/>
    <w:rsid w:val="00F64CBC"/>
    <w:rsid w:val="00F65F4B"/>
    <w:rsid w:val="00F66679"/>
    <w:rsid w:val="00F67051"/>
    <w:rsid w:val="00F67535"/>
    <w:rsid w:val="00F67C65"/>
    <w:rsid w:val="00F70C9D"/>
    <w:rsid w:val="00F7116B"/>
    <w:rsid w:val="00F73276"/>
    <w:rsid w:val="00F737A8"/>
    <w:rsid w:val="00F73D5E"/>
    <w:rsid w:val="00F73E97"/>
    <w:rsid w:val="00F74229"/>
    <w:rsid w:val="00F74AD4"/>
    <w:rsid w:val="00F74CD9"/>
    <w:rsid w:val="00F75274"/>
    <w:rsid w:val="00F755CF"/>
    <w:rsid w:val="00F7764D"/>
    <w:rsid w:val="00F779D9"/>
    <w:rsid w:val="00F77FC6"/>
    <w:rsid w:val="00F80523"/>
    <w:rsid w:val="00F80A7B"/>
    <w:rsid w:val="00F80E5D"/>
    <w:rsid w:val="00F81683"/>
    <w:rsid w:val="00F82582"/>
    <w:rsid w:val="00F82B34"/>
    <w:rsid w:val="00F83069"/>
    <w:rsid w:val="00F8496D"/>
    <w:rsid w:val="00F851CE"/>
    <w:rsid w:val="00F856E0"/>
    <w:rsid w:val="00F86F31"/>
    <w:rsid w:val="00F87034"/>
    <w:rsid w:val="00F906C5"/>
    <w:rsid w:val="00F91219"/>
    <w:rsid w:val="00F93FB2"/>
    <w:rsid w:val="00F94678"/>
    <w:rsid w:val="00F95E0B"/>
    <w:rsid w:val="00F9745F"/>
    <w:rsid w:val="00F9762F"/>
    <w:rsid w:val="00F97A67"/>
    <w:rsid w:val="00F97A78"/>
    <w:rsid w:val="00F97F63"/>
    <w:rsid w:val="00FA00E6"/>
    <w:rsid w:val="00FA0B20"/>
    <w:rsid w:val="00FA0FB5"/>
    <w:rsid w:val="00FA19A7"/>
    <w:rsid w:val="00FA1B51"/>
    <w:rsid w:val="00FA24E7"/>
    <w:rsid w:val="00FA4972"/>
    <w:rsid w:val="00FA5753"/>
    <w:rsid w:val="00FA5E7F"/>
    <w:rsid w:val="00FA5F07"/>
    <w:rsid w:val="00FA5FAE"/>
    <w:rsid w:val="00FA62DC"/>
    <w:rsid w:val="00FA639C"/>
    <w:rsid w:val="00FA6845"/>
    <w:rsid w:val="00FA7088"/>
    <w:rsid w:val="00FA7BE8"/>
    <w:rsid w:val="00FB0CFD"/>
    <w:rsid w:val="00FB2210"/>
    <w:rsid w:val="00FB23E3"/>
    <w:rsid w:val="00FB2FCB"/>
    <w:rsid w:val="00FB34F8"/>
    <w:rsid w:val="00FB439A"/>
    <w:rsid w:val="00FB43BC"/>
    <w:rsid w:val="00FB4F96"/>
    <w:rsid w:val="00FB522F"/>
    <w:rsid w:val="00FB5642"/>
    <w:rsid w:val="00FB5BF4"/>
    <w:rsid w:val="00FB6FE7"/>
    <w:rsid w:val="00FB7746"/>
    <w:rsid w:val="00FB7B24"/>
    <w:rsid w:val="00FB7B84"/>
    <w:rsid w:val="00FC010C"/>
    <w:rsid w:val="00FC1074"/>
    <w:rsid w:val="00FC10B1"/>
    <w:rsid w:val="00FC1661"/>
    <w:rsid w:val="00FC16A0"/>
    <w:rsid w:val="00FC1884"/>
    <w:rsid w:val="00FC333A"/>
    <w:rsid w:val="00FC371D"/>
    <w:rsid w:val="00FC4099"/>
    <w:rsid w:val="00FC484D"/>
    <w:rsid w:val="00FC4F16"/>
    <w:rsid w:val="00FC537E"/>
    <w:rsid w:val="00FC5F0B"/>
    <w:rsid w:val="00FC609B"/>
    <w:rsid w:val="00FC64E6"/>
    <w:rsid w:val="00FC6DDF"/>
    <w:rsid w:val="00FC6FE2"/>
    <w:rsid w:val="00FD0083"/>
    <w:rsid w:val="00FD113A"/>
    <w:rsid w:val="00FD146C"/>
    <w:rsid w:val="00FD154D"/>
    <w:rsid w:val="00FD19E7"/>
    <w:rsid w:val="00FD2100"/>
    <w:rsid w:val="00FD2859"/>
    <w:rsid w:val="00FD33FE"/>
    <w:rsid w:val="00FD436C"/>
    <w:rsid w:val="00FD4409"/>
    <w:rsid w:val="00FD446D"/>
    <w:rsid w:val="00FD4533"/>
    <w:rsid w:val="00FD49C3"/>
    <w:rsid w:val="00FD4A4E"/>
    <w:rsid w:val="00FD4D41"/>
    <w:rsid w:val="00FD52A3"/>
    <w:rsid w:val="00FD5D47"/>
    <w:rsid w:val="00FD5FEF"/>
    <w:rsid w:val="00FD6394"/>
    <w:rsid w:val="00FD64A2"/>
    <w:rsid w:val="00FD6883"/>
    <w:rsid w:val="00FD6C57"/>
    <w:rsid w:val="00FD6FD8"/>
    <w:rsid w:val="00FD787C"/>
    <w:rsid w:val="00FD7BA4"/>
    <w:rsid w:val="00FD7CB1"/>
    <w:rsid w:val="00FE0BF0"/>
    <w:rsid w:val="00FE0E6C"/>
    <w:rsid w:val="00FE1480"/>
    <w:rsid w:val="00FE1542"/>
    <w:rsid w:val="00FE3526"/>
    <w:rsid w:val="00FE3770"/>
    <w:rsid w:val="00FE46C4"/>
    <w:rsid w:val="00FE70C3"/>
    <w:rsid w:val="00FE7902"/>
    <w:rsid w:val="00FE7AD0"/>
    <w:rsid w:val="00FF052A"/>
    <w:rsid w:val="00FF0827"/>
    <w:rsid w:val="00FF0BF4"/>
    <w:rsid w:val="00FF0C22"/>
    <w:rsid w:val="00FF0E69"/>
    <w:rsid w:val="00FF13B4"/>
    <w:rsid w:val="00FF1B29"/>
    <w:rsid w:val="00FF1CDF"/>
    <w:rsid w:val="00FF22FB"/>
    <w:rsid w:val="00FF23BD"/>
    <w:rsid w:val="00FF23D6"/>
    <w:rsid w:val="00FF2833"/>
    <w:rsid w:val="00FF39D3"/>
    <w:rsid w:val="00FF3B38"/>
    <w:rsid w:val="00FF3D52"/>
    <w:rsid w:val="00FF3DCF"/>
    <w:rsid w:val="00FF492C"/>
    <w:rsid w:val="00FF4A21"/>
    <w:rsid w:val="00FF50E9"/>
    <w:rsid w:val="00FF5AA3"/>
    <w:rsid w:val="00FF5AD8"/>
    <w:rsid w:val="00FF5B47"/>
    <w:rsid w:val="00FF62ED"/>
    <w:rsid w:val="00FF64C2"/>
    <w:rsid w:val="00FF6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DD1"/>
    <w:rPr>
      <w:rFonts w:ascii="Calibri" w:hAnsi="Calibri" w:cs="Arial"/>
      <w:sz w:val="24"/>
      <w:szCs w:val="24"/>
    </w:rPr>
  </w:style>
  <w:style w:type="paragraph" w:styleId="Heading1">
    <w:name w:val="heading 1"/>
    <w:basedOn w:val="Normal"/>
    <w:next w:val="Normal"/>
    <w:link w:val="Heading1Char"/>
    <w:uiPriority w:val="1"/>
    <w:rsid w:val="00C525F6"/>
    <w:pPr>
      <w:keepNext/>
      <w:keepLines/>
      <w:spacing w:before="400" w:after="120"/>
      <w:ind w:left="709" w:hanging="709"/>
      <w:outlineLvl w:val="0"/>
    </w:pPr>
    <w:rPr>
      <w:rFonts w:cs="Times New Roman"/>
      <w:b/>
      <w:snapToGrid w:val="0"/>
      <w:sz w:val="32"/>
      <w:szCs w:val="28"/>
    </w:rPr>
  </w:style>
  <w:style w:type="paragraph" w:styleId="Heading2">
    <w:name w:val="heading 2"/>
    <w:basedOn w:val="Normal"/>
    <w:next w:val="Normal"/>
    <w:link w:val="Heading2Char"/>
    <w:rsid w:val="004A4D4D"/>
    <w:pPr>
      <w:keepNext/>
      <w:spacing w:after="120"/>
      <w:outlineLvl w:val="1"/>
    </w:pPr>
    <w:rPr>
      <w:b/>
      <w:i/>
      <w:snapToGrid w:val="0"/>
      <w:sz w:val="28"/>
    </w:rPr>
  </w:style>
  <w:style w:type="paragraph" w:styleId="Heading3">
    <w:name w:val="heading 3"/>
    <w:basedOn w:val="Normal"/>
    <w:next w:val="Normal"/>
    <w:link w:val="Heading3Char"/>
    <w:qFormat/>
    <w:rsid w:val="000F356A"/>
    <w:pPr>
      <w:spacing w:after="120"/>
      <w:outlineLvl w:val="2"/>
    </w:pPr>
    <w:rPr>
      <w:i/>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A4D4D"/>
    <w:rPr>
      <w:rFonts w:ascii="Calibri" w:hAnsi="Calibri" w:cs="Arial"/>
      <w:b/>
      <w:i/>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next w:val="Normal"/>
    <w:link w:val="TableFooterChar"/>
    <w:rsid w:val="000B7451"/>
    <w:pPr>
      <w:spacing w:before="20" w:after="240"/>
      <w:contextualSpacing/>
    </w:pPr>
    <w:rPr>
      <w:rFonts w:ascii="Arial Narrow" w:hAnsi="Arial Narrow"/>
      <w:sz w:val="18"/>
    </w:rPr>
  </w:style>
  <w:style w:type="character" w:customStyle="1" w:styleId="TableFooterChar">
    <w:name w:val="Table Footer Char"/>
    <w:link w:val="TableFooter"/>
    <w:rsid w:val="000B7451"/>
    <w:rPr>
      <w:rFonts w:ascii="Arial Narrow" w:hAnsi="Arial Narrow" w:cs="Arial"/>
      <w:snapToGrid w:val="0"/>
      <w:sz w:val="18"/>
      <w:szCs w:val="22"/>
      <w:lang w:eastAsia="en-US"/>
    </w:rPr>
  </w:style>
  <w:style w:type="paragraph" w:customStyle="1" w:styleId="TableHeader">
    <w:name w:val="Table Header"/>
    <w:basedOn w:val="Normal"/>
    <w:uiPriority w:val="3"/>
    <w:rsid w:val="000D1BFC"/>
    <w:rPr>
      <w:b/>
      <w:sz w:val="20"/>
    </w:rPr>
  </w:style>
  <w:style w:type="paragraph" w:styleId="Caption">
    <w:name w:val="caption"/>
    <w:aliases w:val="wcp_Caption,Légende_Legend,Char1,Bayer Caption,IB Caption,Medical Caption,B Caption,Caption2,Caption Char1 Char,Caption Char Char Char,Caption Char1 Char Char Char,Caption Char Char Char Char Char,Caption Char Char1 Char,Caption Char1 Char1"/>
    <w:basedOn w:val="TableHeading"/>
    <w:next w:val="Normal"/>
    <w:link w:val="CaptionChar"/>
    <w:unhideWhenUsed/>
    <w:rsid w:val="00D21895"/>
  </w:style>
  <w:style w:type="character" w:customStyle="1" w:styleId="CaptionChar">
    <w:name w:val="Caption Char"/>
    <w:aliases w:val="wcp_Caption Char,Légende_Legend Char,Char1 Char,Bayer Caption Char,IB Caption Char,Medical Caption Char,B Caption Char,Caption2 Char,Caption Char1 Char Char,Caption Char Char Char Char,Caption Char1 Char Char Char Char"/>
    <w:link w:val="Caption"/>
    <w:rsid w:val="00D21895"/>
    <w:rPr>
      <w:rFonts w:ascii="Arial Narrow" w:hAnsi="Arial Narrow" w:cs="Arial"/>
      <w:b/>
      <w:szCs w:val="16"/>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
    <w:basedOn w:val="Normal"/>
    <w:link w:val="ListParagraphChar"/>
    <w:uiPriority w:val="34"/>
    <w:qFormat/>
    <w:rsid w:val="003260AD"/>
    <w:pPr>
      <w:numPr>
        <w:ilvl w:val="2"/>
        <w:numId w:val="13"/>
      </w:numPr>
      <w:snapToGrid w:val="0"/>
      <w:spacing w:after="160"/>
      <w:jc w:val="both"/>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
    <w:basedOn w:val="DefaultParagraphFont"/>
    <w:link w:val="ListParagraph"/>
    <w:uiPriority w:val="34"/>
    <w:qFormat/>
    <w:locked/>
    <w:rsid w:val="003260AD"/>
    <w:rPr>
      <w:rFonts w:ascii="Calibri" w:hAnsi="Calibri" w:cs="Arial"/>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CE1DD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CE1DD1"/>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uiPriority w:val="2"/>
    <w:rsid w:val="00A518F3"/>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D21895"/>
    <w:pPr>
      <w:keepNext/>
      <w:snapToGrid w:val="0"/>
    </w:pPr>
    <w:rPr>
      <w:rFonts w:ascii="Arial Narrow" w:hAnsi="Arial Narrow"/>
      <w:b/>
      <w:snapToGrid w:val="0"/>
      <w:sz w:val="20"/>
      <w:szCs w:val="16"/>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D0262E"/>
    <w:pPr>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ind w:left="0" w:firstLine="0"/>
      <w:outlineLvl w:val="9"/>
    </w:pPr>
    <w:rPr>
      <w:rFonts w:asciiTheme="majorHAnsi" w:eastAsiaTheme="majorEastAsia" w:hAnsiTheme="majorHAnsi" w:cstheme="majorBidi"/>
      <w:bCs/>
      <w:snapToGrid/>
      <w:color w:val="365F91" w:themeColor="accent1" w:themeShade="BF"/>
      <w:sz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link w:val="BulletpointsChar"/>
    <w:rsid w:val="002C5099"/>
    <w:pPr>
      <w:numPr>
        <w:numId w:val="1"/>
      </w:numPr>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Heading1"/>
    <w:next w:val="Normal"/>
    <w:qFormat/>
    <w:rsid w:val="000320DE"/>
    <w:pPr>
      <w:ind w:left="1440" w:hanging="1440"/>
    </w:pPr>
    <w:rPr>
      <w:rFonts w:eastAsia="Calibri"/>
      <w:sz w:val="36"/>
      <w:szCs w:val="36"/>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link w:val="CommentitalicsChar"/>
    <w:rsid w:val="00AA4E4B"/>
    <w:pPr>
      <w:spacing w:after="240"/>
    </w:pPr>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AB218E"/>
    <w:rPr>
      <w:rFonts w:ascii="Arial Narrow" w:eastAsiaTheme="majorEastAsia" w:hAnsi="Arial Narrow" w:cstheme="majorBidi"/>
      <w:bCs/>
      <w:szCs w:val="24"/>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autoRedefine/>
    <w:unhideWhenUsed/>
    <w:rsid w:val="00852184"/>
    <w:pPr>
      <w:contextualSpacing/>
    </w:pPr>
    <w:rPr>
      <w:rFonts w:ascii="Arial Narrow" w:hAnsi="Arial Narrow"/>
      <w:sz w:val="18"/>
      <w:szCs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rsid w:val="00852184"/>
    <w:rPr>
      <w:rFonts w:ascii="Arial Narrow" w:hAnsi="Arial Narrow" w:cs="Arial"/>
      <w:sz w:val="18"/>
    </w:rPr>
  </w:style>
  <w:style w:type="character" w:styleId="FootnoteReference">
    <w:name w:val="footnote reference"/>
    <w:basedOn w:val="DefaultParagraphFont"/>
    <w:unhideWhenUsed/>
    <w:rsid w:val="00703FB2"/>
    <w:rPr>
      <w:vertAlign w:val="superscript"/>
    </w:rPr>
  </w:style>
  <w:style w:type="paragraph" w:customStyle="1" w:styleId="TableHeading0">
    <w:name w:val="Table Heading"/>
    <w:basedOn w:val="TableText0"/>
    <w:next w:val="TableText0"/>
    <w:rsid w:val="00F779D9"/>
    <w:rPr>
      <w:b/>
      <w:snapToGrid w:val="0"/>
    </w:rPr>
  </w:style>
  <w:style w:type="paragraph" w:customStyle="1" w:styleId="TableTextBullets">
    <w:name w:val="TableTextBullets"/>
    <w:basedOn w:val="TableText0"/>
    <w:link w:val="TableTextBulletsChar"/>
    <w:rsid w:val="00233959"/>
    <w:pPr>
      <w:numPr>
        <w:numId w:val="2"/>
      </w:numPr>
      <w:ind w:left="357" w:hanging="357"/>
    </w:pPr>
    <w:rPr>
      <w:rFonts w:cs="Arial"/>
    </w:rPr>
  </w:style>
  <w:style w:type="character" w:customStyle="1" w:styleId="TableTextChar0">
    <w:name w:val="Table Text Char"/>
    <w:basedOn w:val="DefaultParagraphFont"/>
    <w:link w:val="TableText0"/>
    <w:rsid w:val="00AB218E"/>
    <w:rPr>
      <w:rFonts w:ascii="Arial Narrow" w:eastAsiaTheme="majorEastAsia" w:hAnsi="Arial Narrow" w:cstheme="majorBidi"/>
      <w:bCs/>
      <w:szCs w:val="24"/>
    </w:rPr>
  </w:style>
  <w:style w:type="character" w:customStyle="1" w:styleId="TableTextBulletsChar">
    <w:name w:val="TableTextBullets Char"/>
    <w:basedOn w:val="TableTextChar0"/>
    <w:link w:val="TableTextBullets"/>
    <w:rsid w:val="00233959"/>
    <w:rPr>
      <w:rFonts w:ascii="Arial Narrow" w:eastAsiaTheme="minorHAnsi" w:hAnsi="Arial Narrow" w:cs="Arial"/>
      <w:bCs/>
      <w:sz w:val="24"/>
      <w:szCs w:val="22"/>
      <w:lang w:eastAsia="en-US"/>
    </w:rPr>
  </w:style>
  <w:style w:type="character" w:customStyle="1" w:styleId="UnresolvedMention1">
    <w:name w:val="Unresolved Mention1"/>
    <w:basedOn w:val="DefaultParagraphFont"/>
    <w:uiPriority w:val="99"/>
    <w:semiHidden/>
    <w:unhideWhenUsed/>
    <w:rsid w:val="000304B3"/>
    <w:rPr>
      <w:color w:val="605E5C"/>
      <w:shd w:val="clear" w:color="auto" w:fill="E1DFDD"/>
    </w:rPr>
  </w:style>
  <w:style w:type="paragraph" w:customStyle="1" w:styleId="aparagraph">
    <w:name w:val="a paragraph"/>
    <w:basedOn w:val="Bulletpoints"/>
    <w:link w:val="aparagraphChar"/>
    <w:rsid w:val="00C90FE2"/>
  </w:style>
  <w:style w:type="paragraph" w:customStyle="1" w:styleId="apara">
    <w:name w:val="a para"/>
    <w:basedOn w:val="Bulletpoints"/>
    <w:next w:val="Normal"/>
    <w:link w:val="aparaChar"/>
    <w:rsid w:val="0070663C"/>
    <w:pPr>
      <w:numPr>
        <w:numId w:val="3"/>
      </w:numPr>
      <w:ind w:left="714" w:hanging="357"/>
    </w:pPr>
  </w:style>
  <w:style w:type="character" w:customStyle="1" w:styleId="BulletpointsChar">
    <w:name w:val="Bullet points Char"/>
    <w:basedOn w:val="ListParagraphChar"/>
    <w:link w:val="Bulletpoints"/>
    <w:rsid w:val="00C90FE2"/>
    <w:rPr>
      <w:rFonts w:ascii="Calibri" w:hAnsi="Calibri" w:cs="Arial"/>
      <w:snapToGrid/>
      <w:sz w:val="24"/>
      <w:szCs w:val="24"/>
      <w:lang w:eastAsia="en-US"/>
    </w:rPr>
  </w:style>
  <w:style w:type="character" w:customStyle="1" w:styleId="aparagraphChar">
    <w:name w:val="a paragraph Char"/>
    <w:basedOn w:val="BulletpointsChar"/>
    <w:link w:val="aparagraph"/>
    <w:rsid w:val="00C90FE2"/>
    <w:rPr>
      <w:rFonts w:ascii="Calibri" w:hAnsi="Calibri" w:cs="Arial"/>
      <w:snapToGrid/>
      <w:sz w:val="24"/>
      <w:szCs w:val="24"/>
      <w:lang w:eastAsia="en-US"/>
    </w:rPr>
  </w:style>
  <w:style w:type="character" w:customStyle="1" w:styleId="aparaChar">
    <w:name w:val="a para Char"/>
    <w:basedOn w:val="BulletpointsChar"/>
    <w:link w:val="apara"/>
    <w:rsid w:val="0070663C"/>
    <w:rPr>
      <w:rFonts w:ascii="Calibri" w:hAnsi="Calibri" w:cs="Arial"/>
      <w:snapToGrid/>
      <w:sz w:val="24"/>
      <w:szCs w:val="24"/>
      <w:lang w:eastAsia="en-US"/>
    </w:rPr>
  </w:style>
  <w:style w:type="paragraph" w:customStyle="1" w:styleId="BulletsComments">
    <w:name w:val="Bullets Comments"/>
    <w:basedOn w:val="Commentitalics"/>
    <w:next w:val="Normal"/>
    <w:link w:val="BulletsCommentsChar"/>
    <w:rsid w:val="008A434B"/>
    <w:pPr>
      <w:numPr>
        <w:numId w:val="4"/>
      </w:numPr>
      <w:ind w:left="357" w:hanging="357"/>
      <w:contextualSpacing/>
    </w:pPr>
    <w:rPr>
      <w:iCs/>
    </w:rPr>
  </w:style>
  <w:style w:type="character" w:customStyle="1" w:styleId="CommentitalicsChar">
    <w:name w:val="Comment (italics) Char"/>
    <w:basedOn w:val="DefaultParagraphFont"/>
    <w:link w:val="Commentitalics"/>
    <w:rsid w:val="00AA4E4B"/>
    <w:rPr>
      <w:rFonts w:ascii="Calibri" w:hAnsi="Calibri" w:cs="Arial"/>
      <w:i/>
      <w:snapToGrid w:val="0"/>
      <w:sz w:val="24"/>
      <w:szCs w:val="24"/>
      <w:lang w:eastAsia="en-US"/>
    </w:rPr>
  </w:style>
  <w:style w:type="character" w:customStyle="1" w:styleId="BulletsCommentsChar">
    <w:name w:val="Bullets Comments Char"/>
    <w:basedOn w:val="CommentitalicsChar"/>
    <w:link w:val="BulletsComments"/>
    <w:rsid w:val="008A434B"/>
    <w:rPr>
      <w:rFonts w:ascii="Calibri" w:hAnsi="Calibri" w:cs="Arial"/>
      <w:i/>
      <w:iCs/>
      <w:snapToGrid w:val="0"/>
      <w:sz w:val="24"/>
      <w:szCs w:val="24"/>
      <w:lang w:eastAsia="en-US"/>
    </w:rPr>
  </w:style>
  <w:style w:type="character" w:customStyle="1" w:styleId="BodytextChar0">
    <w:name w:val="Body text Char"/>
    <w:basedOn w:val="DefaultParagraphFont"/>
    <w:link w:val="BodyText1"/>
    <w:locked/>
    <w:rsid w:val="007C3D0A"/>
    <w:rPr>
      <w:rFonts w:ascii="Calibri" w:hAnsi="Calibri" w:cs="Arial"/>
      <w:sz w:val="24"/>
      <w:szCs w:val="22"/>
      <w:lang w:eastAsia="en-US"/>
    </w:rPr>
  </w:style>
  <w:style w:type="paragraph" w:customStyle="1" w:styleId="BodyText1">
    <w:name w:val="Body Text1"/>
    <w:basedOn w:val="Normal"/>
    <w:link w:val="BodytextChar0"/>
    <w:rsid w:val="007C3D0A"/>
    <w:pPr>
      <w:snapToGrid w:val="0"/>
      <w:spacing w:after="160"/>
    </w:pPr>
    <w:rPr>
      <w:snapToGrid w:val="0"/>
    </w:rPr>
  </w:style>
  <w:style w:type="paragraph" w:customStyle="1" w:styleId="TableFigNote">
    <w:name w:val="TableFigNote"/>
    <w:basedOn w:val="Normal"/>
    <w:rsid w:val="00523837"/>
    <w:rPr>
      <w:rFonts w:asciiTheme="minorHAnsi" w:eastAsiaTheme="minorHAnsi" w:hAnsiTheme="minorHAnsi" w:cstheme="minorBidi"/>
      <w:snapToGrid w:val="0"/>
      <w:sz w:val="16"/>
    </w:rPr>
  </w:style>
  <w:style w:type="table" w:customStyle="1" w:styleId="TableGrid1">
    <w:name w:val="Table Grid1"/>
    <w:basedOn w:val="TableNormal"/>
    <w:next w:val="TableGrid"/>
    <w:uiPriority w:val="59"/>
    <w:rsid w:val="005238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rsid w:val="00B22DEA"/>
    <w:pPr>
      <w:keepNext/>
      <w:spacing w:before="60" w:after="60"/>
    </w:pPr>
    <w:rPr>
      <w:rFonts w:cs="Times New Roman"/>
      <w:snapToGrid w:val="0"/>
      <w:color w:val="000000"/>
      <w:sz w:val="22"/>
      <w:szCs w:val="21"/>
    </w:rPr>
  </w:style>
  <w:style w:type="character" w:customStyle="1" w:styleId="Small">
    <w:name w:val="Small"/>
    <w:basedOn w:val="DefaultParagraphFont"/>
    <w:uiPriority w:val="4"/>
    <w:rsid w:val="00B22DEA"/>
    <w:rPr>
      <w:rFonts w:ascii="Candara" w:hAnsi="Candara"/>
      <w:sz w:val="20"/>
    </w:rPr>
  </w:style>
  <w:style w:type="character" w:styleId="Strong">
    <w:name w:val="Strong"/>
    <w:basedOn w:val="DefaultParagraphFont"/>
    <w:uiPriority w:val="22"/>
    <w:rsid w:val="00B22DEA"/>
    <w:rPr>
      <w:b/>
      <w:bCs/>
    </w:rPr>
  </w:style>
  <w:style w:type="paragraph" w:customStyle="1" w:styleId="TableParagraph">
    <w:name w:val="Table Paragraph"/>
    <w:basedOn w:val="Normal"/>
    <w:uiPriority w:val="1"/>
    <w:rsid w:val="00B22DEA"/>
    <w:pPr>
      <w:autoSpaceDE w:val="0"/>
      <w:autoSpaceDN w:val="0"/>
      <w:spacing w:before="23"/>
    </w:pPr>
    <w:rPr>
      <w:rFonts w:ascii="Times New Roman" w:hAnsi="Times New Roman" w:cs="Times New Roman"/>
      <w:snapToGrid w:val="0"/>
      <w:sz w:val="22"/>
      <w:lang w:val="en-US"/>
    </w:rPr>
  </w:style>
  <w:style w:type="character" w:styleId="Emphasis">
    <w:name w:val="Emphasis"/>
    <w:basedOn w:val="DefaultParagraphFont"/>
    <w:uiPriority w:val="20"/>
    <w:rsid w:val="00B22DEA"/>
    <w:rPr>
      <w:b w:val="0"/>
      <w:i/>
      <w:iCs/>
    </w:rPr>
  </w:style>
  <w:style w:type="paragraph" w:customStyle="1" w:styleId="TableFigNoteLast">
    <w:name w:val="TableFigNote Last"/>
    <w:basedOn w:val="TableFigNote"/>
    <w:next w:val="Normal"/>
    <w:rsid w:val="00B22DEA"/>
    <w:pPr>
      <w:spacing w:after="120"/>
    </w:pPr>
  </w:style>
  <w:style w:type="character" w:customStyle="1" w:styleId="Heading1Char">
    <w:name w:val="Heading 1 Char"/>
    <w:basedOn w:val="DefaultParagraphFont"/>
    <w:link w:val="Heading1"/>
    <w:uiPriority w:val="1"/>
    <w:rsid w:val="00C525F6"/>
    <w:rPr>
      <w:rFonts w:ascii="Calibri" w:hAnsi="Calibri"/>
      <w:b/>
      <w:sz w:val="32"/>
      <w:szCs w:val="28"/>
      <w:lang w:eastAsia="en-US"/>
    </w:rPr>
  </w:style>
  <w:style w:type="character" w:customStyle="1" w:styleId="Heading3Char">
    <w:name w:val="Heading 3 Char"/>
    <w:basedOn w:val="DefaultParagraphFont"/>
    <w:link w:val="Heading3"/>
    <w:rsid w:val="000F356A"/>
    <w:rPr>
      <w:rFonts w:ascii="Calibri" w:hAnsi="Calibri" w:cs="Arial"/>
      <w:i/>
      <w:sz w:val="24"/>
      <w:szCs w:val="24"/>
      <w:u w:val="single"/>
    </w:rPr>
  </w:style>
  <w:style w:type="character" w:customStyle="1" w:styleId="Heading4Char">
    <w:name w:val="Heading 4 Char"/>
    <w:basedOn w:val="DefaultParagraphFont"/>
    <w:link w:val="Heading4"/>
    <w:rsid w:val="00B22DEA"/>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B22DEA"/>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B22DEA"/>
    <w:rPr>
      <w:rFonts w:ascii="Calibri" w:hAnsi="Calibri" w:cs="Arial"/>
      <w:b/>
      <w:bCs/>
      <w:i/>
      <w:snapToGrid w:val="0"/>
      <w:sz w:val="24"/>
      <w:szCs w:val="22"/>
      <w:lang w:eastAsia="en-US"/>
    </w:rPr>
  </w:style>
  <w:style w:type="paragraph" w:styleId="ListBullet3">
    <w:name w:val="List Bullet 3"/>
    <w:basedOn w:val="Normal"/>
    <w:semiHidden/>
    <w:unhideWhenUsed/>
    <w:rsid w:val="00B22DEA"/>
    <w:pPr>
      <w:numPr>
        <w:numId w:val="5"/>
      </w:numPr>
      <w:contextualSpacing/>
    </w:pPr>
  </w:style>
  <w:style w:type="character" w:customStyle="1" w:styleId="Hyperlink1">
    <w:name w:val="Hyperlink1"/>
    <w:basedOn w:val="DefaultParagraphFont"/>
    <w:uiPriority w:val="99"/>
    <w:unhideWhenUsed/>
    <w:rsid w:val="003C231B"/>
    <w:rPr>
      <w:color w:val="0000FF"/>
      <w:u w:val="single"/>
    </w:rPr>
  </w:style>
  <w:style w:type="character" w:customStyle="1" w:styleId="UnresolvedMention2">
    <w:name w:val="Unresolved Mention2"/>
    <w:basedOn w:val="DefaultParagraphFont"/>
    <w:uiPriority w:val="99"/>
    <w:semiHidden/>
    <w:unhideWhenUsed/>
    <w:rsid w:val="002B02EB"/>
    <w:rPr>
      <w:color w:val="605E5C"/>
      <w:shd w:val="clear" w:color="auto" w:fill="E1DFDD"/>
    </w:rPr>
  </w:style>
  <w:style w:type="character" w:customStyle="1" w:styleId="UnresolvedMention">
    <w:name w:val="Unresolved Mention"/>
    <w:basedOn w:val="DefaultParagraphFont"/>
    <w:uiPriority w:val="99"/>
    <w:semiHidden/>
    <w:unhideWhenUsed/>
    <w:rsid w:val="0010186B"/>
    <w:rPr>
      <w:color w:val="605E5C"/>
      <w:shd w:val="clear" w:color="auto" w:fill="E1DFDD"/>
    </w:rPr>
  </w:style>
  <w:style w:type="paragraph" w:customStyle="1" w:styleId="mainheadings">
    <w:name w:val="main headings"/>
    <w:basedOn w:val="Heading1"/>
    <w:link w:val="mainheadingsChar"/>
    <w:rsid w:val="00B9286C"/>
    <w:pPr>
      <w:numPr>
        <w:numId w:val="9"/>
      </w:numPr>
    </w:pPr>
  </w:style>
  <w:style w:type="character" w:customStyle="1" w:styleId="mainheadingsChar">
    <w:name w:val="main headings Char"/>
    <w:basedOn w:val="Heading1Char"/>
    <w:link w:val="mainheadings"/>
    <w:rsid w:val="00B9286C"/>
    <w:rPr>
      <w:rFonts w:ascii="Calibri" w:hAnsi="Calibri"/>
      <w:b/>
      <w:sz w:val="32"/>
      <w:szCs w:val="28"/>
      <w:lang w:eastAsia="en-US"/>
    </w:rPr>
  </w:style>
  <w:style w:type="paragraph" w:customStyle="1" w:styleId="GeneralHeading">
    <w:name w:val="General Heading"/>
    <w:qFormat/>
    <w:rsid w:val="00CE1DD1"/>
    <w:pPr>
      <w:ind w:left="720" w:hanging="720"/>
      <w:outlineLvl w:val="0"/>
    </w:pPr>
    <w:rPr>
      <w:rFonts w:ascii="Calibri" w:hAnsi="Calibri" w:cs="Arial"/>
      <w:b/>
      <w:snapToGrid w:val="0"/>
      <w:sz w:val="28"/>
      <w:szCs w:val="22"/>
    </w:rPr>
  </w:style>
  <w:style w:type="paragraph" w:customStyle="1" w:styleId="In-tableHeading">
    <w:name w:val="In-table Heading"/>
    <w:qFormat/>
    <w:rsid w:val="00CE1DD1"/>
    <w:rPr>
      <w:rFonts w:ascii="Arial Narrow" w:eastAsiaTheme="majorEastAsia" w:hAnsi="Arial Narrow"/>
      <w:b/>
      <w:sz w:val="22"/>
      <w:szCs w:val="24"/>
      <w:lang w:val="en-US"/>
    </w:rPr>
  </w:style>
  <w:style w:type="paragraph" w:customStyle="1" w:styleId="2-SectionHeading">
    <w:name w:val="2-Section Heading"/>
    <w:qFormat/>
    <w:rsid w:val="00CE1DD1"/>
    <w:pPr>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CE1DD1"/>
    <w:pPr>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CE1DD1"/>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CF0F3C"/>
    <w:pPr>
      <w:spacing w:after="60"/>
    </w:pPr>
    <w:rPr>
      <w:rFonts w:ascii="Arial Narrow" w:eastAsiaTheme="majorEastAsia" w:hAnsi="Arial Narrow" w:cstheme="majorBidi"/>
      <w:b/>
      <w:bCs/>
    </w:rPr>
  </w:style>
  <w:style w:type="character" w:customStyle="1" w:styleId="TableFigureHeadingChar">
    <w:name w:val="Table/Figure Heading Char"/>
    <w:basedOn w:val="DefaultParagraphFont"/>
    <w:link w:val="TableFigureHeading"/>
    <w:rsid w:val="00CF0F3C"/>
    <w:rPr>
      <w:rFonts w:ascii="Arial Narrow" w:eastAsiaTheme="majorEastAsia" w:hAnsi="Arial Narrow" w:cstheme="majorBidi"/>
      <w:b/>
      <w:bCs/>
    </w:rPr>
  </w:style>
  <w:style w:type="paragraph" w:customStyle="1" w:styleId="3-BodyText">
    <w:name w:val="3-Body Text"/>
    <w:basedOn w:val="Normal"/>
    <w:link w:val="3-BodyTextChar"/>
    <w:qFormat/>
    <w:rsid w:val="00344F5A"/>
    <w:pPr>
      <w:numPr>
        <w:ilvl w:val="1"/>
        <w:numId w:val="7"/>
      </w:numPr>
      <w:snapToGrid w:val="0"/>
      <w:spacing w:after="160"/>
      <w:jc w:val="both"/>
    </w:pPr>
  </w:style>
  <w:style w:type="character" w:customStyle="1" w:styleId="3-BodyTextChar">
    <w:name w:val="3-Body Text Char"/>
    <w:basedOn w:val="ListParagraphChar"/>
    <w:link w:val="3-BodyText"/>
    <w:rsid w:val="00344F5A"/>
    <w:rPr>
      <w:rFonts w:ascii="Calibri" w:hAnsi="Calibri" w:cs="Arial"/>
      <w:snapToGrid w:val="0"/>
      <w:sz w:val="24"/>
      <w:szCs w:val="24"/>
    </w:rPr>
  </w:style>
  <w:style w:type="paragraph" w:customStyle="1" w:styleId="PageFooter">
    <w:name w:val="Page Footer"/>
    <w:basedOn w:val="Normal"/>
    <w:link w:val="PageFooterChar"/>
    <w:qFormat/>
    <w:rsid w:val="00CE1DD1"/>
    <w:pPr>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CE1DD1"/>
    <w:rPr>
      <w:rFonts w:ascii="Calibri" w:hAnsi="Calibri" w:cs="Arial"/>
      <w:b/>
      <w:sz w:val="24"/>
      <w:szCs w:val="24"/>
    </w:rPr>
  </w:style>
  <w:style w:type="paragraph" w:customStyle="1" w:styleId="TableFigureFooter">
    <w:name w:val="Table/Figure Footer"/>
    <w:basedOn w:val="Normal"/>
    <w:link w:val="TableFigureFooterChar"/>
    <w:qFormat/>
    <w:rsid w:val="00CE1DD1"/>
    <w:pPr>
      <w:widowControl w:val="0"/>
      <w:jc w:val="both"/>
    </w:pPr>
    <w:rPr>
      <w:rFonts w:ascii="Arial Narrow" w:hAnsi="Arial Narrow"/>
      <w:snapToGrid w:val="0"/>
      <w:sz w:val="18"/>
      <w:szCs w:val="22"/>
    </w:rPr>
  </w:style>
  <w:style w:type="character" w:customStyle="1" w:styleId="TableFigureFooterChar">
    <w:name w:val="Table/Figure Footer Char"/>
    <w:link w:val="TableFigureFooter"/>
    <w:rsid w:val="00CE1DD1"/>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CE1DD1"/>
    <w:pPr>
      <w:spacing w:after="0" w:line="360" w:lineRule="auto"/>
    </w:pPr>
    <w:rPr>
      <w:rFonts w:asciiTheme="minorHAnsi" w:eastAsiaTheme="majorEastAsia" w:hAnsiTheme="minorHAnsi" w:cstheme="majorBidi"/>
      <w:snapToGrid/>
      <w:spacing w:val="5"/>
      <w:kern w:val="28"/>
      <w:szCs w:val="36"/>
    </w:rPr>
  </w:style>
  <w:style w:type="character" w:customStyle="1" w:styleId="4-SubsectionHeadingChar">
    <w:name w:val="4-Subsection Heading Char"/>
    <w:basedOn w:val="Heading2Char"/>
    <w:link w:val="4-SubsectionHeading"/>
    <w:rsid w:val="00CE1DD1"/>
    <w:rPr>
      <w:rFonts w:asciiTheme="minorHAnsi" w:eastAsiaTheme="majorEastAsia" w:hAnsiTheme="minorHAnsi" w:cstheme="majorBidi"/>
      <w:b/>
      <w:i/>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CE1DD1"/>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Heading3Char"/>
    <w:link w:val="5-SubsectionSubheading"/>
    <w:rsid w:val="00CE1DD1"/>
    <w:rPr>
      <w:rFonts w:asciiTheme="minorHAnsi" w:eastAsiaTheme="majorEastAsia" w:hAnsiTheme="minorHAnsi" w:cstheme="majorBidi"/>
      <w:b/>
      <w:i/>
      <w:snapToGrid w:val="0"/>
      <w:color w:val="000000" w:themeColor="text1"/>
      <w:sz w:val="24"/>
      <w:szCs w:val="24"/>
      <w:u w:val="single"/>
      <w:lang w:eastAsia="en-US"/>
    </w:rPr>
  </w:style>
  <w:style w:type="character" w:customStyle="1" w:styleId="s16">
    <w:name w:val="s16"/>
    <w:basedOn w:val="DefaultParagraphFont"/>
    <w:rsid w:val="00E473D8"/>
  </w:style>
  <w:style w:type="paragraph" w:customStyle="1" w:styleId="2Sections">
    <w:name w:val="2. Sections"/>
    <w:qFormat/>
    <w:rsid w:val="0056124A"/>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rsid w:val="0056124A"/>
    <w:pPr>
      <w:numPr>
        <w:numId w:val="0"/>
      </w:numPr>
      <w:spacing w:after="120"/>
      <w:ind w:left="720" w:hanging="720"/>
    </w:pPr>
    <w:rPr>
      <w:rFonts w:eastAsiaTheme="minorHAnsi" w:cstheme="minorBidi"/>
      <w:snapToGrid w:val="0"/>
      <w:szCs w:val="22"/>
      <w:lang w:eastAsia="en-US"/>
    </w:rPr>
  </w:style>
  <w:style w:type="character" w:customStyle="1" w:styleId="3BodytextChar">
    <w:name w:val="3. Body text Char"/>
    <w:basedOn w:val="ListParagraphChar"/>
    <w:link w:val="3Bodytext"/>
    <w:rsid w:val="0056124A"/>
    <w:rPr>
      <w:rFonts w:asciiTheme="minorHAnsi" w:eastAsiaTheme="minorHAnsi" w:hAnsiTheme="minorHAnsi" w:cstheme="minorBidi"/>
      <w:snapToGrid w:val="0"/>
      <w:sz w:val="24"/>
      <w:szCs w:val="22"/>
      <w:lang w:eastAsia="en-US"/>
    </w:rPr>
  </w:style>
  <w:style w:type="paragraph" w:styleId="EndnoteText">
    <w:name w:val="endnote text"/>
    <w:basedOn w:val="Normal"/>
    <w:link w:val="EndnoteTextChar"/>
    <w:semiHidden/>
    <w:unhideWhenUsed/>
    <w:rsid w:val="001D10DF"/>
    <w:rPr>
      <w:sz w:val="20"/>
      <w:szCs w:val="20"/>
    </w:rPr>
  </w:style>
  <w:style w:type="character" w:customStyle="1" w:styleId="EndnoteTextChar">
    <w:name w:val="Endnote Text Char"/>
    <w:basedOn w:val="DefaultParagraphFont"/>
    <w:link w:val="EndnoteText"/>
    <w:semiHidden/>
    <w:rsid w:val="001D10DF"/>
    <w:rPr>
      <w:rFonts w:ascii="Calibri" w:hAnsi="Calibri" w:cs="Arial"/>
    </w:rPr>
  </w:style>
  <w:style w:type="character" w:styleId="EndnoteReference">
    <w:name w:val="endnote reference"/>
    <w:basedOn w:val="DefaultParagraphFont"/>
    <w:semiHidden/>
    <w:unhideWhenUsed/>
    <w:rsid w:val="001D1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740">
      <w:bodyDiv w:val="1"/>
      <w:marLeft w:val="0"/>
      <w:marRight w:val="0"/>
      <w:marTop w:val="0"/>
      <w:marBottom w:val="0"/>
      <w:divBdr>
        <w:top w:val="none" w:sz="0" w:space="0" w:color="auto"/>
        <w:left w:val="none" w:sz="0" w:space="0" w:color="auto"/>
        <w:bottom w:val="none" w:sz="0" w:space="0" w:color="auto"/>
        <w:right w:val="none" w:sz="0" w:space="0" w:color="auto"/>
      </w:divBdr>
    </w:div>
    <w:div w:id="147942995">
      <w:bodyDiv w:val="1"/>
      <w:marLeft w:val="0"/>
      <w:marRight w:val="0"/>
      <w:marTop w:val="0"/>
      <w:marBottom w:val="0"/>
      <w:divBdr>
        <w:top w:val="none" w:sz="0" w:space="0" w:color="auto"/>
        <w:left w:val="none" w:sz="0" w:space="0" w:color="auto"/>
        <w:bottom w:val="none" w:sz="0" w:space="0" w:color="auto"/>
        <w:right w:val="none" w:sz="0" w:space="0" w:color="auto"/>
      </w:divBdr>
    </w:div>
    <w:div w:id="174735909">
      <w:bodyDiv w:val="1"/>
      <w:marLeft w:val="0"/>
      <w:marRight w:val="0"/>
      <w:marTop w:val="0"/>
      <w:marBottom w:val="0"/>
      <w:divBdr>
        <w:top w:val="none" w:sz="0" w:space="0" w:color="auto"/>
        <w:left w:val="none" w:sz="0" w:space="0" w:color="auto"/>
        <w:bottom w:val="none" w:sz="0" w:space="0" w:color="auto"/>
        <w:right w:val="none" w:sz="0" w:space="0" w:color="auto"/>
      </w:divBdr>
    </w:div>
    <w:div w:id="311325592">
      <w:bodyDiv w:val="1"/>
      <w:marLeft w:val="0"/>
      <w:marRight w:val="0"/>
      <w:marTop w:val="0"/>
      <w:marBottom w:val="0"/>
      <w:divBdr>
        <w:top w:val="none" w:sz="0" w:space="0" w:color="auto"/>
        <w:left w:val="none" w:sz="0" w:space="0" w:color="auto"/>
        <w:bottom w:val="none" w:sz="0" w:space="0" w:color="auto"/>
        <w:right w:val="none" w:sz="0" w:space="0" w:color="auto"/>
      </w:divBdr>
    </w:div>
    <w:div w:id="318585227">
      <w:bodyDiv w:val="1"/>
      <w:marLeft w:val="0"/>
      <w:marRight w:val="0"/>
      <w:marTop w:val="0"/>
      <w:marBottom w:val="0"/>
      <w:divBdr>
        <w:top w:val="none" w:sz="0" w:space="0" w:color="auto"/>
        <w:left w:val="none" w:sz="0" w:space="0" w:color="auto"/>
        <w:bottom w:val="none" w:sz="0" w:space="0" w:color="auto"/>
        <w:right w:val="none" w:sz="0" w:space="0" w:color="auto"/>
      </w:divBdr>
    </w:div>
    <w:div w:id="322776747">
      <w:bodyDiv w:val="1"/>
      <w:marLeft w:val="0"/>
      <w:marRight w:val="0"/>
      <w:marTop w:val="0"/>
      <w:marBottom w:val="0"/>
      <w:divBdr>
        <w:top w:val="none" w:sz="0" w:space="0" w:color="auto"/>
        <w:left w:val="none" w:sz="0" w:space="0" w:color="auto"/>
        <w:bottom w:val="none" w:sz="0" w:space="0" w:color="auto"/>
        <w:right w:val="none" w:sz="0" w:space="0" w:color="auto"/>
      </w:divBdr>
    </w:div>
    <w:div w:id="350693755">
      <w:bodyDiv w:val="1"/>
      <w:marLeft w:val="0"/>
      <w:marRight w:val="0"/>
      <w:marTop w:val="0"/>
      <w:marBottom w:val="0"/>
      <w:divBdr>
        <w:top w:val="none" w:sz="0" w:space="0" w:color="auto"/>
        <w:left w:val="none" w:sz="0" w:space="0" w:color="auto"/>
        <w:bottom w:val="none" w:sz="0" w:space="0" w:color="auto"/>
        <w:right w:val="none" w:sz="0" w:space="0" w:color="auto"/>
      </w:divBdr>
    </w:div>
    <w:div w:id="364866404">
      <w:bodyDiv w:val="1"/>
      <w:marLeft w:val="0"/>
      <w:marRight w:val="0"/>
      <w:marTop w:val="0"/>
      <w:marBottom w:val="0"/>
      <w:divBdr>
        <w:top w:val="none" w:sz="0" w:space="0" w:color="auto"/>
        <w:left w:val="none" w:sz="0" w:space="0" w:color="auto"/>
        <w:bottom w:val="none" w:sz="0" w:space="0" w:color="auto"/>
        <w:right w:val="none" w:sz="0" w:space="0" w:color="auto"/>
      </w:divBdr>
    </w:div>
    <w:div w:id="455298881">
      <w:bodyDiv w:val="1"/>
      <w:marLeft w:val="0"/>
      <w:marRight w:val="0"/>
      <w:marTop w:val="0"/>
      <w:marBottom w:val="0"/>
      <w:divBdr>
        <w:top w:val="none" w:sz="0" w:space="0" w:color="auto"/>
        <w:left w:val="none" w:sz="0" w:space="0" w:color="auto"/>
        <w:bottom w:val="none" w:sz="0" w:space="0" w:color="auto"/>
        <w:right w:val="none" w:sz="0" w:space="0" w:color="auto"/>
      </w:divBdr>
    </w:div>
    <w:div w:id="459498320">
      <w:bodyDiv w:val="1"/>
      <w:marLeft w:val="0"/>
      <w:marRight w:val="0"/>
      <w:marTop w:val="0"/>
      <w:marBottom w:val="0"/>
      <w:divBdr>
        <w:top w:val="none" w:sz="0" w:space="0" w:color="auto"/>
        <w:left w:val="none" w:sz="0" w:space="0" w:color="auto"/>
        <w:bottom w:val="none" w:sz="0" w:space="0" w:color="auto"/>
        <w:right w:val="none" w:sz="0" w:space="0" w:color="auto"/>
      </w:divBdr>
    </w:div>
    <w:div w:id="501900214">
      <w:bodyDiv w:val="1"/>
      <w:marLeft w:val="0"/>
      <w:marRight w:val="0"/>
      <w:marTop w:val="0"/>
      <w:marBottom w:val="0"/>
      <w:divBdr>
        <w:top w:val="none" w:sz="0" w:space="0" w:color="auto"/>
        <w:left w:val="none" w:sz="0" w:space="0" w:color="auto"/>
        <w:bottom w:val="none" w:sz="0" w:space="0" w:color="auto"/>
        <w:right w:val="none" w:sz="0" w:space="0" w:color="auto"/>
      </w:divBdr>
    </w:div>
    <w:div w:id="559898741">
      <w:bodyDiv w:val="1"/>
      <w:marLeft w:val="0"/>
      <w:marRight w:val="0"/>
      <w:marTop w:val="0"/>
      <w:marBottom w:val="0"/>
      <w:divBdr>
        <w:top w:val="none" w:sz="0" w:space="0" w:color="auto"/>
        <w:left w:val="none" w:sz="0" w:space="0" w:color="auto"/>
        <w:bottom w:val="none" w:sz="0" w:space="0" w:color="auto"/>
        <w:right w:val="none" w:sz="0" w:space="0" w:color="auto"/>
      </w:divBdr>
    </w:div>
    <w:div w:id="572276567">
      <w:bodyDiv w:val="1"/>
      <w:marLeft w:val="0"/>
      <w:marRight w:val="0"/>
      <w:marTop w:val="0"/>
      <w:marBottom w:val="0"/>
      <w:divBdr>
        <w:top w:val="none" w:sz="0" w:space="0" w:color="auto"/>
        <w:left w:val="none" w:sz="0" w:space="0" w:color="auto"/>
        <w:bottom w:val="none" w:sz="0" w:space="0" w:color="auto"/>
        <w:right w:val="none" w:sz="0" w:space="0" w:color="auto"/>
      </w:divBdr>
      <w:divsChild>
        <w:div w:id="63767339">
          <w:marLeft w:val="0"/>
          <w:marRight w:val="0"/>
          <w:marTop w:val="0"/>
          <w:marBottom w:val="0"/>
          <w:divBdr>
            <w:top w:val="none" w:sz="0" w:space="0" w:color="auto"/>
            <w:left w:val="none" w:sz="0" w:space="0" w:color="auto"/>
            <w:bottom w:val="none" w:sz="0" w:space="0" w:color="auto"/>
            <w:right w:val="none" w:sz="0" w:space="0" w:color="auto"/>
          </w:divBdr>
          <w:divsChild>
            <w:div w:id="749893269">
              <w:marLeft w:val="0"/>
              <w:marRight w:val="0"/>
              <w:marTop w:val="0"/>
              <w:marBottom w:val="0"/>
              <w:divBdr>
                <w:top w:val="none" w:sz="0" w:space="0" w:color="auto"/>
                <w:left w:val="none" w:sz="0" w:space="0" w:color="auto"/>
                <w:bottom w:val="none" w:sz="0" w:space="0" w:color="auto"/>
                <w:right w:val="none" w:sz="0" w:space="0" w:color="auto"/>
              </w:divBdr>
            </w:div>
            <w:div w:id="16943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3185">
      <w:bodyDiv w:val="1"/>
      <w:marLeft w:val="0"/>
      <w:marRight w:val="0"/>
      <w:marTop w:val="0"/>
      <w:marBottom w:val="0"/>
      <w:divBdr>
        <w:top w:val="none" w:sz="0" w:space="0" w:color="auto"/>
        <w:left w:val="none" w:sz="0" w:space="0" w:color="auto"/>
        <w:bottom w:val="none" w:sz="0" w:space="0" w:color="auto"/>
        <w:right w:val="none" w:sz="0" w:space="0" w:color="auto"/>
      </w:divBdr>
    </w:div>
    <w:div w:id="719354936">
      <w:bodyDiv w:val="1"/>
      <w:marLeft w:val="0"/>
      <w:marRight w:val="0"/>
      <w:marTop w:val="0"/>
      <w:marBottom w:val="0"/>
      <w:divBdr>
        <w:top w:val="none" w:sz="0" w:space="0" w:color="auto"/>
        <w:left w:val="none" w:sz="0" w:space="0" w:color="auto"/>
        <w:bottom w:val="none" w:sz="0" w:space="0" w:color="auto"/>
        <w:right w:val="none" w:sz="0" w:space="0" w:color="auto"/>
      </w:divBdr>
    </w:div>
    <w:div w:id="728920003">
      <w:bodyDiv w:val="1"/>
      <w:marLeft w:val="0"/>
      <w:marRight w:val="0"/>
      <w:marTop w:val="0"/>
      <w:marBottom w:val="0"/>
      <w:divBdr>
        <w:top w:val="none" w:sz="0" w:space="0" w:color="auto"/>
        <w:left w:val="none" w:sz="0" w:space="0" w:color="auto"/>
        <w:bottom w:val="none" w:sz="0" w:space="0" w:color="auto"/>
        <w:right w:val="none" w:sz="0" w:space="0" w:color="auto"/>
      </w:divBdr>
    </w:div>
    <w:div w:id="743378324">
      <w:bodyDiv w:val="1"/>
      <w:marLeft w:val="0"/>
      <w:marRight w:val="0"/>
      <w:marTop w:val="0"/>
      <w:marBottom w:val="0"/>
      <w:divBdr>
        <w:top w:val="none" w:sz="0" w:space="0" w:color="auto"/>
        <w:left w:val="none" w:sz="0" w:space="0" w:color="auto"/>
        <w:bottom w:val="none" w:sz="0" w:space="0" w:color="auto"/>
        <w:right w:val="none" w:sz="0" w:space="0" w:color="auto"/>
      </w:divBdr>
    </w:div>
    <w:div w:id="775366872">
      <w:bodyDiv w:val="1"/>
      <w:marLeft w:val="0"/>
      <w:marRight w:val="0"/>
      <w:marTop w:val="0"/>
      <w:marBottom w:val="0"/>
      <w:divBdr>
        <w:top w:val="none" w:sz="0" w:space="0" w:color="auto"/>
        <w:left w:val="none" w:sz="0" w:space="0" w:color="auto"/>
        <w:bottom w:val="none" w:sz="0" w:space="0" w:color="auto"/>
        <w:right w:val="none" w:sz="0" w:space="0" w:color="auto"/>
      </w:divBdr>
    </w:div>
    <w:div w:id="887961618">
      <w:bodyDiv w:val="1"/>
      <w:marLeft w:val="0"/>
      <w:marRight w:val="0"/>
      <w:marTop w:val="0"/>
      <w:marBottom w:val="0"/>
      <w:divBdr>
        <w:top w:val="none" w:sz="0" w:space="0" w:color="auto"/>
        <w:left w:val="none" w:sz="0" w:space="0" w:color="auto"/>
        <w:bottom w:val="none" w:sz="0" w:space="0" w:color="auto"/>
        <w:right w:val="none" w:sz="0" w:space="0" w:color="auto"/>
      </w:divBdr>
    </w:div>
    <w:div w:id="900597392">
      <w:bodyDiv w:val="1"/>
      <w:marLeft w:val="0"/>
      <w:marRight w:val="0"/>
      <w:marTop w:val="0"/>
      <w:marBottom w:val="0"/>
      <w:divBdr>
        <w:top w:val="none" w:sz="0" w:space="0" w:color="auto"/>
        <w:left w:val="none" w:sz="0" w:space="0" w:color="auto"/>
        <w:bottom w:val="none" w:sz="0" w:space="0" w:color="auto"/>
        <w:right w:val="none" w:sz="0" w:space="0" w:color="auto"/>
      </w:divBdr>
    </w:div>
    <w:div w:id="929893606">
      <w:bodyDiv w:val="1"/>
      <w:marLeft w:val="0"/>
      <w:marRight w:val="0"/>
      <w:marTop w:val="0"/>
      <w:marBottom w:val="0"/>
      <w:divBdr>
        <w:top w:val="none" w:sz="0" w:space="0" w:color="auto"/>
        <w:left w:val="none" w:sz="0" w:space="0" w:color="auto"/>
        <w:bottom w:val="none" w:sz="0" w:space="0" w:color="auto"/>
        <w:right w:val="none" w:sz="0" w:space="0" w:color="auto"/>
      </w:divBdr>
    </w:div>
    <w:div w:id="933366540">
      <w:bodyDiv w:val="1"/>
      <w:marLeft w:val="0"/>
      <w:marRight w:val="0"/>
      <w:marTop w:val="0"/>
      <w:marBottom w:val="0"/>
      <w:divBdr>
        <w:top w:val="none" w:sz="0" w:space="0" w:color="auto"/>
        <w:left w:val="none" w:sz="0" w:space="0" w:color="auto"/>
        <w:bottom w:val="none" w:sz="0" w:space="0" w:color="auto"/>
        <w:right w:val="none" w:sz="0" w:space="0" w:color="auto"/>
      </w:divBdr>
    </w:div>
    <w:div w:id="958297849">
      <w:bodyDiv w:val="1"/>
      <w:marLeft w:val="0"/>
      <w:marRight w:val="0"/>
      <w:marTop w:val="0"/>
      <w:marBottom w:val="0"/>
      <w:divBdr>
        <w:top w:val="none" w:sz="0" w:space="0" w:color="auto"/>
        <w:left w:val="none" w:sz="0" w:space="0" w:color="auto"/>
        <w:bottom w:val="none" w:sz="0" w:space="0" w:color="auto"/>
        <w:right w:val="none" w:sz="0" w:space="0" w:color="auto"/>
      </w:divBdr>
    </w:div>
    <w:div w:id="1091314720">
      <w:bodyDiv w:val="1"/>
      <w:marLeft w:val="0"/>
      <w:marRight w:val="0"/>
      <w:marTop w:val="0"/>
      <w:marBottom w:val="0"/>
      <w:divBdr>
        <w:top w:val="none" w:sz="0" w:space="0" w:color="auto"/>
        <w:left w:val="none" w:sz="0" w:space="0" w:color="auto"/>
        <w:bottom w:val="none" w:sz="0" w:space="0" w:color="auto"/>
        <w:right w:val="none" w:sz="0" w:space="0" w:color="auto"/>
      </w:divBdr>
    </w:div>
    <w:div w:id="1107962192">
      <w:bodyDiv w:val="1"/>
      <w:marLeft w:val="0"/>
      <w:marRight w:val="0"/>
      <w:marTop w:val="0"/>
      <w:marBottom w:val="0"/>
      <w:divBdr>
        <w:top w:val="none" w:sz="0" w:space="0" w:color="auto"/>
        <w:left w:val="none" w:sz="0" w:space="0" w:color="auto"/>
        <w:bottom w:val="none" w:sz="0" w:space="0" w:color="auto"/>
        <w:right w:val="none" w:sz="0" w:space="0" w:color="auto"/>
      </w:divBdr>
      <w:divsChild>
        <w:div w:id="99186618">
          <w:marLeft w:val="0"/>
          <w:marRight w:val="0"/>
          <w:marTop w:val="0"/>
          <w:marBottom w:val="0"/>
          <w:divBdr>
            <w:top w:val="none" w:sz="0" w:space="0" w:color="auto"/>
            <w:left w:val="none" w:sz="0" w:space="0" w:color="auto"/>
            <w:bottom w:val="none" w:sz="0" w:space="0" w:color="auto"/>
            <w:right w:val="none" w:sz="0" w:space="0" w:color="auto"/>
          </w:divBdr>
          <w:divsChild>
            <w:div w:id="9795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2449">
      <w:bodyDiv w:val="1"/>
      <w:marLeft w:val="0"/>
      <w:marRight w:val="0"/>
      <w:marTop w:val="0"/>
      <w:marBottom w:val="0"/>
      <w:divBdr>
        <w:top w:val="none" w:sz="0" w:space="0" w:color="auto"/>
        <w:left w:val="none" w:sz="0" w:space="0" w:color="auto"/>
        <w:bottom w:val="none" w:sz="0" w:space="0" w:color="auto"/>
        <w:right w:val="none" w:sz="0" w:space="0" w:color="auto"/>
      </w:divBdr>
      <w:divsChild>
        <w:div w:id="1044330221">
          <w:marLeft w:val="0"/>
          <w:marRight w:val="0"/>
          <w:marTop w:val="0"/>
          <w:marBottom w:val="0"/>
          <w:divBdr>
            <w:top w:val="none" w:sz="0" w:space="0" w:color="auto"/>
            <w:left w:val="none" w:sz="0" w:space="0" w:color="auto"/>
            <w:bottom w:val="none" w:sz="0" w:space="0" w:color="auto"/>
            <w:right w:val="none" w:sz="0" w:space="0" w:color="auto"/>
          </w:divBdr>
          <w:divsChild>
            <w:div w:id="2953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1166">
      <w:bodyDiv w:val="1"/>
      <w:marLeft w:val="0"/>
      <w:marRight w:val="0"/>
      <w:marTop w:val="0"/>
      <w:marBottom w:val="0"/>
      <w:divBdr>
        <w:top w:val="none" w:sz="0" w:space="0" w:color="auto"/>
        <w:left w:val="none" w:sz="0" w:space="0" w:color="auto"/>
        <w:bottom w:val="none" w:sz="0" w:space="0" w:color="auto"/>
        <w:right w:val="none" w:sz="0" w:space="0" w:color="auto"/>
      </w:divBdr>
    </w:div>
    <w:div w:id="1132675389">
      <w:bodyDiv w:val="1"/>
      <w:marLeft w:val="0"/>
      <w:marRight w:val="0"/>
      <w:marTop w:val="0"/>
      <w:marBottom w:val="0"/>
      <w:divBdr>
        <w:top w:val="none" w:sz="0" w:space="0" w:color="auto"/>
        <w:left w:val="none" w:sz="0" w:space="0" w:color="auto"/>
        <w:bottom w:val="none" w:sz="0" w:space="0" w:color="auto"/>
        <w:right w:val="none" w:sz="0" w:space="0" w:color="auto"/>
      </w:divBdr>
    </w:div>
    <w:div w:id="1192374001">
      <w:bodyDiv w:val="1"/>
      <w:marLeft w:val="0"/>
      <w:marRight w:val="0"/>
      <w:marTop w:val="0"/>
      <w:marBottom w:val="0"/>
      <w:divBdr>
        <w:top w:val="none" w:sz="0" w:space="0" w:color="auto"/>
        <w:left w:val="none" w:sz="0" w:space="0" w:color="auto"/>
        <w:bottom w:val="none" w:sz="0" w:space="0" w:color="auto"/>
        <w:right w:val="none" w:sz="0" w:space="0" w:color="auto"/>
      </w:divBdr>
    </w:div>
    <w:div w:id="1218979710">
      <w:bodyDiv w:val="1"/>
      <w:marLeft w:val="0"/>
      <w:marRight w:val="0"/>
      <w:marTop w:val="0"/>
      <w:marBottom w:val="0"/>
      <w:divBdr>
        <w:top w:val="none" w:sz="0" w:space="0" w:color="auto"/>
        <w:left w:val="none" w:sz="0" w:space="0" w:color="auto"/>
        <w:bottom w:val="none" w:sz="0" w:space="0" w:color="auto"/>
        <w:right w:val="none" w:sz="0" w:space="0" w:color="auto"/>
      </w:divBdr>
    </w:div>
    <w:div w:id="1263413493">
      <w:bodyDiv w:val="1"/>
      <w:marLeft w:val="0"/>
      <w:marRight w:val="0"/>
      <w:marTop w:val="0"/>
      <w:marBottom w:val="0"/>
      <w:divBdr>
        <w:top w:val="none" w:sz="0" w:space="0" w:color="auto"/>
        <w:left w:val="none" w:sz="0" w:space="0" w:color="auto"/>
        <w:bottom w:val="none" w:sz="0" w:space="0" w:color="auto"/>
        <w:right w:val="none" w:sz="0" w:space="0" w:color="auto"/>
      </w:divBdr>
    </w:div>
    <w:div w:id="1292831909">
      <w:bodyDiv w:val="1"/>
      <w:marLeft w:val="0"/>
      <w:marRight w:val="0"/>
      <w:marTop w:val="0"/>
      <w:marBottom w:val="0"/>
      <w:divBdr>
        <w:top w:val="none" w:sz="0" w:space="0" w:color="auto"/>
        <w:left w:val="none" w:sz="0" w:space="0" w:color="auto"/>
        <w:bottom w:val="none" w:sz="0" w:space="0" w:color="auto"/>
        <w:right w:val="none" w:sz="0" w:space="0" w:color="auto"/>
      </w:divBdr>
    </w:div>
    <w:div w:id="1298335523">
      <w:bodyDiv w:val="1"/>
      <w:marLeft w:val="0"/>
      <w:marRight w:val="0"/>
      <w:marTop w:val="0"/>
      <w:marBottom w:val="0"/>
      <w:divBdr>
        <w:top w:val="none" w:sz="0" w:space="0" w:color="auto"/>
        <w:left w:val="none" w:sz="0" w:space="0" w:color="auto"/>
        <w:bottom w:val="none" w:sz="0" w:space="0" w:color="auto"/>
        <w:right w:val="none" w:sz="0" w:space="0" w:color="auto"/>
      </w:divBdr>
    </w:div>
    <w:div w:id="1348290253">
      <w:bodyDiv w:val="1"/>
      <w:marLeft w:val="0"/>
      <w:marRight w:val="0"/>
      <w:marTop w:val="0"/>
      <w:marBottom w:val="0"/>
      <w:divBdr>
        <w:top w:val="none" w:sz="0" w:space="0" w:color="auto"/>
        <w:left w:val="none" w:sz="0" w:space="0" w:color="auto"/>
        <w:bottom w:val="none" w:sz="0" w:space="0" w:color="auto"/>
        <w:right w:val="none" w:sz="0" w:space="0" w:color="auto"/>
      </w:divBdr>
    </w:div>
    <w:div w:id="1406226868">
      <w:bodyDiv w:val="1"/>
      <w:marLeft w:val="0"/>
      <w:marRight w:val="0"/>
      <w:marTop w:val="0"/>
      <w:marBottom w:val="0"/>
      <w:divBdr>
        <w:top w:val="none" w:sz="0" w:space="0" w:color="auto"/>
        <w:left w:val="none" w:sz="0" w:space="0" w:color="auto"/>
        <w:bottom w:val="none" w:sz="0" w:space="0" w:color="auto"/>
        <w:right w:val="none" w:sz="0" w:space="0" w:color="auto"/>
      </w:divBdr>
    </w:div>
    <w:div w:id="1551110119">
      <w:bodyDiv w:val="1"/>
      <w:marLeft w:val="0"/>
      <w:marRight w:val="0"/>
      <w:marTop w:val="0"/>
      <w:marBottom w:val="0"/>
      <w:divBdr>
        <w:top w:val="none" w:sz="0" w:space="0" w:color="auto"/>
        <w:left w:val="none" w:sz="0" w:space="0" w:color="auto"/>
        <w:bottom w:val="none" w:sz="0" w:space="0" w:color="auto"/>
        <w:right w:val="none" w:sz="0" w:space="0" w:color="auto"/>
      </w:divBdr>
    </w:div>
    <w:div w:id="1570920814">
      <w:bodyDiv w:val="1"/>
      <w:marLeft w:val="0"/>
      <w:marRight w:val="0"/>
      <w:marTop w:val="0"/>
      <w:marBottom w:val="0"/>
      <w:divBdr>
        <w:top w:val="none" w:sz="0" w:space="0" w:color="auto"/>
        <w:left w:val="none" w:sz="0" w:space="0" w:color="auto"/>
        <w:bottom w:val="none" w:sz="0" w:space="0" w:color="auto"/>
        <w:right w:val="none" w:sz="0" w:space="0" w:color="auto"/>
      </w:divBdr>
    </w:div>
    <w:div w:id="1588490552">
      <w:bodyDiv w:val="1"/>
      <w:marLeft w:val="0"/>
      <w:marRight w:val="0"/>
      <w:marTop w:val="0"/>
      <w:marBottom w:val="0"/>
      <w:divBdr>
        <w:top w:val="none" w:sz="0" w:space="0" w:color="auto"/>
        <w:left w:val="none" w:sz="0" w:space="0" w:color="auto"/>
        <w:bottom w:val="none" w:sz="0" w:space="0" w:color="auto"/>
        <w:right w:val="none" w:sz="0" w:space="0" w:color="auto"/>
      </w:divBdr>
    </w:div>
    <w:div w:id="1658420018">
      <w:bodyDiv w:val="1"/>
      <w:marLeft w:val="0"/>
      <w:marRight w:val="0"/>
      <w:marTop w:val="0"/>
      <w:marBottom w:val="0"/>
      <w:divBdr>
        <w:top w:val="none" w:sz="0" w:space="0" w:color="auto"/>
        <w:left w:val="none" w:sz="0" w:space="0" w:color="auto"/>
        <w:bottom w:val="none" w:sz="0" w:space="0" w:color="auto"/>
        <w:right w:val="none" w:sz="0" w:space="0" w:color="auto"/>
      </w:divBdr>
    </w:div>
    <w:div w:id="1757970062">
      <w:bodyDiv w:val="1"/>
      <w:marLeft w:val="0"/>
      <w:marRight w:val="0"/>
      <w:marTop w:val="0"/>
      <w:marBottom w:val="0"/>
      <w:divBdr>
        <w:top w:val="none" w:sz="0" w:space="0" w:color="auto"/>
        <w:left w:val="none" w:sz="0" w:space="0" w:color="auto"/>
        <w:bottom w:val="none" w:sz="0" w:space="0" w:color="auto"/>
        <w:right w:val="none" w:sz="0" w:space="0" w:color="auto"/>
      </w:divBdr>
      <w:divsChild>
        <w:div w:id="76831770">
          <w:marLeft w:val="0"/>
          <w:marRight w:val="0"/>
          <w:marTop w:val="0"/>
          <w:marBottom w:val="0"/>
          <w:divBdr>
            <w:top w:val="none" w:sz="0" w:space="0" w:color="auto"/>
            <w:left w:val="none" w:sz="0" w:space="0" w:color="auto"/>
            <w:bottom w:val="none" w:sz="0" w:space="0" w:color="auto"/>
            <w:right w:val="none" w:sz="0" w:space="0" w:color="auto"/>
          </w:divBdr>
          <w:divsChild>
            <w:div w:id="5638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6576">
      <w:bodyDiv w:val="1"/>
      <w:marLeft w:val="0"/>
      <w:marRight w:val="0"/>
      <w:marTop w:val="0"/>
      <w:marBottom w:val="0"/>
      <w:divBdr>
        <w:top w:val="none" w:sz="0" w:space="0" w:color="auto"/>
        <w:left w:val="none" w:sz="0" w:space="0" w:color="auto"/>
        <w:bottom w:val="none" w:sz="0" w:space="0" w:color="auto"/>
        <w:right w:val="none" w:sz="0" w:space="0" w:color="auto"/>
      </w:divBdr>
    </w:div>
    <w:div w:id="1966689193">
      <w:bodyDiv w:val="1"/>
      <w:marLeft w:val="0"/>
      <w:marRight w:val="0"/>
      <w:marTop w:val="0"/>
      <w:marBottom w:val="0"/>
      <w:divBdr>
        <w:top w:val="none" w:sz="0" w:space="0" w:color="auto"/>
        <w:left w:val="none" w:sz="0" w:space="0" w:color="auto"/>
        <w:bottom w:val="none" w:sz="0" w:space="0" w:color="auto"/>
        <w:right w:val="none" w:sz="0" w:space="0" w:color="auto"/>
      </w:divBdr>
    </w:div>
    <w:div w:id="2038502680">
      <w:bodyDiv w:val="1"/>
      <w:marLeft w:val="0"/>
      <w:marRight w:val="0"/>
      <w:marTop w:val="0"/>
      <w:marBottom w:val="0"/>
      <w:divBdr>
        <w:top w:val="none" w:sz="0" w:space="0" w:color="auto"/>
        <w:left w:val="none" w:sz="0" w:space="0" w:color="auto"/>
        <w:bottom w:val="none" w:sz="0" w:space="0" w:color="auto"/>
        <w:right w:val="none" w:sz="0" w:space="0" w:color="auto"/>
      </w:divBdr>
    </w:div>
    <w:div w:id="2047215179">
      <w:bodyDiv w:val="1"/>
      <w:marLeft w:val="0"/>
      <w:marRight w:val="0"/>
      <w:marTop w:val="0"/>
      <w:marBottom w:val="0"/>
      <w:divBdr>
        <w:top w:val="none" w:sz="0" w:space="0" w:color="auto"/>
        <w:left w:val="none" w:sz="0" w:space="0" w:color="auto"/>
        <w:bottom w:val="none" w:sz="0" w:space="0" w:color="auto"/>
        <w:right w:val="none" w:sz="0" w:space="0" w:color="auto"/>
      </w:divBdr>
    </w:div>
    <w:div w:id="21352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media/119856/download" TargetMode="External"/><Relationship Id="rId2" Type="http://schemas.openxmlformats.org/officeDocument/2006/relationships/hyperlink" Target="https://www.fda.gov/media/119855/download" TargetMode="External"/><Relationship Id="rId1" Type="http://schemas.openxmlformats.org/officeDocument/2006/relationships/hyperlink" Target="https://www.health.gov.au/resources/publications/2019-nip-funded-seasonal-influenza-vaccines-vaccine-guide-for-providers-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79E7-D3EF-49C1-8DFF-0B3E4ED8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7189</Words>
  <Characters>39702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2020-02-19T04:39:00Z</dcterms:created>
  <dcterms:modified xsi:type="dcterms:W3CDTF">2020-02-28T01:43:00Z</dcterms:modified>
</cp:coreProperties>
</file>