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9FA" w:rsidRDefault="00C54AE3" w:rsidP="005879FA">
      <w:pPr>
        <w:pStyle w:val="Title"/>
        <w:widowControl w:val="0"/>
        <w:spacing w:after="0"/>
        <w:ind w:left="720" w:hanging="720"/>
        <w:contextualSpacing w:val="0"/>
        <w:rPr>
          <w:rFonts w:ascii="Calibri" w:eastAsia="Times New Roman" w:hAnsi="Calibri" w:cs="Arial"/>
          <w:snapToGrid w:val="0"/>
          <w:spacing w:val="0"/>
          <w:kern w:val="0"/>
          <w:sz w:val="36"/>
          <w:szCs w:val="36"/>
          <w:lang w:eastAsia="en-US"/>
        </w:rPr>
      </w:pPr>
      <w:r w:rsidRPr="005879FA">
        <w:rPr>
          <w:rFonts w:ascii="Calibri" w:eastAsia="Times New Roman" w:hAnsi="Calibri" w:cs="Arial"/>
          <w:snapToGrid w:val="0"/>
          <w:spacing w:val="0"/>
          <w:kern w:val="0"/>
          <w:sz w:val="36"/>
          <w:szCs w:val="36"/>
          <w:lang w:eastAsia="en-US"/>
        </w:rPr>
        <w:t>5.14</w:t>
      </w:r>
      <w:r w:rsidRPr="005879FA">
        <w:rPr>
          <w:rFonts w:ascii="Calibri" w:eastAsia="Times New Roman" w:hAnsi="Calibri" w:cs="Arial"/>
          <w:snapToGrid w:val="0"/>
          <w:spacing w:val="0"/>
          <w:kern w:val="0"/>
          <w:sz w:val="36"/>
          <w:szCs w:val="36"/>
          <w:lang w:eastAsia="en-US"/>
        </w:rPr>
        <w:tab/>
        <w:t>ADALIMUMAB</w:t>
      </w:r>
      <w:r w:rsidR="00BF27A0" w:rsidRPr="005879FA">
        <w:rPr>
          <w:rFonts w:ascii="Calibri" w:eastAsia="Times New Roman" w:hAnsi="Calibri" w:cs="Arial"/>
          <w:snapToGrid w:val="0"/>
          <w:spacing w:val="0"/>
          <w:kern w:val="0"/>
          <w:sz w:val="36"/>
          <w:szCs w:val="36"/>
          <w:lang w:eastAsia="en-US"/>
        </w:rPr>
        <w:t>,</w:t>
      </w:r>
    </w:p>
    <w:p w:rsidR="00BF27A0" w:rsidRPr="005879FA" w:rsidRDefault="00C54AE3" w:rsidP="005879FA">
      <w:pPr>
        <w:ind w:left="720"/>
        <w:rPr>
          <w:rFonts w:asciiTheme="minorHAnsi" w:hAnsiTheme="minorHAnsi" w:cstheme="minorHAnsi"/>
          <w:b/>
          <w:bCs/>
          <w:snapToGrid w:val="0"/>
          <w:sz w:val="36"/>
          <w:szCs w:val="36"/>
          <w:lang w:eastAsia="en-US"/>
        </w:rPr>
      </w:pPr>
      <w:r w:rsidRPr="005879FA">
        <w:rPr>
          <w:rFonts w:asciiTheme="minorHAnsi" w:eastAsia="Calibri" w:hAnsiTheme="minorHAnsi" w:cstheme="minorHAnsi"/>
          <w:b/>
          <w:bCs/>
          <w:sz w:val="36"/>
          <w:szCs w:val="36"/>
        </w:rPr>
        <w:t xml:space="preserve">Injection 80mg </w:t>
      </w:r>
      <w:r w:rsidR="00C474EE" w:rsidRPr="005879FA">
        <w:rPr>
          <w:rFonts w:asciiTheme="minorHAnsi" w:eastAsia="Calibri" w:hAnsiTheme="minorHAnsi" w:cstheme="minorHAnsi"/>
          <w:b/>
          <w:bCs/>
          <w:sz w:val="36"/>
          <w:szCs w:val="36"/>
        </w:rPr>
        <w:t>in 0.8mL single use pre-filled s</w:t>
      </w:r>
      <w:r w:rsidRPr="005879FA">
        <w:rPr>
          <w:rFonts w:asciiTheme="minorHAnsi" w:eastAsia="Calibri" w:hAnsiTheme="minorHAnsi" w:cstheme="minorHAnsi"/>
          <w:b/>
          <w:bCs/>
          <w:sz w:val="36"/>
          <w:szCs w:val="36"/>
        </w:rPr>
        <w:t>yringe,</w:t>
      </w:r>
      <w:r w:rsidR="00F0383A" w:rsidRPr="005879FA">
        <w:rPr>
          <w:rFonts w:asciiTheme="minorHAnsi" w:eastAsia="Calibri" w:hAnsiTheme="minorHAnsi" w:cstheme="minorHAnsi"/>
          <w:b/>
          <w:bCs/>
          <w:sz w:val="36"/>
          <w:szCs w:val="36"/>
        </w:rPr>
        <w:br/>
      </w:r>
      <w:r w:rsidRPr="005879FA">
        <w:rPr>
          <w:rFonts w:asciiTheme="minorHAnsi" w:eastAsia="Calibri" w:hAnsiTheme="minorHAnsi" w:cstheme="minorHAnsi"/>
          <w:b/>
          <w:bCs/>
          <w:sz w:val="36"/>
          <w:szCs w:val="36"/>
        </w:rPr>
        <w:t xml:space="preserve">Injection 80mg in 0.8mL single use pre-filled pen, </w:t>
      </w:r>
      <w:r w:rsidR="00F0383A" w:rsidRPr="005879FA">
        <w:rPr>
          <w:rFonts w:asciiTheme="minorHAnsi" w:eastAsia="Calibri" w:hAnsiTheme="minorHAnsi" w:cstheme="minorHAnsi"/>
          <w:b/>
          <w:bCs/>
          <w:sz w:val="36"/>
          <w:szCs w:val="36"/>
        </w:rPr>
        <w:br/>
      </w:r>
      <w:bookmarkStart w:id="0" w:name="_GoBack"/>
      <w:r w:rsidRPr="005879FA">
        <w:rPr>
          <w:rFonts w:asciiTheme="minorHAnsi" w:eastAsia="Calibri" w:hAnsiTheme="minorHAnsi" w:cstheme="minorHAnsi"/>
          <w:b/>
          <w:bCs/>
          <w:sz w:val="36"/>
          <w:szCs w:val="36"/>
        </w:rPr>
        <w:t>Humira®,</w:t>
      </w:r>
      <w:r w:rsidR="00BF27A0" w:rsidRPr="005879FA">
        <w:rPr>
          <w:rFonts w:asciiTheme="minorHAnsi" w:eastAsia="Calibri" w:hAnsiTheme="minorHAnsi" w:cstheme="minorHAnsi"/>
          <w:b/>
          <w:bCs/>
          <w:sz w:val="36"/>
          <w:szCs w:val="36"/>
        </w:rPr>
        <w:t xml:space="preserve"> </w:t>
      </w:r>
    </w:p>
    <w:bookmarkEnd w:id="0"/>
    <w:p w:rsidR="00F0383A" w:rsidRPr="005879FA" w:rsidRDefault="00C54AE3" w:rsidP="005879FA">
      <w:pPr>
        <w:ind w:left="720"/>
        <w:rPr>
          <w:rFonts w:asciiTheme="minorHAnsi" w:eastAsia="Calibri" w:hAnsiTheme="minorHAnsi" w:cstheme="minorHAnsi"/>
          <w:b/>
          <w:bCs/>
          <w:sz w:val="36"/>
          <w:szCs w:val="36"/>
        </w:rPr>
      </w:pPr>
      <w:r w:rsidRPr="005879FA">
        <w:rPr>
          <w:rFonts w:asciiTheme="minorHAnsi" w:eastAsia="Calibri" w:hAnsiTheme="minorHAnsi" w:cstheme="minorHAnsi"/>
          <w:b/>
          <w:bCs/>
          <w:sz w:val="36"/>
          <w:szCs w:val="36"/>
        </w:rPr>
        <w:t>AbbVie Pty Ltd</w:t>
      </w:r>
    </w:p>
    <w:p w:rsidR="00BA2DA8" w:rsidRPr="00ED0B2B" w:rsidRDefault="00CE10C4" w:rsidP="00E0207E">
      <w:pPr>
        <w:pStyle w:val="2Sections"/>
        <w:numPr>
          <w:ilvl w:val="0"/>
          <w:numId w:val="44"/>
        </w:numPr>
      </w:pPr>
      <w:r w:rsidRPr="00ED0B2B">
        <w:t xml:space="preserve">Purpose of </w:t>
      </w:r>
      <w:r w:rsidR="0004240E" w:rsidRPr="00ED0B2B">
        <w:t>Application</w:t>
      </w:r>
      <w:r w:rsidR="00034905" w:rsidRPr="00ED0B2B">
        <w:t xml:space="preserve"> </w:t>
      </w:r>
    </w:p>
    <w:p w:rsidR="00EF44A0" w:rsidRPr="00ED0B2B" w:rsidRDefault="00EF44A0" w:rsidP="00710841">
      <w:pPr>
        <w:pStyle w:val="3Bodytext"/>
        <w:jc w:val="both"/>
      </w:pPr>
      <w:r w:rsidRPr="00ED0B2B">
        <w:t>The mi</w:t>
      </w:r>
      <w:r w:rsidR="00FF2801" w:rsidRPr="00ED0B2B">
        <w:t>nor submission requested</w:t>
      </w:r>
      <w:r w:rsidR="006A2E90" w:rsidRPr="00ED0B2B">
        <w:t xml:space="preserve"> </w:t>
      </w:r>
      <w:r w:rsidR="00E93879" w:rsidRPr="00ED0B2B">
        <w:t xml:space="preserve">an </w:t>
      </w:r>
      <w:r w:rsidR="002F5BA6" w:rsidRPr="00ED0B2B">
        <w:t xml:space="preserve">Authority Required listing of an additional strength </w:t>
      </w:r>
      <w:r w:rsidR="006A2E90" w:rsidRPr="00ED0B2B">
        <w:t>of adalimumab</w:t>
      </w:r>
      <w:r w:rsidR="002F5BA6" w:rsidRPr="00ED0B2B">
        <w:t>,</w:t>
      </w:r>
      <w:r w:rsidR="006A2E90" w:rsidRPr="00ED0B2B">
        <w:t xml:space="preserve"> </w:t>
      </w:r>
      <w:r w:rsidR="002F5BA6" w:rsidRPr="00ED0B2B">
        <w:t xml:space="preserve">injection </w:t>
      </w:r>
      <w:r w:rsidR="006A2E90" w:rsidRPr="00ED0B2B">
        <w:t>80</w:t>
      </w:r>
      <w:r w:rsidR="00466C1B" w:rsidRPr="00ED0B2B">
        <w:t> </w:t>
      </w:r>
      <w:r w:rsidR="006A2E90" w:rsidRPr="00ED0B2B">
        <w:t>mg</w:t>
      </w:r>
      <w:r w:rsidR="002F5BA6" w:rsidRPr="00ED0B2B">
        <w:t xml:space="preserve"> in 0.8</w:t>
      </w:r>
      <w:r w:rsidR="00466C1B" w:rsidRPr="00ED0B2B">
        <w:t> </w:t>
      </w:r>
      <w:r w:rsidR="002F5BA6" w:rsidRPr="00ED0B2B">
        <w:t>mL</w:t>
      </w:r>
      <w:r w:rsidR="006A2E90" w:rsidRPr="00ED0B2B">
        <w:t xml:space="preserve"> </w:t>
      </w:r>
      <w:r w:rsidR="002F5BA6" w:rsidRPr="00ED0B2B">
        <w:t>single use pre-filled syring</w:t>
      </w:r>
      <w:r w:rsidR="00D423AD" w:rsidRPr="00ED0B2B">
        <w:t>e</w:t>
      </w:r>
      <w:r w:rsidR="002F5BA6" w:rsidRPr="00ED0B2B">
        <w:t xml:space="preserve">/pen, for treatment of </w:t>
      </w:r>
      <w:r w:rsidR="005A2CBB" w:rsidRPr="00ED0B2B">
        <w:t xml:space="preserve">moderate to severe </w:t>
      </w:r>
      <w:r w:rsidR="006A2E90" w:rsidRPr="00ED0B2B">
        <w:t>hidradenitis suppurativ</w:t>
      </w:r>
      <w:r w:rsidR="00450D3A" w:rsidRPr="00ED0B2B">
        <w:t>a</w:t>
      </w:r>
      <w:r w:rsidR="006A2E90" w:rsidRPr="00ED0B2B">
        <w:t xml:space="preserve"> (HS)</w:t>
      </w:r>
      <w:r w:rsidR="002F5BA6" w:rsidRPr="00ED0B2B">
        <w:t>, under the same conditions as the current</w:t>
      </w:r>
      <w:r w:rsidR="00913BFB" w:rsidRPr="00ED0B2B">
        <w:t xml:space="preserve"> adalimumab 40</w:t>
      </w:r>
      <w:r w:rsidR="00466C1B" w:rsidRPr="00ED0B2B">
        <w:t> </w:t>
      </w:r>
      <w:r w:rsidR="00913BFB" w:rsidRPr="00ED0B2B">
        <w:t>mg</w:t>
      </w:r>
      <w:r w:rsidR="002F5BA6" w:rsidRPr="00ED0B2B">
        <w:t xml:space="preserve"> listings. The new form was requested to allow for fortnightly maintenance dosing.</w:t>
      </w:r>
    </w:p>
    <w:p w:rsidR="001A76FB" w:rsidRPr="00ED0B2B" w:rsidRDefault="006A12A5" w:rsidP="005A2CBB">
      <w:pPr>
        <w:pStyle w:val="2Sections"/>
      </w:pPr>
      <w:r w:rsidRPr="00ED0B2B">
        <w:t>Requested listing</w:t>
      </w:r>
    </w:p>
    <w:p w:rsidR="00FB1D4D" w:rsidRPr="00ED0B2B" w:rsidRDefault="00D25022" w:rsidP="00710841">
      <w:pPr>
        <w:pStyle w:val="3Bodytext"/>
        <w:jc w:val="both"/>
      </w:pPr>
      <w:r w:rsidRPr="00ED0B2B">
        <w:t>In this minor submission, t</w:t>
      </w:r>
      <w:r w:rsidR="00EF44A0" w:rsidRPr="00ED0B2B">
        <w:t xml:space="preserve">he </w:t>
      </w:r>
      <w:r w:rsidR="00FB1D4D" w:rsidRPr="00ED0B2B">
        <w:t>S</w:t>
      </w:r>
      <w:r w:rsidR="0076646D" w:rsidRPr="00ED0B2B">
        <w:t xml:space="preserve">ponsor </w:t>
      </w:r>
      <w:r w:rsidR="009C31B0" w:rsidRPr="00ED0B2B">
        <w:t>requested</w:t>
      </w:r>
      <w:r w:rsidR="00913BFB" w:rsidRPr="00ED0B2B">
        <w:t xml:space="preserve"> </w:t>
      </w:r>
      <w:r w:rsidR="009C31B0" w:rsidRPr="00ED0B2B">
        <w:t>the following new listings</w:t>
      </w:r>
      <w:r w:rsidR="006C17BB" w:rsidRPr="00ED0B2B">
        <w:t xml:space="preserve"> of adalimumab 80 mg to allow for maintenance dosing following </w:t>
      </w:r>
      <w:r w:rsidR="00B8536B" w:rsidRPr="00ED0B2B">
        <w:t xml:space="preserve">the </w:t>
      </w:r>
      <w:r w:rsidR="006C17BB" w:rsidRPr="00ED0B2B">
        <w:t>induction treatment phase</w:t>
      </w:r>
      <w:r w:rsidR="002F5BA6" w:rsidRPr="00ED0B2B">
        <w:t>.</w:t>
      </w:r>
      <w:r w:rsidR="00FF14AA" w:rsidRPr="00ED0B2B">
        <w:t xml:space="preserve"> </w:t>
      </w:r>
    </w:p>
    <w:p w:rsidR="00055087" w:rsidRPr="00ED0B2B" w:rsidRDefault="009C31B0" w:rsidP="00710841">
      <w:pPr>
        <w:pStyle w:val="3Bodytext"/>
        <w:jc w:val="both"/>
      </w:pPr>
      <w:r w:rsidRPr="00ED0B2B">
        <w:t>Suggestions and additions proposed by the Secretariat to the requested listing are added in italics and suggested deletions are crossed out with strikethrough.</w:t>
      </w:r>
    </w:p>
    <w:tbl>
      <w:tblPr>
        <w:tblW w:w="9214" w:type="dxa"/>
        <w:tblLayout w:type="fixed"/>
        <w:tblLook w:val="0000" w:firstRow="0" w:lastRow="0" w:firstColumn="0" w:lastColumn="0" w:noHBand="0" w:noVBand="0"/>
      </w:tblPr>
      <w:tblGrid>
        <w:gridCol w:w="2835"/>
        <w:gridCol w:w="426"/>
        <w:gridCol w:w="567"/>
        <w:gridCol w:w="708"/>
        <w:gridCol w:w="1843"/>
        <w:gridCol w:w="1559"/>
        <w:gridCol w:w="1276"/>
      </w:tblGrid>
      <w:tr w:rsidR="002F4056" w:rsidRPr="00ED0B2B" w:rsidTr="00476A10">
        <w:trPr>
          <w:cantSplit/>
          <w:trHeight w:val="471"/>
        </w:trPr>
        <w:tc>
          <w:tcPr>
            <w:tcW w:w="3261" w:type="dxa"/>
            <w:gridSpan w:val="2"/>
            <w:tcBorders>
              <w:bottom w:val="single" w:sz="4" w:space="0" w:color="auto"/>
            </w:tcBorders>
          </w:tcPr>
          <w:p w:rsidR="002F4056" w:rsidRPr="00ED0B2B" w:rsidRDefault="002F4056" w:rsidP="006C3927">
            <w:pPr>
              <w:keepNext/>
              <w:ind w:left="-108"/>
              <w:jc w:val="both"/>
              <w:rPr>
                <w:rFonts w:ascii="Arial Narrow" w:hAnsi="Arial Narrow" w:cs="Arial"/>
                <w:sz w:val="20"/>
                <w:szCs w:val="20"/>
              </w:rPr>
            </w:pPr>
            <w:r w:rsidRPr="00ED0B2B">
              <w:rPr>
                <w:rFonts w:ascii="Arial Narrow" w:hAnsi="Arial Narrow" w:cs="Arial"/>
                <w:sz w:val="20"/>
                <w:szCs w:val="20"/>
              </w:rPr>
              <w:t>Name, Restriction,</w:t>
            </w:r>
          </w:p>
          <w:p w:rsidR="002F4056" w:rsidRPr="00ED0B2B" w:rsidRDefault="002F4056" w:rsidP="006C3927">
            <w:pPr>
              <w:keepNext/>
              <w:ind w:left="-108"/>
              <w:jc w:val="both"/>
              <w:rPr>
                <w:rFonts w:ascii="Arial Narrow" w:hAnsi="Arial Narrow" w:cs="Arial"/>
                <w:sz w:val="20"/>
                <w:szCs w:val="20"/>
              </w:rPr>
            </w:pPr>
            <w:r w:rsidRPr="00ED0B2B">
              <w:rPr>
                <w:rFonts w:ascii="Arial Narrow" w:hAnsi="Arial Narrow" w:cs="Arial"/>
                <w:sz w:val="20"/>
                <w:szCs w:val="20"/>
              </w:rPr>
              <w:t>Manner of administration and form</w:t>
            </w:r>
          </w:p>
        </w:tc>
        <w:tc>
          <w:tcPr>
            <w:tcW w:w="567" w:type="dxa"/>
            <w:tcBorders>
              <w:bottom w:val="single" w:sz="4" w:space="0" w:color="auto"/>
            </w:tcBorders>
          </w:tcPr>
          <w:p w:rsidR="002F4056" w:rsidRPr="00ED0B2B" w:rsidRDefault="002F4056" w:rsidP="006C3927">
            <w:pPr>
              <w:keepNext/>
              <w:ind w:left="-108"/>
              <w:jc w:val="both"/>
              <w:rPr>
                <w:rFonts w:ascii="Arial Narrow" w:hAnsi="Arial Narrow" w:cs="Arial"/>
                <w:sz w:val="20"/>
                <w:szCs w:val="20"/>
              </w:rPr>
            </w:pPr>
            <w:r w:rsidRPr="00ED0B2B">
              <w:rPr>
                <w:rFonts w:ascii="Arial Narrow" w:hAnsi="Arial Narrow" w:cs="Arial"/>
                <w:sz w:val="20"/>
                <w:szCs w:val="20"/>
              </w:rPr>
              <w:t>Max.</w:t>
            </w:r>
          </w:p>
          <w:p w:rsidR="002F4056" w:rsidRPr="00ED0B2B" w:rsidRDefault="002F4056" w:rsidP="006C3927">
            <w:pPr>
              <w:keepNext/>
              <w:ind w:left="-108"/>
              <w:jc w:val="both"/>
              <w:rPr>
                <w:rFonts w:ascii="Arial Narrow" w:hAnsi="Arial Narrow" w:cs="Arial"/>
                <w:sz w:val="20"/>
                <w:szCs w:val="20"/>
              </w:rPr>
            </w:pPr>
            <w:r w:rsidRPr="00ED0B2B">
              <w:rPr>
                <w:rFonts w:ascii="Arial Narrow" w:hAnsi="Arial Narrow" w:cs="Arial"/>
                <w:sz w:val="20"/>
                <w:szCs w:val="20"/>
              </w:rPr>
              <w:t>Qty</w:t>
            </w:r>
          </w:p>
        </w:tc>
        <w:tc>
          <w:tcPr>
            <w:tcW w:w="708" w:type="dxa"/>
            <w:tcBorders>
              <w:bottom w:val="single" w:sz="4" w:space="0" w:color="auto"/>
            </w:tcBorders>
          </w:tcPr>
          <w:p w:rsidR="002F4056" w:rsidRPr="00ED0B2B" w:rsidRDefault="002F4056" w:rsidP="006C3927">
            <w:pPr>
              <w:keepNext/>
              <w:ind w:left="-108"/>
              <w:jc w:val="both"/>
              <w:rPr>
                <w:rFonts w:ascii="Arial Narrow" w:hAnsi="Arial Narrow" w:cs="Arial"/>
                <w:sz w:val="20"/>
                <w:szCs w:val="20"/>
              </w:rPr>
            </w:pPr>
            <w:r w:rsidRPr="00ED0B2B">
              <w:rPr>
                <w:rFonts w:ascii="Arial Narrow" w:hAnsi="Arial Narrow" w:cs="Arial"/>
                <w:sz w:val="20"/>
                <w:szCs w:val="20"/>
              </w:rPr>
              <w:t>№.of</w:t>
            </w:r>
          </w:p>
          <w:p w:rsidR="002F4056" w:rsidRPr="00ED0B2B" w:rsidRDefault="002F4056" w:rsidP="006C3927">
            <w:pPr>
              <w:keepNext/>
              <w:ind w:left="-108"/>
              <w:jc w:val="both"/>
              <w:rPr>
                <w:rFonts w:ascii="Arial Narrow" w:hAnsi="Arial Narrow" w:cs="Arial"/>
                <w:sz w:val="20"/>
                <w:szCs w:val="20"/>
              </w:rPr>
            </w:pPr>
            <w:r w:rsidRPr="00ED0B2B">
              <w:rPr>
                <w:rFonts w:ascii="Arial Narrow" w:hAnsi="Arial Narrow" w:cs="Arial"/>
                <w:sz w:val="20"/>
                <w:szCs w:val="20"/>
              </w:rPr>
              <w:t>Rpts</w:t>
            </w:r>
          </w:p>
        </w:tc>
        <w:tc>
          <w:tcPr>
            <w:tcW w:w="1843" w:type="dxa"/>
            <w:tcBorders>
              <w:bottom w:val="single" w:sz="4" w:space="0" w:color="auto"/>
            </w:tcBorders>
          </w:tcPr>
          <w:p w:rsidR="002F4056" w:rsidRPr="00ED0B2B" w:rsidRDefault="002F4056" w:rsidP="006C3927">
            <w:pPr>
              <w:keepNext/>
              <w:ind w:left="-108"/>
              <w:jc w:val="both"/>
              <w:rPr>
                <w:rFonts w:ascii="Arial Narrow" w:hAnsi="Arial Narrow" w:cs="Arial"/>
                <w:sz w:val="20"/>
                <w:szCs w:val="20"/>
              </w:rPr>
            </w:pPr>
            <w:r w:rsidRPr="00ED0B2B">
              <w:rPr>
                <w:rFonts w:ascii="Arial Narrow" w:hAnsi="Arial Narrow" w:cs="Arial"/>
                <w:sz w:val="20"/>
                <w:szCs w:val="20"/>
              </w:rPr>
              <w:t>Dispensed Price for Max. Qty</w:t>
            </w:r>
            <w:r w:rsidR="00C26459" w:rsidRPr="00ED0B2B">
              <w:rPr>
                <w:rFonts w:ascii="Arial Narrow" w:hAnsi="Arial Narrow" w:cs="Arial"/>
                <w:sz w:val="20"/>
                <w:szCs w:val="20"/>
              </w:rPr>
              <w:t xml:space="preserve"> (Published)</w:t>
            </w:r>
          </w:p>
        </w:tc>
        <w:tc>
          <w:tcPr>
            <w:tcW w:w="2835" w:type="dxa"/>
            <w:gridSpan w:val="2"/>
            <w:tcBorders>
              <w:bottom w:val="single" w:sz="4" w:space="0" w:color="auto"/>
            </w:tcBorders>
          </w:tcPr>
          <w:p w:rsidR="002F4056" w:rsidRPr="00ED0B2B" w:rsidRDefault="002F4056" w:rsidP="006C3927">
            <w:pPr>
              <w:keepNext/>
              <w:jc w:val="both"/>
              <w:rPr>
                <w:rFonts w:ascii="Arial Narrow" w:hAnsi="Arial Narrow" w:cs="Arial"/>
                <w:sz w:val="20"/>
                <w:szCs w:val="20"/>
              </w:rPr>
            </w:pPr>
            <w:r w:rsidRPr="00ED0B2B">
              <w:rPr>
                <w:rFonts w:ascii="Arial Narrow" w:hAnsi="Arial Narrow" w:cs="Arial"/>
                <w:sz w:val="20"/>
                <w:szCs w:val="20"/>
              </w:rPr>
              <w:t>Proprietary Name and Manufacturer</w:t>
            </w:r>
          </w:p>
        </w:tc>
      </w:tr>
      <w:tr w:rsidR="002F4056" w:rsidRPr="00ED0B2B" w:rsidTr="00476A10">
        <w:trPr>
          <w:cantSplit/>
          <w:trHeight w:val="577"/>
        </w:trPr>
        <w:tc>
          <w:tcPr>
            <w:tcW w:w="3261" w:type="dxa"/>
            <w:gridSpan w:val="2"/>
          </w:tcPr>
          <w:p w:rsidR="00B41478" w:rsidRPr="00ED0B2B" w:rsidRDefault="00B41478" w:rsidP="006D1720">
            <w:pPr>
              <w:keepNext/>
              <w:ind w:left="-108"/>
              <w:jc w:val="both"/>
              <w:rPr>
                <w:rFonts w:ascii="Arial Narrow" w:hAnsi="Arial Narrow" w:cs="Arial"/>
                <w:sz w:val="20"/>
                <w:szCs w:val="20"/>
              </w:rPr>
            </w:pPr>
            <w:r w:rsidRPr="00ED0B2B">
              <w:rPr>
                <w:rFonts w:ascii="Arial Narrow" w:hAnsi="Arial Narrow" w:cs="Arial"/>
                <w:smallCaps/>
                <w:sz w:val="20"/>
                <w:szCs w:val="20"/>
              </w:rPr>
              <w:t>ADALIMUMAB</w:t>
            </w:r>
            <w:r w:rsidR="006D1720" w:rsidRPr="00ED0B2B">
              <w:rPr>
                <w:rFonts w:ascii="Arial Narrow" w:hAnsi="Arial Narrow" w:cs="Arial"/>
                <w:smallCaps/>
                <w:sz w:val="20"/>
                <w:szCs w:val="20"/>
              </w:rPr>
              <w:t xml:space="preserve"> </w:t>
            </w:r>
            <w:r w:rsidRPr="00ED0B2B">
              <w:rPr>
                <w:rFonts w:ascii="Arial Narrow" w:hAnsi="Arial Narrow" w:cs="Arial"/>
                <w:sz w:val="20"/>
                <w:szCs w:val="20"/>
              </w:rPr>
              <w:t xml:space="preserve">80 mg/0.8 mL </w:t>
            </w:r>
            <w:r w:rsidR="000917A8" w:rsidRPr="00ED0B2B">
              <w:rPr>
                <w:rFonts w:ascii="Arial Narrow" w:hAnsi="Arial Narrow" w:cs="Arial"/>
                <w:sz w:val="20"/>
                <w:szCs w:val="20"/>
              </w:rPr>
              <w:t>injection</w:t>
            </w:r>
            <w:r w:rsidRPr="00ED0B2B">
              <w:rPr>
                <w:rFonts w:ascii="Arial Narrow" w:hAnsi="Arial Narrow" w:cs="Arial"/>
                <w:sz w:val="20"/>
                <w:szCs w:val="20"/>
              </w:rPr>
              <w:t xml:space="preserve">, 0.8 mL </w:t>
            </w:r>
            <w:r w:rsidR="00C16C4A" w:rsidRPr="00ED0B2B">
              <w:rPr>
                <w:rFonts w:ascii="Arial Narrow" w:hAnsi="Arial Narrow" w:cs="Arial"/>
                <w:sz w:val="20"/>
                <w:szCs w:val="20"/>
              </w:rPr>
              <w:t>s</w:t>
            </w:r>
            <w:r w:rsidRPr="00ED0B2B">
              <w:rPr>
                <w:rFonts w:ascii="Arial Narrow" w:hAnsi="Arial Narrow" w:cs="Arial"/>
                <w:sz w:val="20"/>
                <w:szCs w:val="20"/>
              </w:rPr>
              <w:t>yringe</w:t>
            </w:r>
          </w:p>
        </w:tc>
        <w:tc>
          <w:tcPr>
            <w:tcW w:w="567" w:type="dxa"/>
          </w:tcPr>
          <w:p w:rsidR="002F4056" w:rsidRPr="00ED0B2B" w:rsidRDefault="002F4056" w:rsidP="007A16AC">
            <w:pPr>
              <w:keepNext/>
              <w:ind w:left="-108"/>
              <w:jc w:val="center"/>
              <w:rPr>
                <w:rFonts w:ascii="Arial Narrow" w:hAnsi="Arial Narrow" w:cs="Arial"/>
                <w:sz w:val="20"/>
                <w:szCs w:val="20"/>
              </w:rPr>
            </w:pPr>
            <w:r w:rsidRPr="00ED0B2B">
              <w:rPr>
                <w:rFonts w:ascii="Arial Narrow" w:hAnsi="Arial Narrow" w:cs="Arial"/>
                <w:sz w:val="20"/>
                <w:szCs w:val="20"/>
              </w:rPr>
              <w:t>2</w:t>
            </w:r>
          </w:p>
          <w:p w:rsidR="002F4056" w:rsidRPr="00ED0B2B" w:rsidRDefault="002F4056" w:rsidP="007A16AC">
            <w:pPr>
              <w:keepNext/>
              <w:ind w:left="-108"/>
              <w:jc w:val="center"/>
              <w:rPr>
                <w:rFonts w:ascii="Arial Narrow" w:hAnsi="Arial Narrow" w:cs="Arial"/>
                <w:sz w:val="20"/>
                <w:szCs w:val="20"/>
              </w:rPr>
            </w:pPr>
          </w:p>
        </w:tc>
        <w:tc>
          <w:tcPr>
            <w:tcW w:w="708" w:type="dxa"/>
          </w:tcPr>
          <w:p w:rsidR="002F4056" w:rsidRPr="00ED0B2B" w:rsidRDefault="002F4056" w:rsidP="006C3927">
            <w:pPr>
              <w:keepNext/>
              <w:ind w:left="-108"/>
              <w:jc w:val="both"/>
              <w:rPr>
                <w:rFonts w:ascii="Arial Narrow" w:hAnsi="Arial Narrow" w:cs="Arial"/>
                <w:sz w:val="20"/>
                <w:szCs w:val="20"/>
              </w:rPr>
            </w:pPr>
            <w:r w:rsidRPr="00ED0B2B">
              <w:rPr>
                <w:rFonts w:ascii="Arial Narrow" w:hAnsi="Arial Narrow" w:cs="Arial"/>
                <w:sz w:val="20"/>
                <w:szCs w:val="20"/>
              </w:rPr>
              <w:t>2</w:t>
            </w:r>
          </w:p>
        </w:tc>
        <w:tc>
          <w:tcPr>
            <w:tcW w:w="1843" w:type="dxa"/>
          </w:tcPr>
          <w:p w:rsidR="002F4056" w:rsidRPr="00ED0B2B" w:rsidRDefault="002F4056" w:rsidP="00014E0B">
            <w:pPr>
              <w:keepNext/>
              <w:jc w:val="both"/>
              <w:rPr>
                <w:rFonts w:ascii="Arial Narrow" w:hAnsi="Arial Narrow" w:cs="Arial"/>
                <w:sz w:val="20"/>
                <w:szCs w:val="20"/>
              </w:rPr>
            </w:pPr>
            <w:r w:rsidRPr="00ED0B2B">
              <w:rPr>
                <w:rFonts w:ascii="Arial Narrow" w:hAnsi="Arial Narrow" w:cs="Arial"/>
                <w:sz w:val="20"/>
                <w:szCs w:val="20"/>
              </w:rPr>
              <w:t>$</w:t>
            </w:r>
            <w:r w:rsidR="00956E42">
              <w:rPr>
                <w:rFonts w:ascii="Arial Narrow" w:hAnsi="Arial Narrow" w:cs="Arial"/>
                <w:strike/>
                <w:noProof/>
                <w:color w:val="000000"/>
                <w:sz w:val="20"/>
                <w:szCs w:val="20"/>
                <w:highlight w:val="black"/>
              </w:rPr>
              <w:t xml:space="preserve">''''''''''''''''''''''' </w:t>
            </w:r>
            <w:r w:rsidR="00956E42">
              <w:rPr>
                <w:rFonts w:ascii="Arial Narrow" w:hAnsi="Arial Narrow" w:cs="Arial"/>
                <w:i/>
                <w:noProof/>
                <w:color w:val="000000"/>
                <w:sz w:val="20"/>
                <w:szCs w:val="20"/>
                <w:highlight w:val="black"/>
              </w:rPr>
              <w:t>'''''''''''''''''''''''</w:t>
            </w:r>
          </w:p>
        </w:tc>
        <w:tc>
          <w:tcPr>
            <w:tcW w:w="1559" w:type="dxa"/>
          </w:tcPr>
          <w:p w:rsidR="002F4056" w:rsidRPr="00ED0B2B" w:rsidRDefault="002F4056" w:rsidP="006C3927">
            <w:pPr>
              <w:keepNext/>
              <w:jc w:val="both"/>
              <w:rPr>
                <w:rFonts w:ascii="Arial Narrow" w:hAnsi="Arial Narrow" w:cs="Arial"/>
                <w:sz w:val="20"/>
                <w:szCs w:val="20"/>
              </w:rPr>
            </w:pPr>
            <w:r w:rsidRPr="00ED0B2B">
              <w:rPr>
                <w:rFonts w:ascii="Arial Narrow" w:hAnsi="Arial Narrow" w:cs="Arial"/>
                <w:sz w:val="20"/>
                <w:szCs w:val="20"/>
              </w:rPr>
              <w:t>Humira</w:t>
            </w:r>
            <w:r w:rsidR="00B41478" w:rsidRPr="00ED0B2B">
              <w:rPr>
                <w:rFonts w:ascii="Arial Narrow" w:hAnsi="Arial Narrow" w:cs="Arial"/>
                <w:sz w:val="20"/>
                <w:szCs w:val="20"/>
              </w:rPr>
              <w:t>®</w:t>
            </w:r>
          </w:p>
        </w:tc>
        <w:tc>
          <w:tcPr>
            <w:tcW w:w="1276" w:type="dxa"/>
          </w:tcPr>
          <w:p w:rsidR="002F4056" w:rsidRPr="00ED0B2B" w:rsidRDefault="00E84BB6" w:rsidP="006C3927">
            <w:pPr>
              <w:keepNext/>
              <w:jc w:val="both"/>
              <w:rPr>
                <w:rFonts w:ascii="Arial Narrow" w:hAnsi="Arial Narrow" w:cs="Arial"/>
                <w:sz w:val="20"/>
                <w:szCs w:val="20"/>
              </w:rPr>
            </w:pPr>
            <w:r w:rsidRPr="00ED0B2B">
              <w:rPr>
                <w:rFonts w:ascii="Arial Narrow" w:hAnsi="Arial Narrow" w:cs="Arial"/>
                <w:sz w:val="20"/>
                <w:szCs w:val="20"/>
              </w:rPr>
              <w:t>AbbVi</w:t>
            </w:r>
            <w:r w:rsidR="002F4056" w:rsidRPr="00ED0B2B">
              <w:rPr>
                <w:rFonts w:ascii="Arial Narrow" w:hAnsi="Arial Narrow" w:cs="Arial"/>
                <w:sz w:val="20"/>
                <w:szCs w:val="20"/>
              </w:rPr>
              <w:t>e</w:t>
            </w:r>
          </w:p>
        </w:tc>
      </w:tr>
      <w:tr w:rsidR="006D1720" w:rsidRPr="00ED0B2B" w:rsidTr="00476A10">
        <w:trPr>
          <w:cantSplit/>
          <w:trHeight w:val="577"/>
        </w:trPr>
        <w:tc>
          <w:tcPr>
            <w:tcW w:w="3261" w:type="dxa"/>
            <w:gridSpan w:val="2"/>
          </w:tcPr>
          <w:p w:rsidR="006D1720" w:rsidRPr="00ED0B2B" w:rsidRDefault="006D1720" w:rsidP="006D1720">
            <w:pPr>
              <w:keepNext/>
              <w:ind w:left="-108"/>
              <w:jc w:val="both"/>
              <w:rPr>
                <w:rFonts w:ascii="Arial Narrow" w:hAnsi="Arial Narrow" w:cs="Arial"/>
                <w:smallCaps/>
                <w:sz w:val="20"/>
                <w:szCs w:val="20"/>
              </w:rPr>
            </w:pPr>
            <w:r w:rsidRPr="00ED0B2B">
              <w:rPr>
                <w:rFonts w:ascii="Arial Narrow" w:hAnsi="Arial Narrow" w:cs="Arial"/>
                <w:smallCaps/>
                <w:sz w:val="20"/>
                <w:szCs w:val="20"/>
              </w:rPr>
              <w:t xml:space="preserve">ADALIMUMAB </w:t>
            </w:r>
            <w:r w:rsidRPr="00ED0B2B">
              <w:rPr>
                <w:rFonts w:ascii="Arial Narrow" w:hAnsi="Arial Narrow" w:cs="Arial"/>
                <w:sz w:val="20"/>
                <w:szCs w:val="20"/>
              </w:rPr>
              <w:t>80 mg/0.8 mL injection, 0.8 mL pen device</w:t>
            </w:r>
          </w:p>
        </w:tc>
        <w:tc>
          <w:tcPr>
            <w:tcW w:w="567" w:type="dxa"/>
          </w:tcPr>
          <w:p w:rsidR="006D1720" w:rsidRPr="00ED0B2B" w:rsidRDefault="006D1720" w:rsidP="007A16AC">
            <w:pPr>
              <w:keepNext/>
              <w:ind w:left="-108"/>
              <w:jc w:val="center"/>
              <w:rPr>
                <w:rFonts w:ascii="Arial Narrow" w:hAnsi="Arial Narrow" w:cs="Arial"/>
                <w:sz w:val="20"/>
                <w:szCs w:val="20"/>
              </w:rPr>
            </w:pPr>
            <w:r w:rsidRPr="00ED0B2B">
              <w:rPr>
                <w:rFonts w:ascii="Arial Narrow" w:hAnsi="Arial Narrow" w:cs="Arial"/>
                <w:sz w:val="20"/>
                <w:szCs w:val="20"/>
              </w:rPr>
              <w:t>2</w:t>
            </w:r>
          </w:p>
          <w:p w:rsidR="006D1720" w:rsidRPr="00ED0B2B" w:rsidRDefault="006D1720" w:rsidP="007A16AC">
            <w:pPr>
              <w:keepNext/>
              <w:ind w:left="-108"/>
              <w:jc w:val="center"/>
              <w:rPr>
                <w:rFonts w:ascii="Arial Narrow" w:hAnsi="Arial Narrow" w:cs="Arial"/>
                <w:sz w:val="20"/>
                <w:szCs w:val="20"/>
              </w:rPr>
            </w:pPr>
          </w:p>
        </w:tc>
        <w:tc>
          <w:tcPr>
            <w:tcW w:w="708" w:type="dxa"/>
          </w:tcPr>
          <w:p w:rsidR="006D1720" w:rsidRPr="00ED0B2B" w:rsidRDefault="006D1720" w:rsidP="006D1720">
            <w:pPr>
              <w:keepNext/>
              <w:ind w:left="-108"/>
              <w:jc w:val="both"/>
              <w:rPr>
                <w:rFonts w:ascii="Arial Narrow" w:hAnsi="Arial Narrow" w:cs="Arial"/>
                <w:sz w:val="20"/>
                <w:szCs w:val="20"/>
              </w:rPr>
            </w:pPr>
            <w:r w:rsidRPr="00ED0B2B">
              <w:rPr>
                <w:rFonts w:ascii="Arial Narrow" w:hAnsi="Arial Narrow" w:cs="Arial"/>
                <w:sz w:val="20"/>
                <w:szCs w:val="20"/>
              </w:rPr>
              <w:t>2</w:t>
            </w:r>
          </w:p>
        </w:tc>
        <w:tc>
          <w:tcPr>
            <w:tcW w:w="1843" w:type="dxa"/>
          </w:tcPr>
          <w:p w:rsidR="006D1720" w:rsidRPr="00ED0B2B" w:rsidRDefault="006D1720" w:rsidP="00014E0B">
            <w:pPr>
              <w:keepNext/>
              <w:jc w:val="both"/>
              <w:rPr>
                <w:rFonts w:ascii="Arial Narrow" w:hAnsi="Arial Narrow" w:cs="Arial"/>
                <w:sz w:val="20"/>
                <w:szCs w:val="20"/>
              </w:rPr>
            </w:pPr>
            <w:r w:rsidRPr="00ED0B2B">
              <w:rPr>
                <w:rFonts w:ascii="Arial Narrow" w:hAnsi="Arial Narrow" w:cs="Arial"/>
                <w:strike/>
                <w:sz w:val="20"/>
                <w:szCs w:val="20"/>
              </w:rPr>
              <w:t>$</w:t>
            </w:r>
            <w:r w:rsidR="00956E42">
              <w:rPr>
                <w:rFonts w:ascii="Arial Narrow" w:hAnsi="Arial Narrow" w:cs="Arial"/>
                <w:strike/>
                <w:noProof/>
                <w:color w:val="000000"/>
                <w:sz w:val="20"/>
                <w:szCs w:val="20"/>
                <w:highlight w:val="black"/>
              </w:rPr>
              <w:t xml:space="preserve">''''''''''''''''''' </w:t>
            </w:r>
            <w:r w:rsidR="00956E42">
              <w:rPr>
                <w:rFonts w:ascii="Arial Narrow" w:hAnsi="Arial Narrow" w:cs="Arial"/>
                <w:i/>
                <w:noProof/>
                <w:color w:val="000000"/>
                <w:sz w:val="20"/>
                <w:szCs w:val="20"/>
                <w:highlight w:val="black"/>
              </w:rPr>
              <w:t>''''''''''''''''''''''''</w:t>
            </w:r>
          </w:p>
        </w:tc>
        <w:tc>
          <w:tcPr>
            <w:tcW w:w="1559" w:type="dxa"/>
          </w:tcPr>
          <w:p w:rsidR="006D1720" w:rsidRPr="00ED0B2B" w:rsidRDefault="006D1720" w:rsidP="006D1720">
            <w:pPr>
              <w:keepNext/>
              <w:jc w:val="both"/>
              <w:rPr>
                <w:rFonts w:ascii="Arial Narrow" w:hAnsi="Arial Narrow" w:cs="Arial"/>
                <w:sz w:val="20"/>
                <w:szCs w:val="20"/>
              </w:rPr>
            </w:pPr>
          </w:p>
        </w:tc>
        <w:tc>
          <w:tcPr>
            <w:tcW w:w="1276" w:type="dxa"/>
          </w:tcPr>
          <w:p w:rsidR="006D1720" w:rsidRPr="00ED0B2B" w:rsidRDefault="006D1720" w:rsidP="006D1720">
            <w:pPr>
              <w:keepNext/>
              <w:jc w:val="both"/>
              <w:rPr>
                <w:rFonts w:ascii="Arial Narrow" w:hAnsi="Arial Narrow" w:cs="Arial"/>
                <w:sz w:val="20"/>
                <w:szCs w:val="20"/>
              </w:rPr>
            </w:pPr>
          </w:p>
        </w:tc>
      </w:tr>
      <w:tr w:rsidR="006D1720" w:rsidRPr="00ED0B2B" w:rsidTr="007A16A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GENERAL – General Schedule (Code GE)</w:t>
            </w:r>
          </w:p>
        </w:tc>
      </w:tr>
      <w:tr w:rsidR="006D1720" w:rsidRPr="00ED0B2B" w:rsidTr="007A16A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Check1"/>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Dental  </w:t>
            </w:r>
            <w:r w:rsidRPr="00ED0B2B">
              <w:rPr>
                <w:rFonts w:ascii="Arial Narrow" w:hAnsi="Arial Narrow" w:cs="Arial"/>
                <w:sz w:val="20"/>
                <w:szCs w:val="20"/>
              </w:rPr>
              <w:fldChar w:fldCharType="begin">
                <w:ffData>
                  <w:name w:val=""/>
                  <w:enabled/>
                  <w:calcOnExit w:val="0"/>
                  <w:checkBox>
                    <w:sizeAuto/>
                    <w:default w:val="1"/>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Medical Practitioners  </w:t>
            </w:r>
            <w:r w:rsidRPr="00ED0B2B">
              <w:rPr>
                <w:rFonts w:ascii="Arial Narrow" w:hAnsi="Arial Narrow" w:cs="Arial"/>
                <w:sz w:val="20"/>
                <w:szCs w:val="20"/>
              </w:rPr>
              <w:fldChar w:fldCharType="begin">
                <w:ffData>
                  <w:name w:val="Check3"/>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Nurse practitioners  </w:t>
            </w:r>
            <w:r w:rsidRPr="00ED0B2B">
              <w:rPr>
                <w:rFonts w:ascii="Arial Narrow" w:hAnsi="Arial Narrow" w:cs="Arial"/>
                <w:sz w:val="20"/>
                <w:szCs w:val="20"/>
              </w:rPr>
              <w:fldChar w:fldCharType="begin">
                <w:ffData>
                  <w:name w:val=""/>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Optometrists</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Check5"/>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Midwives</w:t>
            </w:r>
          </w:p>
        </w:tc>
      </w:tr>
      <w:tr w:rsidR="006D1720" w:rsidRPr="00ED0B2B" w:rsidTr="00B8536B">
        <w:trPr>
          <w:cantSplit/>
          <w:trHeight w:val="276"/>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D1720" w:rsidRPr="00ED0B2B" w:rsidRDefault="006D1720" w:rsidP="006D1720">
            <w:pPr>
              <w:rPr>
                <w:rFonts w:ascii="Arial Narrow" w:hAnsi="Arial Narrow" w:cs="Arial"/>
                <w:sz w:val="20"/>
                <w:szCs w:val="20"/>
              </w:rPr>
            </w:pPr>
            <w:r w:rsidRPr="00ED0B2B">
              <w:rPr>
                <w:rFonts w:ascii="Arial Narrow" w:hAnsi="Arial Narrow" w:cs="Arial"/>
                <w:sz w:val="20"/>
                <w:szCs w:val="20"/>
              </w:rPr>
              <w:t>Moderate to severe</w:t>
            </w:r>
          </w:p>
        </w:tc>
      </w:tr>
      <w:tr w:rsidR="006D1720" w:rsidRPr="00ED0B2B" w:rsidTr="00B8536B">
        <w:trPr>
          <w:cantSplit/>
          <w:trHeight w:val="195"/>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hidradenitis suppurativa</w:t>
            </w:r>
          </w:p>
        </w:tc>
      </w:tr>
      <w:tr w:rsidR="006D1720" w:rsidRPr="00ED0B2B" w:rsidTr="00B8536B">
        <w:trPr>
          <w:cantSplit/>
          <w:trHeight w:val="243"/>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Moderate to severe hidradenitis suppurativa</w:t>
            </w:r>
          </w:p>
        </w:tc>
      </w:tr>
      <w:tr w:rsidR="006D1720" w:rsidRPr="00ED0B2B" w:rsidTr="007A16A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 xml:space="preserve">Initial treatment 1 - New patient </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 xml:space="preserve">or </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Initial treatment 2 - Recommencement of treatment - balance of supply</w:t>
            </w:r>
          </w:p>
        </w:tc>
      </w:tr>
      <w:tr w:rsidR="006D1720" w:rsidRPr="00ED0B2B" w:rsidTr="007A16A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Restriction Level / Method:</w:t>
            </w:r>
          </w:p>
          <w:p w:rsidR="006D1720" w:rsidRPr="00ED0B2B" w:rsidRDefault="006D1720" w:rsidP="006D1720">
            <w:pPr>
              <w:jc w:val="both"/>
              <w:rPr>
                <w:rFonts w:ascii="Arial Narrow" w:hAnsi="Arial Narrow" w:cs="Arial"/>
                <w:i/>
                <w:sz w:val="20"/>
                <w:szCs w:val="20"/>
              </w:rPr>
            </w:pPr>
          </w:p>
          <w:p w:rsidR="006D1720" w:rsidRPr="00ED0B2B" w:rsidRDefault="006D1720" w:rsidP="006D1720">
            <w:pPr>
              <w:jc w:val="both"/>
              <w:rPr>
                <w:rFonts w:ascii="Arial Narrow" w:hAnsi="Arial Narrow" w:cs="Arial"/>
                <w:i/>
                <w:sz w:val="20"/>
                <w:szCs w:val="20"/>
              </w:rPr>
            </w:pPr>
          </w:p>
          <w:p w:rsidR="006D1720" w:rsidRPr="00ED0B2B" w:rsidRDefault="006D1720" w:rsidP="006D1720">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Check1"/>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Restricted benefit</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Authority Required – In Writing</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Check3"/>
                  <w:enabled/>
                  <w:calcOnExit w:val="0"/>
                  <w:checkBox>
                    <w:sizeAuto/>
                    <w:default w:val="1"/>
                  </w:checkBox>
                </w:ffData>
              </w:fldChar>
            </w:r>
            <w:bookmarkStart w:id="1" w:name="Check3"/>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bookmarkEnd w:id="1"/>
            <w:r w:rsidRPr="00ED0B2B">
              <w:rPr>
                <w:rFonts w:ascii="Arial Narrow" w:hAnsi="Arial Narrow" w:cs="Arial"/>
                <w:sz w:val="20"/>
                <w:szCs w:val="20"/>
              </w:rPr>
              <w:t>Authority Required – Telephone/Electronic/Emergency</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Check5"/>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Streamlined</w:t>
            </w:r>
          </w:p>
        </w:tc>
      </w:tr>
      <w:tr w:rsidR="006D1720" w:rsidRPr="00ED0B2B" w:rsidTr="00B8536B">
        <w:trPr>
          <w:cantSplit/>
          <w:trHeight w:val="229"/>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D423AD">
            <w:pPr>
              <w:jc w:val="both"/>
              <w:rPr>
                <w:rFonts w:ascii="Arial Narrow" w:hAnsi="Arial Narrow" w:cs="Arial"/>
                <w:b/>
                <w:sz w:val="20"/>
                <w:szCs w:val="20"/>
              </w:rPr>
            </w:pPr>
            <w:r w:rsidRPr="00ED0B2B">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6D1720" w:rsidRPr="00ED0B2B" w:rsidRDefault="006D1720" w:rsidP="00B8536B">
            <w:pPr>
              <w:jc w:val="both"/>
              <w:rPr>
                <w:rFonts w:ascii="Arial Narrow" w:hAnsi="Arial Narrow" w:cs="Arial"/>
                <w:sz w:val="20"/>
                <w:szCs w:val="20"/>
              </w:rPr>
            </w:pPr>
            <w:r w:rsidRPr="00ED0B2B">
              <w:rPr>
                <w:rFonts w:ascii="Arial Narrow" w:hAnsi="Arial Narrow" w:cs="Arial"/>
                <w:sz w:val="20"/>
                <w:szCs w:val="20"/>
              </w:rPr>
              <w:t>Must be treated by a dermatologist.</w:t>
            </w:r>
          </w:p>
        </w:tc>
      </w:tr>
      <w:tr w:rsidR="006D1720" w:rsidRPr="00ED0B2B" w:rsidTr="007A16AC">
        <w:trPr>
          <w:cantSplit/>
          <w:trHeight w:val="657"/>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lastRenderedPageBreak/>
              <w:t>Clinical criteria:</w:t>
            </w:r>
          </w:p>
          <w:p w:rsidR="006D1720" w:rsidRPr="00ED0B2B" w:rsidRDefault="006D1720" w:rsidP="006D1720">
            <w:pPr>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D1720" w:rsidRPr="00ED0B2B" w:rsidRDefault="006D1720" w:rsidP="00B8536B">
            <w:pPr>
              <w:jc w:val="both"/>
              <w:rPr>
                <w:rFonts w:ascii="Arial Narrow" w:hAnsi="Arial Narrow" w:cs="Arial"/>
                <w:sz w:val="20"/>
                <w:szCs w:val="20"/>
              </w:rPr>
            </w:pPr>
            <w:r w:rsidRPr="00ED0B2B">
              <w:rPr>
                <w:rFonts w:ascii="Arial Narrow" w:hAnsi="Arial Narrow" w:cs="Arial"/>
                <w:sz w:val="20"/>
                <w:szCs w:val="20"/>
              </w:rPr>
              <w:t xml:space="preserve">Patient must have received insufficient therapy with this drug for this condition under the Initial treatment 1 - New patient restriction to complete a maximum of 16 weeks treatment; </w:t>
            </w:r>
          </w:p>
          <w:p w:rsidR="006D1720" w:rsidRPr="00ED0B2B" w:rsidRDefault="006D1720" w:rsidP="00B8536B">
            <w:pPr>
              <w:jc w:val="both"/>
              <w:rPr>
                <w:rFonts w:ascii="Arial Narrow" w:hAnsi="Arial Narrow" w:cs="Arial"/>
                <w:sz w:val="20"/>
                <w:szCs w:val="20"/>
              </w:rPr>
            </w:pPr>
            <w:r w:rsidRPr="00ED0B2B">
              <w:rPr>
                <w:rFonts w:ascii="Arial Narrow" w:hAnsi="Arial Narrow" w:cs="Arial"/>
                <w:sz w:val="20"/>
                <w:szCs w:val="20"/>
              </w:rPr>
              <w:t>OR</w:t>
            </w:r>
          </w:p>
          <w:p w:rsidR="006D1720" w:rsidRPr="00ED0B2B" w:rsidRDefault="006D1720" w:rsidP="00B8536B">
            <w:pPr>
              <w:jc w:val="both"/>
              <w:rPr>
                <w:rFonts w:ascii="Arial Narrow" w:hAnsi="Arial Narrow" w:cs="Arial"/>
                <w:sz w:val="20"/>
                <w:szCs w:val="20"/>
              </w:rPr>
            </w:pPr>
            <w:r w:rsidRPr="00ED0B2B">
              <w:rPr>
                <w:rFonts w:ascii="Arial Narrow" w:hAnsi="Arial Narrow" w:cs="Arial"/>
                <w:sz w:val="20"/>
                <w:szCs w:val="20"/>
              </w:rPr>
              <w:t>Patient must have received insufficient therapy with this drug for this condition under the Initial treatment 2 - Recommencement of treatment restriction to complete a maximum of 16 weeks treatment.</w:t>
            </w:r>
          </w:p>
        </w:tc>
      </w:tr>
      <w:tr w:rsidR="006D1720" w:rsidRPr="00ED0B2B" w:rsidTr="00B8536B">
        <w:trPr>
          <w:cantSplit/>
          <w:trHeight w:val="229"/>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B8536B">
            <w:pPr>
              <w:jc w:val="both"/>
              <w:rPr>
                <w:rFonts w:ascii="Arial Narrow" w:hAnsi="Arial Narrow" w:cs="Arial"/>
                <w:sz w:val="20"/>
                <w:szCs w:val="20"/>
              </w:rPr>
            </w:pPr>
            <w:r w:rsidRPr="00ED0B2B">
              <w:rPr>
                <w:rFonts w:ascii="Arial Narrow" w:hAnsi="Arial Narrow" w:cs="Arial"/>
                <w:b/>
                <w:sz w:val="20"/>
                <w:szCs w:val="20"/>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6D1720" w:rsidRPr="00ED0B2B" w:rsidRDefault="006D1720" w:rsidP="00B8536B">
            <w:pPr>
              <w:jc w:val="both"/>
              <w:rPr>
                <w:rFonts w:ascii="Arial Narrow" w:hAnsi="Arial Narrow" w:cs="Arial"/>
                <w:sz w:val="20"/>
                <w:szCs w:val="20"/>
              </w:rPr>
            </w:pPr>
            <w:r w:rsidRPr="00ED0B2B">
              <w:rPr>
                <w:rFonts w:ascii="Arial Narrow" w:hAnsi="Arial Narrow" w:cs="Arial"/>
                <w:sz w:val="20"/>
                <w:szCs w:val="20"/>
              </w:rPr>
              <w:t>A maximum of 12 weeks of treatment will be authorised under this restriction.</w:t>
            </w:r>
          </w:p>
        </w:tc>
      </w:tr>
      <w:tr w:rsidR="006D1720" w:rsidRPr="00ED0B2B" w:rsidTr="007A16A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Administrative Advice:</w:t>
            </w:r>
          </w:p>
          <w:p w:rsidR="006D1720" w:rsidRPr="00ED0B2B" w:rsidRDefault="006D1720" w:rsidP="006D1720">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Applications for authorisation under this criterion may be made by telephone by contacting the Department of Human Services on 1800 700 270 (hours of operation 8 a.m. to 5 p.m. EST Monday to Friday).</w:t>
            </w:r>
          </w:p>
          <w:p w:rsidR="006D1720" w:rsidRPr="00ED0B2B" w:rsidRDefault="006D1720" w:rsidP="006D1720">
            <w:pPr>
              <w:jc w:val="both"/>
              <w:rPr>
                <w:rFonts w:ascii="Arial Narrow" w:hAnsi="Arial Narrow" w:cs="Arial"/>
                <w:sz w:val="20"/>
                <w:szCs w:val="20"/>
              </w:rPr>
            </w:pP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No increase in the maximum quantity or number of units may be authorised.</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No increase in the maximum number of repeats may be authorised.</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Special Pricing Arrangements apply.</w:t>
            </w:r>
          </w:p>
        </w:tc>
      </w:tr>
    </w:tbl>
    <w:p w:rsidR="00013E2E" w:rsidRPr="00ED0B2B" w:rsidRDefault="00013E2E"/>
    <w:tbl>
      <w:tblPr>
        <w:tblW w:w="9214" w:type="dxa"/>
        <w:tblLayout w:type="fixed"/>
        <w:tblLook w:val="0000" w:firstRow="0" w:lastRow="0" w:firstColumn="0" w:lastColumn="0" w:noHBand="0" w:noVBand="0"/>
      </w:tblPr>
      <w:tblGrid>
        <w:gridCol w:w="2835"/>
        <w:gridCol w:w="6379"/>
      </w:tblGrid>
      <w:tr w:rsidR="00962132" w:rsidRPr="00ED0B2B" w:rsidTr="007A16AC">
        <w:trPr>
          <w:cantSplit/>
          <w:trHeight w:val="360"/>
        </w:trPr>
        <w:tc>
          <w:tcPr>
            <w:tcW w:w="9214" w:type="dxa"/>
            <w:gridSpan w:val="2"/>
            <w:tcBorders>
              <w:bottom w:val="single" w:sz="4" w:space="0" w:color="auto"/>
            </w:tcBorders>
          </w:tcPr>
          <w:tbl>
            <w:tblPr>
              <w:tblW w:w="9214" w:type="dxa"/>
              <w:tblLayout w:type="fixed"/>
              <w:tblLook w:val="0000" w:firstRow="0" w:lastRow="0" w:firstColumn="0" w:lastColumn="0" w:noHBand="0" w:noVBand="0"/>
            </w:tblPr>
            <w:tblGrid>
              <w:gridCol w:w="3261"/>
              <w:gridCol w:w="567"/>
              <w:gridCol w:w="708"/>
              <w:gridCol w:w="1843"/>
              <w:gridCol w:w="1559"/>
              <w:gridCol w:w="1276"/>
            </w:tblGrid>
            <w:tr w:rsidR="0076646D" w:rsidRPr="00ED0B2B" w:rsidTr="0076646D">
              <w:trPr>
                <w:cantSplit/>
                <w:trHeight w:val="471"/>
              </w:trPr>
              <w:tc>
                <w:tcPr>
                  <w:tcW w:w="3261" w:type="dxa"/>
                  <w:tcBorders>
                    <w:bottom w:val="single" w:sz="4" w:space="0" w:color="auto"/>
                  </w:tcBorders>
                </w:tcPr>
                <w:p w:rsidR="0076646D" w:rsidRPr="00ED0B2B" w:rsidRDefault="0076646D" w:rsidP="0076646D">
                  <w:pPr>
                    <w:keepNext/>
                    <w:ind w:left="-108"/>
                    <w:jc w:val="both"/>
                    <w:rPr>
                      <w:rFonts w:ascii="Arial Narrow" w:hAnsi="Arial Narrow" w:cs="Arial"/>
                      <w:sz w:val="20"/>
                      <w:szCs w:val="20"/>
                    </w:rPr>
                  </w:pPr>
                  <w:r w:rsidRPr="00ED0B2B">
                    <w:rPr>
                      <w:rFonts w:ascii="Arial Narrow" w:hAnsi="Arial Narrow" w:cs="Arial"/>
                      <w:sz w:val="20"/>
                      <w:szCs w:val="20"/>
                    </w:rPr>
                    <w:t>Name, Restriction,</w:t>
                  </w:r>
                </w:p>
                <w:p w:rsidR="0076646D" w:rsidRPr="00ED0B2B" w:rsidRDefault="0076646D" w:rsidP="0076646D">
                  <w:pPr>
                    <w:keepNext/>
                    <w:ind w:left="-108"/>
                    <w:jc w:val="both"/>
                    <w:rPr>
                      <w:rFonts w:ascii="Arial Narrow" w:hAnsi="Arial Narrow" w:cs="Arial"/>
                      <w:sz w:val="20"/>
                      <w:szCs w:val="20"/>
                    </w:rPr>
                  </w:pPr>
                  <w:r w:rsidRPr="00ED0B2B">
                    <w:rPr>
                      <w:rFonts w:ascii="Arial Narrow" w:hAnsi="Arial Narrow" w:cs="Arial"/>
                      <w:sz w:val="20"/>
                      <w:szCs w:val="20"/>
                    </w:rPr>
                    <w:t>Manner of administration and form</w:t>
                  </w:r>
                </w:p>
              </w:tc>
              <w:tc>
                <w:tcPr>
                  <w:tcW w:w="567" w:type="dxa"/>
                  <w:tcBorders>
                    <w:bottom w:val="single" w:sz="4" w:space="0" w:color="auto"/>
                  </w:tcBorders>
                </w:tcPr>
                <w:p w:rsidR="0076646D" w:rsidRPr="00ED0B2B" w:rsidRDefault="0076646D" w:rsidP="0076646D">
                  <w:pPr>
                    <w:keepNext/>
                    <w:ind w:left="-108"/>
                    <w:jc w:val="both"/>
                    <w:rPr>
                      <w:rFonts w:ascii="Arial Narrow" w:hAnsi="Arial Narrow" w:cs="Arial"/>
                      <w:sz w:val="20"/>
                      <w:szCs w:val="20"/>
                    </w:rPr>
                  </w:pPr>
                  <w:r w:rsidRPr="00ED0B2B">
                    <w:rPr>
                      <w:rFonts w:ascii="Arial Narrow" w:hAnsi="Arial Narrow" w:cs="Arial"/>
                      <w:sz w:val="20"/>
                      <w:szCs w:val="20"/>
                    </w:rPr>
                    <w:t>Max.</w:t>
                  </w:r>
                </w:p>
                <w:p w:rsidR="0076646D" w:rsidRPr="00ED0B2B" w:rsidRDefault="0076646D" w:rsidP="0076646D">
                  <w:pPr>
                    <w:keepNext/>
                    <w:ind w:left="-108"/>
                    <w:jc w:val="both"/>
                    <w:rPr>
                      <w:rFonts w:ascii="Arial Narrow" w:hAnsi="Arial Narrow" w:cs="Arial"/>
                      <w:sz w:val="20"/>
                      <w:szCs w:val="20"/>
                    </w:rPr>
                  </w:pPr>
                  <w:r w:rsidRPr="00ED0B2B">
                    <w:rPr>
                      <w:rFonts w:ascii="Arial Narrow" w:hAnsi="Arial Narrow" w:cs="Arial"/>
                      <w:sz w:val="20"/>
                      <w:szCs w:val="20"/>
                    </w:rPr>
                    <w:t>Qty</w:t>
                  </w:r>
                </w:p>
              </w:tc>
              <w:tc>
                <w:tcPr>
                  <w:tcW w:w="708" w:type="dxa"/>
                  <w:tcBorders>
                    <w:bottom w:val="single" w:sz="4" w:space="0" w:color="auto"/>
                  </w:tcBorders>
                </w:tcPr>
                <w:p w:rsidR="0076646D" w:rsidRPr="00ED0B2B" w:rsidRDefault="0076646D" w:rsidP="0076646D">
                  <w:pPr>
                    <w:keepNext/>
                    <w:ind w:left="-108"/>
                    <w:jc w:val="both"/>
                    <w:rPr>
                      <w:rFonts w:ascii="Arial Narrow" w:hAnsi="Arial Narrow" w:cs="Arial"/>
                      <w:sz w:val="20"/>
                      <w:szCs w:val="20"/>
                    </w:rPr>
                  </w:pPr>
                  <w:r w:rsidRPr="00ED0B2B">
                    <w:rPr>
                      <w:rFonts w:ascii="Arial Narrow" w:hAnsi="Arial Narrow" w:cs="Arial"/>
                      <w:sz w:val="20"/>
                      <w:szCs w:val="20"/>
                    </w:rPr>
                    <w:t>№.of</w:t>
                  </w:r>
                </w:p>
                <w:p w:rsidR="0076646D" w:rsidRPr="00ED0B2B" w:rsidRDefault="0076646D" w:rsidP="0076646D">
                  <w:pPr>
                    <w:keepNext/>
                    <w:ind w:left="-108"/>
                    <w:jc w:val="both"/>
                    <w:rPr>
                      <w:rFonts w:ascii="Arial Narrow" w:hAnsi="Arial Narrow" w:cs="Arial"/>
                      <w:sz w:val="20"/>
                      <w:szCs w:val="20"/>
                    </w:rPr>
                  </w:pPr>
                  <w:r w:rsidRPr="00ED0B2B">
                    <w:rPr>
                      <w:rFonts w:ascii="Arial Narrow" w:hAnsi="Arial Narrow" w:cs="Arial"/>
                      <w:sz w:val="20"/>
                      <w:szCs w:val="20"/>
                    </w:rPr>
                    <w:t>Rpts</w:t>
                  </w:r>
                </w:p>
              </w:tc>
              <w:tc>
                <w:tcPr>
                  <w:tcW w:w="1843" w:type="dxa"/>
                  <w:tcBorders>
                    <w:bottom w:val="single" w:sz="4" w:space="0" w:color="auto"/>
                  </w:tcBorders>
                </w:tcPr>
                <w:p w:rsidR="0076646D" w:rsidRPr="00ED0B2B" w:rsidRDefault="0076646D" w:rsidP="0076646D">
                  <w:pPr>
                    <w:keepNext/>
                    <w:ind w:left="-108"/>
                    <w:jc w:val="both"/>
                    <w:rPr>
                      <w:rFonts w:ascii="Arial Narrow" w:hAnsi="Arial Narrow" w:cs="Arial"/>
                      <w:sz w:val="20"/>
                      <w:szCs w:val="20"/>
                    </w:rPr>
                  </w:pPr>
                  <w:r w:rsidRPr="00ED0B2B">
                    <w:rPr>
                      <w:rFonts w:ascii="Arial Narrow" w:hAnsi="Arial Narrow" w:cs="Arial"/>
                      <w:sz w:val="20"/>
                      <w:szCs w:val="20"/>
                    </w:rPr>
                    <w:t>Dispensed Price for Max. Qty (Published)</w:t>
                  </w:r>
                </w:p>
              </w:tc>
              <w:tc>
                <w:tcPr>
                  <w:tcW w:w="2835" w:type="dxa"/>
                  <w:gridSpan w:val="2"/>
                  <w:tcBorders>
                    <w:bottom w:val="single" w:sz="4" w:space="0" w:color="auto"/>
                  </w:tcBorders>
                </w:tcPr>
                <w:p w:rsidR="0076646D" w:rsidRPr="00ED0B2B" w:rsidRDefault="0076646D" w:rsidP="0076646D">
                  <w:pPr>
                    <w:keepNext/>
                    <w:jc w:val="both"/>
                    <w:rPr>
                      <w:rFonts w:ascii="Arial Narrow" w:hAnsi="Arial Narrow" w:cs="Arial"/>
                      <w:sz w:val="20"/>
                      <w:szCs w:val="20"/>
                    </w:rPr>
                  </w:pPr>
                  <w:r w:rsidRPr="00ED0B2B">
                    <w:rPr>
                      <w:rFonts w:ascii="Arial Narrow" w:hAnsi="Arial Narrow" w:cs="Arial"/>
                      <w:sz w:val="20"/>
                      <w:szCs w:val="20"/>
                    </w:rPr>
                    <w:t>Proprietary Name and Manufacturer</w:t>
                  </w:r>
                </w:p>
              </w:tc>
            </w:tr>
            <w:tr w:rsidR="0076646D" w:rsidRPr="00ED0B2B" w:rsidTr="0076646D">
              <w:trPr>
                <w:gridAfter w:val="1"/>
                <w:wAfter w:w="1276" w:type="dxa"/>
                <w:cantSplit/>
                <w:trHeight w:val="577"/>
              </w:trPr>
              <w:tc>
                <w:tcPr>
                  <w:tcW w:w="3261" w:type="dxa"/>
                </w:tcPr>
                <w:p w:rsidR="0076646D" w:rsidRPr="00ED0B2B" w:rsidRDefault="0076646D" w:rsidP="0076646D">
                  <w:pPr>
                    <w:keepNext/>
                    <w:ind w:left="-108"/>
                    <w:jc w:val="both"/>
                    <w:rPr>
                      <w:rFonts w:ascii="Arial Narrow" w:hAnsi="Arial Narrow" w:cs="Arial"/>
                      <w:sz w:val="20"/>
                      <w:szCs w:val="20"/>
                    </w:rPr>
                  </w:pPr>
                  <w:r w:rsidRPr="00ED0B2B">
                    <w:rPr>
                      <w:rFonts w:ascii="Arial Narrow" w:hAnsi="Arial Narrow" w:cs="Arial"/>
                      <w:smallCaps/>
                      <w:sz w:val="20"/>
                      <w:szCs w:val="20"/>
                    </w:rPr>
                    <w:t xml:space="preserve">ADALIMUMAB </w:t>
                  </w:r>
                  <w:r w:rsidRPr="00ED0B2B">
                    <w:rPr>
                      <w:rFonts w:ascii="Arial Narrow" w:hAnsi="Arial Narrow" w:cs="Arial"/>
                      <w:sz w:val="20"/>
                      <w:szCs w:val="20"/>
                    </w:rPr>
                    <w:t>80 mg/0.8 mL injection, 0.8 mL syringe</w:t>
                  </w:r>
                </w:p>
              </w:tc>
              <w:tc>
                <w:tcPr>
                  <w:tcW w:w="567" w:type="dxa"/>
                </w:tcPr>
                <w:p w:rsidR="0076646D" w:rsidRPr="00ED0B2B" w:rsidRDefault="0076646D" w:rsidP="0076646D">
                  <w:pPr>
                    <w:keepNext/>
                    <w:ind w:left="-108"/>
                    <w:jc w:val="center"/>
                    <w:rPr>
                      <w:rFonts w:ascii="Arial Narrow" w:hAnsi="Arial Narrow" w:cs="Arial"/>
                      <w:sz w:val="20"/>
                      <w:szCs w:val="20"/>
                    </w:rPr>
                  </w:pPr>
                  <w:r w:rsidRPr="00ED0B2B">
                    <w:rPr>
                      <w:rFonts w:ascii="Arial Narrow" w:hAnsi="Arial Narrow" w:cs="Arial"/>
                      <w:sz w:val="20"/>
                      <w:szCs w:val="20"/>
                    </w:rPr>
                    <w:t>2</w:t>
                  </w:r>
                </w:p>
                <w:p w:rsidR="0076646D" w:rsidRPr="00ED0B2B" w:rsidRDefault="0076646D" w:rsidP="0076646D">
                  <w:pPr>
                    <w:keepNext/>
                    <w:ind w:left="-108"/>
                    <w:jc w:val="center"/>
                    <w:rPr>
                      <w:rFonts w:ascii="Arial Narrow" w:hAnsi="Arial Narrow" w:cs="Arial"/>
                      <w:sz w:val="20"/>
                      <w:szCs w:val="20"/>
                    </w:rPr>
                  </w:pPr>
                </w:p>
              </w:tc>
              <w:tc>
                <w:tcPr>
                  <w:tcW w:w="708" w:type="dxa"/>
                </w:tcPr>
                <w:p w:rsidR="0076646D" w:rsidRPr="00ED0B2B" w:rsidRDefault="00624CBC" w:rsidP="0076646D">
                  <w:pPr>
                    <w:keepNext/>
                    <w:ind w:left="-108"/>
                    <w:jc w:val="both"/>
                    <w:rPr>
                      <w:rFonts w:ascii="Arial Narrow" w:hAnsi="Arial Narrow" w:cs="Arial"/>
                      <w:sz w:val="20"/>
                      <w:szCs w:val="20"/>
                    </w:rPr>
                  </w:pPr>
                  <w:r w:rsidRPr="00ED0B2B">
                    <w:rPr>
                      <w:rFonts w:ascii="Arial Narrow" w:hAnsi="Arial Narrow" w:cs="Arial"/>
                      <w:strike/>
                      <w:sz w:val="20"/>
                      <w:szCs w:val="20"/>
                    </w:rPr>
                    <w:t>2</w:t>
                  </w:r>
                  <w:r w:rsidR="0076646D" w:rsidRPr="00ED0B2B">
                    <w:rPr>
                      <w:rFonts w:ascii="Arial Narrow" w:hAnsi="Arial Narrow" w:cs="Arial"/>
                      <w:i/>
                      <w:sz w:val="20"/>
                      <w:szCs w:val="20"/>
                    </w:rPr>
                    <w:t>5</w:t>
                  </w:r>
                </w:p>
              </w:tc>
              <w:tc>
                <w:tcPr>
                  <w:tcW w:w="1843" w:type="dxa"/>
                </w:tcPr>
                <w:p w:rsidR="0076646D" w:rsidRPr="00ED0B2B" w:rsidRDefault="0076646D" w:rsidP="00014E0B">
                  <w:pPr>
                    <w:keepNext/>
                    <w:jc w:val="both"/>
                    <w:rPr>
                      <w:rFonts w:ascii="Arial Narrow" w:hAnsi="Arial Narrow" w:cs="Arial"/>
                      <w:sz w:val="20"/>
                      <w:szCs w:val="20"/>
                    </w:rPr>
                  </w:pPr>
                  <w:r w:rsidRPr="00ED0B2B">
                    <w:rPr>
                      <w:rFonts w:ascii="Arial Narrow" w:hAnsi="Arial Narrow" w:cs="Arial"/>
                      <w:sz w:val="20"/>
                      <w:szCs w:val="20"/>
                    </w:rPr>
                    <w:t>$</w:t>
                  </w:r>
                  <w:r w:rsidR="00956E42">
                    <w:rPr>
                      <w:rFonts w:ascii="Arial Narrow" w:hAnsi="Arial Narrow" w:cs="Arial"/>
                      <w:strike/>
                      <w:noProof/>
                      <w:color w:val="000000"/>
                      <w:sz w:val="20"/>
                      <w:szCs w:val="20"/>
                      <w:highlight w:val="black"/>
                    </w:rPr>
                    <w:t xml:space="preserve">'''''''''''''''''''''' </w:t>
                  </w:r>
                  <w:r w:rsidR="00956E42">
                    <w:rPr>
                      <w:rFonts w:ascii="Arial Narrow" w:hAnsi="Arial Narrow" w:cs="Arial"/>
                      <w:i/>
                      <w:noProof/>
                      <w:color w:val="000000"/>
                      <w:sz w:val="20"/>
                      <w:szCs w:val="20"/>
                      <w:highlight w:val="black"/>
                    </w:rPr>
                    <w:t>''''''''''''''''''''''</w:t>
                  </w:r>
                </w:p>
              </w:tc>
              <w:tc>
                <w:tcPr>
                  <w:tcW w:w="1559" w:type="dxa"/>
                </w:tcPr>
                <w:p w:rsidR="0076646D" w:rsidRPr="00ED0B2B" w:rsidRDefault="0076646D" w:rsidP="0076646D">
                  <w:pPr>
                    <w:keepNext/>
                    <w:jc w:val="both"/>
                    <w:rPr>
                      <w:rFonts w:ascii="Arial Narrow" w:hAnsi="Arial Narrow" w:cs="Arial"/>
                      <w:sz w:val="20"/>
                      <w:szCs w:val="20"/>
                    </w:rPr>
                  </w:pPr>
                  <w:r w:rsidRPr="00ED0B2B">
                    <w:rPr>
                      <w:rFonts w:ascii="Arial Narrow" w:hAnsi="Arial Narrow" w:cs="Arial"/>
                      <w:sz w:val="20"/>
                      <w:szCs w:val="20"/>
                    </w:rPr>
                    <w:t>Humira®</w:t>
                  </w:r>
                </w:p>
                <w:p w:rsidR="00FB1D4D" w:rsidRPr="00ED0B2B" w:rsidRDefault="00FB1D4D" w:rsidP="0076646D">
                  <w:pPr>
                    <w:keepNext/>
                    <w:jc w:val="both"/>
                    <w:rPr>
                      <w:rFonts w:ascii="Arial Narrow" w:hAnsi="Arial Narrow" w:cs="Arial"/>
                      <w:sz w:val="20"/>
                      <w:szCs w:val="20"/>
                    </w:rPr>
                  </w:pPr>
                  <w:r w:rsidRPr="00ED0B2B">
                    <w:rPr>
                      <w:rFonts w:ascii="Arial Narrow" w:hAnsi="Arial Narrow" w:cs="Arial"/>
                      <w:sz w:val="20"/>
                      <w:szCs w:val="20"/>
                    </w:rPr>
                    <w:t>AbbVie</w:t>
                  </w:r>
                </w:p>
              </w:tc>
            </w:tr>
            <w:tr w:rsidR="00624CBC" w:rsidRPr="00ED0B2B" w:rsidTr="0076646D">
              <w:trPr>
                <w:gridAfter w:val="1"/>
                <w:wAfter w:w="1276" w:type="dxa"/>
                <w:cantSplit/>
                <w:trHeight w:val="577"/>
              </w:trPr>
              <w:tc>
                <w:tcPr>
                  <w:tcW w:w="3261" w:type="dxa"/>
                </w:tcPr>
                <w:p w:rsidR="00624CBC" w:rsidRPr="00ED0B2B" w:rsidRDefault="00624CBC" w:rsidP="00624CBC">
                  <w:pPr>
                    <w:keepNext/>
                    <w:ind w:left="-108"/>
                    <w:jc w:val="both"/>
                    <w:rPr>
                      <w:rFonts w:ascii="Arial Narrow" w:hAnsi="Arial Narrow" w:cs="Arial"/>
                      <w:smallCaps/>
                      <w:sz w:val="20"/>
                      <w:szCs w:val="20"/>
                    </w:rPr>
                  </w:pPr>
                  <w:r w:rsidRPr="00ED0B2B">
                    <w:rPr>
                      <w:rFonts w:ascii="Arial Narrow" w:hAnsi="Arial Narrow" w:cs="Arial"/>
                      <w:smallCaps/>
                      <w:sz w:val="20"/>
                      <w:szCs w:val="20"/>
                    </w:rPr>
                    <w:t xml:space="preserve">ADALIMUMAB </w:t>
                  </w:r>
                  <w:r w:rsidRPr="00ED0B2B">
                    <w:rPr>
                      <w:rFonts w:ascii="Arial Narrow" w:hAnsi="Arial Narrow" w:cs="Arial"/>
                      <w:sz w:val="20"/>
                      <w:szCs w:val="20"/>
                    </w:rPr>
                    <w:t>80 mg/0.8 mL injection, 0.8 mL pen device</w:t>
                  </w:r>
                </w:p>
              </w:tc>
              <w:tc>
                <w:tcPr>
                  <w:tcW w:w="567" w:type="dxa"/>
                </w:tcPr>
                <w:p w:rsidR="00624CBC" w:rsidRPr="00ED0B2B" w:rsidRDefault="00624CBC" w:rsidP="00624CBC">
                  <w:pPr>
                    <w:keepNext/>
                    <w:ind w:left="-108"/>
                    <w:jc w:val="center"/>
                    <w:rPr>
                      <w:rFonts w:ascii="Arial Narrow" w:hAnsi="Arial Narrow" w:cs="Arial"/>
                      <w:sz w:val="20"/>
                      <w:szCs w:val="20"/>
                    </w:rPr>
                  </w:pPr>
                  <w:r w:rsidRPr="00ED0B2B">
                    <w:rPr>
                      <w:rFonts w:ascii="Arial Narrow" w:hAnsi="Arial Narrow" w:cs="Arial"/>
                      <w:sz w:val="20"/>
                      <w:szCs w:val="20"/>
                    </w:rPr>
                    <w:t>2</w:t>
                  </w:r>
                </w:p>
                <w:p w:rsidR="00624CBC" w:rsidRPr="00ED0B2B" w:rsidRDefault="00624CBC" w:rsidP="00624CBC">
                  <w:pPr>
                    <w:keepNext/>
                    <w:ind w:left="-108"/>
                    <w:jc w:val="center"/>
                    <w:rPr>
                      <w:rFonts w:ascii="Arial Narrow" w:hAnsi="Arial Narrow" w:cs="Arial"/>
                      <w:sz w:val="20"/>
                      <w:szCs w:val="20"/>
                    </w:rPr>
                  </w:pPr>
                </w:p>
              </w:tc>
              <w:tc>
                <w:tcPr>
                  <w:tcW w:w="708" w:type="dxa"/>
                </w:tcPr>
                <w:p w:rsidR="00624CBC" w:rsidRPr="00ED0B2B" w:rsidRDefault="00624CBC" w:rsidP="00624CBC">
                  <w:pPr>
                    <w:keepNext/>
                    <w:ind w:left="-108"/>
                    <w:jc w:val="both"/>
                    <w:rPr>
                      <w:rFonts w:ascii="Arial Narrow" w:hAnsi="Arial Narrow" w:cs="Arial"/>
                      <w:sz w:val="20"/>
                      <w:szCs w:val="20"/>
                    </w:rPr>
                  </w:pPr>
                  <w:r w:rsidRPr="00ED0B2B">
                    <w:rPr>
                      <w:rFonts w:ascii="Arial Narrow" w:hAnsi="Arial Narrow" w:cs="Arial"/>
                      <w:strike/>
                      <w:sz w:val="20"/>
                      <w:szCs w:val="20"/>
                    </w:rPr>
                    <w:t>2</w:t>
                  </w:r>
                  <w:r w:rsidRPr="00ED0B2B">
                    <w:rPr>
                      <w:rFonts w:ascii="Arial Narrow" w:hAnsi="Arial Narrow" w:cs="Arial"/>
                      <w:i/>
                      <w:sz w:val="20"/>
                      <w:szCs w:val="20"/>
                    </w:rPr>
                    <w:t>5</w:t>
                  </w:r>
                </w:p>
              </w:tc>
              <w:tc>
                <w:tcPr>
                  <w:tcW w:w="1843" w:type="dxa"/>
                </w:tcPr>
                <w:p w:rsidR="00624CBC" w:rsidRPr="00ED0B2B" w:rsidRDefault="00624CBC" w:rsidP="00014E0B">
                  <w:pPr>
                    <w:keepNext/>
                    <w:jc w:val="both"/>
                    <w:rPr>
                      <w:rFonts w:ascii="Arial Narrow" w:hAnsi="Arial Narrow" w:cs="Arial"/>
                      <w:sz w:val="20"/>
                      <w:szCs w:val="20"/>
                    </w:rPr>
                  </w:pPr>
                  <w:r w:rsidRPr="00ED0B2B">
                    <w:rPr>
                      <w:rFonts w:ascii="Arial Narrow" w:hAnsi="Arial Narrow" w:cs="Arial"/>
                      <w:strike/>
                      <w:sz w:val="20"/>
                      <w:szCs w:val="20"/>
                    </w:rPr>
                    <w:t>$</w:t>
                  </w:r>
                  <w:r w:rsidR="00956E42">
                    <w:rPr>
                      <w:rFonts w:ascii="Arial Narrow" w:hAnsi="Arial Narrow" w:cs="Arial"/>
                      <w:strike/>
                      <w:noProof/>
                      <w:color w:val="000000"/>
                      <w:sz w:val="20"/>
                      <w:szCs w:val="20"/>
                      <w:highlight w:val="black"/>
                    </w:rPr>
                    <w:t xml:space="preserve">''''''''''''''''''''' </w:t>
                  </w:r>
                  <w:r w:rsidR="00956E42">
                    <w:rPr>
                      <w:rFonts w:ascii="Arial Narrow" w:hAnsi="Arial Narrow" w:cs="Arial"/>
                      <w:i/>
                      <w:noProof/>
                      <w:color w:val="000000"/>
                      <w:sz w:val="20"/>
                      <w:szCs w:val="20"/>
                      <w:highlight w:val="black"/>
                    </w:rPr>
                    <w:t>'''''''''''''''''''''''</w:t>
                  </w:r>
                </w:p>
              </w:tc>
              <w:tc>
                <w:tcPr>
                  <w:tcW w:w="1559" w:type="dxa"/>
                </w:tcPr>
                <w:p w:rsidR="00624CBC" w:rsidRPr="00ED0B2B" w:rsidRDefault="00624CBC" w:rsidP="00624CBC">
                  <w:pPr>
                    <w:keepNext/>
                    <w:jc w:val="both"/>
                    <w:rPr>
                      <w:rFonts w:ascii="Arial Narrow" w:hAnsi="Arial Narrow" w:cs="Arial"/>
                      <w:sz w:val="20"/>
                      <w:szCs w:val="20"/>
                    </w:rPr>
                  </w:pPr>
                </w:p>
              </w:tc>
            </w:tr>
          </w:tbl>
          <w:p w:rsidR="0076646D" w:rsidRPr="00ED0B2B" w:rsidRDefault="0076646D" w:rsidP="006D1720">
            <w:pPr>
              <w:jc w:val="both"/>
              <w:rPr>
                <w:rFonts w:ascii="Arial Narrow" w:hAnsi="Arial Narrow" w:cs="Arial"/>
                <w:sz w:val="20"/>
                <w:szCs w:val="20"/>
              </w:rPr>
            </w:pPr>
          </w:p>
        </w:tc>
      </w:tr>
      <w:tr w:rsidR="006D1720" w:rsidRPr="00ED0B2B" w:rsidTr="007A16A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GENERAL – General Schedule (Code GE)</w:t>
            </w:r>
          </w:p>
        </w:tc>
      </w:tr>
      <w:tr w:rsidR="006D1720" w:rsidRPr="00ED0B2B" w:rsidTr="007A16A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Prescriber type:</w:t>
            </w:r>
          </w:p>
          <w:p w:rsidR="006D1720" w:rsidRPr="00ED0B2B" w:rsidRDefault="006D1720" w:rsidP="006D1720">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Check1"/>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Dental  </w:t>
            </w:r>
            <w:r w:rsidRPr="00ED0B2B">
              <w:rPr>
                <w:rFonts w:ascii="Arial Narrow" w:hAnsi="Arial Narrow" w:cs="Arial"/>
                <w:sz w:val="20"/>
                <w:szCs w:val="20"/>
              </w:rPr>
              <w:fldChar w:fldCharType="begin">
                <w:ffData>
                  <w:name w:val=""/>
                  <w:enabled/>
                  <w:calcOnExit w:val="0"/>
                  <w:checkBox>
                    <w:sizeAuto/>
                    <w:default w:val="1"/>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Medical Practitioners  </w:t>
            </w:r>
            <w:r w:rsidRPr="00ED0B2B">
              <w:rPr>
                <w:rFonts w:ascii="Arial Narrow" w:hAnsi="Arial Narrow" w:cs="Arial"/>
                <w:sz w:val="20"/>
                <w:szCs w:val="20"/>
              </w:rPr>
              <w:fldChar w:fldCharType="begin">
                <w:ffData>
                  <w:name w:val="Check3"/>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Nurse practitioners  </w:t>
            </w:r>
            <w:r w:rsidRPr="00ED0B2B">
              <w:rPr>
                <w:rFonts w:ascii="Arial Narrow" w:hAnsi="Arial Narrow" w:cs="Arial"/>
                <w:sz w:val="20"/>
                <w:szCs w:val="20"/>
              </w:rPr>
              <w:fldChar w:fldCharType="begin">
                <w:ffData>
                  <w:name w:val=""/>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Optometrists</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Check5"/>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Midwives</w:t>
            </w:r>
          </w:p>
        </w:tc>
      </w:tr>
      <w:tr w:rsidR="006D1720" w:rsidRPr="00ED0B2B" w:rsidTr="00B8536B">
        <w:trPr>
          <w:cantSplit/>
          <w:trHeight w:val="185"/>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Severity:</w:t>
            </w:r>
          </w:p>
        </w:tc>
        <w:tc>
          <w:tcPr>
            <w:tcW w:w="6379"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rPr>
                <w:rFonts w:ascii="Arial Narrow" w:hAnsi="Arial Narrow" w:cs="Arial"/>
                <w:sz w:val="20"/>
                <w:szCs w:val="20"/>
              </w:rPr>
            </w:pPr>
            <w:r w:rsidRPr="00ED0B2B">
              <w:rPr>
                <w:rFonts w:ascii="Arial Narrow" w:hAnsi="Arial Narrow" w:cs="Arial"/>
                <w:sz w:val="20"/>
                <w:szCs w:val="20"/>
              </w:rPr>
              <w:t>Moderate to severe</w:t>
            </w:r>
          </w:p>
        </w:tc>
      </w:tr>
      <w:tr w:rsidR="006D1720" w:rsidRPr="00ED0B2B" w:rsidTr="00B8536B">
        <w:trPr>
          <w:cantSplit/>
          <w:trHeight w:val="218"/>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hidradenitis suppurativa</w:t>
            </w:r>
          </w:p>
        </w:tc>
      </w:tr>
      <w:tr w:rsidR="006D1720" w:rsidRPr="00ED0B2B" w:rsidTr="00B8536B">
        <w:trPr>
          <w:cantSplit/>
          <w:trHeight w:val="277"/>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B8536B">
            <w:pPr>
              <w:jc w:val="both"/>
              <w:rPr>
                <w:rFonts w:ascii="Arial Narrow" w:hAnsi="Arial Narrow" w:cs="Arial"/>
                <w:b/>
                <w:sz w:val="20"/>
                <w:szCs w:val="20"/>
              </w:rPr>
            </w:pPr>
            <w:r w:rsidRPr="00ED0B2B">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rsidR="006D1720" w:rsidRPr="00ED0B2B" w:rsidRDefault="00B8536B" w:rsidP="00B8536B">
            <w:pPr>
              <w:jc w:val="both"/>
              <w:rPr>
                <w:rFonts w:ascii="Arial Narrow" w:hAnsi="Arial Narrow" w:cs="Arial"/>
                <w:sz w:val="20"/>
                <w:szCs w:val="20"/>
              </w:rPr>
            </w:pPr>
            <w:r w:rsidRPr="00ED0B2B">
              <w:rPr>
                <w:rFonts w:ascii="Arial Narrow" w:hAnsi="Arial Narrow" w:cs="Arial"/>
                <w:sz w:val="20"/>
                <w:szCs w:val="20"/>
              </w:rPr>
              <w:t>Moderat</w:t>
            </w:r>
            <w:r w:rsidR="006D1720" w:rsidRPr="00ED0B2B">
              <w:rPr>
                <w:rFonts w:ascii="Arial Narrow" w:hAnsi="Arial Narrow" w:cs="Arial"/>
                <w:sz w:val="20"/>
                <w:szCs w:val="20"/>
              </w:rPr>
              <w:t>e to severe hidradenitis suppurativa</w:t>
            </w:r>
          </w:p>
        </w:tc>
      </w:tr>
      <w:tr w:rsidR="006D1720" w:rsidRPr="00ED0B2B" w:rsidTr="00B8536B">
        <w:trPr>
          <w:cantSplit/>
          <w:trHeight w:val="281"/>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B8536B">
            <w:pPr>
              <w:jc w:val="both"/>
              <w:rPr>
                <w:rFonts w:ascii="Arial Narrow" w:hAnsi="Arial Narrow" w:cs="Arial"/>
                <w:b/>
                <w:sz w:val="20"/>
                <w:szCs w:val="20"/>
              </w:rPr>
            </w:pPr>
            <w:r w:rsidRPr="00ED0B2B">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6D1720" w:rsidRPr="00ED0B2B" w:rsidRDefault="006D1720" w:rsidP="00B8536B">
            <w:pPr>
              <w:jc w:val="both"/>
              <w:rPr>
                <w:rFonts w:ascii="Arial Narrow" w:hAnsi="Arial Narrow" w:cs="Arial"/>
                <w:sz w:val="20"/>
                <w:szCs w:val="20"/>
              </w:rPr>
            </w:pPr>
            <w:r w:rsidRPr="00ED0B2B">
              <w:rPr>
                <w:rFonts w:ascii="Arial Narrow" w:hAnsi="Arial Narrow" w:cs="Arial"/>
                <w:sz w:val="20"/>
                <w:szCs w:val="20"/>
              </w:rPr>
              <w:t>Continuing treatment</w:t>
            </w:r>
          </w:p>
        </w:tc>
      </w:tr>
      <w:tr w:rsidR="006D1720" w:rsidRPr="00ED0B2B" w:rsidTr="007A16A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Restriction Level / Method:</w:t>
            </w:r>
          </w:p>
          <w:p w:rsidR="006D1720" w:rsidRPr="00ED0B2B" w:rsidRDefault="006D1720" w:rsidP="006D1720">
            <w:pPr>
              <w:jc w:val="both"/>
              <w:rPr>
                <w:rFonts w:ascii="Arial Narrow" w:hAnsi="Arial Narrow" w:cs="Arial"/>
                <w:i/>
                <w:sz w:val="20"/>
                <w:szCs w:val="20"/>
              </w:rPr>
            </w:pPr>
          </w:p>
          <w:p w:rsidR="006D1720" w:rsidRPr="00ED0B2B" w:rsidRDefault="006D1720" w:rsidP="006D1720">
            <w:pPr>
              <w:jc w:val="both"/>
              <w:rPr>
                <w:rFonts w:ascii="Arial Narrow" w:hAnsi="Arial Narrow" w:cs="Arial"/>
                <w:i/>
                <w:sz w:val="20"/>
                <w:szCs w:val="20"/>
              </w:rPr>
            </w:pPr>
          </w:p>
          <w:p w:rsidR="006D1720" w:rsidRPr="00ED0B2B" w:rsidRDefault="006D1720" w:rsidP="006D1720">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Check1"/>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Restricted benefit</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
                  <w:enabled/>
                  <w:calcOnExit w:val="0"/>
                  <w:checkBox>
                    <w:sizeAuto/>
                    <w:default w:val="1"/>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Authority Required – In Writing</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Check3"/>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Authority Required – Telephone/Electronic/Emergency</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fldChar w:fldCharType="begin">
                <w:ffData>
                  <w:name w:val="Check5"/>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Streamlined</w:t>
            </w:r>
          </w:p>
        </w:tc>
      </w:tr>
      <w:tr w:rsidR="006D1720" w:rsidRPr="00ED0B2B" w:rsidTr="00B8536B">
        <w:trPr>
          <w:cantSplit/>
          <w:trHeight w:val="186"/>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B8536B">
            <w:pPr>
              <w:jc w:val="both"/>
              <w:rPr>
                <w:rFonts w:ascii="Arial Narrow" w:hAnsi="Arial Narrow" w:cs="Arial"/>
                <w:b/>
                <w:sz w:val="20"/>
                <w:szCs w:val="20"/>
              </w:rPr>
            </w:pPr>
            <w:r w:rsidRPr="00ED0B2B">
              <w:rPr>
                <w:rFonts w:ascii="Arial Narrow" w:hAnsi="Arial Narrow" w:cs="Arial"/>
                <w:b/>
                <w:sz w:val="20"/>
                <w:szCs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Must be treated by a dermatologist</w:t>
            </w:r>
          </w:p>
        </w:tc>
      </w:tr>
      <w:tr w:rsidR="006D1720" w:rsidRPr="00ED0B2B" w:rsidTr="007A16AC">
        <w:trPr>
          <w:cantSplit/>
          <w:trHeight w:val="657"/>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Clinical criteria:</w:t>
            </w:r>
          </w:p>
          <w:p w:rsidR="006D1720" w:rsidRPr="00ED0B2B" w:rsidRDefault="006D1720" w:rsidP="006D1720">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Patient must have previously received PBS-subsidised treatment with this drug for this condition</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AND</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Patient must have demonstrated a response to treatment with this drug for this condition</w:t>
            </w:r>
          </w:p>
        </w:tc>
      </w:tr>
      <w:tr w:rsidR="006D1720" w:rsidRPr="00ED0B2B" w:rsidTr="007A16A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lastRenderedPageBreak/>
              <w:t>Prescriber Instructions:</w:t>
            </w:r>
          </w:p>
          <w:p w:rsidR="006D1720" w:rsidRPr="00ED0B2B" w:rsidRDefault="006D1720" w:rsidP="006D1720">
            <w:pPr>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A response to treatment is defined as:</w:t>
            </w:r>
          </w:p>
          <w:p w:rsidR="006D1720" w:rsidRPr="00ED0B2B" w:rsidRDefault="006D1720" w:rsidP="006D1720">
            <w:pPr>
              <w:jc w:val="both"/>
              <w:rPr>
                <w:rFonts w:ascii="Arial Narrow" w:hAnsi="Arial Narrow" w:cs="Arial"/>
                <w:sz w:val="20"/>
                <w:szCs w:val="20"/>
              </w:rPr>
            </w:pP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Achieving Hidradenitis Suppurativa Clinical Response (HiSCR) of a 50% reduction in AN count compared to baseline with no increase in abscesses or draining fistulae.</w:t>
            </w:r>
          </w:p>
          <w:p w:rsidR="006D1720" w:rsidRPr="00ED0B2B" w:rsidRDefault="006D1720" w:rsidP="006D1720">
            <w:pPr>
              <w:jc w:val="both"/>
              <w:rPr>
                <w:rFonts w:ascii="Arial Narrow" w:hAnsi="Arial Narrow" w:cs="Arial"/>
                <w:sz w:val="20"/>
                <w:szCs w:val="20"/>
              </w:rPr>
            </w:pP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For the first application for continuing treatment a Hidradenitis Suppurativa Clinical Response (HiSCR) assessment must be made following a minimum of 12 weeks of treatment. For subsequent continuing treatment a HiSCR assessment must be made every 24 weeks.</w:t>
            </w:r>
          </w:p>
          <w:p w:rsidR="006D1720" w:rsidRPr="00ED0B2B" w:rsidRDefault="006D1720" w:rsidP="006D1720">
            <w:pPr>
              <w:jc w:val="both"/>
              <w:rPr>
                <w:rFonts w:ascii="Arial Narrow" w:hAnsi="Arial Narrow" w:cs="Arial"/>
                <w:sz w:val="20"/>
                <w:szCs w:val="20"/>
              </w:rPr>
            </w:pP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The assessment of the patient's response to a continuing course of therapy must be made within the 4 weeks prior to completion of that course and provided to the Department of Human Services no less than 2 weeks prior to the date the next dose is scheduled, in order to ensure continuity of treatment for those patients who meet the continuation criterion.</w:t>
            </w:r>
          </w:p>
          <w:p w:rsidR="006D1720" w:rsidRPr="00ED0B2B" w:rsidRDefault="006D1720" w:rsidP="006D1720">
            <w:pPr>
              <w:jc w:val="both"/>
              <w:rPr>
                <w:rFonts w:ascii="Arial Narrow" w:hAnsi="Arial Narrow" w:cs="Arial"/>
                <w:sz w:val="20"/>
                <w:szCs w:val="20"/>
              </w:rPr>
            </w:pP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Where an assessment is not submitted to the Department of Human Services within these timeframes, patients will be deemed to have failed to respond, or to have failed to sustain a response, to treatment with this drug.</w:t>
            </w:r>
          </w:p>
          <w:p w:rsidR="006D1720" w:rsidRPr="00ED0B2B" w:rsidRDefault="006D1720" w:rsidP="006D1720">
            <w:pPr>
              <w:jc w:val="both"/>
              <w:rPr>
                <w:rFonts w:ascii="Arial Narrow" w:hAnsi="Arial Narrow" w:cs="Arial"/>
                <w:sz w:val="20"/>
                <w:szCs w:val="20"/>
              </w:rPr>
            </w:pP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A maximum of 24 weeks treatment will be authorised under this restriction per continuing treatment.</w:t>
            </w:r>
          </w:p>
          <w:p w:rsidR="006D1720" w:rsidRPr="00ED0B2B" w:rsidRDefault="006D1720" w:rsidP="006D1720">
            <w:pPr>
              <w:jc w:val="both"/>
              <w:rPr>
                <w:rFonts w:ascii="Arial Narrow" w:hAnsi="Arial Narrow" w:cs="Arial"/>
                <w:sz w:val="20"/>
                <w:szCs w:val="20"/>
              </w:rPr>
            </w:pP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The authority application must be made in writing and must include:</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(a) a completed authority prescription form; and</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(b) a completed hidradenitis suppurativa PBS authority application supporting Information form which must include the Hidradenitis Suppurativa Clinical Response (HiSCR) result.</w:t>
            </w:r>
          </w:p>
        </w:tc>
      </w:tr>
      <w:tr w:rsidR="006D1720" w:rsidRPr="00ED0B2B" w:rsidTr="007A16AC">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b/>
                <w:sz w:val="20"/>
                <w:szCs w:val="20"/>
              </w:rPr>
            </w:pPr>
            <w:r w:rsidRPr="00ED0B2B">
              <w:rPr>
                <w:rFonts w:ascii="Arial Narrow" w:hAnsi="Arial Narrow" w:cs="Arial"/>
                <w:b/>
                <w:sz w:val="20"/>
                <w:szCs w:val="20"/>
              </w:rPr>
              <w:t>Administrative Advice:</w:t>
            </w:r>
          </w:p>
          <w:p w:rsidR="006D1720" w:rsidRPr="00ED0B2B" w:rsidRDefault="006D1720" w:rsidP="006D1720">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 xml:space="preserve">Any queries concerning the arrangements to prescribe may be directed to the Department of Human Services on 1800 700 270 (hours of operation 8 a.m. to 5 p.m. EST Monday to Friday). </w:t>
            </w:r>
          </w:p>
          <w:p w:rsidR="006D1720" w:rsidRPr="00ED0B2B" w:rsidRDefault="006D1720" w:rsidP="006D1720">
            <w:pPr>
              <w:jc w:val="both"/>
              <w:rPr>
                <w:rFonts w:ascii="Arial Narrow" w:hAnsi="Arial Narrow" w:cs="Arial"/>
                <w:sz w:val="20"/>
                <w:szCs w:val="20"/>
              </w:rPr>
            </w:pP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6D1720" w:rsidRPr="00ED0B2B" w:rsidRDefault="006D1720" w:rsidP="006D1720">
            <w:pPr>
              <w:jc w:val="both"/>
              <w:rPr>
                <w:rFonts w:ascii="Arial Narrow" w:hAnsi="Arial Narrow" w:cs="Arial"/>
                <w:sz w:val="20"/>
                <w:szCs w:val="20"/>
              </w:rPr>
            </w:pP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 xml:space="preserve">Applications for authority to prescribe should be forwarded to: </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Department of Human Services</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 xml:space="preserve">Complex Drugs </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 xml:space="preserve">Reply Paid 9826 </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HOBART TAS 7001</w:t>
            </w:r>
          </w:p>
          <w:p w:rsidR="006D1720" w:rsidRPr="00ED0B2B" w:rsidRDefault="006D1720" w:rsidP="006D1720">
            <w:pPr>
              <w:jc w:val="both"/>
              <w:rPr>
                <w:rFonts w:ascii="Arial Narrow" w:hAnsi="Arial Narrow" w:cs="Arial"/>
                <w:sz w:val="20"/>
                <w:szCs w:val="20"/>
              </w:rPr>
            </w:pP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No increase in the maximum quantity or number of units may be authorised.</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No increase in the maximum number of repeats may be authorised.</w:t>
            </w:r>
          </w:p>
          <w:p w:rsidR="006D1720" w:rsidRPr="00ED0B2B" w:rsidRDefault="006D1720" w:rsidP="006D1720">
            <w:pPr>
              <w:jc w:val="both"/>
              <w:rPr>
                <w:rFonts w:ascii="Arial Narrow" w:hAnsi="Arial Narrow" w:cs="Arial"/>
                <w:sz w:val="20"/>
                <w:szCs w:val="20"/>
              </w:rPr>
            </w:pPr>
            <w:r w:rsidRPr="00ED0B2B">
              <w:rPr>
                <w:rFonts w:ascii="Arial Narrow" w:hAnsi="Arial Narrow" w:cs="Arial"/>
                <w:sz w:val="20"/>
                <w:szCs w:val="20"/>
              </w:rPr>
              <w:t>Special Pricing Arrangements apply.</w:t>
            </w:r>
          </w:p>
        </w:tc>
      </w:tr>
    </w:tbl>
    <w:p w:rsidR="00362D17" w:rsidRPr="00ED0B2B" w:rsidRDefault="00362D17" w:rsidP="00C95B95">
      <w:pPr>
        <w:rPr>
          <w:rFonts w:asciiTheme="minorHAnsi" w:hAnsiTheme="minorHAnsi" w:cstheme="minorHAnsi"/>
          <w:i/>
        </w:rPr>
      </w:pPr>
    </w:p>
    <w:p w:rsidR="00424A4D" w:rsidRPr="00ED0B2B" w:rsidRDefault="001D49DB" w:rsidP="0033403A">
      <w:pPr>
        <w:pStyle w:val="3Bodytext"/>
        <w:numPr>
          <w:ilvl w:val="0"/>
          <w:numId w:val="0"/>
        </w:numPr>
        <w:rPr>
          <w:rFonts w:cstheme="minorHAnsi"/>
          <w:i/>
          <w:szCs w:val="24"/>
        </w:rPr>
      </w:pPr>
      <w:r w:rsidRPr="00ED0B2B">
        <w:rPr>
          <w:i/>
        </w:rPr>
        <w:t xml:space="preserve">For more detail on PBAC’s view, </w:t>
      </w:r>
      <w:r w:rsidR="00717C71">
        <w:rPr>
          <w:i/>
        </w:rPr>
        <w:t>see section 6</w:t>
      </w:r>
      <w:r w:rsidRPr="00ED0B2B">
        <w:rPr>
          <w:i/>
        </w:rPr>
        <w:t xml:space="preserve"> PBAC outcome</w:t>
      </w:r>
    </w:p>
    <w:p w:rsidR="00C603D4" w:rsidRPr="00ED0B2B" w:rsidRDefault="00CE10C4" w:rsidP="009A4BB9">
      <w:pPr>
        <w:pStyle w:val="2Sections"/>
        <w:keepNext/>
      </w:pPr>
      <w:r w:rsidRPr="00ED0B2B">
        <w:lastRenderedPageBreak/>
        <w:t>Background</w:t>
      </w:r>
      <w:r w:rsidR="00771D07" w:rsidRPr="00ED0B2B">
        <w:t xml:space="preserve"> </w:t>
      </w:r>
    </w:p>
    <w:p w:rsidR="009855A8" w:rsidRPr="00ED0B2B" w:rsidRDefault="009855A8" w:rsidP="00BA0FC1">
      <w:pPr>
        <w:pStyle w:val="Heading2"/>
        <w:keepLines/>
        <w:spacing w:before="240" w:after="120"/>
        <w:rPr>
          <w:rFonts w:asciiTheme="minorHAnsi" w:eastAsiaTheme="majorEastAsia" w:hAnsiTheme="minorHAnsi" w:cstheme="majorBidi"/>
          <w:sz w:val="28"/>
          <w:szCs w:val="28"/>
          <w:lang w:eastAsia="en-US"/>
        </w:rPr>
      </w:pPr>
      <w:r w:rsidRPr="00ED0B2B">
        <w:rPr>
          <w:rFonts w:asciiTheme="minorHAnsi" w:eastAsiaTheme="majorEastAsia" w:hAnsiTheme="minorHAnsi" w:cstheme="majorBidi"/>
          <w:sz w:val="28"/>
          <w:szCs w:val="28"/>
          <w:lang w:eastAsia="en-US"/>
        </w:rPr>
        <w:t>Registration status</w:t>
      </w:r>
    </w:p>
    <w:p w:rsidR="000E7E49" w:rsidRPr="00ED0B2B" w:rsidRDefault="000E7E49" w:rsidP="00710841">
      <w:pPr>
        <w:pStyle w:val="3Bodytext"/>
        <w:jc w:val="both"/>
      </w:pPr>
      <w:r w:rsidRPr="00ED0B2B">
        <w:t>Adalimumab was registered on the ARTG on 26 July 2016 for the treatment of active moderate</w:t>
      </w:r>
      <w:r w:rsidR="00C07CC3" w:rsidRPr="00ED0B2B">
        <w:t xml:space="preserve"> </w:t>
      </w:r>
      <w:r w:rsidRPr="00ED0B2B">
        <w:t>to</w:t>
      </w:r>
      <w:r w:rsidR="00C07CC3" w:rsidRPr="00ED0B2B">
        <w:t xml:space="preserve"> </w:t>
      </w:r>
      <w:r w:rsidRPr="00ED0B2B">
        <w:t xml:space="preserve">severe </w:t>
      </w:r>
      <w:r w:rsidR="007B6AAF" w:rsidRPr="00ED0B2B">
        <w:t xml:space="preserve">HS in adult patients </w:t>
      </w:r>
      <w:r w:rsidR="007F03D2" w:rsidRPr="00ED0B2B">
        <w:t>with</w:t>
      </w:r>
      <w:r w:rsidR="007B6AAF" w:rsidRPr="00ED0B2B">
        <w:t xml:space="preserve"> an inadequate response to conventional systemic HS therapy.</w:t>
      </w:r>
    </w:p>
    <w:p w:rsidR="009F0F9D" w:rsidRPr="00ED0B2B" w:rsidRDefault="009F0F9D" w:rsidP="00710841">
      <w:pPr>
        <w:pStyle w:val="3Bodytext"/>
        <w:jc w:val="both"/>
      </w:pPr>
      <w:r w:rsidRPr="00ED0B2B">
        <w:t>The</w:t>
      </w:r>
      <w:r w:rsidR="00DF6FC4" w:rsidRPr="00ED0B2B">
        <w:t xml:space="preserve"> </w:t>
      </w:r>
      <w:r w:rsidR="003E38F4" w:rsidRPr="00ED0B2B">
        <w:t xml:space="preserve">current </w:t>
      </w:r>
      <w:r w:rsidR="00DF6FC4" w:rsidRPr="00ED0B2B">
        <w:t>TGA approved Product Information states that the</w:t>
      </w:r>
      <w:r w:rsidRPr="00ED0B2B">
        <w:t xml:space="preserve"> recommended adalimumab dose regimen for adult patients with HS is 160 mg initially at Day 1, followed by 80 mg two weeks later at Day 15. Two weeks later (Day 29) continue with a dose of 40 mg every week or 80 mg fortnightly.</w:t>
      </w:r>
    </w:p>
    <w:p w:rsidR="009855A8" w:rsidRPr="00ED0B2B" w:rsidRDefault="00D65A47" w:rsidP="00710841">
      <w:pPr>
        <w:pStyle w:val="3Bodytext"/>
        <w:jc w:val="both"/>
      </w:pPr>
      <w:r w:rsidRPr="00ED0B2B">
        <w:t xml:space="preserve">The </w:t>
      </w:r>
      <w:r w:rsidR="001353FE" w:rsidRPr="00ED0B2B">
        <w:t xml:space="preserve">adalimumab </w:t>
      </w:r>
      <w:r w:rsidRPr="00ED0B2B">
        <w:t>80 mg fortnightly dosing regimen was approved by the TGA on 17</w:t>
      </w:r>
      <w:r w:rsidR="00466C1B" w:rsidRPr="00ED0B2B">
        <w:t> </w:t>
      </w:r>
      <w:r w:rsidRPr="00ED0B2B">
        <w:t>June 2019 based on a population pharmacokinetic/pharmacodynamics analysis.</w:t>
      </w:r>
    </w:p>
    <w:p w:rsidR="0012749D" w:rsidRPr="00ED0B2B" w:rsidRDefault="0012749D" w:rsidP="00BA0FC1">
      <w:pPr>
        <w:pStyle w:val="Heading2"/>
        <w:keepLines/>
        <w:spacing w:before="240" w:after="120"/>
        <w:rPr>
          <w:rFonts w:asciiTheme="minorHAnsi" w:eastAsiaTheme="majorEastAsia" w:hAnsiTheme="minorHAnsi" w:cstheme="majorBidi"/>
          <w:sz w:val="28"/>
          <w:szCs w:val="28"/>
          <w:lang w:eastAsia="en-US"/>
        </w:rPr>
      </w:pPr>
      <w:r w:rsidRPr="00ED0B2B">
        <w:rPr>
          <w:rFonts w:asciiTheme="minorHAnsi" w:eastAsiaTheme="majorEastAsia" w:hAnsiTheme="minorHAnsi" w:cstheme="majorBidi"/>
          <w:sz w:val="28"/>
          <w:szCs w:val="28"/>
          <w:lang w:eastAsia="en-US"/>
        </w:rPr>
        <w:t>Previous PBAC consideratio</w:t>
      </w:r>
      <w:r w:rsidR="00316FC7" w:rsidRPr="00ED0B2B">
        <w:rPr>
          <w:rFonts w:asciiTheme="minorHAnsi" w:eastAsiaTheme="majorEastAsia" w:hAnsiTheme="minorHAnsi" w:cstheme="majorBidi"/>
          <w:sz w:val="28"/>
          <w:szCs w:val="28"/>
          <w:lang w:eastAsia="en-US"/>
        </w:rPr>
        <w:t>n</w:t>
      </w:r>
    </w:p>
    <w:p w:rsidR="00F33CBD" w:rsidRPr="00ED0B2B" w:rsidRDefault="001353FE" w:rsidP="000E19A6">
      <w:pPr>
        <w:pStyle w:val="3Bodytext"/>
        <w:jc w:val="both"/>
      </w:pPr>
      <w:r w:rsidRPr="00ED0B2B">
        <w:t xml:space="preserve">The PBAC </w:t>
      </w:r>
      <w:r w:rsidR="008E5B9A" w:rsidRPr="00ED0B2B">
        <w:t>deferred</w:t>
      </w:r>
      <w:r w:rsidRPr="00ED0B2B">
        <w:t xml:space="preserve"> </w:t>
      </w:r>
      <w:r w:rsidR="00097840" w:rsidRPr="00ED0B2B">
        <w:t xml:space="preserve">making a recommendation on adalimumab </w:t>
      </w:r>
      <w:r w:rsidR="006C17BB" w:rsidRPr="00ED0B2B">
        <w:t xml:space="preserve">40 mg </w:t>
      </w:r>
      <w:r w:rsidR="00097840" w:rsidRPr="00ED0B2B">
        <w:t xml:space="preserve">for the treatment of </w:t>
      </w:r>
      <w:r w:rsidR="00C07CC3" w:rsidRPr="00ED0B2B">
        <w:t xml:space="preserve">patients with moderate to </w:t>
      </w:r>
      <w:r w:rsidRPr="00ED0B2B">
        <w:t>severe HS at it</w:t>
      </w:r>
      <w:r w:rsidR="008E5B9A" w:rsidRPr="00ED0B2B">
        <w:t>s Novemb</w:t>
      </w:r>
      <w:r w:rsidR="00097840" w:rsidRPr="00ED0B2B">
        <w:t>er 2016 meeting. S</w:t>
      </w:r>
      <w:r w:rsidR="006E3A42" w:rsidRPr="00ED0B2B">
        <w:t>ubsequent to the November 2016 meeting</w:t>
      </w:r>
      <w:r w:rsidR="00097840" w:rsidRPr="00ED0B2B">
        <w:t>, the sponsor</w:t>
      </w:r>
      <w:r w:rsidR="006E3A42" w:rsidRPr="00ED0B2B">
        <w:t xml:space="preserve"> provided the PBAC with a revised price offer, a revised </w:t>
      </w:r>
      <w:r w:rsidR="00DF6FC4" w:rsidRPr="00ED0B2B">
        <w:t>incremental cost effectiveness ratio (</w:t>
      </w:r>
      <w:r w:rsidR="006E3A42" w:rsidRPr="00ED0B2B">
        <w:t>ICER</w:t>
      </w:r>
      <w:r w:rsidR="00DF6FC4" w:rsidRPr="00ED0B2B">
        <w:t>)</w:t>
      </w:r>
      <w:r w:rsidR="006E3A42" w:rsidRPr="00ED0B2B">
        <w:t>, re</w:t>
      </w:r>
      <w:r w:rsidR="000E7E49" w:rsidRPr="00ED0B2B">
        <w:t>vised financial estimates a</w:t>
      </w:r>
      <w:r w:rsidR="006E3A42" w:rsidRPr="00ED0B2B">
        <w:t>nd a proposed</w:t>
      </w:r>
      <w:r w:rsidR="00DF6FC4" w:rsidRPr="00ED0B2B">
        <w:t xml:space="preserve"> Risk Sharing Arrangement</w:t>
      </w:r>
      <w:r w:rsidR="006E3A42" w:rsidRPr="00ED0B2B">
        <w:t xml:space="preserve"> </w:t>
      </w:r>
      <w:r w:rsidR="00DF6FC4" w:rsidRPr="00ED0B2B">
        <w:t>(</w:t>
      </w:r>
      <w:r w:rsidR="006E3A42" w:rsidRPr="00ED0B2B">
        <w:t>RSA</w:t>
      </w:r>
      <w:r w:rsidR="00DF6FC4" w:rsidRPr="00ED0B2B">
        <w:t>)</w:t>
      </w:r>
      <w:r w:rsidR="006E3A42" w:rsidRPr="00ED0B2B">
        <w:t xml:space="preserve"> with yearly subsidisation caps.</w:t>
      </w:r>
      <w:r w:rsidR="00097840" w:rsidRPr="00ED0B2B">
        <w:t xml:space="preserve"> </w:t>
      </w:r>
      <w:r w:rsidR="006E3A42" w:rsidRPr="00ED0B2B">
        <w:t xml:space="preserve">The PBAC recommended the listing of </w:t>
      </w:r>
      <w:r w:rsidR="00E84BB6" w:rsidRPr="00ED0B2B">
        <w:t>adalimumab</w:t>
      </w:r>
      <w:r w:rsidR="007F03D2" w:rsidRPr="00ED0B2B">
        <w:t xml:space="preserve"> 40</w:t>
      </w:r>
      <w:r w:rsidR="00466C1B" w:rsidRPr="00ED0B2B">
        <w:t> </w:t>
      </w:r>
      <w:r w:rsidR="007F03D2" w:rsidRPr="00ED0B2B">
        <w:t>mg</w:t>
      </w:r>
      <w:r w:rsidR="006E3A42" w:rsidRPr="00ED0B2B">
        <w:t xml:space="preserve"> for HS at</w:t>
      </w:r>
      <w:r w:rsidR="00097840" w:rsidRPr="00ED0B2B">
        <w:t xml:space="preserve"> a </w:t>
      </w:r>
      <w:r w:rsidR="008E5B9A" w:rsidRPr="00ED0B2B">
        <w:t>meeting held on 16 December 2016</w:t>
      </w:r>
      <w:r w:rsidR="006E3A42" w:rsidRPr="00ED0B2B">
        <w:t>.</w:t>
      </w:r>
      <w:r w:rsidR="008E5B9A" w:rsidRPr="00ED0B2B">
        <w:t xml:space="preserve"> (</w:t>
      </w:r>
      <w:r w:rsidR="0095218F" w:rsidRPr="00ED0B2B">
        <w:t xml:space="preserve">Addendum, </w:t>
      </w:r>
      <w:r w:rsidR="00A97BA3" w:rsidRPr="00ED0B2B">
        <w:t xml:space="preserve">adalimumab </w:t>
      </w:r>
      <w:r w:rsidR="000E19A6">
        <w:t>Public Summary Document</w:t>
      </w:r>
      <w:r w:rsidR="0095218F" w:rsidRPr="00ED0B2B">
        <w:t>,</w:t>
      </w:r>
      <w:r w:rsidR="008E5B9A" w:rsidRPr="00ED0B2B">
        <w:t xml:space="preserve"> Nov 2016)</w:t>
      </w:r>
      <w:r w:rsidRPr="00ED0B2B">
        <w:t xml:space="preserve"> </w:t>
      </w:r>
    </w:p>
    <w:p w:rsidR="0012749D" w:rsidRPr="00ED0B2B" w:rsidRDefault="00F33CBD" w:rsidP="00710841">
      <w:pPr>
        <w:pStyle w:val="3Bodytext"/>
        <w:jc w:val="both"/>
      </w:pPr>
      <w:r w:rsidRPr="00ED0B2B">
        <w:t xml:space="preserve">Adalimumab is currently listed on the </w:t>
      </w:r>
      <w:r w:rsidR="00450D3A" w:rsidRPr="00ED0B2B">
        <w:t xml:space="preserve">general schedule of the </w:t>
      </w:r>
      <w:r w:rsidRPr="00ED0B2B">
        <w:t>PBS</w:t>
      </w:r>
      <w:r w:rsidR="00450D3A" w:rsidRPr="00ED0B2B">
        <w:t xml:space="preserve"> as an Authority Require</w:t>
      </w:r>
      <w:r w:rsidR="00AE56ED" w:rsidRPr="00ED0B2B">
        <w:t>d listing</w:t>
      </w:r>
      <w:r w:rsidRPr="00ED0B2B">
        <w:t xml:space="preserve"> for </w:t>
      </w:r>
      <w:r w:rsidR="00450D3A" w:rsidRPr="00ED0B2B">
        <w:t xml:space="preserve">treatment of </w:t>
      </w:r>
      <w:r w:rsidRPr="00ED0B2B">
        <w:t>HS with a Special Pricing Arrangement</w:t>
      </w:r>
      <w:r w:rsidR="001309D6" w:rsidRPr="00ED0B2B">
        <w:t xml:space="preserve"> and </w:t>
      </w:r>
      <w:r w:rsidR="00DF6FC4" w:rsidRPr="00ED0B2B">
        <w:t xml:space="preserve">an RSA </w:t>
      </w:r>
      <w:r w:rsidR="00C427FE" w:rsidRPr="00ED0B2B">
        <w:t xml:space="preserve">in the form of a </w:t>
      </w:r>
      <w:r w:rsidR="00DF6FC4" w:rsidRPr="00ED0B2B">
        <w:t xml:space="preserve">subsidisation </w:t>
      </w:r>
      <w:r w:rsidR="00C427FE" w:rsidRPr="00ED0B2B">
        <w:t>cap</w:t>
      </w:r>
      <w:r w:rsidR="00DF6FC4" w:rsidRPr="00ED0B2B">
        <w:t>, with rebates for any expenditure over the cap</w:t>
      </w:r>
      <w:r w:rsidR="00C92CCE" w:rsidRPr="00ED0B2B">
        <w:t>.</w:t>
      </w:r>
      <w:r w:rsidR="006F5234" w:rsidRPr="00ED0B2B">
        <w:t xml:space="preserve"> </w:t>
      </w:r>
      <w:r w:rsidR="00956E42">
        <w:rPr>
          <w:noProof/>
          <w:color w:val="000000"/>
          <w:highlight w:val="black"/>
        </w:rPr>
        <w:t>'''''''''''''''''''''''' ''''' ''''''''''''''''''''''' '''''' '''''' ''''' '''''' ''''''' '''''' ''''''''''''''''' '''''' '''''''''''''''' ''''''''''</w:t>
      </w:r>
      <w:r w:rsidR="006F5234" w:rsidRPr="00ED0B2B">
        <w:t xml:space="preserve"> </w:t>
      </w:r>
    </w:p>
    <w:p w:rsidR="002F321E" w:rsidRPr="00ED0B2B" w:rsidRDefault="006C17BB" w:rsidP="00710841">
      <w:pPr>
        <w:pStyle w:val="3Bodytext"/>
        <w:jc w:val="both"/>
        <w:rPr>
          <w:color w:val="FF0000"/>
        </w:rPr>
      </w:pPr>
      <w:r w:rsidRPr="00ED0B2B">
        <w:t>The PBAC recommended at its July 2018 meeting to list adalimumab 80</w:t>
      </w:r>
      <w:r w:rsidR="009621A2" w:rsidRPr="00ED0B2B">
        <w:t> </w:t>
      </w:r>
      <w:r w:rsidRPr="00ED0B2B">
        <w:t>mg for tw</w:t>
      </w:r>
      <w:r w:rsidR="007F3CAB" w:rsidRPr="00ED0B2B">
        <w:t xml:space="preserve">o induction doses (2 x 80 mg given on </w:t>
      </w:r>
      <w:r w:rsidRPr="00ED0B2B">
        <w:t>day 1, 1 x 80 mg</w:t>
      </w:r>
      <w:r w:rsidR="007F3CAB" w:rsidRPr="00ED0B2B">
        <w:t xml:space="preserve"> give on day 15)</w:t>
      </w:r>
      <w:r w:rsidR="00216060" w:rsidRPr="00ED0B2B">
        <w:t xml:space="preserve"> for the treatment of moderate to severe HS</w:t>
      </w:r>
      <w:r w:rsidR="007F3CAB" w:rsidRPr="00ED0B2B">
        <w:t xml:space="preserve">. </w:t>
      </w:r>
      <w:r w:rsidR="002F321E" w:rsidRPr="00ED0B2B">
        <w:t xml:space="preserve">At that time, only adalimumab 40 mg was listed in the Product Information for maintenance therapy. </w:t>
      </w:r>
      <w:r w:rsidR="007F3CAB" w:rsidRPr="00ED0B2B">
        <w:t>This</w:t>
      </w:r>
      <w:r w:rsidR="002F321E" w:rsidRPr="00ED0B2B">
        <w:t xml:space="preserve"> recommendation</w:t>
      </w:r>
      <w:r w:rsidR="007F3CAB" w:rsidRPr="00ED0B2B">
        <w:t xml:space="preserve"> is yet to be implemented.</w:t>
      </w:r>
    </w:p>
    <w:p w:rsidR="002C3DDE" w:rsidRPr="00ED0B2B" w:rsidRDefault="001D49DB" w:rsidP="00E641C9">
      <w:pPr>
        <w:pStyle w:val="3Bodytext"/>
        <w:numPr>
          <w:ilvl w:val="0"/>
          <w:numId w:val="0"/>
        </w:numPr>
        <w:rPr>
          <w:b/>
          <w:szCs w:val="24"/>
        </w:rPr>
      </w:pPr>
      <w:r w:rsidRPr="00ED0B2B">
        <w:rPr>
          <w:i/>
        </w:rPr>
        <w:t>For</w:t>
      </w:r>
      <w:r w:rsidRPr="00ED0B2B">
        <w:rPr>
          <w:rFonts w:cs="Arial"/>
          <w:i/>
          <w:snapToGrid w:val="0"/>
          <w:szCs w:val="24"/>
          <w:lang w:eastAsia="en-US"/>
        </w:rPr>
        <w:t xml:space="preserve"> </w:t>
      </w:r>
      <w:r w:rsidRPr="00ED0B2B">
        <w:rPr>
          <w:i/>
        </w:rPr>
        <w:t>more</w:t>
      </w:r>
      <w:r w:rsidRPr="00ED0B2B">
        <w:rPr>
          <w:rFonts w:cs="Arial"/>
          <w:i/>
          <w:snapToGrid w:val="0"/>
          <w:szCs w:val="24"/>
          <w:lang w:eastAsia="en-US"/>
        </w:rPr>
        <w:t xml:space="preserve"> deta</w:t>
      </w:r>
      <w:r w:rsidR="00717C71">
        <w:rPr>
          <w:rFonts w:cs="Arial"/>
          <w:i/>
          <w:snapToGrid w:val="0"/>
          <w:szCs w:val="24"/>
          <w:lang w:eastAsia="en-US"/>
        </w:rPr>
        <w:t>il on PBAC’s view, see section 6</w:t>
      </w:r>
      <w:r w:rsidRPr="00ED0B2B">
        <w:rPr>
          <w:rFonts w:cs="Arial"/>
          <w:i/>
          <w:snapToGrid w:val="0"/>
          <w:szCs w:val="24"/>
          <w:lang w:eastAsia="en-US"/>
        </w:rPr>
        <w:t xml:space="preserve"> PBAC outcome</w:t>
      </w:r>
    </w:p>
    <w:p w:rsidR="00300B1B" w:rsidRPr="00ED0B2B" w:rsidRDefault="005A3173" w:rsidP="007F03D2">
      <w:pPr>
        <w:pStyle w:val="2Sections"/>
        <w:rPr>
          <w:color w:val="FF0000"/>
        </w:rPr>
      </w:pPr>
      <w:r w:rsidRPr="00ED0B2B">
        <w:t>Comparator</w:t>
      </w:r>
      <w:r w:rsidR="0099465B" w:rsidRPr="00ED0B2B">
        <w:t xml:space="preserve"> </w:t>
      </w:r>
    </w:p>
    <w:p w:rsidR="001D49DB" w:rsidRPr="00ED0B2B" w:rsidRDefault="00E50653" w:rsidP="00710841">
      <w:pPr>
        <w:pStyle w:val="3Bodytext"/>
        <w:jc w:val="both"/>
        <w:rPr>
          <w:rStyle w:val="CommentReference"/>
          <w:i/>
          <w:sz w:val="24"/>
          <w:szCs w:val="24"/>
        </w:rPr>
      </w:pPr>
      <w:r w:rsidRPr="00ED0B2B">
        <w:t>The PBAC considered</w:t>
      </w:r>
      <w:r w:rsidR="00E71EC6" w:rsidRPr="00ED0B2B">
        <w:t xml:space="preserve"> that</w:t>
      </w:r>
      <w:r w:rsidRPr="00ED0B2B">
        <w:t xml:space="preserve"> the </w:t>
      </w:r>
      <w:r w:rsidR="007F79C0" w:rsidRPr="00ED0B2B">
        <w:t xml:space="preserve">nominated </w:t>
      </w:r>
      <w:r w:rsidR="008011C1" w:rsidRPr="00ED0B2B">
        <w:t>comparator</w:t>
      </w:r>
      <w:r w:rsidR="007F79C0" w:rsidRPr="00ED0B2B">
        <w:t xml:space="preserve"> of adalimumab 40</w:t>
      </w:r>
      <w:r w:rsidR="009621A2" w:rsidRPr="00ED0B2B">
        <w:t> </w:t>
      </w:r>
      <w:r w:rsidR="007F79C0" w:rsidRPr="00ED0B2B">
        <w:t>mg</w:t>
      </w:r>
      <w:r w:rsidR="008011C1" w:rsidRPr="00ED0B2B">
        <w:t xml:space="preserve"> </w:t>
      </w:r>
      <w:r w:rsidR="007F79C0" w:rsidRPr="00ED0B2B">
        <w:t xml:space="preserve">weekly </w:t>
      </w:r>
      <w:r w:rsidR="00E92576" w:rsidRPr="00ED0B2B">
        <w:t>wa</w:t>
      </w:r>
      <w:r w:rsidR="007F79C0" w:rsidRPr="00ED0B2B">
        <w:t>s appropriate.</w:t>
      </w:r>
      <w:r w:rsidR="00F722DA" w:rsidRPr="00ED0B2B">
        <w:t xml:space="preserve"> </w:t>
      </w:r>
    </w:p>
    <w:p w:rsidR="000B44C3" w:rsidRPr="00ED0B2B" w:rsidRDefault="001D49DB" w:rsidP="00E641C9">
      <w:pPr>
        <w:pStyle w:val="Bodytextitalics"/>
        <w:numPr>
          <w:ilvl w:val="0"/>
          <w:numId w:val="0"/>
        </w:numPr>
        <w:jc w:val="both"/>
        <w:rPr>
          <w:szCs w:val="24"/>
        </w:rPr>
      </w:pPr>
      <w:r w:rsidRPr="00ED0B2B">
        <w:rPr>
          <w:szCs w:val="24"/>
        </w:rPr>
        <w:t>For more deta</w:t>
      </w:r>
      <w:r w:rsidR="00717C71">
        <w:rPr>
          <w:szCs w:val="24"/>
        </w:rPr>
        <w:t>il on PBAC’s view, see section 6</w:t>
      </w:r>
      <w:r w:rsidRPr="00ED0B2B">
        <w:rPr>
          <w:szCs w:val="24"/>
        </w:rPr>
        <w:t xml:space="preserve"> PBAC outcome</w:t>
      </w:r>
    </w:p>
    <w:p w:rsidR="000B558D" w:rsidRPr="00ED0B2B"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ED0B2B">
        <w:rPr>
          <w:rFonts w:asciiTheme="minorHAnsi" w:hAnsiTheme="minorHAnsi"/>
          <w:sz w:val="32"/>
          <w:szCs w:val="32"/>
        </w:rPr>
        <w:lastRenderedPageBreak/>
        <w:t>C</w:t>
      </w:r>
      <w:r w:rsidR="00D84934" w:rsidRPr="00ED0B2B">
        <w:rPr>
          <w:rFonts w:asciiTheme="minorHAnsi" w:hAnsiTheme="minorHAnsi"/>
          <w:sz w:val="32"/>
          <w:szCs w:val="32"/>
        </w:rPr>
        <w:t>onsideration of the evidence</w:t>
      </w:r>
    </w:p>
    <w:p w:rsidR="00362D17" w:rsidRPr="00ED0B2B" w:rsidRDefault="00362D17" w:rsidP="00362D17">
      <w:pPr>
        <w:pStyle w:val="Heading2"/>
        <w:keepLines/>
        <w:spacing w:before="240" w:after="120"/>
        <w:rPr>
          <w:rFonts w:asciiTheme="minorHAnsi" w:hAnsiTheme="minorHAnsi" w:cs="Arial"/>
          <w:b w:val="0"/>
          <w:bCs/>
          <w:i w:val="0"/>
          <w:snapToGrid w:val="0"/>
          <w:sz w:val="28"/>
          <w:szCs w:val="28"/>
        </w:rPr>
      </w:pPr>
      <w:r w:rsidRPr="00ED0B2B">
        <w:rPr>
          <w:rFonts w:asciiTheme="minorHAnsi" w:eastAsiaTheme="majorEastAsia" w:hAnsiTheme="minorHAnsi" w:cstheme="majorBidi"/>
          <w:sz w:val="28"/>
          <w:szCs w:val="28"/>
          <w:lang w:eastAsia="en-US"/>
        </w:rPr>
        <w:t>Sponsor</w:t>
      </w:r>
      <w:r w:rsidRPr="00ED0B2B">
        <w:rPr>
          <w:rFonts w:asciiTheme="minorHAnsi" w:hAnsiTheme="minorHAnsi" w:cs="Arial"/>
          <w:bCs/>
          <w:snapToGrid w:val="0"/>
          <w:sz w:val="28"/>
          <w:szCs w:val="28"/>
        </w:rPr>
        <w:t xml:space="preserve"> hearing</w:t>
      </w:r>
    </w:p>
    <w:p w:rsidR="00362D17" w:rsidRPr="00ED0B2B" w:rsidRDefault="00362D17" w:rsidP="00E641C9">
      <w:pPr>
        <w:pStyle w:val="3Bodytext"/>
        <w:rPr>
          <w:snapToGrid w:val="0"/>
        </w:rPr>
      </w:pPr>
      <w:r w:rsidRPr="00ED0B2B">
        <w:rPr>
          <w:snapToGrid w:val="0"/>
        </w:rPr>
        <w:t>There was no hearing for this ite</w:t>
      </w:r>
      <w:r w:rsidR="00A9224B" w:rsidRPr="00ED0B2B">
        <w:rPr>
          <w:snapToGrid w:val="0"/>
        </w:rPr>
        <w:t>m as it was a minor submission.</w:t>
      </w:r>
    </w:p>
    <w:p w:rsidR="00362D17" w:rsidRPr="00ED0B2B" w:rsidRDefault="00362D17" w:rsidP="00362D17">
      <w:pPr>
        <w:pStyle w:val="Heading2"/>
        <w:keepLines/>
        <w:spacing w:before="240" w:after="120"/>
        <w:rPr>
          <w:rFonts w:asciiTheme="minorHAnsi" w:hAnsiTheme="minorHAnsi" w:cs="Arial"/>
          <w:b w:val="0"/>
          <w:bCs/>
          <w:i w:val="0"/>
          <w:snapToGrid w:val="0"/>
          <w:sz w:val="28"/>
          <w:szCs w:val="28"/>
        </w:rPr>
      </w:pPr>
      <w:r w:rsidRPr="00ED0B2B">
        <w:rPr>
          <w:rFonts w:asciiTheme="minorHAnsi" w:eastAsiaTheme="majorEastAsia" w:hAnsiTheme="minorHAnsi" w:cstheme="majorBidi"/>
          <w:sz w:val="28"/>
          <w:szCs w:val="28"/>
          <w:lang w:eastAsia="en-US"/>
        </w:rPr>
        <w:t>Consumer</w:t>
      </w:r>
      <w:r w:rsidRPr="00ED0B2B">
        <w:rPr>
          <w:rFonts w:asciiTheme="minorHAnsi" w:hAnsiTheme="minorHAnsi" w:cs="Arial"/>
          <w:bCs/>
          <w:snapToGrid w:val="0"/>
          <w:sz w:val="28"/>
          <w:szCs w:val="28"/>
        </w:rPr>
        <w:t xml:space="preserve"> comments</w:t>
      </w:r>
    </w:p>
    <w:p w:rsidR="00362D17" w:rsidRPr="00ED0B2B" w:rsidRDefault="00362D17" w:rsidP="00E641C9">
      <w:pPr>
        <w:pStyle w:val="3Bodytext"/>
        <w:rPr>
          <w:snapToGrid w:val="0"/>
        </w:rPr>
      </w:pPr>
      <w:r w:rsidRPr="00ED0B2B">
        <w:rPr>
          <w:snapToGrid w:val="0"/>
        </w:rPr>
        <w:t>The PBAC noted that no consumer comme</w:t>
      </w:r>
      <w:r w:rsidR="00A9224B" w:rsidRPr="00ED0B2B">
        <w:rPr>
          <w:snapToGrid w:val="0"/>
        </w:rPr>
        <w:t>nts were received for this item</w:t>
      </w:r>
      <w:r w:rsidRPr="00ED0B2B">
        <w:rPr>
          <w:snapToGrid w:val="0"/>
        </w:rPr>
        <w:t>.</w:t>
      </w:r>
    </w:p>
    <w:p w:rsidR="00977BF3" w:rsidRPr="00ED0B2B" w:rsidRDefault="005A3173" w:rsidP="007F03D2">
      <w:pPr>
        <w:pStyle w:val="Heading2"/>
        <w:keepLines/>
        <w:spacing w:before="240" w:after="120"/>
        <w:rPr>
          <w:rFonts w:asciiTheme="minorHAnsi" w:eastAsiaTheme="majorEastAsia" w:hAnsiTheme="minorHAnsi" w:cstheme="majorBidi"/>
          <w:sz w:val="28"/>
          <w:szCs w:val="28"/>
          <w:lang w:eastAsia="en-US"/>
        </w:rPr>
      </w:pPr>
      <w:r w:rsidRPr="00ED0B2B">
        <w:rPr>
          <w:rFonts w:asciiTheme="minorHAnsi" w:eastAsiaTheme="majorEastAsia" w:hAnsiTheme="minorHAnsi" w:cstheme="majorBidi"/>
          <w:sz w:val="28"/>
          <w:szCs w:val="28"/>
          <w:lang w:eastAsia="en-US"/>
        </w:rPr>
        <w:t>Clinical claim</w:t>
      </w:r>
    </w:p>
    <w:p w:rsidR="00916C78" w:rsidRPr="00ED0B2B" w:rsidRDefault="00FF2801" w:rsidP="00E641C9">
      <w:pPr>
        <w:pStyle w:val="3Bodytext"/>
      </w:pPr>
      <w:r w:rsidRPr="00ED0B2B">
        <w:t>The submission claimed</w:t>
      </w:r>
      <w:r w:rsidR="008A4667" w:rsidRPr="00ED0B2B">
        <w:t xml:space="preserve"> adalimumab 80 mg fortnightly maintenance dosing in HS is equivalent to 40 mg weekly maintenance dosing with respect to efficacy</w:t>
      </w:r>
      <w:r w:rsidR="007F03D2" w:rsidRPr="00ED0B2B">
        <w:t xml:space="preserve"> and</w:t>
      </w:r>
      <w:r w:rsidR="008A4667" w:rsidRPr="00ED0B2B">
        <w:t xml:space="preserve"> </w:t>
      </w:r>
      <w:r w:rsidR="007F03D2" w:rsidRPr="00ED0B2B">
        <w:t>safety</w:t>
      </w:r>
      <w:r w:rsidR="008A4667" w:rsidRPr="00ED0B2B">
        <w:t>.</w:t>
      </w:r>
      <w:r w:rsidR="006F1C3C" w:rsidRPr="00ED0B2B">
        <w:t xml:space="preserve"> </w:t>
      </w:r>
    </w:p>
    <w:p w:rsidR="00CA48D9" w:rsidRPr="00ED0B2B" w:rsidRDefault="00151F35" w:rsidP="0083749D">
      <w:pPr>
        <w:pStyle w:val="Heading2"/>
        <w:keepLines/>
        <w:spacing w:before="240" w:after="120"/>
        <w:rPr>
          <w:rFonts w:asciiTheme="minorHAnsi" w:eastAsiaTheme="majorEastAsia" w:hAnsiTheme="minorHAnsi" w:cstheme="majorBidi"/>
          <w:sz w:val="28"/>
          <w:szCs w:val="28"/>
          <w:lang w:eastAsia="en-US"/>
        </w:rPr>
      </w:pPr>
      <w:r w:rsidRPr="00ED0B2B">
        <w:rPr>
          <w:rFonts w:asciiTheme="minorHAnsi" w:eastAsiaTheme="majorEastAsia" w:hAnsiTheme="minorHAnsi" w:cstheme="majorBidi"/>
          <w:sz w:val="28"/>
          <w:szCs w:val="28"/>
          <w:lang w:eastAsia="en-US"/>
        </w:rPr>
        <w:t xml:space="preserve">Drug cost/patient/year: </w:t>
      </w:r>
      <w:r w:rsidR="0089461B" w:rsidRPr="00ED0B2B">
        <w:rPr>
          <w:rFonts w:asciiTheme="minorHAnsi" w:eastAsiaTheme="majorEastAsia" w:hAnsiTheme="minorHAnsi" w:cstheme="majorBidi"/>
          <w:sz w:val="28"/>
          <w:szCs w:val="28"/>
          <w:lang w:eastAsia="en-US"/>
        </w:rPr>
        <w:t>$</w:t>
      </w:r>
      <w:r w:rsidR="00956E42">
        <w:rPr>
          <w:rFonts w:asciiTheme="minorHAnsi" w:eastAsiaTheme="majorEastAsia" w:hAnsiTheme="minorHAnsi" w:cstheme="majorBidi"/>
          <w:noProof/>
          <w:color w:val="000000"/>
          <w:sz w:val="28"/>
          <w:szCs w:val="28"/>
          <w:highlight w:val="black"/>
          <w:lang w:eastAsia="en-US"/>
        </w:rPr>
        <w:t>'''''''''''''''''''</w:t>
      </w:r>
    </w:p>
    <w:p w:rsidR="0071730D" w:rsidRPr="00ED0B2B" w:rsidRDefault="00E10A32" w:rsidP="00710841">
      <w:pPr>
        <w:pStyle w:val="3Bodytext"/>
        <w:jc w:val="both"/>
      </w:pPr>
      <w:r w:rsidRPr="00ED0B2B">
        <w:t>T</w:t>
      </w:r>
      <w:r w:rsidR="007F03D2" w:rsidRPr="00ED0B2B">
        <w:t>he proposed AEMP for</w:t>
      </w:r>
      <w:r w:rsidRPr="00ED0B2B">
        <w:t xml:space="preserve"> </w:t>
      </w:r>
      <w:r w:rsidR="007F03D2" w:rsidRPr="00ED0B2B">
        <w:t xml:space="preserve">adalimumab 80 mg </w:t>
      </w:r>
      <w:r w:rsidR="00E92576" w:rsidRPr="00ED0B2B">
        <w:t>PFS</w:t>
      </w:r>
      <w:r w:rsidR="003E1BC4" w:rsidRPr="00ED0B2B">
        <w:t>/pen</w:t>
      </w:r>
      <w:r w:rsidR="00077133" w:rsidRPr="00ED0B2B">
        <w:t>, pack of 1,</w:t>
      </w:r>
      <w:r w:rsidR="003E1BC4" w:rsidRPr="00ED0B2B">
        <w:t xml:space="preserve"> is half the AEMP for a pack of </w:t>
      </w:r>
      <w:r w:rsidR="007F03D2" w:rsidRPr="00ED0B2B">
        <w:t xml:space="preserve">four adalimumab 40 mg </w:t>
      </w:r>
      <w:r w:rsidR="00E641C9" w:rsidRPr="00ED0B2B">
        <w:t>PFS</w:t>
      </w:r>
      <w:r w:rsidR="009E52E7" w:rsidRPr="00ED0B2B">
        <w:t>/pen</w:t>
      </w:r>
      <w:r w:rsidR="00E641C9" w:rsidRPr="00ED0B2B">
        <w:t>s</w:t>
      </w:r>
      <w:r w:rsidR="009E52E7" w:rsidRPr="00ED0B2B">
        <w:t>.</w:t>
      </w:r>
      <w:r w:rsidR="00FB5929" w:rsidRPr="00ED0B2B">
        <w:t xml:space="preserve"> Published and effective prices are outlined in Table 1. </w:t>
      </w:r>
    </w:p>
    <w:p w:rsidR="00FB5929" w:rsidRPr="00ED0B2B" w:rsidRDefault="00FB5929" w:rsidP="00476A10">
      <w:pPr>
        <w:pStyle w:val="Tabletitles"/>
        <w:keepNext/>
      </w:pPr>
      <w:r w:rsidRPr="00ED0B2B">
        <w:t>Table 1: Published and Effective prices for adalimumab 40</w:t>
      </w:r>
      <w:r w:rsidR="00077133" w:rsidRPr="00ED0B2B">
        <w:t> </w:t>
      </w:r>
      <w:r w:rsidRPr="00ED0B2B">
        <w:t>mg/0.8</w:t>
      </w:r>
      <w:r w:rsidR="00077133" w:rsidRPr="00ED0B2B">
        <w:t> </w:t>
      </w:r>
      <w:r w:rsidRPr="00ED0B2B">
        <w:t>mL and 80</w:t>
      </w:r>
      <w:r w:rsidR="00077133" w:rsidRPr="00ED0B2B">
        <w:t> </w:t>
      </w:r>
      <w:r w:rsidRPr="00ED0B2B">
        <w:t>mg/0.8</w:t>
      </w:r>
      <w:r w:rsidR="00077133" w:rsidRPr="00ED0B2B">
        <w:t> </w:t>
      </w:r>
      <w:r w:rsidRPr="00ED0B2B">
        <w:t>mL injections for treatment of HS</w:t>
      </w:r>
    </w:p>
    <w:tbl>
      <w:tblPr>
        <w:tblStyle w:val="TableGrid"/>
        <w:tblW w:w="5000" w:type="pct"/>
        <w:tblLook w:val="04A0" w:firstRow="1" w:lastRow="0" w:firstColumn="1" w:lastColumn="0" w:noHBand="0" w:noVBand="1"/>
        <w:tblCaption w:val="Table 1: Published and Effective prices for adalimumab 40 mg/0.8 mL and 80 mg/0.8 mL injections for treatment of HS"/>
      </w:tblPr>
      <w:tblGrid>
        <w:gridCol w:w="5394"/>
        <w:gridCol w:w="1053"/>
        <w:gridCol w:w="1309"/>
        <w:gridCol w:w="1260"/>
      </w:tblGrid>
      <w:tr w:rsidR="004C460F" w:rsidRPr="00ED0B2B" w:rsidTr="003943D0">
        <w:trPr>
          <w:tblHeader/>
        </w:trPr>
        <w:tc>
          <w:tcPr>
            <w:tcW w:w="2991" w:type="pct"/>
            <w:vMerge w:val="restart"/>
            <w:vAlign w:val="center"/>
          </w:tcPr>
          <w:p w:rsidR="004C460F" w:rsidRPr="00ED0B2B" w:rsidRDefault="004C460F" w:rsidP="00476A10">
            <w:pPr>
              <w:pStyle w:val="TableText0"/>
              <w:keepNext/>
              <w:jc w:val="center"/>
              <w:rPr>
                <w:b/>
              </w:rPr>
            </w:pPr>
            <w:r w:rsidRPr="00ED0B2B">
              <w:rPr>
                <w:b/>
              </w:rPr>
              <w:t>Drug and form</w:t>
            </w:r>
          </w:p>
        </w:tc>
        <w:tc>
          <w:tcPr>
            <w:tcW w:w="584" w:type="pct"/>
            <w:vMerge w:val="restart"/>
            <w:vAlign w:val="center"/>
          </w:tcPr>
          <w:p w:rsidR="004C460F" w:rsidRPr="00ED0B2B" w:rsidRDefault="004C460F" w:rsidP="00476A10">
            <w:pPr>
              <w:pStyle w:val="TableText0"/>
              <w:keepNext/>
              <w:jc w:val="center"/>
              <w:rPr>
                <w:b/>
              </w:rPr>
            </w:pPr>
            <w:r w:rsidRPr="00ED0B2B">
              <w:rPr>
                <w:b/>
              </w:rPr>
              <w:t>Max qty</w:t>
            </w:r>
          </w:p>
        </w:tc>
        <w:tc>
          <w:tcPr>
            <w:tcW w:w="1425" w:type="pct"/>
            <w:gridSpan w:val="2"/>
          </w:tcPr>
          <w:p w:rsidR="004C460F" w:rsidRPr="00ED0B2B" w:rsidRDefault="004C460F" w:rsidP="004C460F">
            <w:pPr>
              <w:pStyle w:val="TableText0"/>
              <w:keepNext/>
              <w:jc w:val="center"/>
              <w:rPr>
                <w:b/>
              </w:rPr>
            </w:pPr>
            <w:r w:rsidRPr="00ED0B2B">
              <w:rPr>
                <w:b/>
              </w:rPr>
              <w:t xml:space="preserve">AEMP </w:t>
            </w:r>
          </w:p>
        </w:tc>
      </w:tr>
      <w:tr w:rsidR="004C460F" w:rsidRPr="00ED0B2B" w:rsidTr="003943D0">
        <w:trPr>
          <w:tblHeader/>
        </w:trPr>
        <w:tc>
          <w:tcPr>
            <w:tcW w:w="2991" w:type="pct"/>
            <w:vMerge/>
          </w:tcPr>
          <w:p w:rsidR="004C460F" w:rsidRPr="00ED0B2B" w:rsidRDefault="004C460F" w:rsidP="00476A10">
            <w:pPr>
              <w:pStyle w:val="TableText0"/>
              <w:keepNext/>
            </w:pPr>
          </w:p>
        </w:tc>
        <w:tc>
          <w:tcPr>
            <w:tcW w:w="584" w:type="pct"/>
            <w:vMerge/>
          </w:tcPr>
          <w:p w:rsidR="004C460F" w:rsidRPr="00ED0B2B" w:rsidRDefault="004C460F" w:rsidP="00476A10">
            <w:pPr>
              <w:pStyle w:val="TableText0"/>
              <w:keepNext/>
              <w:jc w:val="center"/>
              <w:rPr>
                <w:b/>
              </w:rPr>
            </w:pPr>
          </w:p>
        </w:tc>
        <w:tc>
          <w:tcPr>
            <w:tcW w:w="726" w:type="pct"/>
          </w:tcPr>
          <w:p w:rsidR="004C460F" w:rsidRPr="00ED0B2B" w:rsidRDefault="004C460F" w:rsidP="00476A10">
            <w:pPr>
              <w:pStyle w:val="TableText0"/>
              <w:keepNext/>
              <w:jc w:val="center"/>
              <w:rPr>
                <w:b/>
              </w:rPr>
            </w:pPr>
            <w:r w:rsidRPr="00ED0B2B">
              <w:rPr>
                <w:b/>
              </w:rPr>
              <w:t>Published</w:t>
            </w:r>
            <w:r w:rsidRPr="00ED0B2B" w:rsidDel="004C460F">
              <w:rPr>
                <w:b/>
              </w:rPr>
              <w:t xml:space="preserve"> </w:t>
            </w:r>
          </w:p>
        </w:tc>
        <w:tc>
          <w:tcPr>
            <w:tcW w:w="699" w:type="pct"/>
          </w:tcPr>
          <w:p w:rsidR="004C460F" w:rsidRPr="00ED0B2B" w:rsidRDefault="004C460F" w:rsidP="00476A10">
            <w:pPr>
              <w:pStyle w:val="TableText0"/>
              <w:keepNext/>
              <w:jc w:val="center"/>
              <w:rPr>
                <w:b/>
              </w:rPr>
            </w:pPr>
            <w:r w:rsidRPr="00ED0B2B">
              <w:rPr>
                <w:b/>
              </w:rPr>
              <w:t>Effective</w:t>
            </w:r>
          </w:p>
        </w:tc>
      </w:tr>
      <w:tr w:rsidR="004C460F" w:rsidRPr="00ED0B2B" w:rsidTr="003943D0">
        <w:trPr>
          <w:tblHeader/>
        </w:trPr>
        <w:tc>
          <w:tcPr>
            <w:tcW w:w="2991" w:type="pct"/>
          </w:tcPr>
          <w:p w:rsidR="004C460F" w:rsidRPr="00ED0B2B" w:rsidRDefault="004C460F" w:rsidP="00476A10">
            <w:pPr>
              <w:pStyle w:val="TableText0"/>
              <w:keepNext/>
            </w:pPr>
            <w:r w:rsidRPr="00ED0B2B">
              <w:rPr>
                <w:smallCaps/>
              </w:rPr>
              <w:t xml:space="preserve">ADALIMUMAB </w:t>
            </w:r>
            <w:r w:rsidRPr="00ED0B2B">
              <w:t>80 mg/0.8 mL injection, 0.8 mL syringe</w:t>
            </w:r>
          </w:p>
        </w:tc>
        <w:tc>
          <w:tcPr>
            <w:tcW w:w="584" w:type="pct"/>
            <w:vAlign w:val="center"/>
          </w:tcPr>
          <w:p w:rsidR="004C460F" w:rsidRPr="00ED0B2B" w:rsidRDefault="004C460F" w:rsidP="00476A10">
            <w:pPr>
              <w:pStyle w:val="TableText0"/>
              <w:keepNext/>
              <w:jc w:val="center"/>
            </w:pPr>
            <w:r w:rsidRPr="00ED0B2B">
              <w:t>2</w:t>
            </w:r>
          </w:p>
        </w:tc>
        <w:tc>
          <w:tcPr>
            <w:tcW w:w="726" w:type="pct"/>
          </w:tcPr>
          <w:p w:rsidR="004C460F" w:rsidRPr="00ED0B2B" w:rsidRDefault="004C460F" w:rsidP="00476A10">
            <w:pPr>
              <w:pStyle w:val="TableText0"/>
              <w:keepNext/>
            </w:pPr>
            <w:r w:rsidRPr="00ED0B2B">
              <w:t>$</w:t>
            </w:r>
            <w:r w:rsidR="00956E42">
              <w:rPr>
                <w:noProof/>
                <w:color w:val="000000"/>
                <w:highlight w:val="black"/>
              </w:rPr>
              <w:t>''''''''''''''''''''</w:t>
            </w:r>
          </w:p>
        </w:tc>
        <w:tc>
          <w:tcPr>
            <w:tcW w:w="699" w:type="pct"/>
          </w:tcPr>
          <w:p w:rsidR="004C460F" w:rsidRPr="00ED0B2B" w:rsidRDefault="004C460F" w:rsidP="00476A10">
            <w:pPr>
              <w:pStyle w:val="TableText0"/>
              <w:keepNext/>
            </w:pPr>
            <w:r w:rsidRPr="00ED0B2B">
              <w:t>$</w:t>
            </w:r>
            <w:r w:rsidR="00956E42">
              <w:rPr>
                <w:noProof/>
                <w:color w:val="000000"/>
                <w:highlight w:val="black"/>
              </w:rPr>
              <w:t>''''''''''''''''</w:t>
            </w:r>
          </w:p>
        </w:tc>
      </w:tr>
      <w:tr w:rsidR="004C460F" w:rsidRPr="00ED0B2B" w:rsidTr="003943D0">
        <w:trPr>
          <w:tblHeader/>
        </w:trPr>
        <w:tc>
          <w:tcPr>
            <w:tcW w:w="2991" w:type="pct"/>
          </w:tcPr>
          <w:p w:rsidR="004C460F" w:rsidRPr="00ED0B2B" w:rsidRDefault="004C460F" w:rsidP="00476A10">
            <w:pPr>
              <w:pStyle w:val="TableText0"/>
              <w:keepNext/>
            </w:pPr>
            <w:r w:rsidRPr="00ED0B2B">
              <w:rPr>
                <w:smallCaps/>
              </w:rPr>
              <w:t xml:space="preserve">ADALIMUMAB </w:t>
            </w:r>
            <w:r w:rsidRPr="00ED0B2B">
              <w:t>40 mg/0.8 mL injection,  4 x 0.8mL pen devices</w:t>
            </w:r>
          </w:p>
        </w:tc>
        <w:tc>
          <w:tcPr>
            <w:tcW w:w="584" w:type="pct"/>
            <w:vAlign w:val="center"/>
          </w:tcPr>
          <w:p w:rsidR="004C460F" w:rsidRPr="00ED0B2B" w:rsidRDefault="004C460F" w:rsidP="00476A10">
            <w:pPr>
              <w:pStyle w:val="TableText0"/>
              <w:keepNext/>
              <w:jc w:val="center"/>
            </w:pPr>
            <w:r w:rsidRPr="00ED0B2B">
              <w:t>1</w:t>
            </w:r>
          </w:p>
        </w:tc>
        <w:tc>
          <w:tcPr>
            <w:tcW w:w="726" w:type="pct"/>
          </w:tcPr>
          <w:p w:rsidR="004C460F" w:rsidRPr="00ED0B2B" w:rsidRDefault="004C460F" w:rsidP="00476A10">
            <w:pPr>
              <w:pStyle w:val="TableText0"/>
              <w:keepNext/>
            </w:pPr>
            <w:r w:rsidRPr="00ED0B2B">
              <w:t>$2303.75</w:t>
            </w:r>
          </w:p>
        </w:tc>
        <w:tc>
          <w:tcPr>
            <w:tcW w:w="699" w:type="pct"/>
          </w:tcPr>
          <w:p w:rsidR="004C460F" w:rsidRPr="00ED0B2B" w:rsidRDefault="004C460F" w:rsidP="00476A10">
            <w:pPr>
              <w:pStyle w:val="TableText0"/>
              <w:keepNext/>
            </w:pPr>
            <w:r w:rsidRPr="00ED0B2B">
              <w:t>$</w:t>
            </w:r>
            <w:r w:rsidR="00956E42">
              <w:rPr>
                <w:noProof/>
                <w:color w:val="000000"/>
                <w:highlight w:val="black"/>
              </w:rPr>
              <w:t>'''''''''''''''''</w:t>
            </w:r>
          </w:p>
        </w:tc>
      </w:tr>
      <w:tr w:rsidR="004C460F" w:rsidRPr="00ED0B2B" w:rsidTr="003943D0">
        <w:trPr>
          <w:tblHeader/>
        </w:trPr>
        <w:tc>
          <w:tcPr>
            <w:tcW w:w="2991" w:type="pct"/>
          </w:tcPr>
          <w:p w:rsidR="004C460F" w:rsidRPr="00ED0B2B" w:rsidRDefault="004C460F" w:rsidP="00476A10">
            <w:pPr>
              <w:pStyle w:val="TableText0"/>
              <w:keepNext/>
            </w:pPr>
            <w:r w:rsidRPr="00ED0B2B">
              <w:rPr>
                <w:smallCaps/>
              </w:rPr>
              <w:t xml:space="preserve">ADALIMUMAB </w:t>
            </w:r>
            <w:r w:rsidRPr="00ED0B2B">
              <w:t>40 mg/0.8 mL injection,  6 x 0.8mL pen devices</w:t>
            </w:r>
          </w:p>
        </w:tc>
        <w:tc>
          <w:tcPr>
            <w:tcW w:w="584" w:type="pct"/>
            <w:vAlign w:val="center"/>
          </w:tcPr>
          <w:p w:rsidR="004C460F" w:rsidRPr="00ED0B2B" w:rsidRDefault="004C460F" w:rsidP="00476A10">
            <w:pPr>
              <w:pStyle w:val="TableText0"/>
              <w:keepNext/>
              <w:jc w:val="center"/>
            </w:pPr>
            <w:r w:rsidRPr="00ED0B2B">
              <w:t>1</w:t>
            </w:r>
          </w:p>
        </w:tc>
        <w:tc>
          <w:tcPr>
            <w:tcW w:w="726" w:type="pct"/>
          </w:tcPr>
          <w:p w:rsidR="004C460F" w:rsidRPr="00ED0B2B" w:rsidRDefault="004C460F" w:rsidP="00077133">
            <w:pPr>
              <w:pStyle w:val="TableText0"/>
              <w:keepNext/>
            </w:pPr>
            <w:r w:rsidRPr="00ED0B2B">
              <w:t>$3455.62</w:t>
            </w:r>
          </w:p>
        </w:tc>
        <w:tc>
          <w:tcPr>
            <w:tcW w:w="699" w:type="pct"/>
          </w:tcPr>
          <w:p w:rsidR="004C460F" w:rsidRPr="00ED0B2B" w:rsidRDefault="004C460F" w:rsidP="00476A10">
            <w:pPr>
              <w:pStyle w:val="TableText0"/>
              <w:keepNext/>
            </w:pPr>
            <w:r w:rsidRPr="00ED0B2B">
              <w:t>$</w:t>
            </w:r>
            <w:r w:rsidR="00956E42">
              <w:rPr>
                <w:noProof/>
                <w:color w:val="000000"/>
                <w:highlight w:val="black"/>
              </w:rPr>
              <w:t>''''''''''''''''''</w:t>
            </w:r>
          </w:p>
        </w:tc>
      </w:tr>
    </w:tbl>
    <w:p w:rsidR="00DD2B1B" w:rsidRPr="00ED0B2B" w:rsidRDefault="00DD2B1B" w:rsidP="00476A10">
      <w:pPr>
        <w:pStyle w:val="Bodytextitalics"/>
        <w:numPr>
          <w:ilvl w:val="0"/>
          <w:numId w:val="0"/>
        </w:numPr>
        <w:jc w:val="both"/>
        <w:rPr>
          <w:i w:val="0"/>
        </w:rPr>
      </w:pPr>
      <w:r w:rsidRPr="00ED0B2B">
        <w:rPr>
          <w:rFonts w:ascii="Arial Narrow" w:hAnsi="Arial Narrow"/>
          <w:sz w:val="18"/>
          <w:szCs w:val="18"/>
        </w:rPr>
        <w:t>* The submission stated that a difference in the pack size and maximum quantity results in a slightly lower DPMQ for the 80mg presentation (published DPMQ $2432.25) than the 40 mg presentation (published DPMQ $2,455.87). The Secretariat noted the reason for the difference in the DPMQ in the submission was unclear.</w:t>
      </w:r>
    </w:p>
    <w:p w:rsidR="007B72A6" w:rsidRPr="00ED0B2B" w:rsidRDefault="005A3173" w:rsidP="004A21A2">
      <w:pPr>
        <w:pStyle w:val="Heading2"/>
        <w:keepLines/>
        <w:spacing w:before="240" w:after="120"/>
        <w:rPr>
          <w:rFonts w:asciiTheme="minorHAnsi" w:eastAsiaTheme="majorEastAsia" w:hAnsiTheme="minorHAnsi" w:cstheme="majorBidi"/>
          <w:sz w:val="28"/>
          <w:szCs w:val="28"/>
          <w:lang w:eastAsia="en-US"/>
        </w:rPr>
      </w:pPr>
      <w:r w:rsidRPr="00ED0B2B">
        <w:rPr>
          <w:rFonts w:asciiTheme="minorHAnsi" w:eastAsiaTheme="majorEastAsia" w:hAnsiTheme="minorHAnsi" w:cstheme="majorBidi"/>
          <w:sz w:val="28"/>
          <w:szCs w:val="28"/>
          <w:lang w:eastAsia="en-US"/>
        </w:rPr>
        <w:t>Estimated PBS usage &amp; financial implications</w:t>
      </w:r>
    </w:p>
    <w:p w:rsidR="00CE10C4" w:rsidRPr="00ED0B2B" w:rsidRDefault="00FF2801" w:rsidP="00BA0FC1">
      <w:pPr>
        <w:pStyle w:val="3Bodytext"/>
        <w:jc w:val="both"/>
        <w:rPr>
          <w:b/>
          <w:color w:val="FF00FF"/>
        </w:rPr>
      </w:pPr>
      <w:r w:rsidRPr="00ED0B2B">
        <w:t>The minor submission estimated</w:t>
      </w:r>
      <w:r w:rsidR="00C00DA7" w:rsidRPr="00ED0B2B">
        <w:t xml:space="preserve"> there to be no</w:t>
      </w:r>
      <w:r w:rsidR="00151F35" w:rsidRPr="00ED0B2B">
        <w:t xml:space="preserve"> additional financial impact. No </w:t>
      </w:r>
      <w:r w:rsidR="00C00DA7" w:rsidRPr="00ED0B2B">
        <w:t xml:space="preserve">change in PBS </w:t>
      </w:r>
      <w:r w:rsidR="00151F35" w:rsidRPr="00ED0B2B">
        <w:t>usage is expected as adalimumab 80</w:t>
      </w:r>
      <w:r w:rsidR="00077133" w:rsidRPr="00ED0B2B">
        <w:t> </w:t>
      </w:r>
      <w:r w:rsidR="00151F35" w:rsidRPr="00ED0B2B">
        <w:t>mg fortnightly</w:t>
      </w:r>
      <w:r w:rsidR="00C00DA7" w:rsidRPr="00ED0B2B">
        <w:rPr>
          <w:color w:val="FF0000"/>
        </w:rPr>
        <w:t xml:space="preserve"> </w:t>
      </w:r>
      <w:r w:rsidR="00192DE7" w:rsidRPr="00ED0B2B">
        <w:t xml:space="preserve">would </w:t>
      </w:r>
      <w:r w:rsidR="00C00DA7" w:rsidRPr="00ED0B2B">
        <w:t>substitute for</w:t>
      </w:r>
      <w:r w:rsidR="00151F35" w:rsidRPr="00ED0B2B">
        <w:t xml:space="preserve"> adalimumab 40</w:t>
      </w:r>
      <w:r w:rsidR="00E93879" w:rsidRPr="00ED0B2B">
        <w:t> </w:t>
      </w:r>
      <w:r w:rsidR="00151F35" w:rsidRPr="00ED0B2B">
        <w:t>mg weekly</w:t>
      </w:r>
      <w:r w:rsidR="00C00DA7" w:rsidRPr="00ED0B2B">
        <w:rPr>
          <w:color w:val="FF0000"/>
        </w:rPr>
        <w:t xml:space="preserve"> </w:t>
      </w:r>
      <w:r w:rsidR="00151F35" w:rsidRPr="00ED0B2B">
        <w:t xml:space="preserve">and the </w:t>
      </w:r>
      <w:r w:rsidR="007E4621" w:rsidRPr="00ED0B2B">
        <w:t xml:space="preserve">drug </w:t>
      </w:r>
      <w:r w:rsidR="00151F35" w:rsidRPr="00ED0B2B">
        <w:t xml:space="preserve">cost of both strengths </w:t>
      </w:r>
      <w:r w:rsidR="007E4621" w:rsidRPr="00ED0B2B">
        <w:t>would be</w:t>
      </w:r>
      <w:r w:rsidR="00151F35" w:rsidRPr="00ED0B2B">
        <w:t xml:space="preserve"> the same</w:t>
      </w:r>
      <w:r w:rsidR="007E4621" w:rsidRPr="00ED0B2B">
        <w:t xml:space="preserve"> on a per mg basis</w:t>
      </w:r>
      <w:r w:rsidR="00C00DA7" w:rsidRPr="00ED0B2B">
        <w:t xml:space="preserve">. </w:t>
      </w:r>
    </w:p>
    <w:p w:rsidR="00C427FE" w:rsidRPr="00ED0B2B" w:rsidRDefault="00BA347C" w:rsidP="00E641C9">
      <w:pPr>
        <w:pStyle w:val="3Bodytext"/>
      </w:pPr>
      <w:r w:rsidRPr="00ED0B2B">
        <w:t>As a minor submission, the financial estimates have not been independently evaluated.</w:t>
      </w:r>
    </w:p>
    <w:p w:rsidR="00362D17" w:rsidRPr="00ED0B2B" w:rsidRDefault="00362D17" w:rsidP="00362D17">
      <w:pPr>
        <w:rPr>
          <w:rFonts w:asciiTheme="minorHAnsi" w:hAnsiTheme="minorHAnsi"/>
          <w:i/>
        </w:rPr>
      </w:pPr>
      <w:r w:rsidRPr="00ED0B2B">
        <w:rPr>
          <w:rFonts w:asciiTheme="minorHAnsi" w:hAnsiTheme="minorHAnsi"/>
          <w:i/>
        </w:rPr>
        <w:t xml:space="preserve">For more detail on PBAC’s view, see section </w:t>
      </w:r>
      <w:r w:rsidR="00717C71">
        <w:rPr>
          <w:rFonts w:asciiTheme="minorHAnsi" w:hAnsiTheme="minorHAnsi"/>
          <w:i/>
        </w:rPr>
        <w:t>6</w:t>
      </w:r>
      <w:r w:rsidRPr="00ED0B2B">
        <w:rPr>
          <w:rFonts w:asciiTheme="minorHAnsi" w:hAnsiTheme="minorHAnsi"/>
          <w:i/>
        </w:rPr>
        <w:t xml:space="preserve"> PBAC outcome.</w:t>
      </w:r>
    </w:p>
    <w:p w:rsidR="00916C78" w:rsidRPr="00ED0B2B" w:rsidRDefault="00916C78" w:rsidP="00B8536B">
      <w:pPr>
        <w:pStyle w:val="2Sections"/>
      </w:pPr>
      <w:r w:rsidRPr="00ED0B2B">
        <w:t>PBAC Outcome</w:t>
      </w:r>
    </w:p>
    <w:p w:rsidR="00260018" w:rsidRPr="00ED0B2B" w:rsidRDefault="003851E4" w:rsidP="00710841">
      <w:pPr>
        <w:pStyle w:val="3Bodytext"/>
        <w:jc w:val="both"/>
      </w:pPr>
      <w:r w:rsidRPr="00ED0B2B">
        <w:t xml:space="preserve">The PBAC recommended the </w:t>
      </w:r>
      <w:r w:rsidR="00830FEF" w:rsidRPr="00ED0B2B">
        <w:t>listing</w:t>
      </w:r>
      <w:r w:rsidRPr="00ED0B2B">
        <w:t xml:space="preserve"> of adalimumab </w:t>
      </w:r>
      <w:r w:rsidR="00710841" w:rsidRPr="00ED0B2B">
        <w:t xml:space="preserve">in the form of </w:t>
      </w:r>
      <w:r w:rsidRPr="00ED0B2B">
        <w:t>80</w:t>
      </w:r>
      <w:r w:rsidR="00077133" w:rsidRPr="00ED0B2B">
        <w:t> </w:t>
      </w:r>
      <w:r w:rsidRPr="00ED0B2B">
        <w:t>mg</w:t>
      </w:r>
      <w:r w:rsidR="00260018" w:rsidRPr="00ED0B2B">
        <w:t>/</w:t>
      </w:r>
      <w:r w:rsidR="00830FEF" w:rsidRPr="00ED0B2B">
        <w:t>0.8</w:t>
      </w:r>
      <w:r w:rsidR="00277668" w:rsidRPr="00ED0B2B">
        <w:t> </w:t>
      </w:r>
      <w:r w:rsidR="00830FEF" w:rsidRPr="00ED0B2B">
        <w:t xml:space="preserve">mL </w:t>
      </w:r>
      <w:r w:rsidR="00710841" w:rsidRPr="00ED0B2B">
        <w:t xml:space="preserve">single-use </w:t>
      </w:r>
      <w:r w:rsidR="00830FEF" w:rsidRPr="00ED0B2B">
        <w:t>pre-filled syringe</w:t>
      </w:r>
      <w:r w:rsidR="00710841" w:rsidRPr="00ED0B2B">
        <w:t>/</w:t>
      </w:r>
      <w:r w:rsidR="00830FEF" w:rsidRPr="00ED0B2B">
        <w:t>pen</w:t>
      </w:r>
      <w:r w:rsidRPr="00ED0B2B">
        <w:t xml:space="preserve"> for the treatment of moderate to severe HS</w:t>
      </w:r>
      <w:r w:rsidR="00ED0B2B" w:rsidRPr="00ED0B2B">
        <w:t xml:space="preserve">, </w:t>
      </w:r>
      <w:r w:rsidR="00C728BD">
        <w:t>at the same cost per milligram as the 40 mg/0.8mL</w:t>
      </w:r>
      <w:r w:rsidR="00710841" w:rsidRPr="00ED0B2B">
        <w:t xml:space="preserve"> </w:t>
      </w:r>
      <w:r w:rsidR="00C728BD">
        <w:t>form</w:t>
      </w:r>
      <w:r w:rsidRPr="00ED0B2B">
        <w:t xml:space="preserve">. </w:t>
      </w:r>
    </w:p>
    <w:p w:rsidR="003851E4" w:rsidRPr="00ED0B2B" w:rsidRDefault="003851E4" w:rsidP="00710841">
      <w:pPr>
        <w:pStyle w:val="3Bodytext"/>
        <w:jc w:val="both"/>
      </w:pPr>
      <w:r w:rsidRPr="00ED0B2B">
        <w:lastRenderedPageBreak/>
        <w:t>The PBAC recommended that the restriction</w:t>
      </w:r>
      <w:r w:rsidR="00260018" w:rsidRPr="00ED0B2B">
        <w:t xml:space="preserve"> should align with the current listing for adalimumab 40</w:t>
      </w:r>
      <w:r w:rsidR="00077133" w:rsidRPr="00ED0B2B">
        <w:t> </w:t>
      </w:r>
      <w:r w:rsidR="00260018" w:rsidRPr="00ED0B2B">
        <w:t>mg/0.8</w:t>
      </w:r>
      <w:r w:rsidR="00277668" w:rsidRPr="00ED0B2B">
        <w:t> </w:t>
      </w:r>
      <w:r w:rsidR="00260018" w:rsidRPr="00ED0B2B">
        <w:t xml:space="preserve">mL for treatment of HS. The PBAC also advised that </w:t>
      </w:r>
      <w:r w:rsidRPr="00ED0B2B">
        <w:t xml:space="preserve">maximum </w:t>
      </w:r>
      <w:r w:rsidR="00260018" w:rsidRPr="00ED0B2B">
        <w:t>quantities</w:t>
      </w:r>
      <w:r w:rsidRPr="00ED0B2B">
        <w:t xml:space="preserve"> and number of repeats </w:t>
      </w:r>
      <w:r w:rsidR="00260018" w:rsidRPr="00ED0B2B">
        <w:t>should align with the listings for adalimumab 40</w:t>
      </w:r>
      <w:r w:rsidR="00077133" w:rsidRPr="00ED0B2B">
        <w:t> </w:t>
      </w:r>
      <w:r w:rsidR="00260018" w:rsidRPr="00ED0B2B">
        <w:t>mg/0.8mL to permit a maximum quantity of two</w:t>
      </w:r>
      <w:r w:rsidR="00C035C9" w:rsidRPr="00ED0B2B">
        <w:t xml:space="preserve"> pens/PFS</w:t>
      </w:r>
      <w:r w:rsidR="00260018" w:rsidRPr="00ED0B2B">
        <w:t xml:space="preserve"> (one month’s supply) with two repeats for the balance of supply</w:t>
      </w:r>
      <w:r w:rsidR="00E92576" w:rsidRPr="00ED0B2B">
        <w:t>,</w:t>
      </w:r>
      <w:r w:rsidR="00260018" w:rsidRPr="00ED0B2B">
        <w:t xml:space="preserve"> and five repeats for maintenance therapy</w:t>
      </w:r>
      <w:r w:rsidRPr="00ED0B2B">
        <w:t>.</w:t>
      </w:r>
    </w:p>
    <w:p w:rsidR="00B8536B" w:rsidRPr="00ED0B2B" w:rsidRDefault="00B8536B" w:rsidP="00710841">
      <w:pPr>
        <w:pStyle w:val="3Bodytext"/>
        <w:jc w:val="both"/>
        <w:rPr>
          <w:i/>
        </w:rPr>
      </w:pPr>
      <w:r w:rsidRPr="00ED0B2B">
        <w:t xml:space="preserve">The PBAC recalled it had previously recommended listing adalimumab 80 mg for treatment induction for HS at its July 2018 meeting. </w:t>
      </w:r>
    </w:p>
    <w:p w:rsidR="002E79EC" w:rsidRPr="00ED0B2B" w:rsidRDefault="008E265F" w:rsidP="00710841">
      <w:pPr>
        <w:pStyle w:val="3Bodytext"/>
        <w:jc w:val="both"/>
        <w:rPr>
          <w:i/>
        </w:rPr>
      </w:pPr>
      <w:r w:rsidRPr="00ED0B2B">
        <w:t>The PBAC considered that the nominated comparator of adalimumab 40</w:t>
      </w:r>
      <w:r w:rsidR="00077133" w:rsidRPr="00ED0B2B">
        <w:t> </w:t>
      </w:r>
      <w:r w:rsidRPr="00ED0B2B">
        <w:t>mg weekly was appropriate</w:t>
      </w:r>
      <w:r w:rsidRPr="00ED0B2B">
        <w:rPr>
          <w:i/>
        </w:rPr>
        <w:t xml:space="preserve">. </w:t>
      </w:r>
    </w:p>
    <w:p w:rsidR="008E265F" w:rsidRPr="00ED0B2B" w:rsidRDefault="002E79EC" w:rsidP="00710841">
      <w:pPr>
        <w:pStyle w:val="3Bodytext"/>
        <w:jc w:val="both"/>
      </w:pPr>
      <w:r w:rsidRPr="00ED0B2B">
        <w:t>The PBAC noted that</w:t>
      </w:r>
      <w:r w:rsidR="00A9097C" w:rsidRPr="00ED0B2B">
        <w:t xml:space="preserve"> the</w:t>
      </w:r>
      <w:r w:rsidRPr="00ED0B2B">
        <w:t xml:space="preserve"> claims</w:t>
      </w:r>
      <w:r w:rsidR="00A9097C" w:rsidRPr="00ED0B2B">
        <w:t xml:space="preserve"> regarding equivalence of adalimumab 80</w:t>
      </w:r>
      <w:r w:rsidR="00077133" w:rsidRPr="00ED0B2B">
        <w:t> </w:t>
      </w:r>
      <w:r w:rsidR="00A9097C" w:rsidRPr="00ED0B2B">
        <w:t>mg fortnightly dosing and 40</w:t>
      </w:r>
      <w:r w:rsidR="00077133" w:rsidRPr="00ED0B2B">
        <w:t> </w:t>
      </w:r>
      <w:r w:rsidR="00A9097C" w:rsidRPr="00ED0B2B">
        <w:t xml:space="preserve">mg weekly dosing </w:t>
      </w:r>
      <w:r w:rsidRPr="00ED0B2B">
        <w:t>were based on a population pharmacokinetic/pharmacodynamics analysis rather than clinical trial data.</w:t>
      </w:r>
    </w:p>
    <w:p w:rsidR="00BC441F" w:rsidRPr="00BC441F" w:rsidRDefault="002E79EC" w:rsidP="00BC441F">
      <w:pPr>
        <w:pStyle w:val="3Bodytext"/>
        <w:jc w:val="both"/>
        <w:rPr>
          <w:b/>
          <w:color w:val="FF00FF"/>
        </w:rPr>
      </w:pPr>
      <w:r w:rsidRPr="00ED0B2B">
        <w:t>The PBAC noted that</w:t>
      </w:r>
      <w:r w:rsidR="00BC441F">
        <w:t xml:space="preserve"> the new form of adalimumab is expected to replace equivalent </w:t>
      </w:r>
      <w:r w:rsidR="007B6C2E">
        <w:t>utilisation</w:t>
      </w:r>
      <w:r w:rsidR="00BC441F">
        <w:t xml:space="preserve"> of the 40 mg/0.8 mL form and therefore considered that the market is not expected to grow. The PBAC considered the listing was likely to be cost neutral to Government. </w:t>
      </w:r>
    </w:p>
    <w:p w:rsidR="00A9097C" w:rsidRPr="00ED0B2B" w:rsidRDefault="00A9097C" w:rsidP="00710841">
      <w:pPr>
        <w:pStyle w:val="3Bodytext"/>
        <w:jc w:val="both"/>
      </w:pPr>
      <w:r w:rsidRPr="00ED0B2B">
        <w:t xml:space="preserve">The PBAC noted that the proposed </w:t>
      </w:r>
      <w:r w:rsidR="00277668" w:rsidRPr="00ED0B2B">
        <w:t xml:space="preserve">ex-manufacturer price </w:t>
      </w:r>
      <w:r w:rsidRPr="00ED0B2B">
        <w:t>for two adalimumab 80</w:t>
      </w:r>
      <w:r w:rsidR="00077133" w:rsidRPr="00ED0B2B">
        <w:t> </w:t>
      </w:r>
      <w:r w:rsidRPr="00ED0B2B">
        <w:t>mg/0.8</w:t>
      </w:r>
      <w:r w:rsidR="00E93879" w:rsidRPr="00ED0B2B">
        <w:t> </w:t>
      </w:r>
      <w:r w:rsidRPr="00ED0B2B">
        <w:t xml:space="preserve">mL </w:t>
      </w:r>
      <w:r w:rsidR="00E92576" w:rsidRPr="00ED0B2B">
        <w:t>PFS</w:t>
      </w:r>
      <w:r w:rsidRPr="00ED0B2B">
        <w:t xml:space="preserve">/pens is </w:t>
      </w:r>
      <w:r w:rsidR="00277668" w:rsidRPr="00ED0B2B">
        <w:t xml:space="preserve">equivalent to </w:t>
      </w:r>
      <w:r w:rsidRPr="00ED0B2B">
        <w:t>the AEMP for a pack of four adalimumab 40</w:t>
      </w:r>
      <w:r w:rsidR="00E93879" w:rsidRPr="00ED0B2B">
        <w:t> </w:t>
      </w:r>
      <w:r w:rsidRPr="00ED0B2B">
        <w:t>mg/0.8</w:t>
      </w:r>
      <w:r w:rsidR="00E93879" w:rsidRPr="00ED0B2B">
        <w:t> </w:t>
      </w:r>
      <w:r w:rsidRPr="00ED0B2B">
        <w:t xml:space="preserve">mL </w:t>
      </w:r>
      <w:r w:rsidR="00E92576" w:rsidRPr="00ED0B2B">
        <w:t>PFS</w:t>
      </w:r>
      <w:r w:rsidRPr="00ED0B2B">
        <w:t xml:space="preserve">/pens. The PBAC </w:t>
      </w:r>
      <w:r w:rsidR="00E93879" w:rsidRPr="00ED0B2B">
        <w:t xml:space="preserve">advised </w:t>
      </w:r>
      <w:r w:rsidRPr="00ED0B2B">
        <w:t xml:space="preserve">that </w:t>
      </w:r>
      <w:r w:rsidR="00E93879" w:rsidRPr="00ED0B2B">
        <w:t>the new form of</w:t>
      </w:r>
      <w:r w:rsidRPr="00ED0B2B">
        <w:t xml:space="preserve"> adalimumab should be </w:t>
      </w:r>
      <w:r w:rsidR="00E93879" w:rsidRPr="00ED0B2B">
        <w:t xml:space="preserve">included </w:t>
      </w:r>
      <w:r w:rsidRPr="00ED0B2B">
        <w:t xml:space="preserve">under the </w:t>
      </w:r>
      <w:r w:rsidR="00E93879" w:rsidRPr="00ED0B2B">
        <w:t xml:space="preserve">existing </w:t>
      </w:r>
      <w:r w:rsidRPr="00ED0B2B">
        <w:t xml:space="preserve">risk </w:t>
      </w:r>
      <w:r w:rsidR="00E93879" w:rsidRPr="00ED0B2B">
        <w:t>sharing arrangement</w:t>
      </w:r>
      <w:r w:rsidR="00277668" w:rsidRPr="00ED0B2B">
        <w:t xml:space="preserve"> for HS</w:t>
      </w:r>
      <w:r w:rsidRPr="00ED0B2B">
        <w:rPr>
          <w:snapToGrid w:val="0"/>
        </w:rPr>
        <w:t>.</w:t>
      </w:r>
    </w:p>
    <w:p w:rsidR="00A9097C" w:rsidRPr="00ED0B2B" w:rsidRDefault="00A9097C" w:rsidP="00710841">
      <w:pPr>
        <w:pStyle w:val="3Bodytext"/>
        <w:jc w:val="both"/>
        <w:rPr>
          <w:szCs w:val="24"/>
        </w:rPr>
      </w:pPr>
      <w:r w:rsidRPr="00ED0B2B">
        <w:rPr>
          <w:bCs/>
        </w:rPr>
        <w:t>The PBAC recommended the removal of ‘Initial Treatment 3 – Grandfathered patient’ for adalimumab 40</w:t>
      </w:r>
      <w:r w:rsidR="00E93879" w:rsidRPr="00ED0B2B">
        <w:rPr>
          <w:bCs/>
        </w:rPr>
        <w:t> </w:t>
      </w:r>
      <w:r w:rsidRPr="00ED0B2B">
        <w:rPr>
          <w:bCs/>
        </w:rPr>
        <w:t>mg/0.8</w:t>
      </w:r>
      <w:r w:rsidR="00E93879" w:rsidRPr="00ED0B2B">
        <w:rPr>
          <w:bCs/>
        </w:rPr>
        <w:t> </w:t>
      </w:r>
      <w:r w:rsidRPr="00ED0B2B">
        <w:rPr>
          <w:bCs/>
        </w:rPr>
        <w:t>mL (PBS item 11137E) as it has been more than 12 months following listing of adalimumab for moderate to severe HS.</w:t>
      </w:r>
    </w:p>
    <w:p w:rsidR="003D5C36" w:rsidRPr="00ED0B2B" w:rsidRDefault="003D5C36" w:rsidP="00710841">
      <w:pPr>
        <w:pStyle w:val="3Bodytext"/>
        <w:jc w:val="both"/>
      </w:pPr>
      <w:r w:rsidRPr="00ED0B2B">
        <w:t>The PBAC noted its previous advice that adalimumab should not be treated as interchangeable on an individual basis with any other drugs for treatment of HS.</w:t>
      </w:r>
    </w:p>
    <w:p w:rsidR="008F3B0A" w:rsidRPr="00ED0B2B" w:rsidRDefault="008F3B0A" w:rsidP="00710841">
      <w:pPr>
        <w:pStyle w:val="3Bodytext"/>
        <w:jc w:val="both"/>
      </w:pPr>
      <w:r w:rsidRPr="00ED0B2B">
        <w:t>The PBAC advised that, because adalimumab 80 mg</w:t>
      </w:r>
      <w:r w:rsidR="00C728BD">
        <w:t>/0.8 mL</w:t>
      </w:r>
      <w:r w:rsidRPr="00ED0B2B">
        <w:t xml:space="preserve"> is not expected to provide a substantial and clinically relevant improvement in efficacy, or reduction of toxicity, over adalimumab 40 mg</w:t>
      </w:r>
      <w:r w:rsidR="00C728BD">
        <w:t>/0.8 mL</w:t>
      </w:r>
      <w:r w:rsidRPr="00ED0B2B">
        <w:t xml:space="preserve">, and not expected to address a high and urgent unmet clinical need given the presence of an alternative therapy, the criteria prescribed by the </w:t>
      </w:r>
      <w:r w:rsidRPr="00ED0B2B">
        <w:rPr>
          <w:i/>
        </w:rPr>
        <w:t>National Health (Pharmaceuticals and Vaccines – Cost Recovery) Regulations 200</w:t>
      </w:r>
      <w:r w:rsidRPr="00ED0B2B">
        <w:t>9 for Pricing Pathway A were not met.</w:t>
      </w:r>
    </w:p>
    <w:p w:rsidR="003851E4" w:rsidRPr="00ED0B2B" w:rsidRDefault="003851E4" w:rsidP="00710841">
      <w:pPr>
        <w:pStyle w:val="3Bodytext"/>
        <w:jc w:val="both"/>
        <w:rPr>
          <w:i/>
          <w:snapToGrid w:val="0"/>
        </w:rPr>
      </w:pPr>
      <w:r w:rsidRPr="00ED0B2B">
        <w:rPr>
          <w:rFonts w:cs="Arial"/>
          <w:bCs/>
          <w:snapToGrid w:val="0"/>
        </w:rPr>
        <w:t>The PBAC recommended that the</w:t>
      </w:r>
      <w:r w:rsidR="00C728BD">
        <w:rPr>
          <w:rFonts w:cs="Arial"/>
          <w:bCs/>
          <w:snapToGrid w:val="0"/>
        </w:rPr>
        <w:t xml:space="preserve"> new form of adalimumab should not be exempt from the</w:t>
      </w:r>
      <w:r w:rsidRPr="00ED0B2B">
        <w:rPr>
          <w:rFonts w:cs="Arial"/>
          <w:bCs/>
          <w:snapToGrid w:val="0"/>
        </w:rPr>
        <w:t xml:space="preserve"> Early Supply Rule should for the treatment of moderate to severe HS. </w:t>
      </w:r>
    </w:p>
    <w:p w:rsidR="003851E4" w:rsidRPr="00ED0B2B" w:rsidRDefault="003851E4" w:rsidP="00710841">
      <w:pPr>
        <w:pStyle w:val="3Bodytext"/>
        <w:jc w:val="both"/>
        <w:rPr>
          <w:i/>
          <w:snapToGrid w:val="0"/>
        </w:rPr>
      </w:pPr>
      <w:r w:rsidRPr="00ED0B2B">
        <w:rPr>
          <w:snapToGrid w:val="0"/>
        </w:rPr>
        <w:t>The PBAC advised that adalimumab is not suitable for prescribing by nurse practitioners</w:t>
      </w:r>
      <w:r w:rsidR="00ED0B2B">
        <w:rPr>
          <w:snapToGrid w:val="0"/>
        </w:rPr>
        <w:t xml:space="preserve">. </w:t>
      </w:r>
    </w:p>
    <w:p w:rsidR="003851E4" w:rsidRPr="00ED0B2B" w:rsidRDefault="003851E4" w:rsidP="00710841">
      <w:pPr>
        <w:pStyle w:val="3Bodytext"/>
        <w:jc w:val="both"/>
        <w:rPr>
          <w:i/>
          <w:snapToGrid w:val="0"/>
        </w:rPr>
      </w:pPr>
      <w:r w:rsidRPr="00ED0B2B">
        <w:rPr>
          <w:snapToGrid w:val="0"/>
        </w:rPr>
        <w:t>The PBAC noted that this submission is not eligible for an Independent Review as it has received a positive recommendation.</w:t>
      </w:r>
    </w:p>
    <w:p w:rsidR="00916C78" w:rsidRPr="00ED0B2B" w:rsidRDefault="00916C78" w:rsidP="009A4BB9">
      <w:pPr>
        <w:keepNext/>
        <w:spacing w:before="240"/>
        <w:jc w:val="both"/>
        <w:rPr>
          <w:rFonts w:asciiTheme="minorHAnsi" w:hAnsiTheme="minorHAnsi" w:cs="Arial"/>
          <w:b/>
          <w:bCs/>
          <w:snapToGrid w:val="0"/>
        </w:rPr>
      </w:pPr>
      <w:r w:rsidRPr="00ED0B2B">
        <w:rPr>
          <w:rFonts w:asciiTheme="minorHAnsi" w:hAnsiTheme="minorHAnsi" w:cs="Arial"/>
          <w:b/>
          <w:bCs/>
          <w:snapToGrid w:val="0"/>
        </w:rPr>
        <w:lastRenderedPageBreak/>
        <w:t>Outcome:</w:t>
      </w:r>
    </w:p>
    <w:p w:rsidR="00916C78" w:rsidRPr="00ED0B2B" w:rsidRDefault="00683804" w:rsidP="00916C78">
      <w:pPr>
        <w:jc w:val="both"/>
        <w:rPr>
          <w:rFonts w:asciiTheme="minorHAnsi" w:hAnsiTheme="minorHAnsi" w:cs="Arial"/>
          <w:bCs/>
          <w:snapToGrid w:val="0"/>
        </w:rPr>
      </w:pPr>
      <w:r w:rsidRPr="00ED0B2B">
        <w:rPr>
          <w:rFonts w:asciiTheme="minorHAnsi" w:hAnsiTheme="minorHAnsi" w:cs="Arial"/>
          <w:bCs/>
          <w:snapToGrid w:val="0"/>
        </w:rPr>
        <w:t>Recommended</w:t>
      </w:r>
    </w:p>
    <w:p w:rsidR="00916C78" w:rsidRPr="00ED0B2B" w:rsidRDefault="00916C78" w:rsidP="00B8536B">
      <w:pPr>
        <w:pStyle w:val="2Sections"/>
        <w:rPr>
          <w:i/>
        </w:rPr>
      </w:pPr>
      <w:r w:rsidRPr="00ED0B2B">
        <w:t>Recommended listing</w:t>
      </w:r>
    </w:p>
    <w:p w:rsidR="00916C78" w:rsidRPr="00ED0B2B" w:rsidRDefault="00772166" w:rsidP="00E641C9">
      <w:pPr>
        <w:pStyle w:val="3Bodytext"/>
        <w:rPr>
          <w:b/>
          <w:snapToGrid w:val="0"/>
        </w:rPr>
      </w:pPr>
      <w:r w:rsidRPr="00ED0B2B">
        <w:rPr>
          <w:snapToGrid w:val="0"/>
        </w:rPr>
        <w:t>Add new item:</w:t>
      </w:r>
    </w:p>
    <w:tbl>
      <w:tblPr>
        <w:tblW w:w="9214" w:type="dxa"/>
        <w:tblLayout w:type="fixed"/>
        <w:tblLook w:val="0000" w:firstRow="0" w:lastRow="0" w:firstColumn="0" w:lastColumn="0" w:noHBand="0" w:noVBand="0"/>
      </w:tblPr>
      <w:tblGrid>
        <w:gridCol w:w="2835"/>
        <w:gridCol w:w="426"/>
        <w:gridCol w:w="567"/>
        <w:gridCol w:w="708"/>
        <w:gridCol w:w="1559"/>
        <w:gridCol w:w="3119"/>
      </w:tblGrid>
      <w:tr w:rsidR="00624CBC" w:rsidRPr="00ED0B2B" w:rsidTr="00E641C9">
        <w:trPr>
          <w:cantSplit/>
          <w:trHeight w:val="471"/>
        </w:trPr>
        <w:tc>
          <w:tcPr>
            <w:tcW w:w="3261" w:type="dxa"/>
            <w:gridSpan w:val="2"/>
            <w:tcBorders>
              <w:bottom w:val="single" w:sz="4" w:space="0" w:color="auto"/>
            </w:tcBorders>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Name, Restriction,</w:t>
            </w:r>
          </w:p>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Manner of administration and form</w:t>
            </w:r>
          </w:p>
        </w:tc>
        <w:tc>
          <w:tcPr>
            <w:tcW w:w="567" w:type="dxa"/>
            <w:tcBorders>
              <w:bottom w:val="single" w:sz="4" w:space="0" w:color="auto"/>
            </w:tcBorders>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Max.</w:t>
            </w:r>
          </w:p>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Qty</w:t>
            </w:r>
          </w:p>
        </w:tc>
        <w:tc>
          <w:tcPr>
            <w:tcW w:w="708" w:type="dxa"/>
            <w:tcBorders>
              <w:bottom w:val="single" w:sz="4" w:space="0" w:color="auto"/>
            </w:tcBorders>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№.of</w:t>
            </w:r>
          </w:p>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Rpts</w:t>
            </w:r>
          </w:p>
        </w:tc>
        <w:tc>
          <w:tcPr>
            <w:tcW w:w="4678" w:type="dxa"/>
            <w:gridSpan w:val="2"/>
            <w:tcBorders>
              <w:bottom w:val="single" w:sz="4" w:space="0" w:color="auto"/>
            </w:tcBorders>
          </w:tcPr>
          <w:p w:rsidR="00624CBC" w:rsidRPr="00ED0B2B" w:rsidRDefault="00624CBC" w:rsidP="007E3ECF">
            <w:pPr>
              <w:keepNext/>
              <w:jc w:val="both"/>
              <w:rPr>
                <w:rFonts w:ascii="Arial Narrow" w:hAnsi="Arial Narrow" w:cs="Arial"/>
                <w:sz w:val="20"/>
                <w:szCs w:val="20"/>
              </w:rPr>
            </w:pPr>
            <w:r w:rsidRPr="00ED0B2B">
              <w:rPr>
                <w:rFonts w:ascii="Arial Narrow" w:hAnsi="Arial Narrow" w:cs="Arial"/>
                <w:sz w:val="20"/>
                <w:szCs w:val="20"/>
              </w:rPr>
              <w:t>Proprietary Name and Manufacturer</w:t>
            </w:r>
          </w:p>
        </w:tc>
      </w:tr>
      <w:tr w:rsidR="00624CBC" w:rsidRPr="00ED0B2B" w:rsidTr="00E641C9">
        <w:trPr>
          <w:cantSplit/>
          <w:trHeight w:val="577"/>
        </w:trPr>
        <w:tc>
          <w:tcPr>
            <w:tcW w:w="3261" w:type="dxa"/>
            <w:gridSpan w:val="2"/>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mallCaps/>
                <w:sz w:val="20"/>
                <w:szCs w:val="20"/>
              </w:rPr>
              <w:t xml:space="preserve">ADALIMUMAB </w:t>
            </w:r>
            <w:r w:rsidRPr="00ED0B2B">
              <w:rPr>
                <w:rFonts w:ascii="Arial Narrow" w:hAnsi="Arial Narrow" w:cs="Arial"/>
                <w:sz w:val="20"/>
                <w:szCs w:val="20"/>
              </w:rPr>
              <w:t>80 mg/0.8 mL injection, 0.8 mL syringe</w:t>
            </w:r>
          </w:p>
        </w:tc>
        <w:tc>
          <w:tcPr>
            <w:tcW w:w="567" w:type="dxa"/>
          </w:tcPr>
          <w:p w:rsidR="00624CBC" w:rsidRPr="00ED0B2B" w:rsidRDefault="00624CBC" w:rsidP="007E3ECF">
            <w:pPr>
              <w:keepNext/>
              <w:ind w:left="-108"/>
              <w:jc w:val="center"/>
              <w:rPr>
                <w:rFonts w:ascii="Arial Narrow" w:hAnsi="Arial Narrow" w:cs="Arial"/>
                <w:sz w:val="20"/>
                <w:szCs w:val="20"/>
              </w:rPr>
            </w:pPr>
            <w:r w:rsidRPr="00ED0B2B">
              <w:rPr>
                <w:rFonts w:ascii="Arial Narrow" w:hAnsi="Arial Narrow" w:cs="Arial"/>
                <w:sz w:val="20"/>
                <w:szCs w:val="20"/>
              </w:rPr>
              <w:t>2</w:t>
            </w:r>
          </w:p>
          <w:p w:rsidR="00624CBC" w:rsidRPr="00ED0B2B" w:rsidRDefault="00624CBC" w:rsidP="007E3ECF">
            <w:pPr>
              <w:keepNext/>
              <w:ind w:left="-108"/>
              <w:jc w:val="center"/>
              <w:rPr>
                <w:rFonts w:ascii="Arial Narrow" w:hAnsi="Arial Narrow" w:cs="Arial"/>
                <w:sz w:val="20"/>
                <w:szCs w:val="20"/>
              </w:rPr>
            </w:pPr>
          </w:p>
        </w:tc>
        <w:tc>
          <w:tcPr>
            <w:tcW w:w="708" w:type="dxa"/>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2</w:t>
            </w:r>
          </w:p>
        </w:tc>
        <w:tc>
          <w:tcPr>
            <w:tcW w:w="1559" w:type="dxa"/>
          </w:tcPr>
          <w:p w:rsidR="00624CBC" w:rsidRPr="00ED0B2B" w:rsidRDefault="00624CBC" w:rsidP="007E3ECF">
            <w:pPr>
              <w:keepNext/>
              <w:jc w:val="both"/>
              <w:rPr>
                <w:rFonts w:ascii="Arial Narrow" w:hAnsi="Arial Narrow" w:cs="Arial"/>
                <w:sz w:val="20"/>
                <w:szCs w:val="20"/>
              </w:rPr>
            </w:pPr>
            <w:r w:rsidRPr="00ED0B2B">
              <w:rPr>
                <w:rFonts w:ascii="Arial Narrow" w:hAnsi="Arial Narrow" w:cs="Arial"/>
                <w:sz w:val="20"/>
                <w:szCs w:val="20"/>
              </w:rPr>
              <w:t>Humira®</w:t>
            </w:r>
          </w:p>
        </w:tc>
        <w:tc>
          <w:tcPr>
            <w:tcW w:w="3119" w:type="dxa"/>
          </w:tcPr>
          <w:p w:rsidR="00624CBC" w:rsidRPr="00ED0B2B" w:rsidRDefault="00624CBC" w:rsidP="007E3ECF">
            <w:pPr>
              <w:keepNext/>
              <w:jc w:val="both"/>
              <w:rPr>
                <w:rFonts w:ascii="Arial Narrow" w:hAnsi="Arial Narrow" w:cs="Arial"/>
                <w:sz w:val="20"/>
                <w:szCs w:val="20"/>
              </w:rPr>
            </w:pPr>
            <w:r w:rsidRPr="00ED0B2B">
              <w:rPr>
                <w:rFonts w:ascii="Arial Narrow" w:hAnsi="Arial Narrow" w:cs="Arial"/>
                <w:sz w:val="20"/>
                <w:szCs w:val="20"/>
              </w:rPr>
              <w:t>AbbVie</w:t>
            </w:r>
          </w:p>
        </w:tc>
      </w:tr>
      <w:tr w:rsidR="00624CBC" w:rsidRPr="00ED0B2B" w:rsidTr="00E641C9">
        <w:trPr>
          <w:cantSplit/>
          <w:trHeight w:val="577"/>
        </w:trPr>
        <w:tc>
          <w:tcPr>
            <w:tcW w:w="3261" w:type="dxa"/>
            <w:gridSpan w:val="2"/>
          </w:tcPr>
          <w:p w:rsidR="00624CBC" w:rsidRPr="00ED0B2B" w:rsidRDefault="00624CBC" w:rsidP="007E3ECF">
            <w:pPr>
              <w:keepNext/>
              <w:ind w:left="-108"/>
              <w:jc w:val="both"/>
              <w:rPr>
                <w:rFonts w:ascii="Arial Narrow" w:hAnsi="Arial Narrow" w:cs="Arial"/>
                <w:smallCaps/>
                <w:sz w:val="20"/>
                <w:szCs w:val="20"/>
              </w:rPr>
            </w:pPr>
            <w:r w:rsidRPr="00ED0B2B">
              <w:rPr>
                <w:rFonts w:ascii="Arial Narrow" w:hAnsi="Arial Narrow" w:cs="Arial"/>
                <w:smallCaps/>
                <w:sz w:val="20"/>
                <w:szCs w:val="20"/>
              </w:rPr>
              <w:t xml:space="preserve">ADALIMUMAB </w:t>
            </w:r>
            <w:r w:rsidRPr="00ED0B2B">
              <w:rPr>
                <w:rFonts w:ascii="Arial Narrow" w:hAnsi="Arial Narrow" w:cs="Arial"/>
                <w:sz w:val="20"/>
                <w:szCs w:val="20"/>
              </w:rPr>
              <w:t>80 mg/0.8 mL injection, 0.8 mL pen device</w:t>
            </w:r>
          </w:p>
        </w:tc>
        <w:tc>
          <w:tcPr>
            <w:tcW w:w="567" w:type="dxa"/>
          </w:tcPr>
          <w:p w:rsidR="00624CBC" w:rsidRPr="00ED0B2B" w:rsidRDefault="00624CBC" w:rsidP="007E3ECF">
            <w:pPr>
              <w:keepNext/>
              <w:ind w:left="-108"/>
              <w:jc w:val="center"/>
              <w:rPr>
                <w:rFonts w:ascii="Arial Narrow" w:hAnsi="Arial Narrow" w:cs="Arial"/>
                <w:sz w:val="20"/>
                <w:szCs w:val="20"/>
              </w:rPr>
            </w:pPr>
            <w:r w:rsidRPr="00ED0B2B">
              <w:rPr>
                <w:rFonts w:ascii="Arial Narrow" w:hAnsi="Arial Narrow" w:cs="Arial"/>
                <w:sz w:val="20"/>
                <w:szCs w:val="20"/>
              </w:rPr>
              <w:t>2</w:t>
            </w:r>
          </w:p>
          <w:p w:rsidR="00624CBC" w:rsidRPr="00ED0B2B" w:rsidRDefault="00624CBC" w:rsidP="007E3ECF">
            <w:pPr>
              <w:keepNext/>
              <w:ind w:left="-108"/>
              <w:jc w:val="center"/>
              <w:rPr>
                <w:rFonts w:ascii="Arial Narrow" w:hAnsi="Arial Narrow" w:cs="Arial"/>
                <w:sz w:val="20"/>
                <w:szCs w:val="20"/>
              </w:rPr>
            </w:pPr>
          </w:p>
        </w:tc>
        <w:tc>
          <w:tcPr>
            <w:tcW w:w="708" w:type="dxa"/>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2</w:t>
            </w:r>
          </w:p>
        </w:tc>
        <w:tc>
          <w:tcPr>
            <w:tcW w:w="1559" w:type="dxa"/>
          </w:tcPr>
          <w:p w:rsidR="00624CBC" w:rsidRPr="00ED0B2B" w:rsidRDefault="00624CBC" w:rsidP="007E3ECF">
            <w:pPr>
              <w:keepNext/>
              <w:jc w:val="both"/>
              <w:rPr>
                <w:rFonts w:ascii="Arial Narrow" w:hAnsi="Arial Narrow" w:cs="Arial"/>
                <w:sz w:val="20"/>
                <w:szCs w:val="20"/>
              </w:rPr>
            </w:pPr>
          </w:p>
        </w:tc>
        <w:tc>
          <w:tcPr>
            <w:tcW w:w="3119" w:type="dxa"/>
          </w:tcPr>
          <w:p w:rsidR="00624CBC" w:rsidRPr="00ED0B2B" w:rsidRDefault="00624CBC" w:rsidP="007E3ECF">
            <w:pPr>
              <w:keepNext/>
              <w:jc w:val="both"/>
              <w:rPr>
                <w:rFonts w:ascii="Arial Narrow" w:hAnsi="Arial Narrow" w:cs="Arial"/>
                <w:sz w:val="20"/>
                <w:szCs w:val="20"/>
              </w:rPr>
            </w:pPr>
          </w:p>
        </w:tc>
      </w:tr>
      <w:tr w:rsidR="00624CBC" w:rsidRPr="00ED0B2B" w:rsidTr="007E3E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GENERAL – General Schedule (Code GE)</w:t>
            </w:r>
          </w:p>
        </w:tc>
      </w:tr>
      <w:tr w:rsidR="00624CBC" w:rsidRPr="00ED0B2B" w:rsidTr="007E3E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Check1"/>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Dental  </w:t>
            </w:r>
            <w:r w:rsidRPr="00ED0B2B">
              <w:rPr>
                <w:rFonts w:ascii="Arial Narrow" w:hAnsi="Arial Narrow" w:cs="Arial"/>
                <w:sz w:val="20"/>
                <w:szCs w:val="20"/>
              </w:rPr>
              <w:fldChar w:fldCharType="begin">
                <w:ffData>
                  <w:name w:val=""/>
                  <w:enabled/>
                  <w:calcOnExit w:val="0"/>
                  <w:checkBox>
                    <w:sizeAuto/>
                    <w:default w:val="1"/>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Medical Practitioners  </w:t>
            </w:r>
            <w:r w:rsidRPr="00ED0B2B">
              <w:rPr>
                <w:rFonts w:ascii="Arial Narrow" w:hAnsi="Arial Narrow" w:cs="Arial"/>
                <w:sz w:val="20"/>
                <w:szCs w:val="20"/>
              </w:rPr>
              <w:fldChar w:fldCharType="begin">
                <w:ffData>
                  <w:name w:val="Check3"/>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Nurse practitioners  </w:t>
            </w:r>
            <w:r w:rsidRPr="00ED0B2B">
              <w:rPr>
                <w:rFonts w:ascii="Arial Narrow" w:hAnsi="Arial Narrow" w:cs="Arial"/>
                <w:sz w:val="20"/>
                <w:szCs w:val="20"/>
              </w:rPr>
              <w:fldChar w:fldCharType="begin">
                <w:ffData>
                  <w:name w:val=""/>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Optometrists</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Check5"/>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Midwives</w:t>
            </w:r>
          </w:p>
        </w:tc>
      </w:tr>
      <w:tr w:rsidR="00624CBC" w:rsidRPr="00ED0B2B" w:rsidTr="007E3ECF">
        <w:trPr>
          <w:cantSplit/>
          <w:trHeight w:val="276"/>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624CBC" w:rsidRPr="00ED0B2B" w:rsidRDefault="00624CBC" w:rsidP="007E3ECF">
            <w:pPr>
              <w:rPr>
                <w:rFonts w:ascii="Arial Narrow" w:hAnsi="Arial Narrow" w:cs="Arial"/>
                <w:sz w:val="20"/>
                <w:szCs w:val="20"/>
              </w:rPr>
            </w:pPr>
            <w:r w:rsidRPr="00ED0B2B">
              <w:rPr>
                <w:rFonts w:ascii="Arial Narrow" w:hAnsi="Arial Narrow" w:cs="Arial"/>
                <w:sz w:val="20"/>
                <w:szCs w:val="20"/>
              </w:rPr>
              <w:t>Moderate to severe</w:t>
            </w:r>
          </w:p>
        </w:tc>
      </w:tr>
      <w:tr w:rsidR="00624CBC" w:rsidRPr="00ED0B2B" w:rsidTr="007E3ECF">
        <w:trPr>
          <w:cantSplit/>
          <w:trHeight w:val="195"/>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hidradenitis suppurativa</w:t>
            </w:r>
          </w:p>
        </w:tc>
      </w:tr>
      <w:tr w:rsidR="00624CBC" w:rsidRPr="00ED0B2B" w:rsidTr="007E3ECF">
        <w:trPr>
          <w:cantSplit/>
          <w:trHeight w:val="243"/>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Moderate to severe hidradenitis suppurativa</w:t>
            </w:r>
          </w:p>
        </w:tc>
      </w:tr>
      <w:tr w:rsidR="00624CBC" w:rsidRPr="00ED0B2B" w:rsidTr="007E3E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 xml:space="preserve">Initial treatment 1 - New patient </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 xml:space="preserve">or </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Initial treatment 2 - Recommencement of treatment - balance of supply</w:t>
            </w:r>
          </w:p>
        </w:tc>
      </w:tr>
      <w:tr w:rsidR="00624CBC" w:rsidRPr="00ED0B2B" w:rsidTr="007E3E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Restriction Level / Method:</w:t>
            </w:r>
          </w:p>
          <w:p w:rsidR="00624CBC" w:rsidRPr="00ED0B2B" w:rsidRDefault="00624CBC" w:rsidP="007E3ECF">
            <w:pPr>
              <w:jc w:val="both"/>
              <w:rPr>
                <w:rFonts w:ascii="Arial Narrow" w:hAnsi="Arial Narrow" w:cs="Arial"/>
                <w:i/>
                <w:sz w:val="20"/>
                <w:szCs w:val="20"/>
              </w:rPr>
            </w:pPr>
          </w:p>
          <w:p w:rsidR="00624CBC" w:rsidRPr="00ED0B2B" w:rsidRDefault="00624CBC" w:rsidP="007E3ECF">
            <w:pPr>
              <w:jc w:val="both"/>
              <w:rPr>
                <w:rFonts w:ascii="Arial Narrow" w:hAnsi="Arial Narrow" w:cs="Arial"/>
                <w:i/>
                <w:sz w:val="20"/>
                <w:szCs w:val="20"/>
              </w:rPr>
            </w:pPr>
          </w:p>
          <w:p w:rsidR="00624CBC" w:rsidRPr="00ED0B2B" w:rsidRDefault="00624CBC" w:rsidP="007E3ECF">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Check1"/>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Restricted benefit</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Authority Required – In Writing</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Check3"/>
                  <w:enabled/>
                  <w:calcOnExit w:val="0"/>
                  <w:checkBox>
                    <w:sizeAuto/>
                    <w:default w:val="1"/>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Authority Required – Telephone/Electronic/Emergency</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Check5"/>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Streamlined</w:t>
            </w:r>
          </w:p>
        </w:tc>
      </w:tr>
      <w:tr w:rsidR="00624CBC" w:rsidRPr="00ED0B2B" w:rsidTr="007E3ECF">
        <w:trPr>
          <w:cantSplit/>
          <w:trHeight w:val="229"/>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Treatment criteria:</w:t>
            </w:r>
          </w:p>
        </w:tc>
        <w:tc>
          <w:tcPr>
            <w:tcW w:w="6379" w:type="dxa"/>
            <w:gridSpan w:val="5"/>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Must be treated by a dermatologist.</w:t>
            </w:r>
          </w:p>
        </w:tc>
      </w:tr>
      <w:tr w:rsidR="00624CBC" w:rsidRPr="00ED0B2B" w:rsidTr="007E3ECF">
        <w:trPr>
          <w:cantSplit/>
          <w:trHeight w:val="657"/>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Clinical criteria:</w:t>
            </w:r>
          </w:p>
          <w:p w:rsidR="00624CBC" w:rsidRPr="00ED0B2B" w:rsidRDefault="00624CBC" w:rsidP="007E3ECF">
            <w:pPr>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 xml:space="preserve">Patient must have received insufficient therapy with this drug for this condition under the Initial treatment 1 - New patient restriction to complete a maximum of 16 weeks treatment; </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OR</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Patient must have received insufficient therapy with this drug for this condition under the Initial treatment 2 - Recommencement of treatment restriction to complete a maximum of 16 weeks treatment.</w:t>
            </w:r>
          </w:p>
        </w:tc>
      </w:tr>
      <w:tr w:rsidR="00624CBC" w:rsidRPr="00ED0B2B" w:rsidTr="007E3ECF">
        <w:trPr>
          <w:cantSplit/>
          <w:trHeight w:val="229"/>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b/>
                <w:sz w:val="20"/>
                <w:szCs w:val="20"/>
              </w:rPr>
              <w:t>Prescriber Instructions:</w:t>
            </w:r>
          </w:p>
        </w:tc>
        <w:tc>
          <w:tcPr>
            <w:tcW w:w="6379" w:type="dxa"/>
            <w:gridSpan w:val="5"/>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A maximum of 12 weeks of treatment will be authorised under this restriction.</w:t>
            </w:r>
          </w:p>
        </w:tc>
      </w:tr>
      <w:tr w:rsidR="00624CBC" w:rsidRPr="00ED0B2B" w:rsidTr="007E3ECF">
        <w:trPr>
          <w:cantSplit/>
          <w:trHeight w:val="360"/>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Administrative Advice:</w:t>
            </w:r>
          </w:p>
          <w:p w:rsidR="00624CBC" w:rsidRPr="00ED0B2B" w:rsidRDefault="00624CBC" w:rsidP="007E3ECF">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Applications for authorisation under this criterion may be made by telephone by contacting the Department of Human Services on 1800 700 270 (hours of operation 8 a.m. to 5 p.m. EST Monday to Friday).</w:t>
            </w:r>
          </w:p>
          <w:p w:rsidR="00624CBC" w:rsidRPr="00ED0B2B" w:rsidRDefault="00624CBC" w:rsidP="007E3ECF">
            <w:pPr>
              <w:jc w:val="both"/>
              <w:rPr>
                <w:rFonts w:ascii="Arial Narrow" w:hAnsi="Arial Narrow" w:cs="Arial"/>
                <w:sz w:val="20"/>
                <w:szCs w:val="20"/>
              </w:rPr>
            </w:pP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No increase in the maximum quantity or number of units may be authorised.</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No increase in the maximum number of repeats may be authorised.</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Special Pricing Arrangements apply.</w:t>
            </w:r>
          </w:p>
        </w:tc>
      </w:tr>
    </w:tbl>
    <w:p w:rsidR="00624CBC" w:rsidRPr="00ED0B2B" w:rsidRDefault="00624CBC">
      <w:pPr>
        <w:rPr>
          <w:rFonts w:asciiTheme="minorHAnsi" w:eastAsiaTheme="minorHAnsi" w:hAnsiTheme="minorHAnsi" w:cstheme="minorBidi"/>
          <w:snapToGrid w:val="0"/>
          <w:szCs w:val="22"/>
        </w:rPr>
      </w:pPr>
      <w:r w:rsidRPr="00ED0B2B">
        <w:rPr>
          <w:snapToGrid w:val="0"/>
        </w:rPr>
        <w:br w:type="page"/>
      </w:r>
    </w:p>
    <w:p w:rsidR="00624CBC" w:rsidRPr="00ED0B2B" w:rsidRDefault="00624CBC" w:rsidP="00E641C9">
      <w:pPr>
        <w:pStyle w:val="3Bodytext"/>
        <w:rPr>
          <w:snapToGrid w:val="0"/>
        </w:rPr>
      </w:pPr>
      <w:r w:rsidRPr="00ED0B2B">
        <w:rPr>
          <w:snapToGrid w:val="0"/>
        </w:rPr>
        <w:lastRenderedPageBreak/>
        <w:t>Add new item</w:t>
      </w:r>
      <w:r w:rsidR="00C035C9" w:rsidRPr="00ED0B2B">
        <w:rPr>
          <w:snapToGrid w:val="0"/>
        </w:rPr>
        <w:t>:</w:t>
      </w:r>
    </w:p>
    <w:tbl>
      <w:tblPr>
        <w:tblW w:w="9214" w:type="dxa"/>
        <w:tblLayout w:type="fixed"/>
        <w:tblLook w:val="0000" w:firstRow="0" w:lastRow="0" w:firstColumn="0" w:lastColumn="0" w:noHBand="0" w:noVBand="0"/>
      </w:tblPr>
      <w:tblGrid>
        <w:gridCol w:w="2835"/>
        <w:gridCol w:w="6379"/>
      </w:tblGrid>
      <w:tr w:rsidR="00624CBC" w:rsidRPr="00ED0B2B" w:rsidTr="007E3ECF">
        <w:trPr>
          <w:cantSplit/>
          <w:trHeight w:val="360"/>
        </w:trPr>
        <w:tc>
          <w:tcPr>
            <w:tcW w:w="9214" w:type="dxa"/>
            <w:gridSpan w:val="2"/>
            <w:tcBorders>
              <w:bottom w:val="single" w:sz="4" w:space="0" w:color="auto"/>
            </w:tcBorders>
          </w:tcPr>
          <w:tbl>
            <w:tblPr>
              <w:tblW w:w="9214" w:type="dxa"/>
              <w:tblLayout w:type="fixed"/>
              <w:tblLook w:val="0000" w:firstRow="0" w:lastRow="0" w:firstColumn="0" w:lastColumn="0" w:noHBand="0" w:noVBand="0"/>
            </w:tblPr>
            <w:tblGrid>
              <w:gridCol w:w="3261"/>
              <w:gridCol w:w="567"/>
              <w:gridCol w:w="708"/>
              <w:gridCol w:w="1843"/>
              <w:gridCol w:w="1559"/>
              <w:gridCol w:w="1276"/>
            </w:tblGrid>
            <w:tr w:rsidR="00624CBC" w:rsidRPr="00ED0B2B" w:rsidTr="007E3ECF">
              <w:trPr>
                <w:cantSplit/>
                <w:trHeight w:val="471"/>
              </w:trPr>
              <w:tc>
                <w:tcPr>
                  <w:tcW w:w="3261" w:type="dxa"/>
                  <w:tcBorders>
                    <w:bottom w:val="single" w:sz="4" w:space="0" w:color="auto"/>
                  </w:tcBorders>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Name, Restriction,</w:t>
                  </w:r>
                </w:p>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Manner of administration and form</w:t>
                  </w:r>
                </w:p>
              </w:tc>
              <w:tc>
                <w:tcPr>
                  <w:tcW w:w="567" w:type="dxa"/>
                  <w:tcBorders>
                    <w:bottom w:val="single" w:sz="4" w:space="0" w:color="auto"/>
                  </w:tcBorders>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Max.</w:t>
                  </w:r>
                </w:p>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Qty</w:t>
                  </w:r>
                </w:p>
              </w:tc>
              <w:tc>
                <w:tcPr>
                  <w:tcW w:w="708" w:type="dxa"/>
                  <w:tcBorders>
                    <w:bottom w:val="single" w:sz="4" w:space="0" w:color="auto"/>
                  </w:tcBorders>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№.of</w:t>
                  </w:r>
                </w:p>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Rpts</w:t>
                  </w:r>
                </w:p>
              </w:tc>
              <w:tc>
                <w:tcPr>
                  <w:tcW w:w="1843" w:type="dxa"/>
                  <w:tcBorders>
                    <w:bottom w:val="single" w:sz="4" w:space="0" w:color="auto"/>
                  </w:tcBorders>
                </w:tcPr>
                <w:p w:rsidR="00624CBC" w:rsidRPr="00ED0B2B" w:rsidRDefault="00624CBC" w:rsidP="007E3ECF">
                  <w:pPr>
                    <w:keepNext/>
                    <w:ind w:left="-108"/>
                    <w:jc w:val="both"/>
                    <w:rPr>
                      <w:rFonts w:ascii="Arial Narrow" w:hAnsi="Arial Narrow" w:cs="Arial"/>
                      <w:sz w:val="20"/>
                      <w:szCs w:val="20"/>
                    </w:rPr>
                  </w:pPr>
                </w:p>
              </w:tc>
              <w:tc>
                <w:tcPr>
                  <w:tcW w:w="2835" w:type="dxa"/>
                  <w:gridSpan w:val="2"/>
                  <w:tcBorders>
                    <w:bottom w:val="single" w:sz="4" w:space="0" w:color="auto"/>
                  </w:tcBorders>
                </w:tcPr>
                <w:p w:rsidR="00624CBC" w:rsidRPr="00ED0B2B" w:rsidRDefault="00624CBC" w:rsidP="007E3ECF">
                  <w:pPr>
                    <w:keepNext/>
                    <w:jc w:val="both"/>
                    <w:rPr>
                      <w:rFonts w:ascii="Arial Narrow" w:hAnsi="Arial Narrow" w:cs="Arial"/>
                      <w:sz w:val="20"/>
                      <w:szCs w:val="20"/>
                    </w:rPr>
                  </w:pPr>
                  <w:r w:rsidRPr="00ED0B2B">
                    <w:rPr>
                      <w:rFonts w:ascii="Arial Narrow" w:hAnsi="Arial Narrow" w:cs="Arial"/>
                      <w:sz w:val="20"/>
                      <w:szCs w:val="20"/>
                    </w:rPr>
                    <w:t>Proprietary Name and Manufacturer</w:t>
                  </w:r>
                </w:p>
              </w:tc>
            </w:tr>
            <w:tr w:rsidR="00624CBC" w:rsidRPr="00ED0B2B" w:rsidTr="007E3ECF">
              <w:trPr>
                <w:gridAfter w:val="1"/>
                <w:wAfter w:w="1276" w:type="dxa"/>
                <w:cantSplit/>
                <w:trHeight w:val="577"/>
              </w:trPr>
              <w:tc>
                <w:tcPr>
                  <w:tcW w:w="3261" w:type="dxa"/>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mallCaps/>
                      <w:sz w:val="20"/>
                      <w:szCs w:val="20"/>
                    </w:rPr>
                    <w:t xml:space="preserve">ADALIMUMAB </w:t>
                  </w:r>
                  <w:r w:rsidRPr="00ED0B2B">
                    <w:rPr>
                      <w:rFonts w:ascii="Arial Narrow" w:hAnsi="Arial Narrow" w:cs="Arial"/>
                      <w:sz w:val="20"/>
                      <w:szCs w:val="20"/>
                    </w:rPr>
                    <w:t>80 mg/0.8 mL injection, 0.8 mL syringe</w:t>
                  </w:r>
                </w:p>
              </w:tc>
              <w:tc>
                <w:tcPr>
                  <w:tcW w:w="567" w:type="dxa"/>
                </w:tcPr>
                <w:p w:rsidR="00624CBC" w:rsidRPr="00ED0B2B" w:rsidRDefault="00624CBC" w:rsidP="007E3ECF">
                  <w:pPr>
                    <w:keepNext/>
                    <w:ind w:left="-108"/>
                    <w:jc w:val="center"/>
                    <w:rPr>
                      <w:rFonts w:ascii="Arial Narrow" w:hAnsi="Arial Narrow" w:cs="Arial"/>
                      <w:sz w:val="20"/>
                      <w:szCs w:val="20"/>
                    </w:rPr>
                  </w:pPr>
                  <w:r w:rsidRPr="00ED0B2B">
                    <w:rPr>
                      <w:rFonts w:ascii="Arial Narrow" w:hAnsi="Arial Narrow" w:cs="Arial"/>
                      <w:sz w:val="20"/>
                      <w:szCs w:val="20"/>
                    </w:rPr>
                    <w:t>2</w:t>
                  </w:r>
                </w:p>
                <w:p w:rsidR="00624CBC" w:rsidRPr="00ED0B2B" w:rsidRDefault="00624CBC" w:rsidP="007E3ECF">
                  <w:pPr>
                    <w:keepNext/>
                    <w:ind w:left="-108"/>
                    <w:jc w:val="center"/>
                    <w:rPr>
                      <w:rFonts w:ascii="Arial Narrow" w:hAnsi="Arial Narrow" w:cs="Arial"/>
                      <w:sz w:val="20"/>
                      <w:szCs w:val="20"/>
                    </w:rPr>
                  </w:pPr>
                </w:p>
              </w:tc>
              <w:tc>
                <w:tcPr>
                  <w:tcW w:w="708" w:type="dxa"/>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5</w:t>
                  </w:r>
                </w:p>
              </w:tc>
              <w:tc>
                <w:tcPr>
                  <w:tcW w:w="1843" w:type="dxa"/>
                </w:tcPr>
                <w:p w:rsidR="00624CBC" w:rsidRPr="00ED0B2B" w:rsidRDefault="00624CBC" w:rsidP="007E3ECF">
                  <w:pPr>
                    <w:keepNext/>
                    <w:jc w:val="both"/>
                    <w:rPr>
                      <w:rFonts w:ascii="Arial Narrow" w:hAnsi="Arial Narrow" w:cs="Arial"/>
                      <w:sz w:val="20"/>
                      <w:szCs w:val="20"/>
                    </w:rPr>
                  </w:pPr>
                </w:p>
              </w:tc>
              <w:tc>
                <w:tcPr>
                  <w:tcW w:w="1559" w:type="dxa"/>
                </w:tcPr>
                <w:p w:rsidR="00624CBC" w:rsidRPr="00ED0B2B" w:rsidRDefault="00624CBC" w:rsidP="007E3ECF">
                  <w:pPr>
                    <w:keepNext/>
                    <w:jc w:val="both"/>
                    <w:rPr>
                      <w:rFonts w:ascii="Arial Narrow" w:hAnsi="Arial Narrow" w:cs="Arial"/>
                      <w:sz w:val="20"/>
                      <w:szCs w:val="20"/>
                    </w:rPr>
                  </w:pPr>
                  <w:r w:rsidRPr="00ED0B2B">
                    <w:rPr>
                      <w:rFonts w:ascii="Arial Narrow" w:hAnsi="Arial Narrow" w:cs="Arial"/>
                      <w:sz w:val="20"/>
                      <w:szCs w:val="20"/>
                    </w:rPr>
                    <w:t>Humira®</w:t>
                  </w:r>
                </w:p>
              </w:tc>
            </w:tr>
            <w:tr w:rsidR="00624CBC" w:rsidRPr="00ED0B2B" w:rsidTr="007E3ECF">
              <w:trPr>
                <w:gridAfter w:val="1"/>
                <w:wAfter w:w="1276" w:type="dxa"/>
                <w:cantSplit/>
                <w:trHeight w:val="577"/>
              </w:trPr>
              <w:tc>
                <w:tcPr>
                  <w:tcW w:w="3261" w:type="dxa"/>
                </w:tcPr>
                <w:p w:rsidR="00624CBC" w:rsidRPr="00ED0B2B" w:rsidRDefault="00624CBC" w:rsidP="007E3ECF">
                  <w:pPr>
                    <w:keepNext/>
                    <w:ind w:left="-108"/>
                    <w:jc w:val="both"/>
                    <w:rPr>
                      <w:rFonts w:ascii="Arial Narrow" w:hAnsi="Arial Narrow" w:cs="Arial"/>
                      <w:smallCaps/>
                      <w:sz w:val="20"/>
                      <w:szCs w:val="20"/>
                    </w:rPr>
                  </w:pPr>
                  <w:r w:rsidRPr="00ED0B2B">
                    <w:rPr>
                      <w:rFonts w:ascii="Arial Narrow" w:hAnsi="Arial Narrow" w:cs="Arial"/>
                      <w:smallCaps/>
                      <w:sz w:val="20"/>
                      <w:szCs w:val="20"/>
                    </w:rPr>
                    <w:t xml:space="preserve">ADALIMUMAB </w:t>
                  </w:r>
                  <w:r w:rsidRPr="00ED0B2B">
                    <w:rPr>
                      <w:rFonts w:ascii="Arial Narrow" w:hAnsi="Arial Narrow" w:cs="Arial"/>
                      <w:sz w:val="20"/>
                      <w:szCs w:val="20"/>
                    </w:rPr>
                    <w:t>80 mg/0.8 mL injection, 0.8 mL pen device</w:t>
                  </w:r>
                </w:p>
              </w:tc>
              <w:tc>
                <w:tcPr>
                  <w:tcW w:w="567" w:type="dxa"/>
                </w:tcPr>
                <w:p w:rsidR="00624CBC" w:rsidRPr="00ED0B2B" w:rsidRDefault="00624CBC" w:rsidP="007E3ECF">
                  <w:pPr>
                    <w:keepNext/>
                    <w:ind w:left="-108"/>
                    <w:jc w:val="center"/>
                    <w:rPr>
                      <w:rFonts w:ascii="Arial Narrow" w:hAnsi="Arial Narrow" w:cs="Arial"/>
                      <w:sz w:val="20"/>
                      <w:szCs w:val="20"/>
                    </w:rPr>
                  </w:pPr>
                  <w:r w:rsidRPr="00ED0B2B">
                    <w:rPr>
                      <w:rFonts w:ascii="Arial Narrow" w:hAnsi="Arial Narrow" w:cs="Arial"/>
                      <w:sz w:val="20"/>
                      <w:szCs w:val="20"/>
                    </w:rPr>
                    <w:t>2</w:t>
                  </w:r>
                </w:p>
                <w:p w:rsidR="00624CBC" w:rsidRPr="00ED0B2B" w:rsidRDefault="00624CBC" w:rsidP="007E3ECF">
                  <w:pPr>
                    <w:keepNext/>
                    <w:ind w:left="-108"/>
                    <w:jc w:val="center"/>
                    <w:rPr>
                      <w:rFonts w:ascii="Arial Narrow" w:hAnsi="Arial Narrow" w:cs="Arial"/>
                      <w:sz w:val="20"/>
                      <w:szCs w:val="20"/>
                    </w:rPr>
                  </w:pPr>
                </w:p>
              </w:tc>
              <w:tc>
                <w:tcPr>
                  <w:tcW w:w="708" w:type="dxa"/>
                </w:tcPr>
                <w:p w:rsidR="00624CBC" w:rsidRPr="00ED0B2B" w:rsidRDefault="00624CBC" w:rsidP="007E3ECF">
                  <w:pPr>
                    <w:keepNext/>
                    <w:ind w:left="-108"/>
                    <w:jc w:val="both"/>
                    <w:rPr>
                      <w:rFonts w:ascii="Arial Narrow" w:hAnsi="Arial Narrow" w:cs="Arial"/>
                      <w:sz w:val="20"/>
                      <w:szCs w:val="20"/>
                    </w:rPr>
                  </w:pPr>
                  <w:r w:rsidRPr="00ED0B2B">
                    <w:rPr>
                      <w:rFonts w:ascii="Arial Narrow" w:hAnsi="Arial Narrow" w:cs="Arial"/>
                      <w:sz w:val="20"/>
                      <w:szCs w:val="20"/>
                    </w:rPr>
                    <w:t>5</w:t>
                  </w:r>
                </w:p>
              </w:tc>
              <w:tc>
                <w:tcPr>
                  <w:tcW w:w="1843" w:type="dxa"/>
                </w:tcPr>
                <w:p w:rsidR="00624CBC" w:rsidRPr="00ED0B2B" w:rsidRDefault="00624CBC" w:rsidP="007E3ECF">
                  <w:pPr>
                    <w:keepNext/>
                    <w:jc w:val="both"/>
                    <w:rPr>
                      <w:rFonts w:ascii="Arial Narrow" w:hAnsi="Arial Narrow" w:cs="Arial"/>
                      <w:sz w:val="20"/>
                      <w:szCs w:val="20"/>
                    </w:rPr>
                  </w:pPr>
                </w:p>
              </w:tc>
              <w:tc>
                <w:tcPr>
                  <w:tcW w:w="1559" w:type="dxa"/>
                </w:tcPr>
                <w:p w:rsidR="00624CBC" w:rsidRPr="00ED0B2B" w:rsidRDefault="00624CBC" w:rsidP="007E3ECF">
                  <w:pPr>
                    <w:keepNext/>
                    <w:jc w:val="both"/>
                    <w:rPr>
                      <w:rFonts w:ascii="Arial Narrow" w:hAnsi="Arial Narrow" w:cs="Arial"/>
                      <w:sz w:val="20"/>
                      <w:szCs w:val="20"/>
                    </w:rPr>
                  </w:pPr>
                </w:p>
              </w:tc>
            </w:tr>
          </w:tbl>
          <w:p w:rsidR="00624CBC" w:rsidRPr="00ED0B2B" w:rsidRDefault="00624CBC" w:rsidP="007E3ECF">
            <w:pPr>
              <w:jc w:val="both"/>
              <w:rPr>
                <w:rFonts w:ascii="Arial Narrow" w:hAnsi="Arial Narrow" w:cs="Arial"/>
                <w:sz w:val="20"/>
                <w:szCs w:val="20"/>
              </w:rPr>
            </w:pPr>
          </w:p>
        </w:tc>
      </w:tr>
      <w:tr w:rsidR="00624CBC" w:rsidRPr="00ED0B2B" w:rsidTr="00E641C9">
        <w:trPr>
          <w:trHeight w:val="360"/>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GENERAL – General Schedule (Code GE)</w:t>
            </w:r>
          </w:p>
        </w:tc>
      </w:tr>
      <w:tr w:rsidR="00624CBC" w:rsidRPr="00ED0B2B" w:rsidTr="00E641C9">
        <w:trPr>
          <w:trHeight w:val="360"/>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Prescriber type:</w:t>
            </w:r>
          </w:p>
          <w:p w:rsidR="00624CBC" w:rsidRPr="00ED0B2B" w:rsidRDefault="00624CBC" w:rsidP="007E3ECF">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Check1"/>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Dental  </w:t>
            </w:r>
            <w:r w:rsidRPr="00ED0B2B">
              <w:rPr>
                <w:rFonts w:ascii="Arial Narrow" w:hAnsi="Arial Narrow" w:cs="Arial"/>
                <w:sz w:val="20"/>
                <w:szCs w:val="20"/>
              </w:rPr>
              <w:fldChar w:fldCharType="begin">
                <w:ffData>
                  <w:name w:val=""/>
                  <w:enabled/>
                  <w:calcOnExit w:val="0"/>
                  <w:checkBox>
                    <w:sizeAuto/>
                    <w:default w:val="1"/>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Medical Practitioners  </w:t>
            </w:r>
            <w:r w:rsidRPr="00ED0B2B">
              <w:rPr>
                <w:rFonts w:ascii="Arial Narrow" w:hAnsi="Arial Narrow" w:cs="Arial"/>
                <w:sz w:val="20"/>
                <w:szCs w:val="20"/>
              </w:rPr>
              <w:fldChar w:fldCharType="begin">
                <w:ffData>
                  <w:name w:val="Check3"/>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 xml:space="preserve">Nurse practitioners  </w:t>
            </w:r>
            <w:r w:rsidRPr="00ED0B2B">
              <w:rPr>
                <w:rFonts w:ascii="Arial Narrow" w:hAnsi="Arial Narrow" w:cs="Arial"/>
                <w:sz w:val="20"/>
                <w:szCs w:val="20"/>
              </w:rPr>
              <w:fldChar w:fldCharType="begin">
                <w:ffData>
                  <w:name w:val=""/>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Optometrists</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Check5"/>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Midwives</w:t>
            </w:r>
          </w:p>
        </w:tc>
      </w:tr>
      <w:tr w:rsidR="00624CBC" w:rsidRPr="00ED0B2B" w:rsidTr="00E641C9">
        <w:trPr>
          <w:trHeight w:val="185"/>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Severity:</w:t>
            </w:r>
          </w:p>
        </w:tc>
        <w:tc>
          <w:tcPr>
            <w:tcW w:w="6379"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rPr>
                <w:rFonts w:ascii="Arial Narrow" w:hAnsi="Arial Narrow" w:cs="Arial"/>
                <w:sz w:val="20"/>
                <w:szCs w:val="20"/>
              </w:rPr>
            </w:pPr>
            <w:r w:rsidRPr="00ED0B2B">
              <w:rPr>
                <w:rFonts w:ascii="Arial Narrow" w:hAnsi="Arial Narrow" w:cs="Arial"/>
                <w:sz w:val="20"/>
                <w:szCs w:val="20"/>
              </w:rPr>
              <w:t>Moderate to severe</w:t>
            </w:r>
          </w:p>
        </w:tc>
      </w:tr>
      <w:tr w:rsidR="00624CBC" w:rsidRPr="00ED0B2B" w:rsidTr="00E641C9">
        <w:trPr>
          <w:trHeight w:val="218"/>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hidradenitis suppurativa</w:t>
            </w:r>
          </w:p>
        </w:tc>
      </w:tr>
      <w:tr w:rsidR="00624CBC" w:rsidRPr="00ED0B2B" w:rsidTr="00E641C9">
        <w:trPr>
          <w:trHeight w:val="277"/>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Moderate to severe hidradenitis suppurativa</w:t>
            </w:r>
          </w:p>
        </w:tc>
      </w:tr>
      <w:tr w:rsidR="00624CBC" w:rsidRPr="00ED0B2B" w:rsidTr="00E641C9">
        <w:trPr>
          <w:trHeight w:val="281"/>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Continuing treatment</w:t>
            </w:r>
          </w:p>
        </w:tc>
      </w:tr>
      <w:tr w:rsidR="00624CBC" w:rsidRPr="00ED0B2B" w:rsidTr="00E641C9">
        <w:trPr>
          <w:trHeight w:val="360"/>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Restriction Level / Method:</w:t>
            </w:r>
          </w:p>
          <w:p w:rsidR="00624CBC" w:rsidRPr="00ED0B2B" w:rsidRDefault="00624CBC" w:rsidP="007E3ECF">
            <w:pPr>
              <w:jc w:val="both"/>
              <w:rPr>
                <w:rFonts w:ascii="Arial Narrow" w:hAnsi="Arial Narrow" w:cs="Arial"/>
                <w:i/>
                <w:sz w:val="20"/>
                <w:szCs w:val="20"/>
              </w:rPr>
            </w:pPr>
          </w:p>
          <w:p w:rsidR="00624CBC" w:rsidRPr="00ED0B2B" w:rsidRDefault="00624CBC" w:rsidP="007E3ECF">
            <w:pPr>
              <w:jc w:val="both"/>
              <w:rPr>
                <w:rFonts w:ascii="Arial Narrow" w:hAnsi="Arial Narrow" w:cs="Arial"/>
                <w:i/>
                <w:sz w:val="20"/>
                <w:szCs w:val="20"/>
              </w:rPr>
            </w:pPr>
          </w:p>
          <w:p w:rsidR="00624CBC" w:rsidRPr="00ED0B2B" w:rsidRDefault="00624CBC" w:rsidP="007E3ECF">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Check1"/>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Restricted benefit</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
                  <w:enabled/>
                  <w:calcOnExit w:val="0"/>
                  <w:checkBox>
                    <w:sizeAuto/>
                    <w:default w:val="1"/>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Authority Required – In Writing</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Check3"/>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Authority Required – Telephone/Electronic/Emergency</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fldChar w:fldCharType="begin">
                <w:ffData>
                  <w:name w:val="Check5"/>
                  <w:enabled/>
                  <w:calcOnExit w:val="0"/>
                  <w:checkBox>
                    <w:sizeAuto/>
                    <w:default w:val="0"/>
                  </w:checkBox>
                </w:ffData>
              </w:fldChar>
            </w:r>
            <w:r w:rsidRPr="00ED0B2B">
              <w:rPr>
                <w:rFonts w:ascii="Arial Narrow" w:hAnsi="Arial Narrow" w:cs="Arial"/>
                <w:sz w:val="20"/>
                <w:szCs w:val="20"/>
              </w:rPr>
              <w:instrText xml:space="preserve"> FORMCHECKBOX </w:instrText>
            </w:r>
            <w:r w:rsidR="00956E42">
              <w:rPr>
                <w:rFonts w:ascii="Arial Narrow" w:hAnsi="Arial Narrow" w:cs="Arial"/>
                <w:sz w:val="20"/>
                <w:szCs w:val="20"/>
              </w:rPr>
            </w:r>
            <w:r w:rsidR="00956E42">
              <w:rPr>
                <w:rFonts w:ascii="Arial Narrow" w:hAnsi="Arial Narrow" w:cs="Arial"/>
                <w:sz w:val="20"/>
                <w:szCs w:val="20"/>
              </w:rPr>
              <w:fldChar w:fldCharType="separate"/>
            </w:r>
            <w:r w:rsidRPr="00ED0B2B">
              <w:rPr>
                <w:rFonts w:ascii="Arial Narrow" w:hAnsi="Arial Narrow" w:cs="Arial"/>
                <w:sz w:val="20"/>
                <w:szCs w:val="20"/>
              </w:rPr>
              <w:fldChar w:fldCharType="end"/>
            </w:r>
            <w:r w:rsidRPr="00ED0B2B">
              <w:rPr>
                <w:rFonts w:ascii="Arial Narrow" w:hAnsi="Arial Narrow" w:cs="Arial"/>
                <w:sz w:val="20"/>
                <w:szCs w:val="20"/>
              </w:rPr>
              <w:t>Streamlined</w:t>
            </w:r>
          </w:p>
        </w:tc>
      </w:tr>
      <w:tr w:rsidR="00624CBC" w:rsidRPr="00ED0B2B" w:rsidTr="00E641C9">
        <w:trPr>
          <w:trHeight w:val="186"/>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Must be treated by a dermatologist</w:t>
            </w:r>
          </w:p>
        </w:tc>
      </w:tr>
      <w:tr w:rsidR="00624CBC" w:rsidRPr="00ED0B2B" w:rsidTr="00E641C9">
        <w:trPr>
          <w:trHeight w:val="657"/>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Clinical criteria:</w:t>
            </w:r>
          </w:p>
          <w:p w:rsidR="00624CBC" w:rsidRPr="00ED0B2B" w:rsidRDefault="00624CBC" w:rsidP="007E3ECF">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Patient must have previously received PBS-subsidised treatment with this drug for this condition</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AND</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Patient must have demonstrated a response to treatment with this drug for this condition</w:t>
            </w:r>
          </w:p>
        </w:tc>
      </w:tr>
      <w:tr w:rsidR="00624CBC" w:rsidRPr="00ED0B2B" w:rsidTr="00E641C9">
        <w:trPr>
          <w:trHeight w:val="360"/>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t>Prescriber Instructions:</w:t>
            </w:r>
          </w:p>
          <w:p w:rsidR="00624CBC" w:rsidRPr="00ED0B2B" w:rsidRDefault="00624CBC" w:rsidP="007E3ECF">
            <w:pPr>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A response to treatment is defined as:</w:t>
            </w:r>
          </w:p>
          <w:p w:rsidR="00624CBC" w:rsidRPr="00ED0B2B" w:rsidRDefault="00624CBC" w:rsidP="007E3ECF">
            <w:pPr>
              <w:jc w:val="both"/>
              <w:rPr>
                <w:rFonts w:ascii="Arial Narrow" w:hAnsi="Arial Narrow" w:cs="Arial"/>
                <w:sz w:val="20"/>
                <w:szCs w:val="20"/>
              </w:rPr>
            </w:pP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Achieving Hidradenitis Suppurativa Clinical Response (HiSCR) of a 50% reduction in AN count compared to baseline with no increase in abscesses or draining fistulae.</w:t>
            </w:r>
          </w:p>
          <w:p w:rsidR="00624CBC" w:rsidRPr="00ED0B2B" w:rsidRDefault="00624CBC" w:rsidP="007E3ECF">
            <w:pPr>
              <w:jc w:val="both"/>
              <w:rPr>
                <w:rFonts w:ascii="Arial Narrow" w:hAnsi="Arial Narrow" w:cs="Arial"/>
                <w:sz w:val="20"/>
                <w:szCs w:val="20"/>
              </w:rPr>
            </w:pP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For the first application for continuing treatment a Hidradenitis Suppurativa Clinical Response (HiSCR) assessment must be made following a minimum of 12 weeks of treatment. For subsequent continuing treatment a HiSCR assessment must be made every 24 weeks.</w:t>
            </w:r>
          </w:p>
          <w:p w:rsidR="00624CBC" w:rsidRPr="00ED0B2B" w:rsidRDefault="00624CBC" w:rsidP="007E3ECF">
            <w:pPr>
              <w:jc w:val="both"/>
              <w:rPr>
                <w:rFonts w:ascii="Arial Narrow" w:hAnsi="Arial Narrow" w:cs="Arial"/>
                <w:sz w:val="20"/>
                <w:szCs w:val="20"/>
              </w:rPr>
            </w:pP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The assessment of the patient's response to a continuing course of therapy must be made within the 4 weeks prior to completion of that course and provided to the Department of Human Services no less than 2 weeks prior to the date the next dose is scheduled, in order to ensure continuity of treatment for those patients who meet the continuation criterion.</w:t>
            </w:r>
          </w:p>
          <w:p w:rsidR="00624CBC" w:rsidRPr="00ED0B2B" w:rsidRDefault="00624CBC" w:rsidP="007E3ECF">
            <w:pPr>
              <w:jc w:val="both"/>
              <w:rPr>
                <w:rFonts w:ascii="Arial Narrow" w:hAnsi="Arial Narrow" w:cs="Arial"/>
                <w:sz w:val="20"/>
                <w:szCs w:val="20"/>
              </w:rPr>
            </w:pP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Where an assessment is not submitted to the Department of Human Services within these timeframes, patients will be deemed to have failed to respond, or to have failed to sustain a response, to treatment with this drug.</w:t>
            </w:r>
          </w:p>
          <w:p w:rsidR="00624CBC" w:rsidRPr="00ED0B2B" w:rsidRDefault="00624CBC" w:rsidP="007E3ECF">
            <w:pPr>
              <w:jc w:val="both"/>
              <w:rPr>
                <w:rFonts w:ascii="Arial Narrow" w:hAnsi="Arial Narrow" w:cs="Arial"/>
                <w:sz w:val="20"/>
                <w:szCs w:val="20"/>
              </w:rPr>
            </w:pP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A maximum of 24 weeks treatment will be authorised under this restriction per continuing treatment.</w:t>
            </w:r>
          </w:p>
          <w:p w:rsidR="00624CBC" w:rsidRPr="00ED0B2B" w:rsidRDefault="00624CBC" w:rsidP="007E3ECF">
            <w:pPr>
              <w:jc w:val="both"/>
              <w:rPr>
                <w:rFonts w:ascii="Arial Narrow" w:hAnsi="Arial Narrow" w:cs="Arial"/>
                <w:sz w:val="20"/>
                <w:szCs w:val="20"/>
              </w:rPr>
            </w:pP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The authority application must be made in writing and must include:</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(a) a completed authority prescription form; and</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(b) a completed hidradenitis suppurativa PBS authority application supporting Information form which must include the Hidradenitis Suppurativa Clinical Response (HiSCR) result.</w:t>
            </w:r>
          </w:p>
        </w:tc>
      </w:tr>
      <w:tr w:rsidR="00624CBC" w:rsidRPr="00ED0B2B" w:rsidTr="00E641C9">
        <w:trPr>
          <w:trHeight w:val="360"/>
        </w:trPr>
        <w:tc>
          <w:tcPr>
            <w:tcW w:w="2835"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b/>
                <w:sz w:val="20"/>
                <w:szCs w:val="20"/>
              </w:rPr>
            </w:pPr>
            <w:r w:rsidRPr="00ED0B2B">
              <w:rPr>
                <w:rFonts w:ascii="Arial Narrow" w:hAnsi="Arial Narrow" w:cs="Arial"/>
                <w:b/>
                <w:sz w:val="20"/>
                <w:szCs w:val="20"/>
              </w:rPr>
              <w:lastRenderedPageBreak/>
              <w:t>Administrative Advice:</w:t>
            </w:r>
          </w:p>
          <w:p w:rsidR="00624CBC" w:rsidRPr="00ED0B2B" w:rsidRDefault="00624CBC" w:rsidP="007E3ECF">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 xml:space="preserve">Any queries concerning the arrangements to prescribe may be directed to the Department of Human Services on 1800 700 270 (hours of operation 8 a.m. to 5 p.m. EST Monday to Friday). </w:t>
            </w:r>
          </w:p>
          <w:p w:rsidR="00624CBC" w:rsidRPr="00ED0B2B" w:rsidRDefault="00624CBC" w:rsidP="007E3ECF">
            <w:pPr>
              <w:jc w:val="both"/>
              <w:rPr>
                <w:rFonts w:ascii="Arial Narrow" w:hAnsi="Arial Narrow" w:cs="Arial"/>
                <w:sz w:val="20"/>
                <w:szCs w:val="20"/>
              </w:rPr>
            </w:pP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624CBC" w:rsidRPr="00ED0B2B" w:rsidRDefault="00624CBC" w:rsidP="007E3ECF">
            <w:pPr>
              <w:jc w:val="both"/>
              <w:rPr>
                <w:rFonts w:ascii="Arial Narrow" w:hAnsi="Arial Narrow" w:cs="Arial"/>
                <w:sz w:val="20"/>
                <w:szCs w:val="20"/>
              </w:rPr>
            </w:pP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 xml:space="preserve">Applications for authority to prescribe should be forwarded to: </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Department of Human Services</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 xml:space="preserve">Complex Drugs </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 xml:space="preserve">Reply Paid 9826 </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HOBART TAS 7001</w:t>
            </w:r>
          </w:p>
          <w:p w:rsidR="00624CBC" w:rsidRPr="00ED0B2B" w:rsidRDefault="00624CBC" w:rsidP="007E3ECF">
            <w:pPr>
              <w:jc w:val="both"/>
              <w:rPr>
                <w:rFonts w:ascii="Arial Narrow" w:hAnsi="Arial Narrow" w:cs="Arial"/>
                <w:sz w:val="20"/>
                <w:szCs w:val="20"/>
              </w:rPr>
            </w:pP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No increase in the maximum quantity or number of units may be authorised.</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No increase in the maximum number of repeats may be authorised.</w:t>
            </w:r>
          </w:p>
          <w:p w:rsidR="00624CBC" w:rsidRPr="00ED0B2B" w:rsidRDefault="00624CBC" w:rsidP="007E3ECF">
            <w:pPr>
              <w:jc w:val="both"/>
              <w:rPr>
                <w:rFonts w:ascii="Arial Narrow" w:hAnsi="Arial Narrow" w:cs="Arial"/>
                <w:sz w:val="20"/>
                <w:szCs w:val="20"/>
              </w:rPr>
            </w:pPr>
            <w:r w:rsidRPr="00ED0B2B">
              <w:rPr>
                <w:rFonts w:ascii="Arial Narrow" w:hAnsi="Arial Narrow" w:cs="Arial"/>
                <w:sz w:val="20"/>
                <w:szCs w:val="20"/>
              </w:rPr>
              <w:t>Special Pricing Arrangements apply.</w:t>
            </w:r>
          </w:p>
        </w:tc>
      </w:tr>
    </w:tbl>
    <w:p w:rsidR="00772166" w:rsidRPr="00ED0B2B" w:rsidRDefault="00772166" w:rsidP="009A4BB9">
      <w:pPr>
        <w:pStyle w:val="3Bodytext"/>
        <w:spacing w:before="120"/>
        <w:rPr>
          <w:b/>
          <w:snapToGrid w:val="0"/>
        </w:rPr>
      </w:pPr>
      <w:r w:rsidRPr="00ED0B2B">
        <w:rPr>
          <w:snapToGrid w:val="0"/>
        </w:rPr>
        <w:t xml:space="preserve">Amend existing listing </w:t>
      </w:r>
      <w:r w:rsidRPr="00ED0B2B">
        <w:rPr>
          <w:bCs/>
        </w:rPr>
        <w:t>11137E</w:t>
      </w:r>
      <w:r w:rsidR="00E92576" w:rsidRPr="00ED0B2B">
        <w:rPr>
          <w:bCs/>
        </w:rPr>
        <w:t xml:space="preserve"> (adalimumab 40mg/0.8mL)</w:t>
      </w:r>
      <w:r w:rsidRPr="00ED0B2B">
        <w:rPr>
          <w:bCs/>
        </w:rPr>
        <w:t xml:space="preserve"> as follows</w:t>
      </w:r>
      <w:r w:rsidRPr="00ED0B2B">
        <w:rPr>
          <w:snapToGrid w:val="0"/>
        </w:rPr>
        <w:t>:</w:t>
      </w:r>
    </w:p>
    <w:p w:rsidR="00916C78" w:rsidRPr="00ED0B2B" w:rsidRDefault="00C035C9" w:rsidP="00322E99">
      <w:pPr>
        <w:pStyle w:val="3Bodytext"/>
        <w:numPr>
          <w:ilvl w:val="0"/>
          <w:numId w:val="0"/>
        </w:numPr>
        <w:ind w:left="720"/>
      </w:pPr>
      <w:r w:rsidRPr="00ED0B2B">
        <w:rPr>
          <w:snapToGrid w:val="0"/>
        </w:rPr>
        <w:t>Remove the grandfather restriction</w:t>
      </w:r>
    </w:p>
    <w:p w:rsidR="00B74737" w:rsidRPr="00ED0B2B" w:rsidRDefault="00B74737" w:rsidP="00E66762">
      <w:pPr>
        <w:pStyle w:val="Bodytextitalics"/>
        <w:numPr>
          <w:ilvl w:val="0"/>
          <w:numId w:val="0"/>
        </w:numPr>
        <w:rPr>
          <w:color w:val="1F497D"/>
          <w:sz w:val="22"/>
        </w:rPr>
      </w:pPr>
      <w:r w:rsidRPr="00ED0B2B">
        <w:t>This restriction may be subject to further review. Should there be any changes made to the restriction the Sponsor will be informed.</w:t>
      </w:r>
    </w:p>
    <w:p w:rsidR="00090E48" w:rsidRDefault="00090E48" w:rsidP="00090E48">
      <w:pPr>
        <w:pStyle w:val="2Sections"/>
        <w:numPr>
          <w:ilvl w:val="0"/>
          <w:numId w:val="5"/>
        </w:numPr>
        <w:rPr>
          <w:rFonts w:cstheme="minorHAnsi"/>
        </w:rPr>
      </w:pPr>
      <w:r>
        <w:t xml:space="preserve">Context for Decision </w:t>
      </w:r>
    </w:p>
    <w:p w:rsidR="00587BB0" w:rsidRPr="00587BB0" w:rsidRDefault="00587BB0" w:rsidP="00587BB0">
      <w:pPr>
        <w:spacing w:after="120" w:line="276" w:lineRule="auto"/>
        <w:jc w:val="both"/>
        <w:rPr>
          <w:rFonts w:asciiTheme="minorHAnsi" w:eastAsiaTheme="minorHAnsi" w:hAnsiTheme="minorHAnsi" w:cs="Arial"/>
          <w:bCs/>
          <w:szCs w:val="22"/>
          <w:lang w:eastAsia="en-US"/>
        </w:rPr>
      </w:pPr>
      <w:r w:rsidRPr="00587BB0">
        <w:rPr>
          <w:rFonts w:asciiTheme="minorHAnsi" w:eastAsiaTheme="minorHAnsi" w:hAnsiTheme="minorHAnsi" w:cs="Arial"/>
          <w:bCs/>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90E48" w:rsidRPr="00D53BD3" w:rsidRDefault="00090E48" w:rsidP="00090E48">
      <w:pPr>
        <w:pStyle w:val="2Sections"/>
        <w:numPr>
          <w:ilvl w:val="0"/>
          <w:numId w:val="5"/>
        </w:numPr>
      </w:pPr>
      <w:r w:rsidRPr="00D53BD3">
        <w:t>Sponsor’s Comment</w:t>
      </w:r>
    </w:p>
    <w:p w:rsidR="00362D17" w:rsidRPr="00587BB0" w:rsidRDefault="00090E48" w:rsidP="00587BB0">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sectPr w:rsidR="00362D17" w:rsidRPr="00587BB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42" w:rsidRDefault="00956E42">
      <w:r>
        <w:separator/>
      </w:r>
    </w:p>
    <w:p w:rsidR="00956E42" w:rsidRDefault="00956E42"/>
  </w:endnote>
  <w:endnote w:type="continuationSeparator" w:id="0">
    <w:p w:rsidR="00956E42" w:rsidRDefault="00956E42">
      <w:r>
        <w:continuationSeparator/>
      </w:r>
    </w:p>
    <w:p w:rsidR="00956E42" w:rsidRDefault="00956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9176E" w:rsidTr="005A3173">
      <w:trPr>
        <w:trHeight w:val="151"/>
      </w:trPr>
      <w:tc>
        <w:tcPr>
          <w:tcW w:w="2250" w:type="pct"/>
          <w:tcBorders>
            <w:top w:val="nil"/>
            <w:left w:val="nil"/>
            <w:bottom w:val="single" w:sz="4" w:space="0" w:color="4F81BD"/>
            <w:right w:val="nil"/>
          </w:tcBorders>
        </w:tcPr>
        <w:p w:rsidR="00D9176E" w:rsidRPr="005A3173" w:rsidRDefault="00D9176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9176E" w:rsidRPr="005A3173" w:rsidRDefault="00D9176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176E" w:rsidRPr="005A3173" w:rsidRDefault="00D9176E" w:rsidP="005A3173">
          <w:pPr>
            <w:pStyle w:val="Header"/>
            <w:spacing w:line="276" w:lineRule="auto"/>
            <w:rPr>
              <w:rFonts w:ascii="Calibri" w:eastAsia="MS Gothic" w:hAnsi="Calibri"/>
              <w:b/>
              <w:bCs/>
              <w:color w:val="4F81BD"/>
            </w:rPr>
          </w:pPr>
        </w:p>
      </w:tc>
    </w:tr>
    <w:tr w:rsidR="00D9176E" w:rsidTr="005A3173">
      <w:trPr>
        <w:trHeight w:val="150"/>
      </w:trPr>
      <w:tc>
        <w:tcPr>
          <w:tcW w:w="2250" w:type="pct"/>
          <w:tcBorders>
            <w:top w:val="single" w:sz="4" w:space="0" w:color="4F81BD"/>
            <w:left w:val="nil"/>
            <w:bottom w:val="nil"/>
            <w:right w:val="nil"/>
          </w:tcBorders>
        </w:tcPr>
        <w:p w:rsidR="00D9176E" w:rsidRPr="005A3173" w:rsidRDefault="00D9176E" w:rsidP="005A3173">
          <w:pPr>
            <w:pStyle w:val="Header"/>
            <w:spacing w:line="276" w:lineRule="auto"/>
            <w:rPr>
              <w:rFonts w:ascii="Calibri" w:eastAsia="MS Gothic" w:hAnsi="Calibri"/>
              <w:b/>
              <w:bCs/>
              <w:color w:val="4F81BD"/>
            </w:rPr>
          </w:pPr>
        </w:p>
      </w:tc>
      <w:tc>
        <w:tcPr>
          <w:tcW w:w="0" w:type="auto"/>
          <w:vMerge/>
          <w:vAlign w:val="center"/>
          <w:hideMark/>
        </w:tcPr>
        <w:p w:rsidR="00D9176E" w:rsidRPr="005A3173" w:rsidRDefault="00D9176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9176E" w:rsidRPr="005A3173" w:rsidRDefault="00D9176E" w:rsidP="005A3173">
          <w:pPr>
            <w:pStyle w:val="Header"/>
            <w:spacing w:line="276" w:lineRule="auto"/>
            <w:rPr>
              <w:rFonts w:ascii="Calibri" w:eastAsia="MS Gothic" w:hAnsi="Calibri"/>
              <w:b/>
              <w:bCs/>
              <w:color w:val="4F81BD"/>
            </w:rPr>
          </w:pPr>
        </w:p>
      </w:tc>
    </w:tr>
  </w:tbl>
  <w:p w:rsidR="00D9176E" w:rsidRDefault="00D9176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76E" w:rsidRDefault="00D9176E">
    <w:pPr>
      <w:pStyle w:val="Footer"/>
    </w:pPr>
  </w:p>
  <w:p w:rsidR="00D9176E" w:rsidRDefault="00D917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971593468"/>
      <w:docPartObj>
        <w:docPartGallery w:val="Page Numbers (Bottom of Page)"/>
        <w:docPartUnique/>
      </w:docPartObj>
    </w:sdtPr>
    <w:sdtEndPr>
      <w:rPr>
        <w:noProof/>
      </w:rPr>
    </w:sdtEndPr>
    <w:sdtContent>
      <w:p w:rsidR="00D9176E" w:rsidRPr="00362D17" w:rsidRDefault="00D9176E">
        <w:pPr>
          <w:pStyle w:val="Footer"/>
          <w:jc w:val="center"/>
          <w:rPr>
            <w:rFonts w:asciiTheme="minorHAnsi" w:hAnsiTheme="minorHAnsi" w:cstheme="minorHAnsi"/>
            <w:b/>
          </w:rPr>
        </w:pPr>
        <w:r w:rsidRPr="00362D17">
          <w:rPr>
            <w:rFonts w:asciiTheme="minorHAnsi" w:hAnsiTheme="minorHAnsi" w:cstheme="minorHAnsi"/>
            <w:b/>
          </w:rPr>
          <w:fldChar w:fldCharType="begin"/>
        </w:r>
        <w:r w:rsidRPr="00362D17">
          <w:rPr>
            <w:rFonts w:asciiTheme="minorHAnsi" w:hAnsiTheme="minorHAnsi" w:cstheme="minorHAnsi"/>
            <w:b/>
          </w:rPr>
          <w:instrText xml:space="preserve"> PAGE   \* MERGEFORMAT </w:instrText>
        </w:r>
        <w:r w:rsidRPr="00362D17">
          <w:rPr>
            <w:rFonts w:asciiTheme="minorHAnsi" w:hAnsiTheme="minorHAnsi" w:cstheme="minorHAnsi"/>
            <w:b/>
          </w:rPr>
          <w:fldChar w:fldCharType="separate"/>
        </w:r>
        <w:r w:rsidR="00956E42">
          <w:rPr>
            <w:rFonts w:asciiTheme="minorHAnsi" w:hAnsiTheme="minorHAnsi" w:cstheme="minorHAnsi"/>
            <w:b/>
            <w:noProof/>
          </w:rPr>
          <w:t>1</w:t>
        </w:r>
        <w:r w:rsidRPr="00362D17">
          <w:rPr>
            <w:rFonts w:asciiTheme="minorHAnsi" w:hAnsiTheme="minorHAnsi" w:cstheme="minorHAnsi"/>
            <w:b/>
            <w:noProof/>
          </w:rPr>
          <w:fldChar w:fldCharType="end"/>
        </w:r>
      </w:p>
    </w:sdtContent>
  </w:sdt>
  <w:p w:rsidR="00D9176E" w:rsidRPr="000F3384" w:rsidRDefault="00D9176E"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D9176E" w:rsidTr="005A3173">
      <w:trPr>
        <w:trHeight w:val="151"/>
      </w:trPr>
      <w:tc>
        <w:tcPr>
          <w:tcW w:w="2250" w:type="pct"/>
          <w:tcBorders>
            <w:top w:val="nil"/>
            <w:left w:val="nil"/>
            <w:bottom w:val="single" w:sz="4" w:space="0" w:color="4F81BD"/>
            <w:right w:val="nil"/>
          </w:tcBorders>
        </w:tcPr>
        <w:p w:rsidR="00D9176E" w:rsidRPr="005A3173" w:rsidRDefault="00D9176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9176E" w:rsidRPr="005A3173" w:rsidRDefault="00D9176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176E" w:rsidRPr="005A3173" w:rsidRDefault="00D9176E" w:rsidP="005A3173">
          <w:pPr>
            <w:pStyle w:val="Header"/>
            <w:spacing w:line="276" w:lineRule="auto"/>
            <w:rPr>
              <w:rFonts w:ascii="Calibri" w:eastAsia="MS Gothic" w:hAnsi="Calibri"/>
              <w:b/>
              <w:bCs/>
              <w:color w:val="4F81BD"/>
            </w:rPr>
          </w:pPr>
        </w:p>
      </w:tc>
    </w:tr>
    <w:tr w:rsidR="00D9176E" w:rsidTr="005A3173">
      <w:trPr>
        <w:trHeight w:val="150"/>
      </w:trPr>
      <w:tc>
        <w:tcPr>
          <w:tcW w:w="2250" w:type="pct"/>
          <w:tcBorders>
            <w:top w:val="single" w:sz="4" w:space="0" w:color="4F81BD"/>
            <w:left w:val="nil"/>
            <w:bottom w:val="nil"/>
            <w:right w:val="nil"/>
          </w:tcBorders>
        </w:tcPr>
        <w:p w:rsidR="00D9176E" w:rsidRPr="005A3173" w:rsidRDefault="00D9176E" w:rsidP="005A3173">
          <w:pPr>
            <w:pStyle w:val="Header"/>
            <w:spacing w:line="276" w:lineRule="auto"/>
            <w:rPr>
              <w:rFonts w:ascii="Calibri" w:eastAsia="MS Gothic" w:hAnsi="Calibri"/>
              <w:b/>
              <w:bCs/>
              <w:color w:val="4F81BD"/>
            </w:rPr>
          </w:pPr>
        </w:p>
      </w:tc>
      <w:tc>
        <w:tcPr>
          <w:tcW w:w="0" w:type="auto"/>
          <w:vMerge/>
          <w:vAlign w:val="center"/>
          <w:hideMark/>
        </w:tcPr>
        <w:p w:rsidR="00D9176E" w:rsidRPr="005A3173" w:rsidRDefault="00D9176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9176E" w:rsidRPr="005A3173" w:rsidRDefault="00D9176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9176E" w:rsidTr="005A3173">
      <w:trPr>
        <w:trHeight w:val="151"/>
      </w:trPr>
      <w:tc>
        <w:tcPr>
          <w:tcW w:w="2250" w:type="pct"/>
          <w:tcBorders>
            <w:top w:val="nil"/>
            <w:left w:val="nil"/>
            <w:bottom w:val="single" w:sz="4" w:space="0" w:color="4F81BD"/>
            <w:right w:val="nil"/>
          </w:tcBorders>
        </w:tcPr>
        <w:p w:rsidR="00D9176E" w:rsidRPr="005A3173" w:rsidRDefault="00D9176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9176E" w:rsidRPr="005A3173" w:rsidRDefault="00D9176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176E" w:rsidRPr="005A3173" w:rsidRDefault="00D9176E" w:rsidP="005A3173">
          <w:pPr>
            <w:pStyle w:val="Header"/>
            <w:spacing w:line="276" w:lineRule="auto"/>
            <w:rPr>
              <w:rFonts w:ascii="Calibri" w:eastAsia="MS Gothic" w:hAnsi="Calibri"/>
              <w:b/>
              <w:bCs/>
              <w:color w:val="4F81BD"/>
            </w:rPr>
          </w:pPr>
        </w:p>
      </w:tc>
    </w:tr>
    <w:tr w:rsidR="00D9176E" w:rsidTr="005A3173">
      <w:trPr>
        <w:trHeight w:val="150"/>
      </w:trPr>
      <w:tc>
        <w:tcPr>
          <w:tcW w:w="2250" w:type="pct"/>
          <w:tcBorders>
            <w:top w:val="single" w:sz="4" w:space="0" w:color="4F81BD"/>
            <w:left w:val="nil"/>
            <w:bottom w:val="nil"/>
            <w:right w:val="nil"/>
          </w:tcBorders>
        </w:tcPr>
        <w:p w:rsidR="00D9176E" w:rsidRPr="005A3173" w:rsidRDefault="00D9176E" w:rsidP="005A3173">
          <w:pPr>
            <w:pStyle w:val="Header"/>
            <w:spacing w:line="276" w:lineRule="auto"/>
            <w:rPr>
              <w:rFonts w:ascii="Calibri" w:eastAsia="MS Gothic" w:hAnsi="Calibri"/>
              <w:b/>
              <w:bCs/>
              <w:color w:val="4F81BD"/>
            </w:rPr>
          </w:pPr>
        </w:p>
      </w:tc>
      <w:tc>
        <w:tcPr>
          <w:tcW w:w="0" w:type="auto"/>
          <w:vMerge/>
          <w:vAlign w:val="center"/>
          <w:hideMark/>
        </w:tcPr>
        <w:p w:rsidR="00D9176E" w:rsidRPr="005A3173" w:rsidRDefault="00D9176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9176E" w:rsidRPr="005A3173" w:rsidRDefault="00D9176E" w:rsidP="005A3173">
          <w:pPr>
            <w:pStyle w:val="Header"/>
            <w:spacing w:line="276" w:lineRule="auto"/>
            <w:rPr>
              <w:rFonts w:ascii="Calibri" w:eastAsia="MS Gothic" w:hAnsi="Calibri"/>
              <w:b/>
              <w:bCs/>
              <w:color w:val="4F81BD"/>
            </w:rPr>
          </w:pPr>
        </w:p>
      </w:tc>
    </w:tr>
  </w:tbl>
  <w:p w:rsidR="00D9176E" w:rsidRPr="007C0F57" w:rsidRDefault="00D9176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9176E" w:rsidRPr="007C0F57" w:rsidRDefault="00D9176E" w:rsidP="007C0F57">
    <w:pPr>
      <w:pStyle w:val="Footer"/>
      <w:jc w:val="center"/>
      <w:rPr>
        <w:b/>
        <w:i/>
        <w:sz w:val="20"/>
        <w:szCs w:val="20"/>
      </w:rPr>
    </w:pPr>
    <w:r w:rsidRPr="007C0F57">
      <w:rPr>
        <w:b/>
        <w:i/>
        <w:sz w:val="20"/>
        <w:szCs w:val="20"/>
      </w:rPr>
      <w:t>Commercial-in-Confidence</w:t>
    </w:r>
  </w:p>
  <w:p w:rsidR="00D9176E" w:rsidRDefault="00D917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42" w:rsidRDefault="00956E42">
      <w:r>
        <w:separator/>
      </w:r>
    </w:p>
    <w:p w:rsidR="00956E42" w:rsidRDefault="00956E42"/>
  </w:footnote>
  <w:footnote w:type="continuationSeparator" w:id="0">
    <w:p w:rsidR="00956E42" w:rsidRDefault="00956E42">
      <w:r>
        <w:continuationSeparator/>
      </w:r>
    </w:p>
    <w:p w:rsidR="00956E42" w:rsidRDefault="00956E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9176E" w:rsidRPr="008E0D90" w:rsidTr="00A06225">
      <w:trPr>
        <w:trHeight w:val="151"/>
      </w:trPr>
      <w:tc>
        <w:tcPr>
          <w:tcW w:w="2389" w:type="pct"/>
          <w:tcBorders>
            <w:top w:val="nil"/>
            <w:left w:val="nil"/>
            <w:bottom w:val="single" w:sz="4" w:space="0" w:color="4F81BD"/>
            <w:right w:val="nil"/>
          </w:tcBorders>
        </w:tcPr>
        <w:p w:rsidR="00D9176E" w:rsidRPr="00A06225" w:rsidRDefault="00D9176E">
          <w:pPr>
            <w:pStyle w:val="Header"/>
            <w:spacing w:line="276" w:lineRule="auto"/>
            <w:rPr>
              <w:rFonts w:ascii="Cambria" w:eastAsia="MS Gothic" w:hAnsi="Cambria"/>
              <w:b/>
              <w:bCs/>
              <w:color w:val="4F81BD"/>
            </w:rPr>
          </w:pPr>
        </w:p>
      </w:tc>
      <w:tc>
        <w:tcPr>
          <w:tcW w:w="333" w:type="pct"/>
          <w:vMerge w:val="restart"/>
          <w:noWrap/>
          <w:vAlign w:val="center"/>
          <w:hideMark/>
        </w:tcPr>
        <w:p w:rsidR="00D9176E" w:rsidRPr="00A06225" w:rsidRDefault="00D9176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9176E" w:rsidRPr="00A06225" w:rsidRDefault="00D9176E">
          <w:pPr>
            <w:pStyle w:val="Header"/>
            <w:spacing w:line="276" w:lineRule="auto"/>
            <w:rPr>
              <w:rFonts w:ascii="Cambria" w:eastAsia="MS Gothic" w:hAnsi="Cambria"/>
              <w:b/>
              <w:bCs/>
              <w:color w:val="4F81BD"/>
            </w:rPr>
          </w:pPr>
        </w:p>
      </w:tc>
    </w:tr>
    <w:tr w:rsidR="00D9176E" w:rsidRPr="008E0D90" w:rsidTr="00A06225">
      <w:trPr>
        <w:trHeight w:val="150"/>
      </w:trPr>
      <w:tc>
        <w:tcPr>
          <w:tcW w:w="2389" w:type="pct"/>
          <w:tcBorders>
            <w:top w:val="single" w:sz="4" w:space="0" w:color="4F81BD"/>
            <w:left w:val="nil"/>
            <w:bottom w:val="nil"/>
            <w:right w:val="nil"/>
          </w:tcBorders>
        </w:tcPr>
        <w:p w:rsidR="00D9176E" w:rsidRPr="00A06225" w:rsidRDefault="00D9176E">
          <w:pPr>
            <w:pStyle w:val="Header"/>
            <w:spacing w:line="276" w:lineRule="auto"/>
            <w:rPr>
              <w:rFonts w:ascii="Cambria" w:eastAsia="MS Gothic" w:hAnsi="Cambria"/>
              <w:b/>
              <w:bCs/>
              <w:color w:val="4F81BD"/>
            </w:rPr>
          </w:pPr>
        </w:p>
      </w:tc>
      <w:tc>
        <w:tcPr>
          <w:tcW w:w="0" w:type="auto"/>
          <w:vMerge/>
          <w:vAlign w:val="center"/>
          <w:hideMark/>
        </w:tcPr>
        <w:p w:rsidR="00D9176E" w:rsidRPr="00A06225" w:rsidRDefault="00D9176E">
          <w:pPr>
            <w:rPr>
              <w:rFonts w:ascii="Cambria" w:hAnsi="Cambria"/>
              <w:color w:val="4F81BD"/>
              <w:sz w:val="22"/>
              <w:szCs w:val="22"/>
            </w:rPr>
          </w:pPr>
        </w:p>
      </w:tc>
      <w:tc>
        <w:tcPr>
          <w:tcW w:w="2278" w:type="pct"/>
          <w:tcBorders>
            <w:top w:val="single" w:sz="4" w:space="0" w:color="4F81BD"/>
            <w:left w:val="nil"/>
            <w:bottom w:val="nil"/>
            <w:right w:val="nil"/>
          </w:tcBorders>
        </w:tcPr>
        <w:p w:rsidR="00D9176E" w:rsidRPr="00A06225" w:rsidRDefault="00D9176E">
          <w:pPr>
            <w:pStyle w:val="Header"/>
            <w:spacing w:line="276" w:lineRule="auto"/>
            <w:rPr>
              <w:rFonts w:ascii="Cambria" w:eastAsia="MS Gothic" w:hAnsi="Cambria"/>
              <w:b/>
              <w:bCs/>
              <w:color w:val="4F81BD"/>
            </w:rPr>
          </w:pPr>
        </w:p>
      </w:tc>
    </w:tr>
  </w:tbl>
  <w:p w:rsidR="00D9176E" w:rsidRDefault="00D9176E">
    <w:pPr>
      <w:pStyle w:val="Header"/>
    </w:pPr>
  </w:p>
  <w:p w:rsidR="00D9176E" w:rsidRDefault="00D9176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6E" w:rsidRPr="00E773B1" w:rsidRDefault="00D9176E" w:rsidP="00362D17">
    <w:pPr>
      <w:pStyle w:val="Header"/>
      <w:keepNext/>
      <w:ind w:left="360"/>
      <w:jc w:val="center"/>
      <w:rPr>
        <w:rFonts w:asciiTheme="minorHAnsi" w:hAnsiTheme="minorHAnsi"/>
        <w:i/>
      </w:rPr>
    </w:pPr>
    <w:r>
      <w:rPr>
        <w:rFonts w:asciiTheme="minorHAnsi" w:hAnsiTheme="minorHAnsi"/>
        <w:i/>
      </w:rPr>
      <w:t xml:space="preserve">Public Summary Document </w:t>
    </w:r>
    <w:r w:rsidRPr="00E773B1">
      <w:rPr>
        <w:rFonts w:asciiTheme="minorHAnsi" w:hAnsiTheme="minorHAnsi"/>
        <w:i/>
      </w:rPr>
      <w:t xml:space="preserve">– </w:t>
    </w:r>
    <w:r>
      <w:rPr>
        <w:rFonts w:asciiTheme="minorHAnsi" w:hAnsiTheme="minorHAnsi"/>
        <w:i/>
      </w:rPr>
      <w:t>November</w:t>
    </w:r>
    <w:r w:rsidRPr="00E773B1">
      <w:rPr>
        <w:rFonts w:asciiTheme="minorHAnsi" w:hAnsiTheme="minorHAnsi"/>
        <w:i/>
      </w:rPr>
      <w:t xml:space="preserve"> 2019 PBAC Meeting</w:t>
    </w:r>
  </w:p>
  <w:p w:rsidR="00D9176E" w:rsidRDefault="00D9176E"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D0" w:rsidRDefault="00394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C02540"/>
    <w:multiLevelType w:val="hybridMultilevel"/>
    <w:tmpl w:val="62AE4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9A0ADC"/>
    <w:multiLevelType w:val="multilevel"/>
    <w:tmpl w:val="8B88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15881"/>
    <w:multiLevelType w:val="hybridMultilevel"/>
    <w:tmpl w:val="10E47462"/>
    <w:lvl w:ilvl="0" w:tplc="0C090001">
      <w:start w:val="1"/>
      <w:numFmt w:val="bullet"/>
      <w:lvlText w:val=""/>
      <w:lvlJc w:val="left"/>
      <w:pPr>
        <w:ind w:left="1494" w:hanging="360"/>
      </w:pPr>
      <w:rPr>
        <w:rFonts w:ascii="Symbol" w:hAnsi="Symbol" w:hint="default"/>
        <w:sz w:val="32"/>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16"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340E4"/>
    <w:multiLevelType w:val="hybridMultilevel"/>
    <w:tmpl w:val="D8304F32"/>
    <w:lvl w:ilvl="0" w:tplc="AB160D7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041E35"/>
    <w:multiLevelType w:val="hybridMultilevel"/>
    <w:tmpl w:val="1F881734"/>
    <w:lvl w:ilvl="0" w:tplc="AB160D72">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8725E9"/>
    <w:multiLevelType w:val="hybridMultilevel"/>
    <w:tmpl w:val="0AB29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27" w15:restartNumberingAfterBreak="0">
    <w:nsid w:val="40943AB2"/>
    <w:multiLevelType w:val="hybridMultilevel"/>
    <w:tmpl w:val="10F4D2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AB26B7"/>
    <w:multiLevelType w:val="multilevel"/>
    <w:tmpl w:val="F88A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EB6E76"/>
    <w:multiLevelType w:val="multilevel"/>
    <w:tmpl w:val="0192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3F04D3"/>
    <w:multiLevelType w:val="hybridMultilevel"/>
    <w:tmpl w:val="97B0B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02E06"/>
    <w:multiLevelType w:val="multilevel"/>
    <w:tmpl w:val="D2C2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3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42429E"/>
    <w:multiLevelType w:val="multilevel"/>
    <w:tmpl w:val="D924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8E7584"/>
    <w:multiLevelType w:val="multilevel"/>
    <w:tmpl w:val="1BC2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780F05"/>
    <w:multiLevelType w:val="multilevel"/>
    <w:tmpl w:val="CB20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8A632F"/>
    <w:multiLevelType w:val="multilevel"/>
    <w:tmpl w:val="7712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341492"/>
    <w:multiLevelType w:val="hybridMultilevel"/>
    <w:tmpl w:val="8DAA57C2"/>
    <w:lvl w:ilvl="0" w:tplc="2F4E25DE">
      <w:numFmt w:val="bullet"/>
      <w:lvlText w:val="-"/>
      <w:lvlJc w:val="left"/>
      <w:pPr>
        <w:ind w:left="1080" w:hanging="360"/>
      </w:pPr>
      <w:rPr>
        <w:rFonts w:ascii="Times New Roman" w:eastAsia="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6641264B"/>
    <w:multiLevelType w:val="multilevel"/>
    <w:tmpl w:val="9168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784D033C"/>
    <w:multiLevelType w:val="multilevel"/>
    <w:tmpl w:val="46A825B0"/>
    <w:lvl w:ilvl="0">
      <w:start w:val="1"/>
      <w:numFmt w:val="decimal"/>
      <w:pStyle w:val="2Sections"/>
      <w:lvlText w:val="%1"/>
      <w:lvlJc w:val="left"/>
      <w:pPr>
        <w:ind w:left="720" w:hanging="720"/>
      </w:pPr>
      <w:rPr>
        <w:rFonts w:hint="default"/>
        <w:b/>
        <w:i w:val="0"/>
        <w:color w:val="000000" w:themeColor="text1"/>
      </w:rPr>
    </w:lvl>
    <w:lvl w:ilvl="1">
      <w:start w:val="1"/>
      <w:numFmt w:val="decimal"/>
      <w:pStyle w:val="Bodytextitalics"/>
      <w:lvlText w:val="%1.%2"/>
      <w:lvlJc w:val="left"/>
      <w:pPr>
        <w:ind w:left="1146"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34"/>
  </w:num>
  <w:num w:numId="5">
    <w:abstractNumId w:val="50"/>
  </w:num>
  <w:num w:numId="6">
    <w:abstractNumId w:val="10"/>
  </w:num>
  <w:num w:numId="7">
    <w:abstractNumId w:val="23"/>
  </w:num>
  <w:num w:numId="8">
    <w:abstractNumId w:val="4"/>
  </w:num>
  <w:num w:numId="9">
    <w:abstractNumId w:val="21"/>
  </w:num>
  <w:num w:numId="10">
    <w:abstractNumId w:val="18"/>
  </w:num>
  <w:num w:numId="11">
    <w:abstractNumId w:val="16"/>
  </w:num>
  <w:num w:numId="12">
    <w:abstractNumId w:val="1"/>
  </w:num>
  <w:num w:numId="13">
    <w:abstractNumId w:val="0"/>
  </w:num>
  <w:num w:numId="14">
    <w:abstractNumId w:val="50"/>
  </w:num>
  <w:num w:numId="15">
    <w:abstractNumId w:val="50"/>
  </w:num>
  <w:num w:numId="16">
    <w:abstractNumId w:val="50"/>
  </w:num>
  <w:num w:numId="17">
    <w:abstractNumId w:val="42"/>
  </w:num>
  <w:num w:numId="18">
    <w:abstractNumId w:val="50"/>
  </w:num>
  <w:num w:numId="19">
    <w:abstractNumId w:val="31"/>
  </w:num>
  <w:num w:numId="20">
    <w:abstractNumId w:val="20"/>
  </w:num>
  <w:num w:numId="21">
    <w:abstractNumId w:val="50"/>
  </w:num>
  <w:num w:numId="22">
    <w:abstractNumId w:val="53"/>
  </w:num>
  <w:num w:numId="23">
    <w:abstractNumId w:val="51"/>
  </w:num>
  <w:num w:numId="24">
    <w:abstractNumId w:val="37"/>
  </w:num>
  <w:num w:numId="25">
    <w:abstractNumId w:val="30"/>
  </w:num>
  <w:num w:numId="26">
    <w:abstractNumId w:val="27"/>
  </w:num>
  <w:num w:numId="27">
    <w:abstractNumId w:val="52"/>
  </w:num>
  <w:num w:numId="28">
    <w:abstractNumId w:val="47"/>
  </w:num>
  <w:num w:numId="29">
    <w:abstractNumId w:val="49"/>
  </w:num>
  <w:num w:numId="30">
    <w:abstractNumId w:val="25"/>
  </w:num>
  <w:num w:numId="31">
    <w:abstractNumId w:val="36"/>
  </w:num>
  <w:num w:numId="32">
    <w:abstractNumId w:val="8"/>
  </w:num>
  <w:num w:numId="33">
    <w:abstractNumId w:val="19"/>
  </w:num>
  <w:num w:numId="34">
    <w:abstractNumId w:val="43"/>
  </w:num>
  <w:num w:numId="35">
    <w:abstractNumId w:val="48"/>
  </w:num>
  <w:num w:numId="36">
    <w:abstractNumId w:val="22"/>
  </w:num>
  <w:num w:numId="37">
    <w:abstractNumId w:val="26"/>
    <w:lvlOverride w:ilvl="0">
      <w:startOverride w:val="1"/>
    </w:lvlOverride>
  </w:num>
  <w:num w:numId="38">
    <w:abstractNumId w:val="26"/>
  </w:num>
  <w:num w:numId="39">
    <w:abstractNumId w:val="26"/>
    <w:lvlOverride w:ilvl="0">
      <w:startOverride w:val="1"/>
    </w:lvlOverride>
  </w:num>
  <w:num w:numId="40">
    <w:abstractNumId w:val="33"/>
  </w:num>
  <w:num w:numId="41">
    <w:abstractNumId w:val="26"/>
    <w:lvlOverride w:ilvl="0">
      <w:startOverride w:val="4"/>
    </w:lvlOverride>
  </w:num>
  <w:num w:numId="42">
    <w:abstractNumId w:val="15"/>
  </w:num>
  <w:num w:numId="43">
    <w:abstractNumId w:val="5"/>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4"/>
  </w:num>
  <w:num w:numId="47">
    <w:abstractNumId w:val="50"/>
  </w:num>
  <w:num w:numId="48">
    <w:abstractNumId w:val="45"/>
  </w:num>
  <w:num w:numId="49">
    <w:abstractNumId w:val="50"/>
  </w:num>
  <w:num w:numId="50">
    <w:abstractNumId w:val="50"/>
  </w:num>
  <w:num w:numId="51">
    <w:abstractNumId w:val="14"/>
  </w:num>
  <w:num w:numId="52">
    <w:abstractNumId w:val="28"/>
  </w:num>
  <w:num w:numId="53">
    <w:abstractNumId w:val="40"/>
  </w:num>
  <w:num w:numId="54">
    <w:abstractNumId w:val="29"/>
  </w:num>
  <w:num w:numId="55">
    <w:abstractNumId w:val="38"/>
  </w:num>
  <w:num w:numId="56">
    <w:abstractNumId w:val="39"/>
  </w:num>
  <w:num w:numId="57">
    <w:abstractNumId w:val="6"/>
  </w:num>
  <w:num w:numId="58">
    <w:abstractNumId w:val="2"/>
  </w:num>
  <w:num w:numId="59">
    <w:abstractNumId w:val="13"/>
  </w:num>
  <w:num w:numId="60">
    <w:abstractNumId w:val="17"/>
  </w:num>
  <w:num w:numId="61">
    <w:abstractNumId w:val="12"/>
  </w:num>
  <w:num w:numId="62">
    <w:abstractNumId w:val="50"/>
  </w:num>
  <w:num w:numId="63">
    <w:abstractNumId w:val="35"/>
  </w:num>
  <w:num w:numId="64">
    <w:abstractNumId w:val="41"/>
  </w:num>
  <w:num w:numId="65">
    <w:abstractNumId w:val="46"/>
  </w:num>
  <w:num w:numId="66">
    <w:abstractNumId w:val="44"/>
  </w:num>
  <w:num w:numId="67">
    <w:abstractNumId w:val="32"/>
  </w:num>
  <w:num w:numId="68">
    <w:abstractNumId w:val="50"/>
  </w:num>
  <w:num w:numId="69">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02B"/>
    <w:rsid w:val="00001663"/>
    <w:rsid w:val="00001F32"/>
    <w:rsid w:val="000025AD"/>
    <w:rsid w:val="0000335D"/>
    <w:rsid w:val="00011A59"/>
    <w:rsid w:val="00013E2E"/>
    <w:rsid w:val="00014E0B"/>
    <w:rsid w:val="00016A41"/>
    <w:rsid w:val="000214D1"/>
    <w:rsid w:val="0002464A"/>
    <w:rsid w:val="000306B0"/>
    <w:rsid w:val="0003106B"/>
    <w:rsid w:val="00033EA1"/>
    <w:rsid w:val="00034905"/>
    <w:rsid w:val="000402EF"/>
    <w:rsid w:val="000421A1"/>
    <w:rsid w:val="0004240E"/>
    <w:rsid w:val="00045E26"/>
    <w:rsid w:val="000514B5"/>
    <w:rsid w:val="00055087"/>
    <w:rsid w:val="00060E64"/>
    <w:rsid w:val="00066755"/>
    <w:rsid w:val="00072164"/>
    <w:rsid w:val="00073A3E"/>
    <w:rsid w:val="000763D5"/>
    <w:rsid w:val="00077133"/>
    <w:rsid w:val="00077143"/>
    <w:rsid w:val="00082169"/>
    <w:rsid w:val="00090E48"/>
    <w:rsid w:val="000917A8"/>
    <w:rsid w:val="000918CB"/>
    <w:rsid w:val="00091B06"/>
    <w:rsid w:val="000951C4"/>
    <w:rsid w:val="00095ADA"/>
    <w:rsid w:val="000969AD"/>
    <w:rsid w:val="00097840"/>
    <w:rsid w:val="000A3AA2"/>
    <w:rsid w:val="000A44B2"/>
    <w:rsid w:val="000B1536"/>
    <w:rsid w:val="000B44C3"/>
    <w:rsid w:val="000B558D"/>
    <w:rsid w:val="000C1D9A"/>
    <w:rsid w:val="000C5F95"/>
    <w:rsid w:val="000C6996"/>
    <w:rsid w:val="000D09E9"/>
    <w:rsid w:val="000D23BA"/>
    <w:rsid w:val="000E19A6"/>
    <w:rsid w:val="000E681E"/>
    <w:rsid w:val="000E72F0"/>
    <w:rsid w:val="000E7E49"/>
    <w:rsid w:val="000F0003"/>
    <w:rsid w:val="000F3384"/>
    <w:rsid w:val="000F4E6A"/>
    <w:rsid w:val="000F7354"/>
    <w:rsid w:val="00102202"/>
    <w:rsid w:val="00104227"/>
    <w:rsid w:val="001107BF"/>
    <w:rsid w:val="00113649"/>
    <w:rsid w:val="00114C3F"/>
    <w:rsid w:val="0012417C"/>
    <w:rsid w:val="0012749D"/>
    <w:rsid w:val="001309D6"/>
    <w:rsid w:val="001353FE"/>
    <w:rsid w:val="00142395"/>
    <w:rsid w:val="00142714"/>
    <w:rsid w:val="001452ED"/>
    <w:rsid w:val="00147D84"/>
    <w:rsid w:val="00151F35"/>
    <w:rsid w:val="001549C1"/>
    <w:rsid w:val="00162D4E"/>
    <w:rsid w:val="00163329"/>
    <w:rsid w:val="00164623"/>
    <w:rsid w:val="001652DE"/>
    <w:rsid w:val="00165B64"/>
    <w:rsid w:val="00180713"/>
    <w:rsid w:val="001830CE"/>
    <w:rsid w:val="0018643B"/>
    <w:rsid w:val="00191F49"/>
    <w:rsid w:val="00192DE7"/>
    <w:rsid w:val="001949CE"/>
    <w:rsid w:val="001951BC"/>
    <w:rsid w:val="00196307"/>
    <w:rsid w:val="001A142A"/>
    <w:rsid w:val="001A1B41"/>
    <w:rsid w:val="001A33EA"/>
    <w:rsid w:val="001A4C4F"/>
    <w:rsid w:val="001A76FB"/>
    <w:rsid w:val="001B017F"/>
    <w:rsid w:val="001B2BBC"/>
    <w:rsid w:val="001B3FFE"/>
    <w:rsid w:val="001B5129"/>
    <w:rsid w:val="001C0B4C"/>
    <w:rsid w:val="001C1195"/>
    <w:rsid w:val="001D1F5F"/>
    <w:rsid w:val="001D49DB"/>
    <w:rsid w:val="001E06D2"/>
    <w:rsid w:val="001E3E2C"/>
    <w:rsid w:val="001F1850"/>
    <w:rsid w:val="001F3189"/>
    <w:rsid w:val="00200A86"/>
    <w:rsid w:val="00200D04"/>
    <w:rsid w:val="00203FAC"/>
    <w:rsid w:val="00205DA4"/>
    <w:rsid w:val="00213CFB"/>
    <w:rsid w:val="0021553C"/>
    <w:rsid w:val="0021557B"/>
    <w:rsid w:val="00216060"/>
    <w:rsid w:val="002174FD"/>
    <w:rsid w:val="00217BE1"/>
    <w:rsid w:val="00234252"/>
    <w:rsid w:val="00237AC6"/>
    <w:rsid w:val="00244490"/>
    <w:rsid w:val="00250F0B"/>
    <w:rsid w:val="00253499"/>
    <w:rsid w:val="002551A4"/>
    <w:rsid w:val="00257664"/>
    <w:rsid w:val="00260018"/>
    <w:rsid w:val="00265151"/>
    <w:rsid w:val="00266509"/>
    <w:rsid w:val="00271BA1"/>
    <w:rsid w:val="002762FA"/>
    <w:rsid w:val="00277505"/>
    <w:rsid w:val="00277668"/>
    <w:rsid w:val="002823B6"/>
    <w:rsid w:val="00294274"/>
    <w:rsid w:val="0029458F"/>
    <w:rsid w:val="002A0E04"/>
    <w:rsid w:val="002A104C"/>
    <w:rsid w:val="002A494D"/>
    <w:rsid w:val="002A4960"/>
    <w:rsid w:val="002B0AE0"/>
    <w:rsid w:val="002B1AE6"/>
    <w:rsid w:val="002B1D51"/>
    <w:rsid w:val="002B2DE8"/>
    <w:rsid w:val="002B30F8"/>
    <w:rsid w:val="002B388A"/>
    <w:rsid w:val="002B5596"/>
    <w:rsid w:val="002C212F"/>
    <w:rsid w:val="002C3DDE"/>
    <w:rsid w:val="002C7485"/>
    <w:rsid w:val="002D283A"/>
    <w:rsid w:val="002D3317"/>
    <w:rsid w:val="002D4543"/>
    <w:rsid w:val="002D6BE4"/>
    <w:rsid w:val="002E3153"/>
    <w:rsid w:val="002E42A5"/>
    <w:rsid w:val="002E5292"/>
    <w:rsid w:val="002E72CA"/>
    <w:rsid w:val="002E79EC"/>
    <w:rsid w:val="002F2C3F"/>
    <w:rsid w:val="002F321E"/>
    <w:rsid w:val="002F4056"/>
    <w:rsid w:val="002F5BA6"/>
    <w:rsid w:val="002F600D"/>
    <w:rsid w:val="00300AD6"/>
    <w:rsid w:val="00300B1B"/>
    <w:rsid w:val="003019D0"/>
    <w:rsid w:val="00305762"/>
    <w:rsid w:val="003064AF"/>
    <w:rsid w:val="0031369A"/>
    <w:rsid w:val="00316FC7"/>
    <w:rsid w:val="003170BE"/>
    <w:rsid w:val="00317C6C"/>
    <w:rsid w:val="00320CD3"/>
    <w:rsid w:val="00322E99"/>
    <w:rsid w:val="00326E79"/>
    <w:rsid w:val="003301B1"/>
    <w:rsid w:val="00331189"/>
    <w:rsid w:val="0033263D"/>
    <w:rsid w:val="0033403A"/>
    <w:rsid w:val="0033518A"/>
    <w:rsid w:val="003367EF"/>
    <w:rsid w:val="00341AE4"/>
    <w:rsid w:val="00341C33"/>
    <w:rsid w:val="00345B24"/>
    <w:rsid w:val="003476EE"/>
    <w:rsid w:val="00362D17"/>
    <w:rsid w:val="003736C9"/>
    <w:rsid w:val="00377E6B"/>
    <w:rsid w:val="00383C9E"/>
    <w:rsid w:val="00384988"/>
    <w:rsid w:val="003851E4"/>
    <w:rsid w:val="003872CF"/>
    <w:rsid w:val="003943D0"/>
    <w:rsid w:val="0039782C"/>
    <w:rsid w:val="003A44D4"/>
    <w:rsid w:val="003A5B4A"/>
    <w:rsid w:val="003B23C5"/>
    <w:rsid w:val="003B2A75"/>
    <w:rsid w:val="003B6124"/>
    <w:rsid w:val="003C093A"/>
    <w:rsid w:val="003C1ECF"/>
    <w:rsid w:val="003C2FB5"/>
    <w:rsid w:val="003D24C5"/>
    <w:rsid w:val="003D30D8"/>
    <w:rsid w:val="003D4AC4"/>
    <w:rsid w:val="003D5C36"/>
    <w:rsid w:val="003D63B7"/>
    <w:rsid w:val="003E1BC4"/>
    <w:rsid w:val="003E38F4"/>
    <w:rsid w:val="003E468B"/>
    <w:rsid w:val="003E62BD"/>
    <w:rsid w:val="003E7F77"/>
    <w:rsid w:val="003F0C3A"/>
    <w:rsid w:val="003F3228"/>
    <w:rsid w:val="003F5C8C"/>
    <w:rsid w:val="003F775A"/>
    <w:rsid w:val="00400E55"/>
    <w:rsid w:val="0040128E"/>
    <w:rsid w:val="0040216B"/>
    <w:rsid w:val="00404846"/>
    <w:rsid w:val="004116DE"/>
    <w:rsid w:val="00424A4D"/>
    <w:rsid w:val="004252EC"/>
    <w:rsid w:val="00430D39"/>
    <w:rsid w:val="004465BD"/>
    <w:rsid w:val="00450D3A"/>
    <w:rsid w:val="00451BB6"/>
    <w:rsid w:val="00455CFF"/>
    <w:rsid w:val="00457DC3"/>
    <w:rsid w:val="00461A44"/>
    <w:rsid w:val="00466ADA"/>
    <w:rsid w:val="00466C1B"/>
    <w:rsid w:val="004702BB"/>
    <w:rsid w:val="0047494B"/>
    <w:rsid w:val="00476245"/>
    <w:rsid w:val="00476A10"/>
    <w:rsid w:val="00477A9B"/>
    <w:rsid w:val="00483035"/>
    <w:rsid w:val="00485940"/>
    <w:rsid w:val="004904B9"/>
    <w:rsid w:val="004A21A2"/>
    <w:rsid w:val="004A2484"/>
    <w:rsid w:val="004A5A85"/>
    <w:rsid w:val="004A71D1"/>
    <w:rsid w:val="004A7C5B"/>
    <w:rsid w:val="004B2E98"/>
    <w:rsid w:val="004B5640"/>
    <w:rsid w:val="004C1BD7"/>
    <w:rsid w:val="004C31FE"/>
    <w:rsid w:val="004C460F"/>
    <w:rsid w:val="004C524C"/>
    <w:rsid w:val="004C691D"/>
    <w:rsid w:val="004C6C07"/>
    <w:rsid w:val="004D032E"/>
    <w:rsid w:val="004D4FF6"/>
    <w:rsid w:val="004E0FB6"/>
    <w:rsid w:val="004E5C03"/>
    <w:rsid w:val="004E692D"/>
    <w:rsid w:val="004E7D87"/>
    <w:rsid w:val="004F2553"/>
    <w:rsid w:val="00501554"/>
    <w:rsid w:val="00502AFE"/>
    <w:rsid w:val="00503AD7"/>
    <w:rsid w:val="00504E0C"/>
    <w:rsid w:val="00507BFE"/>
    <w:rsid w:val="005109D4"/>
    <w:rsid w:val="00514613"/>
    <w:rsid w:val="00514CD7"/>
    <w:rsid w:val="00520D6A"/>
    <w:rsid w:val="00522110"/>
    <w:rsid w:val="00522DB6"/>
    <w:rsid w:val="0052792D"/>
    <w:rsid w:val="005319B2"/>
    <w:rsid w:val="00532402"/>
    <w:rsid w:val="00532C74"/>
    <w:rsid w:val="00534E2E"/>
    <w:rsid w:val="00544552"/>
    <w:rsid w:val="0055286A"/>
    <w:rsid w:val="00555745"/>
    <w:rsid w:val="00557D4F"/>
    <w:rsid w:val="00562AEF"/>
    <w:rsid w:val="0056484E"/>
    <w:rsid w:val="00572BC6"/>
    <w:rsid w:val="00573B3C"/>
    <w:rsid w:val="005764CD"/>
    <w:rsid w:val="00577C4D"/>
    <w:rsid w:val="00580532"/>
    <w:rsid w:val="00581932"/>
    <w:rsid w:val="005879FA"/>
    <w:rsid w:val="00587BB0"/>
    <w:rsid w:val="005963BB"/>
    <w:rsid w:val="005A2CBB"/>
    <w:rsid w:val="005A3173"/>
    <w:rsid w:val="005A3223"/>
    <w:rsid w:val="005A3DA3"/>
    <w:rsid w:val="005A52C4"/>
    <w:rsid w:val="005A6ADD"/>
    <w:rsid w:val="005D03AB"/>
    <w:rsid w:val="005D5017"/>
    <w:rsid w:val="005D63FA"/>
    <w:rsid w:val="005D7588"/>
    <w:rsid w:val="005E1333"/>
    <w:rsid w:val="005E3136"/>
    <w:rsid w:val="005E507D"/>
    <w:rsid w:val="005F48DD"/>
    <w:rsid w:val="00601A91"/>
    <w:rsid w:val="00602BA3"/>
    <w:rsid w:val="006053F8"/>
    <w:rsid w:val="00605B63"/>
    <w:rsid w:val="00606EED"/>
    <w:rsid w:val="00612E34"/>
    <w:rsid w:val="00614159"/>
    <w:rsid w:val="00616C5F"/>
    <w:rsid w:val="00616DAC"/>
    <w:rsid w:val="00617C00"/>
    <w:rsid w:val="0062208E"/>
    <w:rsid w:val="00624CBC"/>
    <w:rsid w:val="006263BF"/>
    <w:rsid w:val="0062748A"/>
    <w:rsid w:val="00630A2C"/>
    <w:rsid w:val="0063682E"/>
    <w:rsid w:val="00636B1E"/>
    <w:rsid w:val="00642DA8"/>
    <w:rsid w:val="006436CD"/>
    <w:rsid w:val="00651169"/>
    <w:rsid w:val="006519F9"/>
    <w:rsid w:val="00653D69"/>
    <w:rsid w:val="006552E6"/>
    <w:rsid w:val="00657C63"/>
    <w:rsid w:val="006670BE"/>
    <w:rsid w:val="00670A76"/>
    <w:rsid w:val="006711AA"/>
    <w:rsid w:val="00672B57"/>
    <w:rsid w:val="00675622"/>
    <w:rsid w:val="0067747D"/>
    <w:rsid w:val="00681CA4"/>
    <w:rsid w:val="00683804"/>
    <w:rsid w:val="0069039D"/>
    <w:rsid w:val="006906DB"/>
    <w:rsid w:val="00691E6C"/>
    <w:rsid w:val="00693DFB"/>
    <w:rsid w:val="0069501D"/>
    <w:rsid w:val="00696129"/>
    <w:rsid w:val="00697C95"/>
    <w:rsid w:val="00697CF2"/>
    <w:rsid w:val="006A12A5"/>
    <w:rsid w:val="006A1454"/>
    <w:rsid w:val="006A16BE"/>
    <w:rsid w:val="006A2B8D"/>
    <w:rsid w:val="006A2E90"/>
    <w:rsid w:val="006A3DDF"/>
    <w:rsid w:val="006A5E20"/>
    <w:rsid w:val="006B0D94"/>
    <w:rsid w:val="006B485D"/>
    <w:rsid w:val="006B6BFB"/>
    <w:rsid w:val="006C17BB"/>
    <w:rsid w:val="006C334C"/>
    <w:rsid w:val="006C3927"/>
    <w:rsid w:val="006C708E"/>
    <w:rsid w:val="006D0749"/>
    <w:rsid w:val="006D14E7"/>
    <w:rsid w:val="006D1720"/>
    <w:rsid w:val="006D4444"/>
    <w:rsid w:val="006D6493"/>
    <w:rsid w:val="006D6EC7"/>
    <w:rsid w:val="006E18BB"/>
    <w:rsid w:val="006E1BCD"/>
    <w:rsid w:val="006E3A42"/>
    <w:rsid w:val="006F1C3C"/>
    <w:rsid w:val="006F5125"/>
    <w:rsid w:val="006F5234"/>
    <w:rsid w:val="006F733D"/>
    <w:rsid w:val="007018D3"/>
    <w:rsid w:val="00702B6F"/>
    <w:rsid w:val="00702D2B"/>
    <w:rsid w:val="00706A2F"/>
    <w:rsid w:val="0070718E"/>
    <w:rsid w:val="00710841"/>
    <w:rsid w:val="0071340B"/>
    <w:rsid w:val="0071730D"/>
    <w:rsid w:val="007174BB"/>
    <w:rsid w:val="00717C71"/>
    <w:rsid w:val="0072025D"/>
    <w:rsid w:val="00726DBE"/>
    <w:rsid w:val="0073137C"/>
    <w:rsid w:val="007353D3"/>
    <w:rsid w:val="00735704"/>
    <w:rsid w:val="0074156B"/>
    <w:rsid w:val="00742EF9"/>
    <w:rsid w:val="007500BA"/>
    <w:rsid w:val="007555E8"/>
    <w:rsid w:val="0076420C"/>
    <w:rsid w:val="0076646D"/>
    <w:rsid w:val="00771D07"/>
    <w:rsid w:val="00772166"/>
    <w:rsid w:val="00774E2C"/>
    <w:rsid w:val="007753C2"/>
    <w:rsid w:val="007838B8"/>
    <w:rsid w:val="007915BA"/>
    <w:rsid w:val="0079639F"/>
    <w:rsid w:val="007A16AC"/>
    <w:rsid w:val="007A623D"/>
    <w:rsid w:val="007B3DDC"/>
    <w:rsid w:val="007B6AAF"/>
    <w:rsid w:val="007B6C2E"/>
    <w:rsid w:val="007B72A6"/>
    <w:rsid w:val="007B7948"/>
    <w:rsid w:val="007C0F57"/>
    <w:rsid w:val="007C1B06"/>
    <w:rsid w:val="007C40B6"/>
    <w:rsid w:val="007C729F"/>
    <w:rsid w:val="007E1C5D"/>
    <w:rsid w:val="007E1D28"/>
    <w:rsid w:val="007E3ECF"/>
    <w:rsid w:val="007E4621"/>
    <w:rsid w:val="007F0021"/>
    <w:rsid w:val="007F03D2"/>
    <w:rsid w:val="007F0E81"/>
    <w:rsid w:val="007F1E3B"/>
    <w:rsid w:val="007F2641"/>
    <w:rsid w:val="007F2CD6"/>
    <w:rsid w:val="007F3CAB"/>
    <w:rsid w:val="007F79C0"/>
    <w:rsid w:val="007F7C36"/>
    <w:rsid w:val="008011C1"/>
    <w:rsid w:val="00806082"/>
    <w:rsid w:val="00806796"/>
    <w:rsid w:val="00811CC0"/>
    <w:rsid w:val="008151D6"/>
    <w:rsid w:val="00821527"/>
    <w:rsid w:val="008268BB"/>
    <w:rsid w:val="00826F6D"/>
    <w:rsid w:val="008306F3"/>
    <w:rsid w:val="00830E40"/>
    <w:rsid w:val="00830FEF"/>
    <w:rsid w:val="0083749D"/>
    <w:rsid w:val="008377D3"/>
    <w:rsid w:val="00846924"/>
    <w:rsid w:val="00853B3E"/>
    <w:rsid w:val="00855FD6"/>
    <w:rsid w:val="00856DDD"/>
    <w:rsid w:val="00863E68"/>
    <w:rsid w:val="008647B5"/>
    <w:rsid w:val="0087557E"/>
    <w:rsid w:val="00875DCB"/>
    <w:rsid w:val="00882085"/>
    <w:rsid w:val="00883188"/>
    <w:rsid w:val="0089461B"/>
    <w:rsid w:val="00897D58"/>
    <w:rsid w:val="00897F22"/>
    <w:rsid w:val="008A0B39"/>
    <w:rsid w:val="008A1956"/>
    <w:rsid w:val="008A3968"/>
    <w:rsid w:val="008A4667"/>
    <w:rsid w:val="008A4937"/>
    <w:rsid w:val="008A50F1"/>
    <w:rsid w:val="008A59D9"/>
    <w:rsid w:val="008A6819"/>
    <w:rsid w:val="008B2EC0"/>
    <w:rsid w:val="008B5B63"/>
    <w:rsid w:val="008D1376"/>
    <w:rsid w:val="008D1B5C"/>
    <w:rsid w:val="008D3C82"/>
    <w:rsid w:val="008D447E"/>
    <w:rsid w:val="008D7A41"/>
    <w:rsid w:val="008E265F"/>
    <w:rsid w:val="008E2C72"/>
    <w:rsid w:val="008E3680"/>
    <w:rsid w:val="008E5870"/>
    <w:rsid w:val="008E5B9A"/>
    <w:rsid w:val="008F1434"/>
    <w:rsid w:val="008F3B0A"/>
    <w:rsid w:val="008F54C3"/>
    <w:rsid w:val="008F7355"/>
    <w:rsid w:val="009023DC"/>
    <w:rsid w:val="0090267E"/>
    <w:rsid w:val="009053FF"/>
    <w:rsid w:val="009067B7"/>
    <w:rsid w:val="00913BFB"/>
    <w:rsid w:val="00916C78"/>
    <w:rsid w:val="00917A99"/>
    <w:rsid w:val="00921B7B"/>
    <w:rsid w:val="009254EC"/>
    <w:rsid w:val="00926560"/>
    <w:rsid w:val="00930937"/>
    <w:rsid w:val="009324A6"/>
    <w:rsid w:val="00933E6C"/>
    <w:rsid w:val="00937958"/>
    <w:rsid w:val="00941602"/>
    <w:rsid w:val="00942160"/>
    <w:rsid w:val="00942EB1"/>
    <w:rsid w:val="009440E3"/>
    <w:rsid w:val="0095146F"/>
    <w:rsid w:val="0095218F"/>
    <w:rsid w:val="00956E42"/>
    <w:rsid w:val="00957944"/>
    <w:rsid w:val="009602C5"/>
    <w:rsid w:val="00962132"/>
    <w:rsid w:val="009621A2"/>
    <w:rsid w:val="00962223"/>
    <w:rsid w:val="00966AC8"/>
    <w:rsid w:val="00966D0D"/>
    <w:rsid w:val="0096783C"/>
    <w:rsid w:val="009722B3"/>
    <w:rsid w:val="00974C21"/>
    <w:rsid w:val="00977BF3"/>
    <w:rsid w:val="009803E4"/>
    <w:rsid w:val="00980B0E"/>
    <w:rsid w:val="009836A3"/>
    <w:rsid w:val="0098482C"/>
    <w:rsid w:val="009855A8"/>
    <w:rsid w:val="009913F4"/>
    <w:rsid w:val="0099465B"/>
    <w:rsid w:val="0099712D"/>
    <w:rsid w:val="009A0CDD"/>
    <w:rsid w:val="009A3168"/>
    <w:rsid w:val="009A4A61"/>
    <w:rsid w:val="009A4BB9"/>
    <w:rsid w:val="009A61CA"/>
    <w:rsid w:val="009B0C64"/>
    <w:rsid w:val="009B0F67"/>
    <w:rsid w:val="009C31B0"/>
    <w:rsid w:val="009C703C"/>
    <w:rsid w:val="009D206E"/>
    <w:rsid w:val="009D3CAA"/>
    <w:rsid w:val="009D6532"/>
    <w:rsid w:val="009E38BE"/>
    <w:rsid w:val="009E40E1"/>
    <w:rsid w:val="009E52E7"/>
    <w:rsid w:val="009F0EFA"/>
    <w:rsid w:val="009F0F9D"/>
    <w:rsid w:val="009F1B17"/>
    <w:rsid w:val="009F4E46"/>
    <w:rsid w:val="009F5B65"/>
    <w:rsid w:val="009F5F2E"/>
    <w:rsid w:val="00A02882"/>
    <w:rsid w:val="00A058B8"/>
    <w:rsid w:val="00A06225"/>
    <w:rsid w:val="00A06764"/>
    <w:rsid w:val="00A128E6"/>
    <w:rsid w:val="00A144D3"/>
    <w:rsid w:val="00A144FD"/>
    <w:rsid w:val="00A22AC3"/>
    <w:rsid w:val="00A2744D"/>
    <w:rsid w:val="00A34E6C"/>
    <w:rsid w:val="00A36398"/>
    <w:rsid w:val="00A37C8D"/>
    <w:rsid w:val="00A4020E"/>
    <w:rsid w:val="00A40FB5"/>
    <w:rsid w:val="00A42826"/>
    <w:rsid w:val="00A43376"/>
    <w:rsid w:val="00A5273B"/>
    <w:rsid w:val="00A53A9D"/>
    <w:rsid w:val="00A54CB5"/>
    <w:rsid w:val="00A5532F"/>
    <w:rsid w:val="00A55FEE"/>
    <w:rsid w:val="00A62C1A"/>
    <w:rsid w:val="00A6426D"/>
    <w:rsid w:val="00A64EBD"/>
    <w:rsid w:val="00A665C1"/>
    <w:rsid w:val="00A70622"/>
    <w:rsid w:val="00A70977"/>
    <w:rsid w:val="00A70D58"/>
    <w:rsid w:val="00A744F9"/>
    <w:rsid w:val="00A77613"/>
    <w:rsid w:val="00A8390C"/>
    <w:rsid w:val="00A9097C"/>
    <w:rsid w:val="00A90E11"/>
    <w:rsid w:val="00A9224B"/>
    <w:rsid w:val="00A928BD"/>
    <w:rsid w:val="00A95C4A"/>
    <w:rsid w:val="00A97BA3"/>
    <w:rsid w:val="00A97DE9"/>
    <w:rsid w:val="00AA0277"/>
    <w:rsid w:val="00AA12CD"/>
    <w:rsid w:val="00AA4D1C"/>
    <w:rsid w:val="00AB5856"/>
    <w:rsid w:val="00AB5DF0"/>
    <w:rsid w:val="00AC193C"/>
    <w:rsid w:val="00AC4DE5"/>
    <w:rsid w:val="00AC5206"/>
    <w:rsid w:val="00AD4322"/>
    <w:rsid w:val="00AD7499"/>
    <w:rsid w:val="00AE11A5"/>
    <w:rsid w:val="00AE13E2"/>
    <w:rsid w:val="00AE22D3"/>
    <w:rsid w:val="00AE56ED"/>
    <w:rsid w:val="00AE5A49"/>
    <w:rsid w:val="00AF62DF"/>
    <w:rsid w:val="00AF68CC"/>
    <w:rsid w:val="00AF70D7"/>
    <w:rsid w:val="00B06CC1"/>
    <w:rsid w:val="00B07CFB"/>
    <w:rsid w:val="00B1059E"/>
    <w:rsid w:val="00B170A5"/>
    <w:rsid w:val="00B176C8"/>
    <w:rsid w:val="00B205AA"/>
    <w:rsid w:val="00B22E84"/>
    <w:rsid w:val="00B23119"/>
    <w:rsid w:val="00B233AD"/>
    <w:rsid w:val="00B23E25"/>
    <w:rsid w:val="00B25784"/>
    <w:rsid w:val="00B25F75"/>
    <w:rsid w:val="00B26B3F"/>
    <w:rsid w:val="00B2778F"/>
    <w:rsid w:val="00B33635"/>
    <w:rsid w:val="00B36B4B"/>
    <w:rsid w:val="00B41478"/>
    <w:rsid w:val="00B43E90"/>
    <w:rsid w:val="00B467DC"/>
    <w:rsid w:val="00B52965"/>
    <w:rsid w:val="00B54067"/>
    <w:rsid w:val="00B56118"/>
    <w:rsid w:val="00B61A8B"/>
    <w:rsid w:val="00B63CA2"/>
    <w:rsid w:val="00B6773F"/>
    <w:rsid w:val="00B74737"/>
    <w:rsid w:val="00B760FB"/>
    <w:rsid w:val="00B767AB"/>
    <w:rsid w:val="00B801BA"/>
    <w:rsid w:val="00B84D5C"/>
    <w:rsid w:val="00B8536B"/>
    <w:rsid w:val="00B900E5"/>
    <w:rsid w:val="00B9347E"/>
    <w:rsid w:val="00B93DC6"/>
    <w:rsid w:val="00BA0FC1"/>
    <w:rsid w:val="00BA2DA8"/>
    <w:rsid w:val="00BA32A7"/>
    <w:rsid w:val="00BA347C"/>
    <w:rsid w:val="00BB69F5"/>
    <w:rsid w:val="00BB7EC3"/>
    <w:rsid w:val="00BC441F"/>
    <w:rsid w:val="00BC4B9A"/>
    <w:rsid w:val="00BD02C3"/>
    <w:rsid w:val="00BD784C"/>
    <w:rsid w:val="00BE020A"/>
    <w:rsid w:val="00BE137C"/>
    <w:rsid w:val="00BE406E"/>
    <w:rsid w:val="00BE7A86"/>
    <w:rsid w:val="00BF092C"/>
    <w:rsid w:val="00BF27A0"/>
    <w:rsid w:val="00BF4CB6"/>
    <w:rsid w:val="00C00DA7"/>
    <w:rsid w:val="00C035C9"/>
    <w:rsid w:val="00C07CC3"/>
    <w:rsid w:val="00C12768"/>
    <w:rsid w:val="00C12D70"/>
    <w:rsid w:val="00C16C4A"/>
    <w:rsid w:val="00C21B09"/>
    <w:rsid w:val="00C26459"/>
    <w:rsid w:val="00C2673A"/>
    <w:rsid w:val="00C27B58"/>
    <w:rsid w:val="00C35996"/>
    <w:rsid w:val="00C427FE"/>
    <w:rsid w:val="00C4747E"/>
    <w:rsid w:val="00C474EE"/>
    <w:rsid w:val="00C513C8"/>
    <w:rsid w:val="00C52272"/>
    <w:rsid w:val="00C5342C"/>
    <w:rsid w:val="00C53B2B"/>
    <w:rsid w:val="00C54AE3"/>
    <w:rsid w:val="00C60272"/>
    <w:rsid w:val="00C603D4"/>
    <w:rsid w:val="00C6256A"/>
    <w:rsid w:val="00C710E2"/>
    <w:rsid w:val="00C71C3F"/>
    <w:rsid w:val="00C728BD"/>
    <w:rsid w:val="00C7409E"/>
    <w:rsid w:val="00C76E76"/>
    <w:rsid w:val="00C77891"/>
    <w:rsid w:val="00C91449"/>
    <w:rsid w:val="00C921DE"/>
    <w:rsid w:val="00C92CCE"/>
    <w:rsid w:val="00C92D10"/>
    <w:rsid w:val="00C95B95"/>
    <w:rsid w:val="00C9767A"/>
    <w:rsid w:val="00CA48D9"/>
    <w:rsid w:val="00CB1193"/>
    <w:rsid w:val="00CB4767"/>
    <w:rsid w:val="00CB493D"/>
    <w:rsid w:val="00CC0634"/>
    <w:rsid w:val="00CC3B97"/>
    <w:rsid w:val="00CC61B3"/>
    <w:rsid w:val="00CE10C4"/>
    <w:rsid w:val="00CE27B5"/>
    <w:rsid w:val="00CE6DAF"/>
    <w:rsid w:val="00CE7F04"/>
    <w:rsid w:val="00CF410A"/>
    <w:rsid w:val="00D0321E"/>
    <w:rsid w:val="00D07A8A"/>
    <w:rsid w:val="00D1455A"/>
    <w:rsid w:val="00D212A0"/>
    <w:rsid w:val="00D22093"/>
    <w:rsid w:val="00D24BB4"/>
    <w:rsid w:val="00D25022"/>
    <w:rsid w:val="00D31150"/>
    <w:rsid w:val="00D3138B"/>
    <w:rsid w:val="00D3280C"/>
    <w:rsid w:val="00D3406A"/>
    <w:rsid w:val="00D35E1B"/>
    <w:rsid w:val="00D40338"/>
    <w:rsid w:val="00D423AD"/>
    <w:rsid w:val="00D441F1"/>
    <w:rsid w:val="00D4572C"/>
    <w:rsid w:val="00D469B2"/>
    <w:rsid w:val="00D65658"/>
    <w:rsid w:val="00D65A47"/>
    <w:rsid w:val="00D660BD"/>
    <w:rsid w:val="00D72B6F"/>
    <w:rsid w:val="00D741EB"/>
    <w:rsid w:val="00D7679C"/>
    <w:rsid w:val="00D820F3"/>
    <w:rsid w:val="00D83605"/>
    <w:rsid w:val="00D84934"/>
    <w:rsid w:val="00D91271"/>
    <w:rsid w:val="00D9176E"/>
    <w:rsid w:val="00D919F5"/>
    <w:rsid w:val="00D94F03"/>
    <w:rsid w:val="00D95BE7"/>
    <w:rsid w:val="00DA0D14"/>
    <w:rsid w:val="00DA1FC9"/>
    <w:rsid w:val="00DA2CB5"/>
    <w:rsid w:val="00DA416A"/>
    <w:rsid w:val="00DA45F7"/>
    <w:rsid w:val="00DA4BAC"/>
    <w:rsid w:val="00DB0151"/>
    <w:rsid w:val="00DB306C"/>
    <w:rsid w:val="00DC2C3E"/>
    <w:rsid w:val="00DC4880"/>
    <w:rsid w:val="00DD2B1B"/>
    <w:rsid w:val="00DD2FEF"/>
    <w:rsid w:val="00DE6D27"/>
    <w:rsid w:val="00DF217D"/>
    <w:rsid w:val="00DF26A7"/>
    <w:rsid w:val="00DF3277"/>
    <w:rsid w:val="00DF6FC4"/>
    <w:rsid w:val="00DF7919"/>
    <w:rsid w:val="00E00343"/>
    <w:rsid w:val="00E0207E"/>
    <w:rsid w:val="00E03912"/>
    <w:rsid w:val="00E10A32"/>
    <w:rsid w:val="00E15627"/>
    <w:rsid w:val="00E164B3"/>
    <w:rsid w:val="00E16910"/>
    <w:rsid w:val="00E17661"/>
    <w:rsid w:val="00E2001E"/>
    <w:rsid w:val="00E24E09"/>
    <w:rsid w:val="00E27234"/>
    <w:rsid w:val="00E33F6D"/>
    <w:rsid w:val="00E42BDB"/>
    <w:rsid w:val="00E50653"/>
    <w:rsid w:val="00E52080"/>
    <w:rsid w:val="00E55B08"/>
    <w:rsid w:val="00E57EEB"/>
    <w:rsid w:val="00E62D94"/>
    <w:rsid w:val="00E641C9"/>
    <w:rsid w:val="00E64F37"/>
    <w:rsid w:val="00E65E54"/>
    <w:rsid w:val="00E661C7"/>
    <w:rsid w:val="00E66762"/>
    <w:rsid w:val="00E71EC6"/>
    <w:rsid w:val="00E7363B"/>
    <w:rsid w:val="00E80155"/>
    <w:rsid w:val="00E81E0D"/>
    <w:rsid w:val="00E81F28"/>
    <w:rsid w:val="00E848C0"/>
    <w:rsid w:val="00E84BB6"/>
    <w:rsid w:val="00E91B96"/>
    <w:rsid w:val="00E92576"/>
    <w:rsid w:val="00E93879"/>
    <w:rsid w:val="00E93D1E"/>
    <w:rsid w:val="00E941A1"/>
    <w:rsid w:val="00E95CE3"/>
    <w:rsid w:val="00E96337"/>
    <w:rsid w:val="00EA252F"/>
    <w:rsid w:val="00EA2825"/>
    <w:rsid w:val="00EA7C4C"/>
    <w:rsid w:val="00EA7EDE"/>
    <w:rsid w:val="00EB0B63"/>
    <w:rsid w:val="00EB0F21"/>
    <w:rsid w:val="00EB1936"/>
    <w:rsid w:val="00EB37BE"/>
    <w:rsid w:val="00EB5088"/>
    <w:rsid w:val="00ED0B2B"/>
    <w:rsid w:val="00ED1644"/>
    <w:rsid w:val="00ED2593"/>
    <w:rsid w:val="00ED7D9C"/>
    <w:rsid w:val="00EE5681"/>
    <w:rsid w:val="00EF0069"/>
    <w:rsid w:val="00EF44A0"/>
    <w:rsid w:val="00EF4FED"/>
    <w:rsid w:val="00F007C6"/>
    <w:rsid w:val="00F0172E"/>
    <w:rsid w:val="00F0383A"/>
    <w:rsid w:val="00F050BD"/>
    <w:rsid w:val="00F05657"/>
    <w:rsid w:val="00F0681B"/>
    <w:rsid w:val="00F14E9B"/>
    <w:rsid w:val="00F209E2"/>
    <w:rsid w:val="00F25578"/>
    <w:rsid w:val="00F258E5"/>
    <w:rsid w:val="00F25B9C"/>
    <w:rsid w:val="00F26CC6"/>
    <w:rsid w:val="00F2711D"/>
    <w:rsid w:val="00F300BC"/>
    <w:rsid w:val="00F3263C"/>
    <w:rsid w:val="00F3334E"/>
    <w:rsid w:val="00F33CBD"/>
    <w:rsid w:val="00F34F4F"/>
    <w:rsid w:val="00F36CCB"/>
    <w:rsid w:val="00F374E5"/>
    <w:rsid w:val="00F37B93"/>
    <w:rsid w:val="00F43AF2"/>
    <w:rsid w:val="00F47902"/>
    <w:rsid w:val="00F5007E"/>
    <w:rsid w:val="00F50EC4"/>
    <w:rsid w:val="00F52232"/>
    <w:rsid w:val="00F550CF"/>
    <w:rsid w:val="00F57A6D"/>
    <w:rsid w:val="00F638CC"/>
    <w:rsid w:val="00F64C9E"/>
    <w:rsid w:val="00F64CC1"/>
    <w:rsid w:val="00F722DA"/>
    <w:rsid w:val="00F72317"/>
    <w:rsid w:val="00F80475"/>
    <w:rsid w:val="00F8247A"/>
    <w:rsid w:val="00F9629A"/>
    <w:rsid w:val="00F97EFC"/>
    <w:rsid w:val="00FA1BDD"/>
    <w:rsid w:val="00FA4DD5"/>
    <w:rsid w:val="00FA5883"/>
    <w:rsid w:val="00FA6055"/>
    <w:rsid w:val="00FB1D4D"/>
    <w:rsid w:val="00FB322F"/>
    <w:rsid w:val="00FB442F"/>
    <w:rsid w:val="00FB5929"/>
    <w:rsid w:val="00FC1929"/>
    <w:rsid w:val="00FC5B46"/>
    <w:rsid w:val="00FD6D8E"/>
    <w:rsid w:val="00FE0E94"/>
    <w:rsid w:val="00FE3CD9"/>
    <w:rsid w:val="00FF00BD"/>
    <w:rsid w:val="00FF14AA"/>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List Paragraph1,Bullet point,List Paragraph11,Recommendation,L,Bullet Point,Bulletr List Paragraph,Content descriptions,FooterText,List Bullet 1,List Paragraph2,List Paragraph21,Listeafsnit1,NFP GP Bulleted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List Paragraph1 Char,Bullet point Char,List Paragraph11 Char,Recommendation Char,L Char,Bullet Point Char,Bulletr List Paragraph Char,Content descriptions Char,FooterText Char,List Bullet 1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33403A"/>
    <w:pPr>
      <w:ind w:left="720"/>
    </w:pPr>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403A"/>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19"/>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14"/>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37"/>
      </w:numPr>
      <w:spacing w:before="60" w:after="60" w:line="300" w:lineRule="atLeast"/>
      <w:ind w:right="567"/>
    </w:pPr>
    <w:rPr>
      <w:rFonts w:ascii="Tahoma" w:hAnsi="Tahoma"/>
      <w:sz w:val="22"/>
      <w:szCs w:val="20"/>
    </w:rPr>
  </w:style>
  <w:style w:type="table" w:customStyle="1" w:styleId="Summarybox1">
    <w:name w:val="Summary box1"/>
    <w:basedOn w:val="TableNormal"/>
    <w:next w:val="TableGrid"/>
    <w:uiPriority w:val="39"/>
    <w:rsid w:val="00316FC7"/>
    <w:rPr>
      <w:rFonts w:ascii="Cambria" w:hAnsi="Cambria"/>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51BB6"/>
    <w:rPr>
      <w:sz w:val="24"/>
      <w:szCs w:val="24"/>
    </w:rPr>
  </w:style>
  <w:style w:type="paragraph" w:styleId="NormalWeb">
    <w:name w:val="Normal (Web)"/>
    <w:basedOn w:val="Normal"/>
    <w:uiPriority w:val="99"/>
    <w:semiHidden/>
    <w:unhideWhenUsed/>
    <w:rsid w:val="007018D3"/>
    <w:pPr>
      <w:spacing w:after="150"/>
    </w:pPr>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5296031">
      <w:bodyDiv w:val="1"/>
      <w:marLeft w:val="0"/>
      <w:marRight w:val="0"/>
      <w:marTop w:val="0"/>
      <w:marBottom w:val="0"/>
      <w:divBdr>
        <w:top w:val="none" w:sz="0" w:space="0" w:color="auto"/>
        <w:left w:val="none" w:sz="0" w:space="0" w:color="auto"/>
        <w:bottom w:val="none" w:sz="0" w:space="0" w:color="auto"/>
        <w:right w:val="none" w:sz="0" w:space="0" w:color="auto"/>
      </w:divBdr>
      <w:divsChild>
        <w:div w:id="1575625834">
          <w:marLeft w:val="0"/>
          <w:marRight w:val="0"/>
          <w:marTop w:val="0"/>
          <w:marBottom w:val="0"/>
          <w:divBdr>
            <w:top w:val="none" w:sz="0" w:space="0" w:color="auto"/>
            <w:left w:val="none" w:sz="0" w:space="0" w:color="auto"/>
            <w:bottom w:val="none" w:sz="0" w:space="0" w:color="auto"/>
            <w:right w:val="none" w:sz="0" w:space="0" w:color="auto"/>
          </w:divBdr>
          <w:divsChild>
            <w:div w:id="990250957">
              <w:marLeft w:val="0"/>
              <w:marRight w:val="0"/>
              <w:marTop w:val="0"/>
              <w:marBottom w:val="0"/>
              <w:divBdr>
                <w:top w:val="none" w:sz="0" w:space="0" w:color="auto"/>
                <w:left w:val="none" w:sz="0" w:space="0" w:color="auto"/>
                <w:bottom w:val="none" w:sz="0" w:space="0" w:color="auto"/>
                <w:right w:val="none" w:sz="0" w:space="0" w:color="auto"/>
              </w:divBdr>
              <w:divsChild>
                <w:div w:id="2069179521">
                  <w:marLeft w:val="0"/>
                  <w:marRight w:val="0"/>
                  <w:marTop w:val="0"/>
                  <w:marBottom w:val="0"/>
                  <w:divBdr>
                    <w:top w:val="none" w:sz="0" w:space="0" w:color="auto"/>
                    <w:left w:val="none" w:sz="0" w:space="0" w:color="auto"/>
                    <w:bottom w:val="none" w:sz="0" w:space="0" w:color="auto"/>
                    <w:right w:val="none" w:sz="0" w:space="0" w:color="auto"/>
                  </w:divBdr>
                  <w:divsChild>
                    <w:div w:id="995764657">
                      <w:marLeft w:val="0"/>
                      <w:marRight w:val="0"/>
                      <w:marTop w:val="0"/>
                      <w:marBottom w:val="0"/>
                      <w:divBdr>
                        <w:top w:val="none" w:sz="0" w:space="0" w:color="auto"/>
                        <w:left w:val="none" w:sz="0" w:space="0" w:color="auto"/>
                        <w:bottom w:val="none" w:sz="0" w:space="0" w:color="auto"/>
                        <w:right w:val="none" w:sz="0" w:space="0" w:color="auto"/>
                      </w:divBdr>
                      <w:divsChild>
                        <w:div w:id="373818787">
                          <w:marLeft w:val="0"/>
                          <w:marRight w:val="0"/>
                          <w:marTop w:val="0"/>
                          <w:marBottom w:val="0"/>
                          <w:divBdr>
                            <w:top w:val="none" w:sz="0" w:space="0" w:color="auto"/>
                            <w:left w:val="none" w:sz="0" w:space="0" w:color="auto"/>
                            <w:bottom w:val="none" w:sz="0" w:space="0" w:color="auto"/>
                            <w:right w:val="none" w:sz="0" w:space="0" w:color="auto"/>
                          </w:divBdr>
                          <w:divsChild>
                            <w:div w:id="6398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20279">
      <w:bodyDiv w:val="1"/>
      <w:marLeft w:val="0"/>
      <w:marRight w:val="0"/>
      <w:marTop w:val="0"/>
      <w:marBottom w:val="0"/>
      <w:divBdr>
        <w:top w:val="none" w:sz="0" w:space="0" w:color="auto"/>
        <w:left w:val="none" w:sz="0" w:space="0" w:color="auto"/>
        <w:bottom w:val="none" w:sz="0" w:space="0" w:color="auto"/>
        <w:right w:val="none" w:sz="0" w:space="0" w:color="auto"/>
      </w:divBdr>
    </w:div>
    <w:div w:id="435755568">
      <w:bodyDiv w:val="1"/>
      <w:marLeft w:val="0"/>
      <w:marRight w:val="0"/>
      <w:marTop w:val="0"/>
      <w:marBottom w:val="0"/>
      <w:divBdr>
        <w:top w:val="none" w:sz="0" w:space="0" w:color="auto"/>
        <w:left w:val="none" w:sz="0" w:space="0" w:color="auto"/>
        <w:bottom w:val="none" w:sz="0" w:space="0" w:color="auto"/>
        <w:right w:val="none" w:sz="0" w:space="0" w:color="auto"/>
      </w:divBdr>
      <w:divsChild>
        <w:div w:id="2052996965">
          <w:marLeft w:val="0"/>
          <w:marRight w:val="0"/>
          <w:marTop w:val="0"/>
          <w:marBottom w:val="0"/>
          <w:divBdr>
            <w:top w:val="none" w:sz="0" w:space="0" w:color="auto"/>
            <w:left w:val="none" w:sz="0" w:space="0" w:color="auto"/>
            <w:bottom w:val="none" w:sz="0" w:space="0" w:color="auto"/>
            <w:right w:val="none" w:sz="0" w:space="0" w:color="auto"/>
          </w:divBdr>
          <w:divsChild>
            <w:div w:id="135922401">
              <w:marLeft w:val="0"/>
              <w:marRight w:val="0"/>
              <w:marTop w:val="0"/>
              <w:marBottom w:val="0"/>
              <w:divBdr>
                <w:top w:val="none" w:sz="0" w:space="0" w:color="auto"/>
                <w:left w:val="none" w:sz="0" w:space="0" w:color="auto"/>
                <w:bottom w:val="none" w:sz="0" w:space="0" w:color="auto"/>
                <w:right w:val="none" w:sz="0" w:space="0" w:color="auto"/>
              </w:divBdr>
              <w:divsChild>
                <w:div w:id="1698309131">
                  <w:marLeft w:val="0"/>
                  <w:marRight w:val="0"/>
                  <w:marTop w:val="0"/>
                  <w:marBottom w:val="0"/>
                  <w:divBdr>
                    <w:top w:val="none" w:sz="0" w:space="0" w:color="auto"/>
                    <w:left w:val="none" w:sz="0" w:space="0" w:color="auto"/>
                    <w:bottom w:val="none" w:sz="0" w:space="0" w:color="auto"/>
                    <w:right w:val="none" w:sz="0" w:space="0" w:color="auto"/>
                  </w:divBdr>
                  <w:divsChild>
                    <w:div w:id="374429051">
                      <w:marLeft w:val="0"/>
                      <w:marRight w:val="0"/>
                      <w:marTop w:val="0"/>
                      <w:marBottom w:val="0"/>
                      <w:divBdr>
                        <w:top w:val="none" w:sz="0" w:space="0" w:color="auto"/>
                        <w:left w:val="none" w:sz="0" w:space="0" w:color="auto"/>
                        <w:bottom w:val="none" w:sz="0" w:space="0" w:color="auto"/>
                        <w:right w:val="none" w:sz="0" w:space="0" w:color="auto"/>
                      </w:divBdr>
                      <w:divsChild>
                        <w:div w:id="126163800">
                          <w:marLeft w:val="0"/>
                          <w:marRight w:val="0"/>
                          <w:marTop w:val="0"/>
                          <w:marBottom w:val="0"/>
                          <w:divBdr>
                            <w:top w:val="none" w:sz="0" w:space="0" w:color="auto"/>
                            <w:left w:val="none" w:sz="0" w:space="0" w:color="auto"/>
                            <w:bottom w:val="none" w:sz="0" w:space="0" w:color="auto"/>
                            <w:right w:val="none" w:sz="0" w:space="0" w:color="auto"/>
                          </w:divBdr>
                          <w:divsChild>
                            <w:div w:id="3256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73961">
      <w:bodyDiv w:val="1"/>
      <w:marLeft w:val="0"/>
      <w:marRight w:val="0"/>
      <w:marTop w:val="0"/>
      <w:marBottom w:val="0"/>
      <w:divBdr>
        <w:top w:val="none" w:sz="0" w:space="0" w:color="auto"/>
        <w:left w:val="none" w:sz="0" w:space="0" w:color="auto"/>
        <w:bottom w:val="none" w:sz="0" w:space="0" w:color="auto"/>
        <w:right w:val="none" w:sz="0" w:space="0" w:color="auto"/>
      </w:divBdr>
      <w:divsChild>
        <w:div w:id="428622450">
          <w:marLeft w:val="0"/>
          <w:marRight w:val="0"/>
          <w:marTop w:val="0"/>
          <w:marBottom w:val="0"/>
          <w:divBdr>
            <w:top w:val="none" w:sz="0" w:space="0" w:color="auto"/>
            <w:left w:val="none" w:sz="0" w:space="0" w:color="auto"/>
            <w:bottom w:val="none" w:sz="0" w:space="0" w:color="auto"/>
            <w:right w:val="none" w:sz="0" w:space="0" w:color="auto"/>
          </w:divBdr>
          <w:divsChild>
            <w:div w:id="2058702220">
              <w:marLeft w:val="0"/>
              <w:marRight w:val="0"/>
              <w:marTop w:val="0"/>
              <w:marBottom w:val="0"/>
              <w:divBdr>
                <w:top w:val="none" w:sz="0" w:space="0" w:color="auto"/>
                <w:left w:val="none" w:sz="0" w:space="0" w:color="auto"/>
                <w:bottom w:val="none" w:sz="0" w:space="0" w:color="auto"/>
                <w:right w:val="none" w:sz="0" w:space="0" w:color="auto"/>
              </w:divBdr>
              <w:divsChild>
                <w:div w:id="248856323">
                  <w:marLeft w:val="0"/>
                  <w:marRight w:val="0"/>
                  <w:marTop w:val="0"/>
                  <w:marBottom w:val="0"/>
                  <w:divBdr>
                    <w:top w:val="none" w:sz="0" w:space="0" w:color="auto"/>
                    <w:left w:val="none" w:sz="0" w:space="0" w:color="auto"/>
                    <w:bottom w:val="none" w:sz="0" w:space="0" w:color="auto"/>
                    <w:right w:val="none" w:sz="0" w:space="0" w:color="auto"/>
                  </w:divBdr>
                  <w:divsChild>
                    <w:div w:id="1671058675">
                      <w:marLeft w:val="0"/>
                      <w:marRight w:val="0"/>
                      <w:marTop w:val="0"/>
                      <w:marBottom w:val="0"/>
                      <w:divBdr>
                        <w:top w:val="none" w:sz="0" w:space="0" w:color="auto"/>
                        <w:left w:val="none" w:sz="0" w:space="0" w:color="auto"/>
                        <w:bottom w:val="none" w:sz="0" w:space="0" w:color="auto"/>
                        <w:right w:val="none" w:sz="0" w:space="0" w:color="auto"/>
                      </w:divBdr>
                      <w:divsChild>
                        <w:div w:id="1523788826">
                          <w:marLeft w:val="0"/>
                          <w:marRight w:val="0"/>
                          <w:marTop w:val="0"/>
                          <w:marBottom w:val="0"/>
                          <w:divBdr>
                            <w:top w:val="none" w:sz="0" w:space="0" w:color="auto"/>
                            <w:left w:val="none" w:sz="0" w:space="0" w:color="auto"/>
                            <w:bottom w:val="none" w:sz="0" w:space="0" w:color="auto"/>
                            <w:right w:val="none" w:sz="0" w:space="0" w:color="auto"/>
                          </w:divBdr>
                          <w:divsChild>
                            <w:div w:id="9151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773532">
      <w:bodyDiv w:val="1"/>
      <w:marLeft w:val="0"/>
      <w:marRight w:val="0"/>
      <w:marTop w:val="0"/>
      <w:marBottom w:val="0"/>
      <w:divBdr>
        <w:top w:val="none" w:sz="0" w:space="0" w:color="auto"/>
        <w:left w:val="none" w:sz="0" w:space="0" w:color="auto"/>
        <w:bottom w:val="none" w:sz="0" w:space="0" w:color="auto"/>
        <w:right w:val="none" w:sz="0" w:space="0" w:color="auto"/>
      </w:divBdr>
      <w:divsChild>
        <w:div w:id="1950046462">
          <w:marLeft w:val="0"/>
          <w:marRight w:val="0"/>
          <w:marTop w:val="0"/>
          <w:marBottom w:val="0"/>
          <w:divBdr>
            <w:top w:val="none" w:sz="0" w:space="0" w:color="auto"/>
            <w:left w:val="none" w:sz="0" w:space="0" w:color="auto"/>
            <w:bottom w:val="none" w:sz="0" w:space="0" w:color="auto"/>
            <w:right w:val="none" w:sz="0" w:space="0" w:color="auto"/>
          </w:divBdr>
          <w:divsChild>
            <w:div w:id="1474325201">
              <w:marLeft w:val="0"/>
              <w:marRight w:val="0"/>
              <w:marTop w:val="0"/>
              <w:marBottom w:val="0"/>
              <w:divBdr>
                <w:top w:val="none" w:sz="0" w:space="0" w:color="auto"/>
                <w:left w:val="none" w:sz="0" w:space="0" w:color="auto"/>
                <w:bottom w:val="none" w:sz="0" w:space="0" w:color="auto"/>
                <w:right w:val="none" w:sz="0" w:space="0" w:color="auto"/>
              </w:divBdr>
              <w:divsChild>
                <w:div w:id="1610696214">
                  <w:marLeft w:val="0"/>
                  <w:marRight w:val="0"/>
                  <w:marTop w:val="0"/>
                  <w:marBottom w:val="0"/>
                  <w:divBdr>
                    <w:top w:val="none" w:sz="0" w:space="0" w:color="auto"/>
                    <w:left w:val="none" w:sz="0" w:space="0" w:color="auto"/>
                    <w:bottom w:val="none" w:sz="0" w:space="0" w:color="auto"/>
                    <w:right w:val="none" w:sz="0" w:space="0" w:color="auto"/>
                  </w:divBdr>
                  <w:divsChild>
                    <w:div w:id="495417321">
                      <w:marLeft w:val="0"/>
                      <w:marRight w:val="0"/>
                      <w:marTop w:val="0"/>
                      <w:marBottom w:val="0"/>
                      <w:divBdr>
                        <w:top w:val="none" w:sz="0" w:space="0" w:color="auto"/>
                        <w:left w:val="none" w:sz="0" w:space="0" w:color="auto"/>
                        <w:bottom w:val="none" w:sz="0" w:space="0" w:color="auto"/>
                        <w:right w:val="none" w:sz="0" w:space="0" w:color="auto"/>
                      </w:divBdr>
                      <w:divsChild>
                        <w:div w:id="1148590893">
                          <w:marLeft w:val="0"/>
                          <w:marRight w:val="0"/>
                          <w:marTop w:val="0"/>
                          <w:marBottom w:val="0"/>
                          <w:divBdr>
                            <w:top w:val="none" w:sz="0" w:space="0" w:color="auto"/>
                            <w:left w:val="none" w:sz="0" w:space="0" w:color="auto"/>
                            <w:bottom w:val="none" w:sz="0" w:space="0" w:color="auto"/>
                            <w:right w:val="none" w:sz="0" w:space="0" w:color="auto"/>
                          </w:divBdr>
                          <w:divsChild>
                            <w:div w:id="16154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8696914">
      <w:bodyDiv w:val="1"/>
      <w:marLeft w:val="0"/>
      <w:marRight w:val="0"/>
      <w:marTop w:val="0"/>
      <w:marBottom w:val="0"/>
      <w:divBdr>
        <w:top w:val="none" w:sz="0" w:space="0" w:color="auto"/>
        <w:left w:val="none" w:sz="0" w:space="0" w:color="auto"/>
        <w:bottom w:val="none" w:sz="0" w:space="0" w:color="auto"/>
        <w:right w:val="none" w:sz="0" w:space="0" w:color="auto"/>
      </w:divBdr>
      <w:divsChild>
        <w:div w:id="1969166049">
          <w:marLeft w:val="0"/>
          <w:marRight w:val="0"/>
          <w:marTop w:val="0"/>
          <w:marBottom w:val="0"/>
          <w:divBdr>
            <w:top w:val="none" w:sz="0" w:space="0" w:color="auto"/>
            <w:left w:val="none" w:sz="0" w:space="0" w:color="auto"/>
            <w:bottom w:val="none" w:sz="0" w:space="0" w:color="auto"/>
            <w:right w:val="none" w:sz="0" w:space="0" w:color="auto"/>
          </w:divBdr>
          <w:divsChild>
            <w:div w:id="838236101">
              <w:marLeft w:val="0"/>
              <w:marRight w:val="0"/>
              <w:marTop w:val="0"/>
              <w:marBottom w:val="0"/>
              <w:divBdr>
                <w:top w:val="none" w:sz="0" w:space="0" w:color="auto"/>
                <w:left w:val="none" w:sz="0" w:space="0" w:color="auto"/>
                <w:bottom w:val="none" w:sz="0" w:space="0" w:color="auto"/>
                <w:right w:val="none" w:sz="0" w:space="0" w:color="auto"/>
              </w:divBdr>
              <w:divsChild>
                <w:div w:id="409423111">
                  <w:marLeft w:val="0"/>
                  <w:marRight w:val="0"/>
                  <w:marTop w:val="0"/>
                  <w:marBottom w:val="0"/>
                  <w:divBdr>
                    <w:top w:val="none" w:sz="0" w:space="0" w:color="auto"/>
                    <w:left w:val="none" w:sz="0" w:space="0" w:color="auto"/>
                    <w:bottom w:val="none" w:sz="0" w:space="0" w:color="auto"/>
                    <w:right w:val="none" w:sz="0" w:space="0" w:color="auto"/>
                  </w:divBdr>
                  <w:divsChild>
                    <w:div w:id="348219777">
                      <w:marLeft w:val="0"/>
                      <w:marRight w:val="0"/>
                      <w:marTop w:val="0"/>
                      <w:marBottom w:val="0"/>
                      <w:divBdr>
                        <w:top w:val="none" w:sz="0" w:space="0" w:color="auto"/>
                        <w:left w:val="none" w:sz="0" w:space="0" w:color="auto"/>
                        <w:bottom w:val="none" w:sz="0" w:space="0" w:color="auto"/>
                        <w:right w:val="none" w:sz="0" w:space="0" w:color="auto"/>
                      </w:divBdr>
                      <w:divsChild>
                        <w:div w:id="2071423481">
                          <w:marLeft w:val="0"/>
                          <w:marRight w:val="0"/>
                          <w:marTop w:val="0"/>
                          <w:marBottom w:val="0"/>
                          <w:divBdr>
                            <w:top w:val="none" w:sz="0" w:space="0" w:color="auto"/>
                            <w:left w:val="none" w:sz="0" w:space="0" w:color="auto"/>
                            <w:bottom w:val="none" w:sz="0" w:space="0" w:color="auto"/>
                            <w:right w:val="none" w:sz="0" w:space="0" w:color="auto"/>
                          </w:divBdr>
                          <w:divsChild>
                            <w:div w:id="10582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558477">
      <w:bodyDiv w:val="1"/>
      <w:marLeft w:val="0"/>
      <w:marRight w:val="0"/>
      <w:marTop w:val="0"/>
      <w:marBottom w:val="0"/>
      <w:divBdr>
        <w:top w:val="none" w:sz="0" w:space="0" w:color="auto"/>
        <w:left w:val="none" w:sz="0" w:space="0" w:color="auto"/>
        <w:bottom w:val="none" w:sz="0" w:space="0" w:color="auto"/>
        <w:right w:val="none" w:sz="0" w:space="0" w:color="auto"/>
      </w:divBdr>
      <w:divsChild>
        <w:div w:id="162205979">
          <w:marLeft w:val="0"/>
          <w:marRight w:val="0"/>
          <w:marTop w:val="0"/>
          <w:marBottom w:val="0"/>
          <w:divBdr>
            <w:top w:val="none" w:sz="0" w:space="0" w:color="auto"/>
            <w:left w:val="none" w:sz="0" w:space="0" w:color="auto"/>
            <w:bottom w:val="none" w:sz="0" w:space="0" w:color="auto"/>
            <w:right w:val="none" w:sz="0" w:space="0" w:color="auto"/>
          </w:divBdr>
          <w:divsChild>
            <w:div w:id="626013465">
              <w:marLeft w:val="0"/>
              <w:marRight w:val="0"/>
              <w:marTop w:val="0"/>
              <w:marBottom w:val="0"/>
              <w:divBdr>
                <w:top w:val="none" w:sz="0" w:space="0" w:color="auto"/>
                <w:left w:val="none" w:sz="0" w:space="0" w:color="auto"/>
                <w:bottom w:val="none" w:sz="0" w:space="0" w:color="auto"/>
                <w:right w:val="none" w:sz="0" w:space="0" w:color="auto"/>
              </w:divBdr>
              <w:divsChild>
                <w:div w:id="1882595642">
                  <w:marLeft w:val="0"/>
                  <w:marRight w:val="0"/>
                  <w:marTop w:val="0"/>
                  <w:marBottom w:val="0"/>
                  <w:divBdr>
                    <w:top w:val="none" w:sz="0" w:space="0" w:color="auto"/>
                    <w:left w:val="none" w:sz="0" w:space="0" w:color="auto"/>
                    <w:bottom w:val="none" w:sz="0" w:space="0" w:color="auto"/>
                    <w:right w:val="none" w:sz="0" w:space="0" w:color="auto"/>
                  </w:divBdr>
                  <w:divsChild>
                    <w:div w:id="1899315227">
                      <w:marLeft w:val="0"/>
                      <w:marRight w:val="0"/>
                      <w:marTop w:val="0"/>
                      <w:marBottom w:val="0"/>
                      <w:divBdr>
                        <w:top w:val="none" w:sz="0" w:space="0" w:color="auto"/>
                        <w:left w:val="none" w:sz="0" w:space="0" w:color="auto"/>
                        <w:bottom w:val="none" w:sz="0" w:space="0" w:color="auto"/>
                        <w:right w:val="none" w:sz="0" w:space="0" w:color="auto"/>
                      </w:divBdr>
                      <w:divsChild>
                        <w:div w:id="509562692">
                          <w:marLeft w:val="0"/>
                          <w:marRight w:val="0"/>
                          <w:marTop w:val="0"/>
                          <w:marBottom w:val="0"/>
                          <w:divBdr>
                            <w:top w:val="none" w:sz="0" w:space="0" w:color="auto"/>
                            <w:left w:val="none" w:sz="0" w:space="0" w:color="auto"/>
                            <w:bottom w:val="none" w:sz="0" w:space="0" w:color="auto"/>
                            <w:right w:val="none" w:sz="0" w:space="0" w:color="auto"/>
                          </w:divBdr>
                          <w:divsChild>
                            <w:div w:id="17179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88574">
      <w:bodyDiv w:val="1"/>
      <w:marLeft w:val="0"/>
      <w:marRight w:val="0"/>
      <w:marTop w:val="0"/>
      <w:marBottom w:val="0"/>
      <w:divBdr>
        <w:top w:val="none" w:sz="0" w:space="0" w:color="auto"/>
        <w:left w:val="none" w:sz="0" w:space="0" w:color="auto"/>
        <w:bottom w:val="none" w:sz="0" w:space="0" w:color="auto"/>
        <w:right w:val="none" w:sz="0" w:space="0" w:color="auto"/>
      </w:divBdr>
    </w:div>
    <w:div w:id="1611817781">
      <w:bodyDiv w:val="1"/>
      <w:marLeft w:val="0"/>
      <w:marRight w:val="0"/>
      <w:marTop w:val="0"/>
      <w:marBottom w:val="0"/>
      <w:divBdr>
        <w:top w:val="none" w:sz="0" w:space="0" w:color="auto"/>
        <w:left w:val="none" w:sz="0" w:space="0" w:color="auto"/>
        <w:bottom w:val="none" w:sz="0" w:space="0" w:color="auto"/>
        <w:right w:val="none" w:sz="0" w:space="0" w:color="auto"/>
      </w:divBdr>
      <w:divsChild>
        <w:div w:id="1207983340">
          <w:marLeft w:val="0"/>
          <w:marRight w:val="0"/>
          <w:marTop w:val="0"/>
          <w:marBottom w:val="0"/>
          <w:divBdr>
            <w:top w:val="none" w:sz="0" w:space="0" w:color="auto"/>
            <w:left w:val="none" w:sz="0" w:space="0" w:color="auto"/>
            <w:bottom w:val="none" w:sz="0" w:space="0" w:color="auto"/>
            <w:right w:val="none" w:sz="0" w:space="0" w:color="auto"/>
          </w:divBdr>
          <w:divsChild>
            <w:div w:id="1080951560">
              <w:marLeft w:val="0"/>
              <w:marRight w:val="0"/>
              <w:marTop w:val="0"/>
              <w:marBottom w:val="0"/>
              <w:divBdr>
                <w:top w:val="none" w:sz="0" w:space="0" w:color="auto"/>
                <w:left w:val="none" w:sz="0" w:space="0" w:color="auto"/>
                <w:bottom w:val="none" w:sz="0" w:space="0" w:color="auto"/>
                <w:right w:val="none" w:sz="0" w:space="0" w:color="auto"/>
              </w:divBdr>
              <w:divsChild>
                <w:div w:id="1633975600">
                  <w:marLeft w:val="0"/>
                  <w:marRight w:val="0"/>
                  <w:marTop w:val="0"/>
                  <w:marBottom w:val="0"/>
                  <w:divBdr>
                    <w:top w:val="none" w:sz="0" w:space="0" w:color="auto"/>
                    <w:left w:val="none" w:sz="0" w:space="0" w:color="auto"/>
                    <w:bottom w:val="none" w:sz="0" w:space="0" w:color="auto"/>
                    <w:right w:val="none" w:sz="0" w:space="0" w:color="auto"/>
                  </w:divBdr>
                  <w:divsChild>
                    <w:div w:id="128404528">
                      <w:marLeft w:val="0"/>
                      <w:marRight w:val="0"/>
                      <w:marTop w:val="0"/>
                      <w:marBottom w:val="240"/>
                      <w:divBdr>
                        <w:top w:val="single" w:sz="6" w:space="0" w:color="DDDDDD"/>
                        <w:left w:val="none" w:sz="0" w:space="0" w:color="auto"/>
                        <w:bottom w:val="none" w:sz="0" w:space="0" w:color="auto"/>
                        <w:right w:val="none" w:sz="0" w:space="0" w:color="auto"/>
                      </w:divBdr>
                      <w:divsChild>
                        <w:div w:id="571506026">
                          <w:marLeft w:val="0"/>
                          <w:marRight w:val="0"/>
                          <w:marTop w:val="0"/>
                          <w:marBottom w:val="0"/>
                          <w:divBdr>
                            <w:top w:val="none" w:sz="0" w:space="0" w:color="auto"/>
                            <w:left w:val="none" w:sz="0" w:space="0" w:color="auto"/>
                            <w:bottom w:val="none" w:sz="0" w:space="0" w:color="auto"/>
                            <w:right w:val="none" w:sz="0" w:space="0" w:color="auto"/>
                          </w:divBdr>
                          <w:divsChild>
                            <w:div w:id="295258278">
                              <w:marLeft w:val="0"/>
                              <w:marRight w:val="0"/>
                              <w:marTop w:val="0"/>
                              <w:marBottom w:val="0"/>
                              <w:divBdr>
                                <w:top w:val="none" w:sz="0" w:space="0" w:color="auto"/>
                                <w:left w:val="none" w:sz="0" w:space="0" w:color="auto"/>
                                <w:bottom w:val="none" w:sz="0" w:space="0" w:color="auto"/>
                                <w:right w:val="none" w:sz="0" w:space="0" w:color="auto"/>
                              </w:divBdr>
                              <w:divsChild>
                                <w:div w:id="604577838">
                                  <w:marLeft w:val="0"/>
                                  <w:marRight w:val="0"/>
                                  <w:marTop w:val="0"/>
                                  <w:marBottom w:val="240"/>
                                  <w:divBdr>
                                    <w:top w:val="single" w:sz="6" w:space="0" w:color="DDDDDD"/>
                                    <w:left w:val="none" w:sz="0" w:space="0" w:color="auto"/>
                                    <w:bottom w:val="none" w:sz="0" w:space="0" w:color="auto"/>
                                    <w:right w:val="none" w:sz="0" w:space="0" w:color="auto"/>
                                  </w:divBdr>
                                  <w:divsChild>
                                    <w:div w:id="2118602291">
                                      <w:marLeft w:val="0"/>
                                      <w:marRight w:val="0"/>
                                      <w:marTop w:val="0"/>
                                      <w:marBottom w:val="0"/>
                                      <w:divBdr>
                                        <w:top w:val="none" w:sz="0" w:space="0" w:color="auto"/>
                                        <w:left w:val="none" w:sz="0" w:space="0" w:color="auto"/>
                                        <w:bottom w:val="none" w:sz="0" w:space="0" w:color="auto"/>
                                        <w:right w:val="none" w:sz="0" w:space="0" w:color="auto"/>
                                      </w:divBdr>
                                      <w:divsChild>
                                        <w:div w:id="19526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24444-03DA-4FF2-B6E3-A1C09169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2864</Words>
  <Characters>16653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2020-02-26T01:42:00Z</dcterms:created>
  <dcterms:modified xsi:type="dcterms:W3CDTF">2020-02-26T01:43:00Z</dcterms:modified>
</cp:coreProperties>
</file>