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09" w:rsidRPr="00E03373" w:rsidRDefault="00CE6509" w:rsidP="00CE6509"/>
    <w:p w:rsidR="0089324A" w:rsidRPr="00E03373" w:rsidRDefault="00F53313" w:rsidP="00144873">
      <w:pPr>
        <w:pStyle w:val="1MainTitle"/>
      </w:pPr>
      <w:r w:rsidRPr="00E03373">
        <w:t>5.19</w:t>
      </w:r>
      <w:r w:rsidR="00FC3647" w:rsidRPr="00E03373">
        <w:tab/>
      </w:r>
      <w:r w:rsidR="00A35A3C" w:rsidRPr="00E03373">
        <w:t>AMINO ACID FORMULA WITH VITAMINS AND MINERALS WITHOUT VALINE, LEUCINE AND ISOLE</w:t>
      </w:r>
      <w:r w:rsidR="0089324A" w:rsidRPr="00E03373">
        <w:t>UC</w:t>
      </w:r>
      <w:r w:rsidR="00A35A3C" w:rsidRPr="00E03373">
        <w:t>INE</w:t>
      </w:r>
      <w:r w:rsidR="00FC3647" w:rsidRPr="00E03373">
        <w:t xml:space="preserve"> </w:t>
      </w:r>
      <w:r w:rsidR="00FC3647" w:rsidRPr="00E03373">
        <w:br/>
      </w:r>
      <w:r w:rsidR="00A35A3C" w:rsidRPr="00E03373">
        <w:t>Sachets containing oral powder</w:t>
      </w:r>
      <w:r w:rsidR="00E608F4" w:rsidRPr="00E03373">
        <w:t xml:space="preserve"> 12.5 g, 30,</w:t>
      </w:r>
      <w:r w:rsidR="00FC3647" w:rsidRPr="00E03373">
        <w:t xml:space="preserve"> </w:t>
      </w:r>
      <w:r w:rsidR="00FC3647" w:rsidRPr="00E03373">
        <w:br/>
      </w:r>
      <w:r w:rsidR="00E608F4" w:rsidRPr="00E03373">
        <w:t>MSUD Explore</w:t>
      </w:r>
      <w:r w:rsidR="008371F5" w:rsidRPr="00E03373">
        <w:t xml:space="preserve"> </w:t>
      </w:r>
      <w:r w:rsidR="00E608F4" w:rsidRPr="00E03373">
        <w:t>5</w:t>
      </w:r>
      <w:r w:rsidR="00FC3647" w:rsidRPr="00E03373">
        <w:rPr>
          <w:vertAlign w:val="superscript"/>
        </w:rPr>
        <w:t>®</w:t>
      </w:r>
      <w:r w:rsidR="00E608F4" w:rsidRPr="00E03373">
        <w:t xml:space="preserve">, </w:t>
      </w:r>
      <w:r w:rsidR="00921DCA" w:rsidRPr="00E03373">
        <w:br/>
      </w:r>
      <w:proofErr w:type="spellStart"/>
      <w:r w:rsidR="00E608F4" w:rsidRPr="00E03373">
        <w:t>Vitaflo</w:t>
      </w:r>
      <w:proofErr w:type="spellEnd"/>
      <w:r w:rsidR="00E608F4" w:rsidRPr="00E03373">
        <w:t xml:space="preserve"> Australia Pty Ltd</w:t>
      </w:r>
    </w:p>
    <w:p w:rsidR="00FC3647" w:rsidRPr="00E03373" w:rsidRDefault="00FC3647" w:rsidP="00593DDA">
      <w:pPr>
        <w:pStyle w:val="2Sections"/>
      </w:pPr>
      <w:r w:rsidRPr="00E03373">
        <w:t xml:space="preserve">Purpose of Application </w:t>
      </w:r>
    </w:p>
    <w:p w:rsidR="00FC3647" w:rsidRPr="00E03373" w:rsidRDefault="00921DCA" w:rsidP="00E608F4">
      <w:pPr>
        <w:pStyle w:val="ListParagraph"/>
        <w:widowControl/>
        <w:numPr>
          <w:ilvl w:val="1"/>
          <w:numId w:val="5"/>
        </w:numPr>
        <w:spacing w:after="120"/>
        <w:contextualSpacing w:val="0"/>
        <w:rPr>
          <w:rFonts w:asciiTheme="minorHAnsi" w:hAnsiTheme="minorHAnsi"/>
          <w:sz w:val="24"/>
          <w:szCs w:val="24"/>
        </w:rPr>
      </w:pPr>
      <w:r w:rsidRPr="00E03373">
        <w:rPr>
          <w:rFonts w:asciiTheme="minorHAnsi" w:eastAsiaTheme="minorHAnsi" w:hAnsiTheme="minorHAnsi" w:cstheme="minorBidi"/>
          <w:snapToGrid/>
          <w:sz w:val="24"/>
          <w:szCs w:val="22"/>
        </w:rPr>
        <w:t xml:space="preserve">The minor submission sought </w:t>
      </w:r>
      <w:r w:rsidR="00E608F4" w:rsidRPr="00E03373">
        <w:rPr>
          <w:rFonts w:asciiTheme="minorHAnsi" w:eastAsiaTheme="minorHAnsi" w:hAnsiTheme="minorHAnsi" w:cstheme="minorBidi"/>
          <w:snapToGrid/>
          <w:sz w:val="24"/>
          <w:szCs w:val="22"/>
        </w:rPr>
        <w:t>listing of</w:t>
      </w:r>
      <w:r w:rsidR="00DF21C0" w:rsidRPr="00E03373">
        <w:rPr>
          <w:rFonts w:asciiTheme="minorHAnsi" w:eastAsiaTheme="minorHAnsi" w:hAnsiTheme="minorHAnsi" w:cstheme="minorBidi"/>
          <w:snapToGrid/>
          <w:sz w:val="24"/>
          <w:szCs w:val="22"/>
        </w:rPr>
        <w:t xml:space="preserve"> a new amino acid formula (MSUD </w:t>
      </w:r>
      <w:r w:rsidR="00E608F4" w:rsidRPr="00E03373">
        <w:rPr>
          <w:rFonts w:asciiTheme="minorHAnsi" w:eastAsiaTheme="minorHAnsi" w:hAnsiTheme="minorHAnsi" w:cstheme="minorBidi"/>
          <w:snapToGrid/>
          <w:sz w:val="24"/>
          <w:szCs w:val="22"/>
        </w:rPr>
        <w:t>Explore</w:t>
      </w:r>
      <w:r w:rsidR="008371F5" w:rsidRPr="00E03373">
        <w:rPr>
          <w:rFonts w:asciiTheme="minorHAnsi" w:eastAsiaTheme="minorHAnsi" w:hAnsiTheme="minorHAnsi" w:cstheme="minorBidi"/>
          <w:snapToGrid/>
          <w:sz w:val="24"/>
          <w:szCs w:val="22"/>
        </w:rPr>
        <w:t xml:space="preserve"> </w:t>
      </w:r>
      <w:r w:rsidR="00E608F4" w:rsidRPr="00E03373">
        <w:rPr>
          <w:rFonts w:asciiTheme="minorHAnsi" w:eastAsiaTheme="minorHAnsi" w:hAnsiTheme="minorHAnsi" w:cstheme="minorBidi"/>
          <w:snapToGrid/>
          <w:sz w:val="24"/>
          <w:szCs w:val="22"/>
        </w:rPr>
        <w:t>5) for the dietary management of patients with maple syrup urine disease (MSUD).</w:t>
      </w:r>
    </w:p>
    <w:p w:rsidR="00FC3647" w:rsidRPr="00E03373" w:rsidRDefault="00FC3647" w:rsidP="00593DDA">
      <w:pPr>
        <w:pStyle w:val="2Sections"/>
      </w:pPr>
      <w:r w:rsidRPr="00E03373">
        <w:t>Requested listing</w:t>
      </w:r>
    </w:p>
    <w:p w:rsidR="00FC3647" w:rsidRPr="00E03373" w:rsidRDefault="0089324A" w:rsidP="00FC3647">
      <w:pPr>
        <w:pStyle w:val="3Bodytext"/>
        <w:numPr>
          <w:ilvl w:val="1"/>
          <w:numId w:val="5"/>
        </w:numPr>
      </w:pPr>
      <w:r w:rsidRPr="00E03373">
        <w:t>The submission requested</w:t>
      </w:r>
      <w:r w:rsidR="00FC3647" w:rsidRPr="00E03373">
        <w:t xml:space="preserve"> </w:t>
      </w:r>
      <w:r w:rsidR="00F53313" w:rsidRPr="00E03373">
        <w:t>the following listing.</w:t>
      </w:r>
    </w:p>
    <w:p w:rsidR="00FC3647" w:rsidRPr="00E03373" w:rsidRDefault="00FC3647" w:rsidP="0089324A">
      <w:pPr>
        <w:pStyle w:val="ListParagraph"/>
        <w:widowControl/>
        <w:spacing w:after="120"/>
        <w:contextualSpacing w:val="0"/>
        <w:rPr>
          <w:rFonts w:asciiTheme="minorHAnsi" w:eastAsiaTheme="minorHAnsi" w:hAnsiTheme="minorHAnsi" w:cstheme="minorBidi"/>
          <w:snapToGrid/>
          <w:sz w:val="24"/>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310"/>
        <w:gridCol w:w="1701"/>
        <w:gridCol w:w="1525"/>
      </w:tblGrid>
      <w:tr w:rsidR="00FC3647" w:rsidRPr="00E03373" w:rsidTr="0089324A">
        <w:trPr>
          <w:cantSplit/>
          <w:trHeight w:val="471"/>
        </w:trPr>
        <w:tc>
          <w:tcPr>
            <w:tcW w:w="3261" w:type="dxa"/>
            <w:gridSpan w:val="2"/>
            <w:tcBorders>
              <w:bottom w:val="single" w:sz="4" w:space="0" w:color="auto"/>
            </w:tcBorders>
          </w:tcPr>
          <w:p w:rsidR="00FC3647" w:rsidRPr="00E03373" w:rsidRDefault="00FC3647" w:rsidP="00EC0072">
            <w:pPr>
              <w:keepNext/>
              <w:ind w:left="-108"/>
              <w:jc w:val="both"/>
              <w:rPr>
                <w:rFonts w:ascii="Arial Narrow" w:hAnsi="Arial Narrow" w:cs="Arial"/>
                <w:sz w:val="20"/>
                <w:szCs w:val="20"/>
              </w:rPr>
            </w:pPr>
            <w:r w:rsidRPr="00E03373">
              <w:rPr>
                <w:rFonts w:ascii="Arial Narrow" w:hAnsi="Arial Narrow" w:cs="Arial"/>
                <w:sz w:val="20"/>
                <w:szCs w:val="20"/>
              </w:rPr>
              <w:t>Name, Restriction,</w:t>
            </w:r>
          </w:p>
          <w:p w:rsidR="00FC3647" w:rsidRPr="00E03373" w:rsidRDefault="00FC3647" w:rsidP="00EC0072">
            <w:pPr>
              <w:keepNext/>
              <w:ind w:left="-108"/>
              <w:jc w:val="both"/>
              <w:rPr>
                <w:rFonts w:ascii="Arial Narrow" w:hAnsi="Arial Narrow" w:cs="Arial"/>
                <w:sz w:val="20"/>
                <w:szCs w:val="20"/>
              </w:rPr>
            </w:pPr>
            <w:r w:rsidRPr="00E03373">
              <w:rPr>
                <w:rFonts w:ascii="Arial Narrow" w:hAnsi="Arial Narrow" w:cs="Arial"/>
                <w:sz w:val="20"/>
                <w:szCs w:val="20"/>
              </w:rPr>
              <w:t>Manner of administration and form</w:t>
            </w:r>
          </w:p>
        </w:tc>
        <w:tc>
          <w:tcPr>
            <w:tcW w:w="567" w:type="dxa"/>
            <w:tcBorders>
              <w:bottom w:val="single" w:sz="4" w:space="0" w:color="auto"/>
            </w:tcBorders>
          </w:tcPr>
          <w:p w:rsidR="00FC3647" w:rsidRPr="00E03373" w:rsidRDefault="00FC3647" w:rsidP="00EC0072">
            <w:pPr>
              <w:keepNext/>
              <w:ind w:left="-108"/>
              <w:jc w:val="both"/>
              <w:rPr>
                <w:rFonts w:ascii="Arial Narrow" w:hAnsi="Arial Narrow" w:cs="Arial"/>
                <w:sz w:val="20"/>
                <w:szCs w:val="20"/>
              </w:rPr>
            </w:pPr>
            <w:r w:rsidRPr="00E03373">
              <w:rPr>
                <w:rFonts w:ascii="Arial Narrow" w:hAnsi="Arial Narrow" w:cs="Arial"/>
                <w:sz w:val="20"/>
                <w:szCs w:val="20"/>
              </w:rPr>
              <w:t>Max.</w:t>
            </w:r>
          </w:p>
          <w:p w:rsidR="00FC3647" w:rsidRPr="00E03373" w:rsidRDefault="00FC3647" w:rsidP="00EC0072">
            <w:pPr>
              <w:keepNext/>
              <w:ind w:left="-108"/>
              <w:jc w:val="both"/>
              <w:rPr>
                <w:rFonts w:ascii="Arial Narrow" w:hAnsi="Arial Narrow" w:cs="Arial"/>
                <w:sz w:val="20"/>
                <w:szCs w:val="20"/>
              </w:rPr>
            </w:pPr>
            <w:proofErr w:type="spellStart"/>
            <w:r w:rsidRPr="00E03373">
              <w:rPr>
                <w:rFonts w:ascii="Arial Narrow" w:hAnsi="Arial Narrow" w:cs="Arial"/>
                <w:sz w:val="20"/>
                <w:szCs w:val="20"/>
              </w:rPr>
              <w:t>Qty</w:t>
            </w:r>
            <w:proofErr w:type="spellEnd"/>
          </w:p>
        </w:tc>
        <w:tc>
          <w:tcPr>
            <w:tcW w:w="850" w:type="dxa"/>
            <w:tcBorders>
              <w:bottom w:val="single" w:sz="4" w:space="0" w:color="auto"/>
            </w:tcBorders>
          </w:tcPr>
          <w:p w:rsidR="00FC3647" w:rsidRPr="00E03373" w:rsidRDefault="00FC3647" w:rsidP="00EC0072">
            <w:pPr>
              <w:keepNext/>
              <w:ind w:left="-108"/>
              <w:jc w:val="both"/>
              <w:rPr>
                <w:rFonts w:ascii="Arial Narrow" w:hAnsi="Arial Narrow" w:cs="Arial"/>
                <w:sz w:val="20"/>
                <w:szCs w:val="20"/>
              </w:rPr>
            </w:pPr>
            <w:r w:rsidRPr="00E03373">
              <w:rPr>
                <w:rFonts w:ascii="Arial Narrow" w:hAnsi="Arial Narrow" w:cs="Arial"/>
                <w:sz w:val="20"/>
                <w:szCs w:val="20"/>
              </w:rPr>
              <w:t>№.of</w:t>
            </w:r>
          </w:p>
          <w:p w:rsidR="00FC3647" w:rsidRPr="00E03373" w:rsidRDefault="00FC3647" w:rsidP="00EC0072">
            <w:pPr>
              <w:keepNext/>
              <w:ind w:left="-108"/>
              <w:jc w:val="both"/>
              <w:rPr>
                <w:rFonts w:ascii="Arial Narrow" w:hAnsi="Arial Narrow" w:cs="Arial"/>
                <w:sz w:val="20"/>
                <w:szCs w:val="20"/>
              </w:rPr>
            </w:pPr>
            <w:proofErr w:type="spellStart"/>
            <w:r w:rsidRPr="00E03373">
              <w:rPr>
                <w:rFonts w:ascii="Arial Narrow" w:hAnsi="Arial Narrow" w:cs="Arial"/>
                <w:sz w:val="20"/>
                <w:szCs w:val="20"/>
              </w:rPr>
              <w:t>Rpts</w:t>
            </w:r>
            <w:proofErr w:type="spellEnd"/>
          </w:p>
        </w:tc>
        <w:tc>
          <w:tcPr>
            <w:tcW w:w="1310" w:type="dxa"/>
            <w:tcBorders>
              <w:bottom w:val="single" w:sz="4" w:space="0" w:color="auto"/>
            </w:tcBorders>
          </w:tcPr>
          <w:p w:rsidR="00FC3647" w:rsidRPr="00E03373" w:rsidRDefault="00FC3647" w:rsidP="00EC0072">
            <w:pPr>
              <w:keepNext/>
              <w:ind w:left="-108"/>
              <w:jc w:val="both"/>
              <w:rPr>
                <w:rFonts w:ascii="Arial Narrow" w:hAnsi="Arial Narrow" w:cs="Arial"/>
                <w:sz w:val="20"/>
                <w:szCs w:val="20"/>
              </w:rPr>
            </w:pPr>
            <w:r w:rsidRPr="00E03373">
              <w:rPr>
                <w:rFonts w:ascii="Arial Narrow" w:hAnsi="Arial Narrow" w:cs="Arial"/>
                <w:sz w:val="20"/>
                <w:szCs w:val="20"/>
              </w:rPr>
              <w:t xml:space="preserve">Dispensed Price for Max. </w:t>
            </w:r>
            <w:proofErr w:type="spellStart"/>
            <w:r w:rsidRPr="00E03373">
              <w:rPr>
                <w:rFonts w:ascii="Arial Narrow" w:hAnsi="Arial Narrow" w:cs="Arial"/>
                <w:sz w:val="20"/>
                <w:szCs w:val="20"/>
              </w:rPr>
              <w:t>Qty</w:t>
            </w:r>
            <w:proofErr w:type="spellEnd"/>
          </w:p>
        </w:tc>
        <w:tc>
          <w:tcPr>
            <w:tcW w:w="3226" w:type="dxa"/>
            <w:gridSpan w:val="2"/>
            <w:tcBorders>
              <w:bottom w:val="single" w:sz="4" w:space="0" w:color="auto"/>
            </w:tcBorders>
          </w:tcPr>
          <w:p w:rsidR="00FC3647" w:rsidRPr="00E53A1A" w:rsidRDefault="00FC3647" w:rsidP="00EC0072">
            <w:pPr>
              <w:keepNext/>
              <w:jc w:val="both"/>
              <w:rPr>
                <w:rFonts w:ascii="Arial Narrow" w:hAnsi="Arial Narrow" w:cs="Arial"/>
                <w:sz w:val="20"/>
                <w:szCs w:val="20"/>
              </w:rPr>
            </w:pPr>
            <w:r w:rsidRPr="00E03373">
              <w:rPr>
                <w:rFonts w:ascii="Arial Narrow" w:hAnsi="Arial Narrow" w:cs="Arial"/>
                <w:sz w:val="20"/>
                <w:szCs w:val="20"/>
              </w:rPr>
              <w:t>Proprietary Name and Manufacturer</w:t>
            </w:r>
          </w:p>
        </w:tc>
      </w:tr>
      <w:tr w:rsidR="00FC3647" w:rsidRPr="00E03373" w:rsidTr="0089324A">
        <w:trPr>
          <w:cantSplit/>
          <w:trHeight w:val="577"/>
        </w:trPr>
        <w:tc>
          <w:tcPr>
            <w:tcW w:w="3261" w:type="dxa"/>
            <w:gridSpan w:val="2"/>
          </w:tcPr>
          <w:p w:rsidR="00FC3647" w:rsidRPr="00E03373" w:rsidRDefault="0089324A" w:rsidP="000839BA">
            <w:pPr>
              <w:keepNext/>
              <w:ind w:left="-108"/>
              <w:rPr>
                <w:rFonts w:ascii="Arial Narrow" w:hAnsi="Arial Narrow" w:cs="Arial"/>
                <w:sz w:val="20"/>
                <w:szCs w:val="20"/>
              </w:rPr>
            </w:pPr>
            <w:r w:rsidRPr="00E03373">
              <w:rPr>
                <w:rFonts w:ascii="Arial Narrow" w:hAnsi="Arial Narrow" w:cs="Arial"/>
                <w:smallCaps/>
                <w:sz w:val="20"/>
                <w:szCs w:val="20"/>
              </w:rPr>
              <w:t>AMINO ACID FORMULA WITH VITAMINS AND MINERALS WITHOUT VALINE, LEUCINE AND ISOLEUCINE</w:t>
            </w:r>
          </w:p>
          <w:p w:rsidR="0089324A" w:rsidRPr="00E03373" w:rsidRDefault="0089324A" w:rsidP="00EC0072">
            <w:pPr>
              <w:keepNext/>
              <w:ind w:left="-108"/>
              <w:jc w:val="both"/>
              <w:rPr>
                <w:rFonts w:ascii="Arial Narrow" w:hAnsi="Arial Narrow" w:cs="Arial"/>
                <w:color w:val="FF0000"/>
                <w:sz w:val="20"/>
                <w:szCs w:val="20"/>
              </w:rPr>
            </w:pPr>
            <w:r w:rsidRPr="00E03373">
              <w:rPr>
                <w:rFonts w:ascii="Arial Narrow" w:hAnsi="Arial Narrow" w:cs="Arial"/>
                <w:color w:val="000000" w:themeColor="text1"/>
                <w:sz w:val="20"/>
                <w:szCs w:val="20"/>
              </w:rPr>
              <w:t>Powder for oral liquid, 30 x 12.5 g sachets</w:t>
            </w:r>
          </w:p>
        </w:tc>
        <w:tc>
          <w:tcPr>
            <w:tcW w:w="567" w:type="dxa"/>
          </w:tcPr>
          <w:p w:rsidR="00FC3647" w:rsidRPr="00E03373" w:rsidRDefault="00FC3647" w:rsidP="00EC0072">
            <w:pPr>
              <w:keepNext/>
              <w:ind w:left="-108"/>
              <w:jc w:val="both"/>
              <w:rPr>
                <w:rFonts w:ascii="Arial Narrow" w:hAnsi="Arial Narrow" w:cs="Arial"/>
                <w:sz w:val="20"/>
                <w:szCs w:val="20"/>
              </w:rPr>
            </w:pPr>
          </w:p>
          <w:p w:rsidR="00FC3647" w:rsidRPr="00E03373" w:rsidRDefault="00FC3647" w:rsidP="00EC0072">
            <w:pPr>
              <w:keepNext/>
              <w:ind w:left="-108"/>
              <w:jc w:val="both"/>
              <w:rPr>
                <w:rFonts w:ascii="Arial Narrow" w:hAnsi="Arial Narrow" w:cs="Arial"/>
                <w:sz w:val="20"/>
                <w:szCs w:val="20"/>
              </w:rPr>
            </w:pPr>
          </w:p>
          <w:p w:rsidR="0089324A" w:rsidRPr="00E03373" w:rsidRDefault="0089324A" w:rsidP="00EC0072">
            <w:pPr>
              <w:keepNext/>
              <w:ind w:left="-108"/>
              <w:jc w:val="both"/>
              <w:rPr>
                <w:rFonts w:ascii="Arial Narrow" w:hAnsi="Arial Narrow" w:cs="Arial"/>
                <w:sz w:val="20"/>
                <w:szCs w:val="20"/>
              </w:rPr>
            </w:pPr>
          </w:p>
          <w:p w:rsidR="0089324A" w:rsidRPr="00E03373" w:rsidRDefault="0089324A" w:rsidP="00EC0072">
            <w:pPr>
              <w:keepNext/>
              <w:ind w:left="-108"/>
              <w:jc w:val="both"/>
              <w:rPr>
                <w:rFonts w:ascii="Arial Narrow" w:hAnsi="Arial Narrow" w:cs="Arial"/>
                <w:sz w:val="20"/>
                <w:szCs w:val="20"/>
              </w:rPr>
            </w:pPr>
            <w:r w:rsidRPr="00E03373">
              <w:rPr>
                <w:rFonts w:ascii="Arial Narrow" w:hAnsi="Arial Narrow" w:cs="Arial"/>
                <w:sz w:val="20"/>
                <w:szCs w:val="20"/>
              </w:rPr>
              <w:t>8</w:t>
            </w:r>
          </w:p>
        </w:tc>
        <w:tc>
          <w:tcPr>
            <w:tcW w:w="850" w:type="dxa"/>
          </w:tcPr>
          <w:p w:rsidR="00FC3647" w:rsidRPr="00E03373" w:rsidRDefault="00FC3647" w:rsidP="00EC0072">
            <w:pPr>
              <w:keepNext/>
              <w:ind w:left="-108"/>
              <w:jc w:val="both"/>
              <w:rPr>
                <w:rFonts w:ascii="Arial Narrow" w:hAnsi="Arial Narrow" w:cs="Arial"/>
                <w:sz w:val="20"/>
                <w:szCs w:val="20"/>
              </w:rPr>
            </w:pPr>
          </w:p>
          <w:p w:rsidR="0089324A" w:rsidRPr="00E03373" w:rsidRDefault="0089324A" w:rsidP="00EC0072">
            <w:pPr>
              <w:keepNext/>
              <w:ind w:left="-108"/>
              <w:jc w:val="both"/>
              <w:rPr>
                <w:rFonts w:ascii="Arial Narrow" w:hAnsi="Arial Narrow" w:cs="Arial"/>
                <w:sz w:val="20"/>
                <w:szCs w:val="20"/>
              </w:rPr>
            </w:pPr>
          </w:p>
          <w:p w:rsidR="0089324A" w:rsidRPr="00E03373" w:rsidRDefault="0089324A" w:rsidP="00EC0072">
            <w:pPr>
              <w:keepNext/>
              <w:ind w:left="-108"/>
              <w:jc w:val="both"/>
              <w:rPr>
                <w:rFonts w:ascii="Arial Narrow" w:hAnsi="Arial Narrow" w:cs="Arial"/>
                <w:sz w:val="20"/>
                <w:szCs w:val="20"/>
              </w:rPr>
            </w:pPr>
          </w:p>
          <w:p w:rsidR="0089324A" w:rsidRPr="00E03373" w:rsidRDefault="0089324A" w:rsidP="00EC0072">
            <w:pPr>
              <w:keepNext/>
              <w:ind w:left="-108"/>
              <w:jc w:val="both"/>
              <w:rPr>
                <w:rFonts w:ascii="Arial Narrow" w:hAnsi="Arial Narrow" w:cs="Arial"/>
                <w:sz w:val="20"/>
                <w:szCs w:val="20"/>
              </w:rPr>
            </w:pPr>
            <w:r w:rsidRPr="00E03373">
              <w:rPr>
                <w:rFonts w:ascii="Arial Narrow" w:hAnsi="Arial Narrow" w:cs="Arial"/>
                <w:sz w:val="20"/>
                <w:szCs w:val="20"/>
              </w:rPr>
              <w:t>5</w:t>
            </w:r>
          </w:p>
        </w:tc>
        <w:tc>
          <w:tcPr>
            <w:tcW w:w="1310" w:type="dxa"/>
          </w:tcPr>
          <w:p w:rsidR="00FC3647" w:rsidRPr="00E03373" w:rsidRDefault="00FC3647" w:rsidP="00EC0072">
            <w:pPr>
              <w:keepNext/>
              <w:ind w:left="-108"/>
              <w:jc w:val="both"/>
              <w:rPr>
                <w:rFonts w:ascii="Arial Narrow" w:hAnsi="Arial Narrow" w:cs="Arial"/>
                <w:sz w:val="20"/>
                <w:szCs w:val="20"/>
              </w:rPr>
            </w:pPr>
          </w:p>
          <w:p w:rsidR="0089324A" w:rsidRPr="00E03373" w:rsidRDefault="0089324A" w:rsidP="00EC0072">
            <w:pPr>
              <w:keepNext/>
              <w:ind w:left="-108"/>
              <w:jc w:val="both"/>
              <w:rPr>
                <w:rFonts w:ascii="Arial Narrow" w:hAnsi="Arial Narrow" w:cs="Arial"/>
                <w:sz w:val="20"/>
                <w:szCs w:val="20"/>
              </w:rPr>
            </w:pPr>
          </w:p>
          <w:p w:rsidR="0089324A" w:rsidRPr="00E03373" w:rsidRDefault="0089324A" w:rsidP="00EC0072">
            <w:pPr>
              <w:keepNext/>
              <w:ind w:left="-108"/>
              <w:jc w:val="both"/>
              <w:rPr>
                <w:rFonts w:ascii="Arial Narrow" w:hAnsi="Arial Narrow" w:cs="Arial"/>
                <w:sz w:val="20"/>
                <w:szCs w:val="20"/>
              </w:rPr>
            </w:pPr>
          </w:p>
          <w:p w:rsidR="00FC3647" w:rsidRPr="00E03373" w:rsidRDefault="0089324A" w:rsidP="00EC0072">
            <w:pPr>
              <w:keepNext/>
              <w:ind w:left="-108"/>
              <w:jc w:val="both"/>
              <w:rPr>
                <w:rFonts w:ascii="Arial Narrow" w:hAnsi="Arial Narrow" w:cs="Arial"/>
                <w:sz w:val="20"/>
                <w:szCs w:val="20"/>
              </w:rPr>
            </w:pPr>
            <w:r w:rsidRPr="00E03373">
              <w:rPr>
                <w:rFonts w:ascii="Arial Narrow" w:hAnsi="Arial Narrow" w:cs="Arial"/>
                <w:sz w:val="20"/>
                <w:szCs w:val="20"/>
              </w:rPr>
              <w:t>$1,980.23</w:t>
            </w:r>
          </w:p>
        </w:tc>
        <w:tc>
          <w:tcPr>
            <w:tcW w:w="1701" w:type="dxa"/>
          </w:tcPr>
          <w:p w:rsidR="00FC3647" w:rsidRPr="00E03373" w:rsidRDefault="00FC3647" w:rsidP="00EC0072">
            <w:pPr>
              <w:keepNext/>
              <w:jc w:val="both"/>
              <w:rPr>
                <w:rFonts w:ascii="Arial Narrow" w:hAnsi="Arial Narrow" w:cs="Arial"/>
                <w:sz w:val="20"/>
                <w:szCs w:val="20"/>
              </w:rPr>
            </w:pPr>
          </w:p>
          <w:p w:rsidR="0089324A" w:rsidRPr="00E03373" w:rsidRDefault="0089324A" w:rsidP="00EC0072">
            <w:pPr>
              <w:keepNext/>
              <w:jc w:val="both"/>
              <w:rPr>
                <w:rFonts w:ascii="Arial Narrow" w:hAnsi="Arial Narrow" w:cs="Arial"/>
                <w:sz w:val="20"/>
                <w:szCs w:val="20"/>
              </w:rPr>
            </w:pPr>
          </w:p>
          <w:p w:rsidR="0089324A" w:rsidRPr="00E03373" w:rsidRDefault="0089324A" w:rsidP="00EC0072">
            <w:pPr>
              <w:keepNext/>
              <w:jc w:val="both"/>
              <w:rPr>
                <w:rFonts w:ascii="Arial Narrow" w:hAnsi="Arial Narrow" w:cs="Arial"/>
                <w:sz w:val="20"/>
                <w:szCs w:val="20"/>
              </w:rPr>
            </w:pPr>
          </w:p>
          <w:p w:rsidR="0089324A" w:rsidRPr="00E03373" w:rsidRDefault="0089324A" w:rsidP="00EC0072">
            <w:pPr>
              <w:keepNext/>
              <w:jc w:val="both"/>
              <w:rPr>
                <w:rFonts w:ascii="Arial Narrow" w:hAnsi="Arial Narrow" w:cs="Arial"/>
                <w:sz w:val="20"/>
                <w:szCs w:val="20"/>
                <w:vertAlign w:val="superscript"/>
              </w:rPr>
            </w:pPr>
            <w:r w:rsidRPr="00E03373">
              <w:rPr>
                <w:rFonts w:ascii="Arial Narrow" w:hAnsi="Arial Narrow" w:cs="Arial"/>
                <w:sz w:val="20"/>
                <w:szCs w:val="20"/>
              </w:rPr>
              <w:t>MSUD Explore</w:t>
            </w:r>
            <w:r w:rsidR="008371F5" w:rsidRPr="00E03373">
              <w:rPr>
                <w:rFonts w:ascii="Arial Narrow" w:hAnsi="Arial Narrow" w:cs="Arial"/>
                <w:sz w:val="20"/>
                <w:szCs w:val="20"/>
              </w:rPr>
              <w:t xml:space="preserve"> </w:t>
            </w:r>
            <w:r w:rsidRPr="00E03373">
              <w:rPr>
                <w:rFonts w:ascii="Arial Narrow" w:hAnsi="Arial Narrow" w:cs="Arial"/>
                <w:sz w:val="20"/>
                <w:szCs w:val="20"/>
              </w:rPr>
              <w:t>5</w:t>
            </w:r>
            <w:r w:rsidR="00F53313" w:rsidRPr="00E03373">
              <w:rPr>
                <w:rFonts w:ascii="Arial Narrow" w:hAnsi="Arial Narrow" w:cs="Arial"/>
                <w:sz w:val="20"/>
                <w:szCs w:val="20"/>
                <w:vertAlign w:val="superscript"/>
              </w:rPr>
              <w:t>®</w:t>
            </w:r>
          </w:p>
        </w:tc>
        <w:tc>
          <w:tcPr>
            <w:tcW w:w="1525" w:type="dxa"/>
          </w:tcPr>
          <w:p w:rsidR="0089324A" w:rsidRPr="00E03373" w:rsidRDefault="0089324A" w:rsidP="00EC0072">
            <w:pPr>
              <w:keepNext/>
              <w:jc w:val="both"/>
              <w:rPr>
                <w:rFonts w:ascii="Arial Narrow" w:hAnsi="Arial Narrow" w:cs="Arial"/>
                <w:sz w:val="20"/>
                <w:szCs w:val="20"/>
              </w:rPr>
            </w:pPr>
          </w:p>
          <w:p w:rsidR="0089324A" w:rsidRPr="00E03373" w:rsidRDefault="0089324A" w:rsidP="00EC0072">
            <w:pPr>
              <w:keepNext/>
              <w:jc w:val="both"/>
              <w:rPr>
                <w:rFonts w:ascii="Arial Narrow" w:hAnsi="Arial Narrow" w:cs="Arial"/>
                <w:sz w:val="20"/>
                <w:szCs w:val="20"/>
              </w:rPr>
            </w:pPr>
          </w:p>
          <w:p w:rsidR="0089324A" w:rsidRPr="00E03373" w:rsidRDefault="0089324A" w:rsidP="00EC0072">
            <w:pPr>
              <w:keepNext/>
              <w:jc w:val="both"/>
              <w:rPr>
                <w:rFonts w:ascii="Arial Narrow" w:hAnsi="Arial Narrow" w:cs="Arial"/>
                <w:sz w:val="20"/>
                <w:szCs w:val="20"/>
              </w:rPr>
            </w:pPr>
          </w:p>
          <w:p w:rsidR="0089324A" w:rsidRPr="00E03373" w:rsidRDefault="0089324A" w:rsidP="000839BA">
            <w:pPr>
              <w:keepNext/>
              <w:rPr>
                <w:rFonts w:ascii="Arial Narrow" w:hAnsi="Arial Narrow" w:cs="Arial"/>
                <w:sz w:val="20"/>
                <w:szCs w:val="20"/>
              </w:rPr>
            </w:pPr>
            <w:proofErr w:type="spellStart"/>
            <w:r w:rsidRPr="00E03373">
              <w:rPr>
                <w:rFonts w:ascii="Arial Narrow" w:hAnsi="Arial Narrow" w:cs="Arial"/>
                <w:sz w:val="20"/>
                <w:szCs w:val="20"/>
              </w:rPr>
              <w:t>Vitaflo</w:t>
            </w:r>
            <w:proofErr w:type="spellEnd"/>
            <w:r w:rsidRPr="00E03373">
              <w:rPr>
                <w:rFonts w:ascii="Arial Narrow" w:hAnsi="Arial Narrow" w:cs="Arial"/>
                <w:sz w:val="20"/>
                <w:szCs w:val="20"/>
              </w:rPr>
              <w:t xml:space="preserve"> Australia Pty Ltd</w:t>
            </w:r>
          </w:p>
        </w:tc>
      </w:tr>
      <w:tr w:rsidR="00FC3647" w:rsidRPr="00E03373" w:rsidTr="00EC0072">
        <w:trPr>
          <w:cantSplit/>
          <w:trHeight w:val="360"/>
        </w:trPr>
        <w:tc>
          <w:tcPr>
            <w:tcW w:w="9214" w:type="dxa"/>
            <w:gridSpan w:val="7"/>
            <w:tcBorders>
              <w:bottom w:val="single" w:sz="4" w:space="0" w:color="auto"/>
            </w:tcBorders>
          </w:tcPr>
          <w:p w:rsidR="00FC3647" w:rsidRPr="00E03373" w:rsidRDefault="00FC3647" w:rsidP="00EC0072">
            <w:pPr>
              <w:jc w:val="both"/>
              <w:rPr>
                <w:rFonts w:ascii="Arial Narrow" w:hAnsi="Arial Narrow" w:cs="Arial"/>
                <w:sz w:val="20"/>
                <w:szCs w:val="20"/>
              </w:rPr>
            </w:pPr>
          </w:p>
        </w:tc>
      </w:tr>
      <w:tr w:rsidR="00FC3647" w:rsidRPr="00E03373" w:rsidTr="00EC00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E03373" w:rsidRDefault="00FC3647" w:rsidP="00EC0072">
            <w:pPr>
              <w:jc w:val="both"/>
              <w:rPr>
                <w:rFonts w:ascii="Arial Narrow" w:hAnsi="Arial Narrow" w:cs="Arial"/>
                <w:b/>
                <w:sz w:val="20"/>
                <w:szCs w:val="20"/>
              </w:rPr>
            </w:pPr>
            <w:r w:rsidRPr="00E03373">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C3647" w:rsidRPr="00E03373" w:rsidRDefault="00FC3647" w:rsidP="00EC0072">
            <w:pPr>
              <w:rPr>
                <w:rFonts w:ascii="Arial Narrow" w:hAnsi="Arial Narrow" w:cs="Arial"/>
                <w:sz w:val="20"/>
                <w:szCs w:val="20"/>
              </w:rPr>
            </w:pPr>
            <w:r w:rsidRPr="00E03373">
              <w:rPr>
                <w:rFonts w:ascii="Arial Narrow" w:hAnsi="Arial Narrow" w:cs="Arial"/>
                <w:sz w:val="20"/>
                <w:szCs w:val="20"/>
              </w:rPr>
              <w:t>GENERAL – General Schedule (Code GE)</w:t>
            </w:r>
          </w:p>
        </w:tc>
      </w:tr>
      <w:tr w:rsidR="00FC3647" w:rsidRPr="00E03373" w:rsidTr="00EC00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E03373" w:rsidRDefault="00FC3647" w:rsidP="00EC0072">
            <w:pPr>
              <w:jc w:val="both"/>
              <w:rPr>
                <w:rFonts w:ascii="Arial Narrow" w:hAnsi="Arial Narrow" w:cs="Arial"/>
                <w:b/>
                <w:sz w:val="20"/>
                <w:szCs w:val="20"/>
              </w:rPr>
            </w:pPr>
            <w:r w:rsidRPr="00E03373">
              <w:rPr>
                <w:rFonts w:ascii="Arial Narrow" w:hAnsi="Arial Narrow" w:cs="Arial"/>
                <w:b/>
                <w:sz w:val="20"/>
                <w:szCs w:val="20"/>
              </w:rPr>
              <w:t>Prescriber type:</w:t>
            </w:r>
          </w:p>
          <w:p w:rsidR="00FC3647" w:rsidRPr="00E03373" w:rsidRDefault="00FC3647" w:rsidP="00EC0072">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E03373" w:rsidRDefault="00FC3647" w:rsidP="00EC0072">
            <w:pPr>
              <w:rPr>
                <w:rFonts w:ascii="Arial Narrow" w:hAnsi="Arial Narrow" w:cs="Arial"/>
                <w:sz w:val="20"/>
                <w:szCs w:val="20"/>
              </w:rPr>
            </w:pPr>
            <w:r w:rsidRPr="00E53A1A">
              <w:rPr>
                <w:rFonts w:ascii="Arial Narrow" w:hAnsi="Arial Narrow" w:cs="Arial"/>
                <w:sz w:val="20"/>
                <w:szCs w:val="20"/>
              </w:rPr>
              <w:fldChar w:fldCharType="begin">
                <w:ffData>
                  <w:name w:val="Check1"/>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 xml:space="preserve">Dental  </w:t>
            </w:r>
            <w:r w:rsidR="0089324A" w:rsidRPr="00E53A1A">
              <w:rPr>
                <w:rFonts w:ascii="Arial Narrow" w:hAnsi="Arial Narrow" w:cs="Arial"/>
                <w:sz w:val="20"/>
                <w:szCs w:val="20"/>
              </w:rPr>
              <w:fldChar w:fldCharType="begin">
                <w:ffData>
                  <w:name w:val=""/>
                  <w:enabled/>
                  <w:calcOnExit w:val="0"/>
                  <w:checkBox>
                    <w:sizeAuto/>
                    <w:default w:val="1"/>
                  </w:checkBox>
                </w:ffData>
              </w:fldChar>
            </w:r>
            <w:r w:rsidR="0089324A"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0089324A" w:rsidRPr="00E53A1A">
              <w:rPr>
                <w:rFonts w:ascii="Arial Narrow" w:hAnsi="Arial Narrow" w:cs="Arial"/>
                <w:sz w:val="20"/>
                <w:szCs w:val="20"/>
              </w:rPr>
              <w:fldChar w:fldCharType="end"/>
            </w:r>
            <w:r w:rsidRPr="00E03373">
              <w:rPr>
                <w:rFonts w:ascii="Arial Narrow" w:hAnsi="Arial Narrow" w:cs="Arial"/>
                <w:sz w:val="20"/>
                <w:szCs w:val="20"/>
              </w:rPr>
              <w:t xml:space="preserve">Medical Practitioners  </w:t>
            </w:r>
            <w:r w:rsidR="0089324A" w:rsidRPr="00E53A1A">
              <w:rPr>
                <w:rFonts w:ascii="Arial Narrow" w:hAnsi="Arial Narrow" w:cs="Arial"/>
                <w:sz w:val="20"/>
                <w:szCs w:val="20"/>
              </w:rPr>
              <w:fldChar w:fldCharType="begin">
                <w:ffData>
                  <w:name w:val="Check3"/>
                  <w:enabled/>
                  <w:calcOnExit w:val="0"/>
                  <w:checkBox>
                    <w:sizeAuto/>
                    <w:default w:val="1"/>
                  </w:checkBox>
                </w:ffData>
              </w:fldChar>
            </w:r>
            <w:bookmarkStart w:id="0" w:name="Check3"/>
            <w:r w:rsidR="0089324A"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0089324A" w:rsidRPr="00E53A1A">
              <w:rPr>
                <w:rFonts w:ascii="Arial Narrow" w:hAnsi="Arial Narrow" w:cs="Arial"/>
                <w:sz w:val="20"/>
                <w:szCs w:val="20"/>
              </w:rPr>
              <w:fldChar w:fldCharType="end"/>
            </w:r>
            <w:bookmarkEnd w:id="0"/>
            <w:r w:rsidRPr="00E03373">
              <w:rPr>
                <w:rFonts w:ascii="Arial Narrow" w:hAnsi="Arial Narrow" w:cs="Arial"/>
                <w:sz w:val="20"/>
                <w:szCs w:val="20"/>
              </w:rPr>
              <w:t xml:space="preserve">Nurse practitioners  </w:t>
            </w:r>
            <w:r w:rsidRPr="00E53A1A">
              <w:rPr>
                <w:rFonts w:ascii="Arial Narrow" w:hAnsi="Arial Narrow" w:cs="Arial"/>
                <w:sz w:val="20"/>
                <w:szCs w:val="20"/>
              </w:rPr>
              <w:fldChar w:fldCharType="begin">
                <w:ffData>
                  <w:name w:val=""/>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Optometrists</w:t>
            </w:r>
          </w:p>
          <w:p w:rsidR="00FC3647" w:rsidRPr="00E03373" w:rsidRDefault="00FC3647" w:rsidP="00EC0072">
            <w:pPr>
              <w:rPr>
                <w:rFonts w:ascii="Arial Narrow" w:hAnsi="Arial Narrow" w:cs="Arial"/>
                <w:sz w:val="20"/>
                <w:szCs w:val="20"/>
              </w:rPr>
            </w:pPr>
            <w:r w:rsidRPr="00E53A1A">
              <w:rPr>
                <w:rFonts w:ascii="Arial Narrow" w:hAnsi="Arial Narrow" w:cs="Arial"/>
                <w:sz w:val="20"/>
                <w:szCs w:val="20"/>
              </w:rPr>
              <w:fldChar w:fldCharType="begin">
                <w:ffData>
                  <w:name w:val="Check5"/>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Midwives</w:t>
            </w:r>
          </w:p>
        </w:tc>
      </w:tr>
      <w:tr w:rsidR="00FC3647" w:rsidRPr="00E03373" w:rsidTr="00EC0072">
        <w:trPr>
          <w:cantSplit/>
          <w:trHeight w:val="369"/>
        </w:trPr>
        <w:tc>
          <w:tcPr>
            <w:tcW w:w="2835" w:type="dxa"/>
            <w:tcBorders>
              <w:top w:val="single" w:sz="4" w:space="0" w:color="auto"/>
              <w:left w:val="single" w:sz="4" w:space="0" w:color="auto"/>
              <w:bottom w:val="single" w:sz="4" w:space="0" w:color="auto"/>
              <w:right w:val="single" w:sz="4" w:space="0" w:color="auto"/>
            </w:tcBorders>
          </w:tcPr>
          <w:p w:rsidR="00FC3647" w:rsidRPr="00E03373" w:rsidRDefault="00FC3647" w:rsidP="00EC0072">
            <w:pPr>
              <w:jc w:val="both"/>
              <w:rPr>
                <w:rFonts w:ascii="Arial Narrow" w:hAnsi="Arial Narrow" w:cs="Arial"/>
                <w:b/>
                <w:sz w:val="20"/>
                <w:szCs w:val="20"/>
              </w:rPr>
            </w:pPr>
            <w:r w:rsidRPr="00E03373">
              <w:rPr>
                <w:rFonts w:ascii="Arial Narrow" w:hAnsi="Arial Narrow" w:cs="Arial"/>
                <w:b/>
                <w:sz w:val="20"/>
                <w:szCs w:val="20"/>
              </w:rPr>
              <w:t>PBS Indication:</w:t>
            </w:r>
          </w:p>
          <w:p w:rsidR="00FC3647" w:rsidRPr="00E03373" w:rsidRDefault="00FC3647" w:rsidP="00EC0072">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E03373" w:rsidRDefault="0089324A" w:rsidP="00EC0072">
            <w:pPr>
              <w:rPr>
                <w:rFonts w:ascii="Arial Narrow" w:hAnsi="Arial Narrow" w:cs="Arial"/>
                <w:sz w:val="20"/>
                <w:szCs w:val="20"/>
              </w:rPr>
            </w:pPr>
            <w:r w:rsidRPr="00E03373">
              <w:rPr>
                <w:rFonts w:ascii="Arial Narrow" w:hAnsi="Arial Narrow" w:cs="Arial"/>
                <w:sz w:val="20"/>
                <w:szCs w:val="20"/>
              </w:rPr>
              <w:t>Maple syrup urine disease</w:t>
            </w:r>
          </w:p>
        </w:tc>
      </w:tr>
      <w:tr w:rsidR="00FC3647" w:rsidRPr="00E03373" w:rsidTr="00EC00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3647" w:rsidRPr="00E03373" w:rsidRDefault="00FC3647" w:rsidP="00EC0072">
            <w:pPr>
              <w:jc w:val="both"/>
              <w:rPr>
                <w:rFonts w:ascii="Arial Narrow" w:hAnsi="Arial Narrow" w:cs="Arial"/>
                <w:b/>
                <w:sz w:val="20"/>
                <w:szCs w:val="20"/>
              </w:rPr>
            </w:pPr>
            <w:r w:rsidRPr="00E03373">
              <w:rPr>
                <w:rFonts w:ascii="Arial Narrow" w:hAnsi="Arial Narrow" w:cs="Arial"/>
                <w:b/>
                <w:sz w:val="20"/>
                <w:szCs w:val="20"/>
              </w:rPr>
              <w:t>Restriction Level / Method:</w:t>
            </w:r>
          </w:p>
          <w:p w:rsidR="00FC3647" w:rsidRPr="00E03373" w:rsidRDefault="00FC3647" w:rsidP="00EC0072">
            <w:pPr>
              <w:rPr>
                <w:rFonts w:ascii="Arial Narrow" w:hAnsi="Arial Narrow" w:cs="Arial"/>
                <w:sz w:val="20"/>
                <w:szCs w:val="20"/>
              </w:rPr>
            </w:pPr>
          </w:p>
          <w:p w:rsidR="00FC3647" w:rsidRPr="00E03373" w:rsidRDefault="00FC3647" w:rsidP="00EC0072">
            <w:pPr>
              <w:rPr>
                <w:rFonts w:ascii="Arial Narrow" w:hAnsi="Arial Narrow" w:cs="Arial"/>
                <w:sz w:val="20"/>
                <w:szCs w:val="20"/>
              </w:rPr>
            </w:pPr>
          </w:p>
          <w:p w:rsidR="00FC3647" w:rsidRPr="00E03373" w:rsidRDefault="00FC3647" w:rsidP="00EC0072">
            <w:pPr>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FC3647" w:rsidRPr="00E03373" w:rsidRDefault="003A1B2A" w:rsidP="00EC0072">
            <w:pPr>
              <w:rPr>
                <w:rFonts w:ascii="Arial Narrow" w:hAnsi="Arial Narrow" w:cs="Arial"/>
                <w:sz w:val="20"/>
                <w:szCs w:val="20"/>
              </w:rPr>
            </w:pPr>
            <w:r w:rsidRPr="00E53A1A">
              <w:rPr>
                <w:rFonts w:ascii="Arial Narrow" w:hAnsi="Arial Narrow" w:cs="Arial"/>
                <w:sz w:val="20"/>
                <w:szCs w:val="20"/>
              </w:rPr>
              <w:fldChar w:fldCharType="begin">
                <w:ffData>
                  <w:name w:val="Check1"/>
                  <w:enabled/>
                  <w:calcOnExit w:val="0"/>
                  <w:checkBox>
                    <w:sizeAuto/>
                    <w:default w:val="1"/>
                  </w:checkBox>
                </w:ffData>
              </w:fldChar>
            </w:r>
            <w:bookmarkStart w:id="1" w:name="Check1"/>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bookmarkEnd w:id="1"/>
            <w:r w:rsidR="00FC3647" w:rsidRPr="00E03373">
              <w:rPr>
                <w:rFonts w:ascii="Arial Narrow" w:hAnsi="Arial Narrow" w:cs="Arial"/>
                <w:sz w:val="20"/>
                <w:szCs w:val="20"/>
              </w:rPr>
              <w:t>Restricted benefit</w:t>
            </w:r>
          </w:p>
          <w:p w:rsidR="00FC3647" w:rsidRPr="00E03373" w:rsidRDefault="00FC3647" w:rsidP="00EC0072">
            <w:pPr>
              <w:rPr>
                <w:rFonts w:ascii="Arial Narrow" w:hAnsi="Arial Narrow" w:cs="Arial"/>
                <w:sz w:val="20"/>
                <w:szCs w:val="20"/>
              </w:rPr>
            </w:pPr>
            <w:r w:rsidRPr="00E53A1A">
              <w:rPr>
                <w:rFonts w:ascii="Arial Narrow" w:hAnsi="Arial Narrow" w:cs="Arial"/>
                <w:sz w:val="20"/>
                <w:szCs w:val="20"/>
              </w:rPr>
              <w:fldChar w:fldCharType="begin">
                <w:ffData>
                  <w:name w:val=""/>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Authority Required – In Writing</w:t>
            </w:r>
          </w:p>
          <w:p w:rsidR="00FC3647" w:rsidRPr="00E03373" w:rsidRDefault="00FC3647" w:rsidP="00EC0072">
            <w:pPr>
              <w:rPr>
                <w:rFonts w:ascii="Arial Narrow" w:hAnsi="Arial Narrow" w:cs="Arial"/>
                <w:sz w:val="20"/>
                <w:szCs w:val="20"/>
              </w:rPr>
            </w:pPr>
            <w:r w:rsidRPr="00E53A1A">
              <w:rPr>
                <w:rFonts w:ascii="Arial Narrow" w:hAnsi="Arial Narrow" w:cs="Arial"/>
                <w:sz w:val="20"/>
                <w:szCs w:val="20"/>
              </w:rPr>
              <w:fldChar w:fldCharType="begin">
                <w:ffData>
                  <w:name w:val="Check3"/>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Authority Required – Telephone/Electronic/Emergency</w:t>
            </w:r>
          </w:p>
          <w:p w:rsidR="00FC3647" w:rsidRPr="00E03373" w:rsidRDefault="00FC3647" w:rsidP="00EC0072">
            <w:pPr>
              <w:rPr>
                <w:rFonts w:ascii="Arial Narrow" w:hAnsi="Arial Narrow" w:cs="Arial"/>
                <w:sz w:val="20"/>
                <w:szCs w:val="20"/>
              </w:rPr>
            </w:pPr>
            <w:r w:rsidRPr="00E53A1A">
              <w:rPr>
                <w:rFonts w:ascii="Arial Narrow" w:hAnsi="Arial Narrow" w:cs="Arial"/>
                <w:sz w:val="20"/>
                <w:szCs w:val="20"/>
              </w:rPr>
              <w:fldChar w:fldCharType="begin">
                <w:ffData>
                  <w:name w:val="Check5"/>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Streamlined</w:t>
            </w:r>
          </w:p>
        </w:tc>
      </w:tr>
    </w:tbl>
    <w:p w:rsidR="00725BF0" w:rsidRPr="00E03373" w:rsidRDefault="00921DCA" w:rsidP="00C46A02">
      <w:pPr>
        <w:pStyle w:val="3Bodytext"/>
        <w:numPr>
          <w:ilvl w:val="0"/>
          <w:numId w:val="0"/>
        </w:numPr>
        <w:spacing w:before="160"/>
        <w:ind w:left="720"/>
        <w:rPr>
          <w:rFonts w:cstheme="minorHAnsi"/>
          <w:i/>
        </w:rPr>
      </w:pPr>
      <w:r w:rsidRPr="00E03373">
        <w:t xml:space="preserve"> </w:t>
      </w:r>
      <w:r w:rsidR="00725BF0" w:rsidRPr="00E03373">
        <w:rPr>
          <w:rFonts w:cstheme="minorHAnsi"/>
          <w:i/>
        </w:rPr>
        <w:t>For more detail on PBAC’s view, see section 7 PBAC outcome.</w:t>
      </w:r>
    </w:p>
    <w:p w:rsidR="00C603D4" w:rsidRPr="00E03373" w:rsidRDefault="00CE10C4" w:rsidP="00593DDA">
      <w:pPr>
        <w:pStyle w:val="2Sections"/>
      </w:pPr>
      <w:r w:rsidRPr="00E03373">
        <w:t>Background</w:t>
      </w:r>
    </w:p>
    <w:p w:rsidR="004F65BD" w:rsidRPr="00E03373" w:rsidRDefault="004F65BD" w:rsidP="00593DDA">
      <w:pPr>
        <w:pStyle w:val="3Bodytext"/>
        <w:numPr>
          <w:ilvl w:val="1"/>
          <w:numId w:val="5"/>
        </w:numPr>
      </w:pPr>
      <w:r w:rsidRPr="00E03373">
        <w:t xml:space="preserve">The sponsor of </w:t>
      </w:r>
      <w:r w:rsidR="00EC49B9" w:rsidRPr="00E03373">
        <w:t>MSUD Explore</w:t>
      </w:r>
      <w:r w:rsidR="008371F5" w:rsidRPr="00E03373">
        <w:t xml:space="preserve"> </w:t>
      </w:r>
      <w:r w:rsidR="00EC49B9" w:rsidRPr="00E03373">
        <w:t>5</w:t>
      </w:r>
      <w:r w:rsidRPr="00E03373">
        <w:t xml:space="preserve"> confirmed it meets the requirements for foods for medical purposes as set out under </w:t>
      </w:r>
      <w:r w:rsidRPr="00E03373">
        <w:rPr>
          <w:i/>
        </w:rPr>
        <w:t>The Australia New Zealand Food Standards Code — Standard 2.9.5: Food for Special Medical Purposes</w:t>
      </w:r>
      <w:r w:rsidRPr="00E03373">
        <w:t>.</w:t>
      </w:r>
    </w:p>
    <w:p w:rsidR="003D3D16" w:rsidRPr="00E03373" w:rsidRDefault="003D3D16" w:rsidP="00593DDA">
      <w:pPr>
        <w:pStyle w:val="3Bodytext"/>
        <w:numPr>
          <w:ilvl w:val="1"/>
          <w:numId w:val="5"/>
        </w:numPr>
      </w:pPr>
      <w:r w:rsidRPr="00E03373">
        <w:t>The PBAC has not considered an application for MSUD Explore5 previously.</w:t>
      </w:r>
    </w:p>
    <w:p w:rsidR="00E663E9" w:rsidRPr="00E03373" w:rsidRDefault="00E663E9" w:rsidP="00593DDA">
      <w:pPr>
        <w:pStyle w:val="2Sections"/>
      </w:pPr>
      <w:r w:rsidRPr="00E03373">
        <w:lastRenderedPageBreak/>
        <w:t>Comparator</w:t>
      </w:r>
    </w:p>
    <w:p w:rsidR="00E663E9" w:rsidRPr="00E03373" w:rsidRDefault="006372F4" w:rsidP="00593DDA">
      <w:pPr>
        <w:pStyle w:val="3Bodytext"/>
        <w:numPr>
          <w:ilvl w:val="1"/>
          <w:numId w:val="5"/>
        </w:numPr>
      </w:pPr>
      <w:r w:rsidRPr="00E03373">
        <w:t>The submission nominated MSUD</w:t>
      </w:r>
      <w:r w:rsidR="00EC49B9" w:rsidRPr="00E03373">
        <w:t xml:space="preserve"> Gel as the comparator due to similarities in the nutritional profile and place in therapy as a second-stage protein supplement suitable for infants. </w:t>
      </w:r>
    </w:p>
    <w:p w:rsidR="003D3D16" w:rsidRPr="00E03373" w:rsidRDefault="003D3D16" w:rsidP="000839BA">
      <w:pPr>
        <w:pStyle w:val="3Bodytext"/>
        <w:numPr>
          <w:ilvl w:val="1"/>
          <w:numId w:val="5"/>
        </w:numPr>
      </w:pPr>
      <w:r w:rsidRPr="00E03373">
        <w:t>The submission states the difference between the MSUD explore and the nominated comparator to be</w:t>
      </w:r>
      <w:r w:rsidR="0035330B" w:rsidRPr="00E03373">
        <w:t xml:space="preserve"> the addition</w:t>
      </w:r>
      <w:r w:rsidR="000839BA" w:rsidRPr="00E03373">
        <w:t xml:space="preserve"> of</w:t>
      </w:r>
      <w:r w:rsidR="0035330B" w:rsidRPr="00E03373">
        <w:t xml:space="preserve"> </w:t>
      </w:r>
      <w:r w:rsidR="00E53A1A" w:rsidRPr="00E03373">
        <w:t>docosahexaenoic</w:t>
      </w:r>
      <w:r w:rsidR="000839BA" w:rsidRPr="00E03373">
        <w:t xml:space="preserve"> acid (DHA) and arachidonic acid (ARA)</w:t>
      </w:r>
      <w:r w:rsidR="0035330B" w:rsidRPr="00E03373">
        <w:t>.</w:t>
      </w:r>
      <w:r w:rsidRPr="00E03373">
        <w:t xml:space="preserve"> </w:t>
      </w:r>
    </w:p>
    <w:p w:rsidR="00725BF0" w:rsidRPr="00E03373" w:rsidRDefault="00725BF0" w:rsidP="00725BF0">
      <w:pPr>
        <w:pStyle w:val="3Bodytext"/>
        <w:numPr>
          <w:ilvl w:val="0"/>
          <w:numId w:val="0"/>
        </w:numPr>
        <w:ind w:left="720"/>
      </w:pPr>
      <w:r w:rsidRPr="00E03373">
        <w:rPr>
          <w:rFonts w:cstheme="minorHAnsi"/>
          <w:i/>
        </w:rPr>
        <w:t>For more detail on PBAC’s view, see section 7 PBAC outcome.</w:t>
      </w:r>
    </w:p>
    <w:p w:rsidR="00FC3647" w:rsidRPr="00E03373" w:rsidRDefault="00FC3647" w:rsidP="00593DDA">
      <w:pPr>
        <w:pStyle w:val="2Sections"/>
      </w:pPr>
      <w:r w:rsidRPr="00E03373">
        <w:t>Consideration of the evidence</w:t>
      </w:r>
    </w:p>
    <w:p w:rsidR="00022121" w:rsidRPr="00E03373" w:rsidRDefault="002C708C" w:rsidP="00022121">
      <w:pPr>
        <w:pStyle w:val="Heading2"/>
        <w:keepLines/>
        <w:spacing w:before="240" w:after="120"/>
        <w:rPr>
          <w:rFonts w:asciiTheme="minorHAnsi" w:eastAsiaTheme="majorEastAsia" w:hAnsiTheme="minorHAnsi" w:cstheme="majorBidi"/>
          <w:sz w:val="28"/>
          <w:szCs w:val="28"/>
          <w:lang w:eastAsia="en-US"/>
        </w:rPr>
      </w:pPr>
      <w:r w:rsidRPr="00E03373">
        <w:rPr>
          <w:rFonts w:asciiTheme="minorHAnsi" w:eastAsiaTheme="majorEastAsia" w:hAnsiTheme="minorHAnsi" w:cstheme="majorBidi"/>
          <w:sz w:val="28"/>
          <w:szCs w:val="28"/>
          <w:lang w:eastAsia="en-US"/>
        </w:rPr>
        <w:t>Sponsor hearing</w:t>
      </w:r>
    </w:p>
    <w:p w:rsidR="002C708C" w:rsidRPr="00E03373" w:rsidRDefault="002C708C" w:rsidP="002C708C">
      <w:pPr>
        <w:widowControl w:val="0"/>
        <w:numPr>
          <w:ilvl w:val="1"/>
          <w:numId w:val="5"/>
        </w:numPr>
        <w:spacing w:after="120"/>
        <w:jc w:val="both"/>
        <w:rPr>
          <w:rFonts w:asciiTheme="minorHAnsi" w:hAnsiTheme="minorHAnsi" w:cs="Arial"/>
          <w:bCs/>
          <w:snapToGrid w:val="0"/>
        </w:rPr>
      </w:pPr>
      <w:r w:rsidRPr="00E03373">
        <w:rPr>
          <w:rFonts w:asciiTheme="minorHAnsi" w:hAnsiTheme="minorHAnsi" w:cs="Arial"/>
          <w:bCs/>
          <w:snapToGrid w:val="0"/>
        </w:rPr>
        <w:t>There was no hearing for this ite</w:t>
      </w:r>
      <w:r w:rsidR="00022121" w:rsidRPr="00E03373">
        <w:rPr>
          <w:rFonts w:asciiTheme="minorHAnsi" w:hAnsiTheme="minorHAnsi" w:cs="Arial"/>
          <w:bCs/>
          <w:snapToGrid w:val="0"/>
        </w:rPr>
        <w:t>m as it was a minor submission.</w:t>
      </w:r>
    </w:p>
    <w:p w:rsidR="002C708C" w:rsidRPr="00E03373" w:rsidRDefault="002C708C" w:rsidP="002C708C">
      <w:pPr>
        <w:pStyle w:val="Heading2"/>
        <w:keepLines/>
        <w:spacing w:before="240" w:after="120"/>
        <w:rPr>
          <w:rFonts w:asciiTheme="minorHAnsi" w:eastAsiaTheme="majorEastAsia" w:hAnsiTheme="minorHAnsi" w:cstheme="majorBidi"/>
          <w:sz w:val="28"/>
          <w:szCs w:val="28"/>
          <w:lang w:eastAsia="en-US"/>
        </w:rPr>
      </w:pPr>
      <w:r w:rsidRPr="00E03373">
        <w:rPr>
          <w:rFonts w:asciiTheme="minorHAnsi" w:eastAsiaTheme="majorEastAsia" w:hAnsiTheme="minorHAnsi" w:cstheme="majorBidi"/>
          <w:sz w:val="28"/>
          <w:szCs w:val="28"/>
          <w:lang w:eastAsia="en-US"/>
        </w:rPr>
        <w:t>Consumer comments</w:t>
      </w:r>
    </w:p>
    <w:p w:rsidR="002C708C" w:rsidRPr="00E03373" w:rsidRDefault="00022121" w:rsidP="002C708C">
      <w:pPr>
        <w:widowControl w:val="0"/>
        <w:numPr>
          <w:ilvl w:val="1"/>
          <w:numId w:val="5"/>
        </w:numPr>
        <w:spacing w:after="120"/>
        <w:jc w:val="both"/>
        <w:rPr>
          <w:rFonts w:asciiTheme="minorHAnsi" w:hAnsiTheme="minorHAnsi" w:cs="Arial"/>
          <w:bCs/>
          <w:snapToGrid w:val="0"/>
        </w:rPr>
      </w:pPr>
      <w:r w:rsidRPr="00E03373">
        <w:rPr>
          <w:rFonts w:asciiTheme="minorHAnsi" w:hAnsiTheme="minorHAnsi" w:cs="Arial"/>
          <w:bCs/>
          <w:snapToGrid w:val="0"/>
        </w:rPr>
        <w:t xml:space="preserve"> </w:t>
      </w:r>
      <w:r w:rsidR="002C708C" w:rsidRPr="00E03373">
        <w:rPr>
          <w:rFonts w:asciiTheme="minorHAnsi" w:hAnsiTheme="minorHAnsi" w:cs="Arial"/>
          <w:bCs/>
          <w:snapToGrid w:val="0"/>
        </w:rPr>
        <w:t>The PBAC noted that no consumer comments</w:t>
      </w:r>
      <w:r w:rsidRPr="00E03373">
        <w:rPr>
          <w:rFonts w:asciiTheme="minorHAnsi" w:hAnsiTheme="minorHAnsi" w:cs="Arial"/>
          <w:bCs/>
          <w:snapToGrid w:val="0"/>
        </w:rPr>
        <w:t xml:space="preserve"> were received for this item.</w:t>
      </w:r>
    </w:p>
    <w:p w:rsidR="00FC3647" w:rsidRPr="00E03373" w:rsidRDefault="00FC3647" w:rsidP="00FC3647">
      <w:pPr>
        <w:pStyle w:val="Heading2"/>
        <w:keepLines/>
        <w:spacing w:before="240" w:after="120"/>
        <w:rPr>
          <w:rFonts w:asciiTheme="minorHAnsi" w:eastAsiaTheme="majorEastAsia" w:hAnsiTheme="minorHAnsi" w:cstheme="majorBidi"/>
          <w:sz w:val="28"/>
          <w:szCs w:val="28"/>
          <w:lang w:eastAsia="en-US"/>
        </w:rPr>
      </w:pPr>
      <w:r w:rsidRPr="00E03373">
        <w:rPr>
          <w:rFonts w:asciiTheme="minorHAnsi" w:eastAsiaTheme="majorEastAsia" w:hAnsiTheme="minorHAnsi" w:cstheme="majorBidi"/>
          <w:sz w:val="28"/>
          <w:szCs w:val="28"/>
          <w:lang w:eastAsia="en-US"/>
        </w:rPr>
        <w:t>Clinical trials</w:t>
      </w:r>
    </w:p>
    <w:p w:rsidR="00FC3647" w:rsidRPr="00E03373" w:rsidRDefault="00FC3647" w:rsidP="00593DDA">
      <w:pPr>
        <w:pStyle w:val="3Bodytext"/>
        <w:numPr>
          <w:ilvl w:val="1"/>
          <w:numId w:val="5"/>
        </w:numPr>
      </w:pPr>
      <w:r w:rsidRPr="00E03373">
        <w:t>As a minor submission, no clinical trials were presented in the submission.</w:t>
      </w:r>
    </w:p>
    <w:p w:rsidR="00FC3647" w:rsidRPr="00E03373" w:rsidRDefault="00356046" w:rsidP="00FC3647">
      <w:pPr>
        <w:pStyle w:val="Heading2"/>
        <w:keepLines/>
        <w:spacing w:before="240" w:after="120"/>
        <w:rPr>
          <w:rFonts w:asciiTheme="minorHAnsi" w:eastAsiaTheme="majorEastAsia" w:hAnsiTheme="minorHAnsi" w:cstheme="majorBidi"/>
          <w:sz w:val="28"/>
          <w:szCs w:val="28"/>
          <w:lang w:eastAsia="en-US"/>
        </w:rPr>
      </w:pPr>
      <w:r w:rsidRPr="00E03373">
        <w:rPr>
          <w:rFonts w:asciiTheme="minorHAnsi" w:eastAsiaTheme="majorEastAsia" w:hAnsiTheme="minorHAnsi" w:cstheme="majorBidi"/>
          <w:sz w:val="28"/>
          <w:szCs w:val="28"/>
          <w:lang w:eastAsia="en-US"/>
        </w:rPr>
        <w:t xml:space="preserve">Drug cost/patient/year: </w:t>
      </w:r>
      <w:r w:rsidR="000E0154" w:rsidRPr="00E03373">
        <w:rPr>
          <w:rFonts w:asciiTheme="minorHAnsi" w:eastAsiaTheme="majorEastAsia" w:hAnsiTheme="minorHAnsi" w:cstheme="majorBidi"/>
          <w:sz w:val="28"/>
          <w:szCs w:val="28"/>
          <w:lang w:eastAsia="en-US"/>
        </w:rPr>
        <w:t>$</w:t>
      </w:r>
      <w:r w:rsidR="00F370E8" w:rsidRPr="00E03373">
        <w:rPr>
          <w:rFonts w:asciiTheme="minorHAnsi" w:eastAsiaTheme="majorEastAsia" w:hAnsiTheme="minorHAnsi" w:cstheme="majorBidi"/>
          <w:sz w:val="28"/>
          <w:szCs w:val="28"/>
          <w:lang w:eastAsia="en-US"/>
        </w:rPr>
        <w:t>23,762.76</w:t>
      </w:r>
    </w:p>
    <w:p w:rsidR="00FC3647" w:rsidRPr="00E03373" w:rsidRDefault="00FC3647" w:rsidP="00593DDA">
      <w:pPr>
        <w:pStyle w:val="3Bodytext"/>
        <w:numPr>
          <w:ilvl w:val="1"/>
          <w:numId w:val="5"/>
        </w:numPr>
      </w:pPr>
      <w:r w:rsidRPr="00E03373">
        <w:t>The estimated drug cost</w:t>
      </w:r>
      <w:r w:rsidR="00356046" w:rsidRPr="00E03373">
        <w:t>/patient/year</w:t>
      </w:r>
      <w:r w:rsidR="00F370E8" w:rsidRPr="00E03373">
        <w:t xml:space="preserve"> would be $23,762.76</w:t>
      </w:r>
      <w:r w:rsidRPr="00E03373">
        <w:t xml:space="preserve">, </w:t>
      </w:r>
      <w:r w:rsidR="003B2596" w:rsidRPr="00E03373">
        <w:t>assuming a</w:t>
      </w:r>
      <w:r w:rsidR="000E0154" w:rsidRPr="00E03373">
        <w:t xml:space="preserve"> monthly requirement of 1,200g of protein equivalent (PE),</w:t>
      </w:r>
      <w:r w:rsidR="00356046" w:rsidRPr="00E03373">
        <w:t xml:space="preserve"> at a</w:t>
      </w:r>
      <w:r w:rsidR="000E0154" w:rsidRPr="00E03373">
        <w:t xml:space="preserve"> DPMQ of $1,980.23 for 1,200g PE per month for 12 months</w:t>
      </w:r>
      <w:r w:rsidR="00356046" w:rsidRPr="00E03373">
        <w:t>.</w:t>
      </w:r>
      <w:r w:rsidRPr="00E03373">
        <w:t xml:space="preserve"> </w:t>
      </w:r>
    </w:p>
    <w:p w:rsidR="00FC3647" w:rsidRPr="00E03373" w:rsidRDefault="00FC3647" w:rsidP="00FC3647">
      <w:pPr>
        <w:pStyle w:val="Heading2"/>
        <w:keepLines/>
        <w:spacing w:before="240" w:after="120"/>
        <w:rPr>
          <w:rFonts w:asciiTheme="minorHAnsi" w:eastAsiaTheme="majorEastAsia" w:hAnsiTheme="minorHAnsi" w:cstheme="majorBidi"/>
          <w:sz w:val="28"/>
          <w:szCs w:val="28"/>
          <w:lang w:eastAsia="en-US"/>
        </w:rPr>
      </w:pPr>
      <w:r w:rsidRPr="00E03373">
        <w:rPr>
          <w:rFonts w:asciiTheme="minorHAnsi" w:eastAsiaTheme="majorEastAsia" w:hAnsiTheme="minorHAnsi" w:cstheme="majorBidi"/>
          <w:sz w:val="28"/>
          <w:szCs w:val="28"/>
          <w:lang w:eastAsia="en-US"/>
        </w:rPr>
        <w:t>Estimated PBS usage &amp; financial implications</w:t>
      </w:r>
    </w:p>
    <w:p w:rsidR="00F370E8" w:rsidRPr="00E03373" w:rsidRDefault="00F370E8" w:rsidP="00593DDA">
      <w:pPr>
        <w:pStyle w:val="3Bodytext"/>
        <w:numPr>
          <w:ilvl w:val="1"/>
          <w:numId w:val="5"/>
        </w:numPr>
      </w:pPr>
      <w:r w:rsidRPr="00E03373">
        <w:t>The minor submission est</w:t>
      </w:r>
      <w:r w:rsidR="00F82EFD">
        <w:t>imated a net cost to the PBS of</w:t>
      </w:r>
      <w:r w:rsidR="0028601B">
        <w:t xml:space="preserve"> less than $10 million </w:t>
      </w:r>
      <w:r w:rsidRPr="00E03373">
        <w:t xml:space="preserve">in Year </w:t>
      </w:r>
      <w:r w:rsidR="00483DF3" w:rsidRPr="00E03373">
        <w:t>6</w:t>
      </w:r>
      <w:r w:rsidRPr="00E03373">
        <w:t xml:space="preserve"> of listing, with</w:t>
      </w:r>
      <w:r w:rsidR="00CB2AA3">
        <w:t xml:space="preserve"> a total net cost to the PBS of</w:t>
      </w:r>
      <w:r w:rsidR="0028601B">
        <w:t xml:space="preserve"> less than $10 million </w:t>
      </w:r>
      <w:r w:rsidRPr="00E03373">
        <w:t xml:space="preserve">over the first </w:t>
      </w:r>
      <w:r w:rsidR="00483DF3" w:rsidRPr="00E03373">
        <w:t>6</w:t>
      </w:r>
      <w:r w:rsidRPr="00E03373">
        <w:t xml:space="preserve"> years of listing. This is summarised in the table below as well as the expected patient/prescription numbers</w:t>
      </w:r>
      <w:r w:rsidR="00E03373">
        <w:t xml:space="preserve">. </w:t>
      </w:r>
    </w:p>
    <w:p w:rsidR="00FC3647" w:rsidRPr="00E03373" w:rsidRDefault="00FC3647" w:rsidP="00FC3647">
      <w:pPr>
        <w:rPr>
          <w:rFonts w:ascii="Arial Narrow" w:hAnsi="Arial Narrow"/>
          <w:b/>
          <w:sz w:val="20"/>
          <w:szCs w:val="20"/>
        </w:rPr>
      </w:pPr>
      <w:r w:rsidRPr="00E03373">
        <w:rPr>
          <w:rStyle w:val="CommentReference"/>
          <w:rFonts w:ascii="Arial Narrow" w:hAnsi="Arial Narrow"/>
          <w:b/>
          <w:sz w:val="20"/>
          <w:szCs w:val="20"/>
        </w:rPr>
        <w:t xml:space="preserve">Table </w:t>
      </w:r>
      <w:r w:rsidR="00710685" w:rsidRPr="00E03373">
        <w:rPr>
          <w:rStyle w:val="CommentReference"/>
          <w:rFonts w:ascii="Arial Narrow" w:hAnsi="Arial Narrow"/>
          <w:b/>
          <w:sz w:val="20"/>
          <w:szCs w:val="20"/>
        </w:rPr>
        <w:t>1</w:t>
      </w:r>
      <w:r w:rsidRPr="00E03373">
        <w:rPr>
          <w:rStyle w:val="CommentReference"/>
          <w:rFonts w:ascii="Arial Narrow" w:hAnsi="Arial Narrow"/>
          <w:b/>
          <w:sz w:val="20"/>
          <w:szCs w:val="2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Estimated use and financial implications"/>
      </w:tblPr>
      <w:tblGrid>
        <w:gridCol w:w="1988"/>
        <w:gridCol w:w="1149"/>
        <w:gridCol w:w="1149"/>
        <w:gridCol w:w="1150"/>
        <w:gridCol w:w="1150"/>
        <w:gridCol w:w="1150"/>
        <w:gridCol w:w="1280"/>
      </w:tblGrid>
      <w:tr w:rsidR="00FC3647" w:rsidRPr="00E03373" w:rsidTr="00483DF3">
        <w:trPr>
          <w:tblHeader/>
        </w:trPr>
        <w:tc>
          <w:tcPr>
            <w:tcW w:w="1102" w:type="pct"/>
            <w:shd w:val="clear" w:color="auto" w:fill="auto"/>
            <w:vAlign w:val="center"/>
          </w:tcPr>
          <w:p w:rsidR="00FC3647" w:rsidRPr="00E03373" w:rsidRDefault="00FC3647" w:rsidP="00EC0072">
            <w:pPr>
              <w:pStyle w:val="Tabletext"/>
              <w:spacing w:after="0"/>
              <w:rPr>
                <w:rFonts w:ascii="Arial Narrow" w:hAnsi="Arial Narrow"/>
              </w:rPr>
            </w:pPr>
          </w:p>
        </w:tc>
        <w:tc>
          <w:tcPr>
            <w:tcW w:w="637" w:type="pct"/>
            <w:shd w:val="clear" w:color="auto" w:fill="auto"/>
            <w:vAlign w:val="center"/>
          </w:tcPr>
          <w:p w:rsidR="00FC3647" w:rsidRPr="00E03373" w:rsidRDefault="00FC3647" w:rsidP="00EC0072">
            <w:pPr>
              <w:pStyle w:val="Tabletext"/>
              <w:spacing w:after="0"/>
              <w:jc w:val="center"/>
              <w:rPr>
                <w:rFonts w:ascii="Arial Narrow" w:hAnsi="Arial Narrow"/>
                <w:b/>
              </w:rPr>
            </w:pPr>
            <w:r w:rsidRPr="00E03373">
              <w:rPr>
                <w:rFonts w:ascii="Arial Narrow" w:hAnsi="Arial Narrow"/>
                <w:b/>
              </w:rPr>
              <w:t>Year 1</w:t>
            </w:r>
          </w:p>
        </w:tc>
        <w:tc>
          <w:tcPr>
            <w:tcW w:w="637" w:type="pct"/>
            <w:shd w:val="clear" w:color="auto" w:fill="auto"/>
            <w:vAlign w:val="center"/>
          </w:tcPr>
          <w:p w:rsidR="00FC3647" w:rsidRPr="00E03373" w:rsidRDefault="00FC3647" w:rsidP="00EC0072">
            <w:pPr>
              <w:pStyle w:val="Tabletext"/>
              <w:spacing w:after="0"/>
              <w:jc w:val="center"/>
              <w:rPr>
                <w:rFonts w:ascii="Arial Narrow" w:hAnsi="Arial Narrow"/>
                <w:b/>
              </w:rPr>
            </w:pPr>
            <w:r w:rsidRPr="00E03373">
              <w:rPr>
                <w:rFonts w:ascii="Arial Narrow" w:hAnsi="Arial Narrow"/>
                <w:b/>
              </w:rPr>
              <w:t>Year 2</w:t>
            </w:r>
          </w:p>
        </w:tc>
        <w:tc>
          <w:tcPr>
            <w:tcW w:w="638" w:type="pct"/>
            <w:shd w:val="clear" w:color="auto" w:fill="auto"/>
            <w:vAlign w:val="center"/>
          </w:tcPr>
          <w:p w:rsidR="00FC3647" w:rsidRPr="00E03373" w:rsidRDefault="00FC3647" w:rsidP="00EC0072">
            <w:pPr>
              <w:pStyle w:val="Tabletext"/>
              <w:spacing w:after="0"/>
              <w:jc w:val="center"/>
              <w:rPr>
                <w:rFonts w:ascii="Arial Narrow" w:hAnsi="Arial Narrow"/>
                <w:b/>
              </w:rPr>
            </w:pPr>
            <w:r w:rsidRPr="00E03373">
              <w:rPr>
                <w:rFonts w:ascii="Arial Narrow" w:hAnsi="Arial Narrow"/>
                <w:b/>
              </w:rPr>
              <w:t>Year 3</w:t>
            </w:r>
          </w:p>
        </w:tc>
        <w:tc>
          <w:tcPr>
            <w:tcW w:w="638" w:type="pct"/>
            <w:shd w:val="clear" w:color="auto" w:fill="auto"/>
            <w:vAlign w:val="center"/>
          </w:tcPr>
          <w:p w:rsidR="00FC3647" w:rsidRPr="00E03373" w:rsidRDefault="00FC3647" w:rsidP="00EC0072">
            <w:pPr>
              <w:pStyle w:val="Tabletext"/>
              <w:spacing w:after="0"/>
              <w:jc w:val="center"/>
              <w:rPr>
                <w:rFonts w:ascii="Arial Narrow" w:hAnsi="Arial Narrow"/>
                <w:b/>
              </w:rPr>
            </w:pPr>
            <w:r w:rsidRPr="00E03373">
              <w:rPr>
                <w:rFonts w:ascii="Arial Narrow" w:hAnsi="Arial Narrow"/>
                <w:b/>
              </w:rPr>
              <w:t>Year 4</w:t>
            </w:r>
          </w:p>
        </w:tc>
        <w:tc>
          <w:tcPr>
            <w:tcW w:w="638" w:type="pct"/>
            <w:shd w:val="clear" w:color="auto" w:fill="auto"/>
            <w:vAlign w:val="center"/>
          </w:tcPr>
          <w:p w:rsidR="00FC3647" w:rsidRPr="00E03373" w:rsidRDefault="00FC3647" w:rsidP="00EC0072">
            <w:pPr>
              <w:pStyle w:val="Tabletext"/>
              <w:spacing w:after="0"/>
              <w:jc w:val="center"/>
              <w:rPr>
                <w:rFonts w:ascii="Arial Narrow" w:hAnsi="Arial Narrow"/>
                <w:b/>
              </w:rPr>
            </w:pPr>
            <w:r w:rsidRPr="00E03373">
              <w:rPr>
                <w:rFonts w:ascii="Arial Narrow" w:hAnsi="Arial Narrow"/>
                <w:b/>
              </w:rPr>
              <w:t>Year 5</w:t>
            </w:r>
          </w:p>
        </w:tc>
        <w:tc>
          <w:tcPr>
            <w:tcW w:w="709" w:type="pct"/>
          </w:tcPr>
          <w:p w:rsidR="00FC3647" w:rsidRPr="00E03373" w:rsidRDefault="00FC3647" w:rsidP="00EC0072">
            <w:pPr>
              <w:pStyle w:val="Tabletext"/>
              <w:spacing w:after="0"/>
              <w:jc w:val="center"/>
              <w:rPr>
                <w:rFonts w:ascii="Arial Narrow" w:hAnsi="Arial Narrow"/>
                <w:b/>
              </w:rPr>
            </w:pPr>
            <w:r w:rsidRPr="00E03373">
              <w:rPr>
                <w:rFonts w:ascii="Arial Narrow" w:hAnsi="Arial Narrow"/>
                <w:b/>
              </w:rPr>
              <w:t>Year 6</w:t>
            </w:r>
          </w:p>
        </w:tc>
      </w:tr>
      <w:tr w:rsidR="00FC3647" w:rsidRPr="00E03373" w:rsidTr="00483DF3">
        <w:tc>
          <w:tcPr>
            <w:tcW w:w="5000" w:type="pct"/>
            <w:gridSpan w:val="7"/>
            <w:shd w:val="clear" w:color="auto" w:fill="auto"/>
            <w:vAlign w:val="center"/>
          </w:tcPr>
          <w:p w:rsidR="00FC3647" w:rsidRPr="00E03373" w:rsidRDefault="00FC3647" w:rsidP="00EC0072">
            <w:pPr>
              <w:pStyle w:val="Tabletext"/>
              <w:spacing w:after="0"/>
              <w:rPr>
                <w:rFonts w:ascii="Arial Narrow" w:hAnsi="Arial Narrow"/>
                <w:b/>
                <w:bCs/>
                <w:color w:val="000000"/>
              </w:rPr>
            </w:pPr>
            <w:r w:rsidRPr="00E03373">
              <w:rPr>
                <w:rFonts w:ascii="Arial Narrow" w:hAnsi="Arial Narrow"/>
                <w:b/>
                <w:bCs/>
                <w:color w:val="000000"/>
              </w:rPr>
              <w:t>Estimated extent of use</w:t>
            </w:r>
          </w:p>
        </w:tc>
      </w:tr>
      <w:tr w:rsidR="00FC3647" w:rsidRPr="0028601B" w:rsidTr="007D69B6">
        <w:tc>
          <w:tcPr>
            <w:tcW w:w="1102" w:type="pct"/>
            <w:shd w:val="clear" w:color="auto" w:fill="auto"/>
            <w:vAlign w:val="center"/>
          </w:tcPr>
          <w:p w:rsidR="00FC3647" w:rsidRPr="00E03373" w:rsidRDefault="00FC3647" w:rsidP="00EC0072">
            <w:pPr>
              <w:pStyle w:val="Tabletext"/>
              <w:spacing w:after="0"/>
              <w:rPr>
                <w:rFonts w:ascii="Arial Narrow" w:hAnsi="Arial Narrow"/>
              </w:rPr>
            </w:pPr>
            <w:r w:rsidRPr="00E03373">
              <w:rPr>
                <w:rFonts w:ascii="Arial Narrow" w:hAnsi="Arial Narrow"/>
              </w:rPr>
              <w:t>Number of patients treated</w:t>
            </w:r>
          </w:p>
        </w:tc>
        <w:tc>
          <w:tcPr>
            <w:tcW w:w="637"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709" w:type="pct"/>
            <w:vAlign w:val="center"/>
          </w:tcPr>
          <w:p w:rsidR="00FC3647" w:rsidRPr="00144873" w:rsidRDefault="00144873" w:rsidP="007D69B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C3647" w:rsidRPr="0028601B" w:rsidTr="007D69B6">
        <w:tc>
          <w:tcPr>
            <w:tcW w:w="1102" w:type="pct"/>
            <w:shd w:val="clear" w:color="auto" w:fill="auto"/>
            <w:vAlign w:val="center"/>
          </w:tcPr>
          <w:p w:rsidR="00FC3647" w:rsidRPr="00E03373" w:rsidRDefault="00FC3647" w:rsidP="00EC0072">
            <w:pPr>
              <w:pStyle w:val="Tabletext"/>
              <w:spacing w:after="0"/>
              <w:rPr>
                <w:rFonts w:ascii="Arial Narrow" w:hAnsi="Arial Narrow"/>
              </w:rPr>
            </w:pPr>
            <w:r w:rsidRPr="00E03373">
              <w:rPr>
                <w:rFonts w:ascii="Arial Narrow" w:hAnsi="Arial Narrow"/>
              </w:rPr>
              <w:t xml:space="preserve">Number of scripts </w:t>
            </w:r>
            <w:proofErr w:type="spellStart"/>
            <w:r w:rsidRPr="00E03373">
              <w:rPr>
                <w:rFonts w:ascii="Arial Narrow" w:hAnsi="Arial Narrow"/>
              </w:rPr>
              <w:t>dispensed</w:t>
            </w:r>
            <w:r w:rsidRPr="00E03373">
              <w:rPr>
                <w:rFonts w:ascii="Arial Narrow" w:hAnsi="Arial Narrow"/>
                <w:vertAlign w:val="superscript"/>
              </w:rPr>
              <w:t>a</w:t>
            </w:r>
            <w:proofErr w:type="spellEnd"/>
          </w:p>
        </w:tc>
        <w:tc>
          <w:tcPr>
            <w:tcW w:w="637"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709" w:type="pct"/>
            <w:vAlign w:val="center"/>
          </w:tcPr>
          <w:p w:rsidR="00FC3647" w:rsidRPr="00144873" w:rsidRDefault="00144873" w:rsidP="007D69B6">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C3647" w:rsidRPr="00E03373" w:rsidTr="00483DF3">
        <w:tc>
          <w:tcPr>
            <w:tcW w:w="5000" w:type="pct"/>
            <w:gridSpan w:val="7"/>
            <w:shd w:val="clear" w:color="auto" w:fill="auto"/>
            <w:vAlign w:val="center"/>
          </w:tcPr>
          <w:p w:rsidR="00FC3647" w:rsidRPr="00E03373" w:rsidRDefault="00FC3647" w:rsidP="00DF21C0">
            <w:pPr>
              <w:pStyle w:val="Tabletext"/>
              <w:spacing w:after="0"/>
              <w:rPr>
                <w:rFonts w:ascii="Arial Narrow" w:hAnsi="Arial Narrow"/>
                <w:b/>
                <w:bCs/>
                <w:color w:val="000000"/>
              </w:rPr>
            </w:pPr>
            <w:r w:rsidRPr="00E03373">
              <w:rPr>
                <w:rFonts w:ascii="Arial Narrow" w:hAnsi="Arial Narrow"/>
                <w:b/>
                <w:bCs/>
                <w:color w:val="000000"/>
              </w:rPr>
              <w:t xml:space="preserve">Estimated financial implications of </w:t>
            </w:r>
            <w:r w:rsidR="00DF21C0" w:rsidRPr="00E03373">
              <w:rPr>
                <w:rFonts w:ascii="Arial Narrow" w:hAnsi="Arial Narrow"/>
                <w:b/>
                <w:bCs/>
                <w:color w:val="000000"/>
              </w:rPr>
              <w:t>MSUD Explore5</w:t>
            </w:r>
          </w:p>
        </w:tc>
      </w:tr>
      <w:tr w:rsidR="00FE075D" w:rsidRPr="00E03373" w:rsidTr="00483DF3">
        <w:tc>
          <w:tcPr>
            <w:tcW w:w="1102" w:type="pct"/>
            <w:shd w:val="clear" w:color="auto" w:fill="auto"/>
            <w:vAlign w:val="center"/>
          </w:tcPr>
          <w:p w:rsidR="00FE075D" w:rsidRPr="00E03373" w:rsidRDefault="00FE075D" w:rsidP="00FE075D">
            <w:pPr>
              <w:pStyle w:val="Tabletext"/>
              <w:spacing w:after="0"/>
              <w:rPr>
                <w:rFonts w:ascii="Arial Narrow" w:hAnsi="Arial Narrow"/>
              </w:rPr>
            </w:pPr>
            <w:r w:rsidRPr="00E03373">
              <w:rPr>
                <w:rFonts w:ascii="Arial Narrow" w:hAnsi="Arial Narrow"/>
              </w:rPr>
              <w:t>Cost to PBS/RPBS</w:t>
            </w:r>
          </w:p>
        </w:tc>
        <w:tc>
          <w:tcPr>
            <w:tcW w:w="637"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37"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38"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38"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38"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709" w:type="pct"/>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p>
        </w:tc>
      </w:tr>
      <w:tr w:rsidR="00FC3647" w:rsidRPr="00E03373" w:rsidTr="00483DF3">
        <w:tc>
          <w:tcPr>
            <w:tcW w:w="1102" w:type="pct"/>
            <w:shd w:val="clear" w:color="auto" w:fill="auto"/>
            <w:vAlign w:val="center"/>
          </w:tcPr>
          <w:p w:rsidR="00FC3647" w:rsidRPr="00E03373" w:rsidRDefault="00FC3647" w:rsidP="00EC0072">
            <w:pPr>
              <w:pStyle w:val="Tabletext"/>
              <w:spacing w:after="0"/>
              <w:rPr>
                <w:rFonts w:ascii="Arial Narrow" w:hAnsi="Arial Narrow"/>
              </w:rPr>
            </w:pPr>
            <w:proofErr w:type="spellStart"/>
            <w:r w:rsidRPr="00E03373">
              <w:rPr>
                <w:rFonts w:ascii="Arial Narrow" w:hAnsi="Arial Narrow"/>
              </w:rPr>
              <w:t>Copayments</w:t>
            </w:r>
            <w:proofErr w:type="spellEnd"/>
          </w:p>
        </w:tc>
        <w:tc>
          <w:tcPr>
            <w:tcW w:w="637"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7"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highlight w:val="black"/>
              </w:rPr>
            </w:pPr>
            <w:bookmarkStart w:id="2" w:name="_GoBack"/>
            <w:bookmarkEnd w:id="2"/>
            <w:r>
              <w:rPr>
                <w:rFonts w:ascii="Arial Narrow" w:hAnsi="Arial Narrow"/>
                <w:bCs/>
                <w:noProof/>
                <w:color w:val="000000"/>
                <w:highlight w:val="black"/>
              </w:rPr>
              <w:t>''''''''''''</w:t>
            </w:r>
          </w:p>
        </w:tc>
        <w:tc>
          <w:tcPr>
            <w:tcW w:w="709" w:type="pct"/>
          </w:tcPr>
          <w:p w:rsidR="00FC3647" w:rsidRPr="00144873" w:rsidRDefault="00144873" w:rsidP="00EC0072">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FE075D" w:rsidRPr="00E03373" w:rsidTr="00483DF3">
        <w:tc>
          <w:tcPr>
            <w:tcW w:w="1102" w:type="pct"/>
            <w:shd w:val="clear" w:color="auto" w:fill="auto"/>
            <w:vAlign w:val="center"/>
          </w:tcPr>
          <w:p w:rsidR="00FE075D" w:rsidRPr="00E03373" w:rsidRDefault="00FE075D" w:rsidP="00FE075D">
            <w:pPr>
              <w:pStyle w:val="Tabletext"/>
              <w:spacing w:after="0"/>
              <w:rPr>
                <w:rFonts w:ascii="Arial Narrow" w:hAnsi="Arial Narrow"/>
              </w:rPr>
            </w:pPr>
            <w:r w:rsidRPr="00E03373">
              <w:rPr>
                <w:rFonts w:ascii="Arial Narrow" w:hAnsi="Arial Narrow"/>
              </w:rPr>
              <w:lastRenderedPageBreak/>
              <w:t xml:space="preserve">Cost to PBS/RPBS less </w:t>
            </w:r>
            <w:proofErr w:type="spellStart"/>
            <w:r w:rsidRPr="00E03373">
              <w:rPr>
                <w:rFonts w:ascii="Arial Narrow" w:hAnsi="Arial Narrow"/>
              </w:rPr>
              <w:t>copayments</w:t>
            </w:r>
            <w:proofErr w:type="spellEnd"/>
          </w:p>
        </w:tc>
        <w:tc>
          <w:tcPr>
            <w:tcW w:w="637"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37"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38"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38"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38"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709" w:type="pct"/>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r>
      <w:tr w:rsidR="00FC3647" w:rsidRPr="00E03373" w:rsidTr="00483DF3">
        <w:tc>
          <w:tcPr>
            <w:tcW w:w="5000" w:type="pct"/>
            <w:gridSpan w:val="7"/>
            <w:shd w:val="clear" w:color="auto" w:fill="auto"/>
            <w:vAlign w:val="center"/>
          </w:tcPr>
          <w:p w:rsidR="00FC3647" w:rsidRPr="00E03373" w:rsidRDefault="00FC3647" w:rsidP="00DF21C0">
            <w:pPr>
              <w:pStyle w:val="Tabletext"/>
              <w:spacing w:after="0"/>
              <w:rPr>
                <w:rFonts w:ascii="Arial Narrow" w:hAnsi="Arial Narrow"/>
                <w:bCs/>
                <w:color w:val="000000"/>
              </w:rPr>
            </w:pPr>
            <w:r w:rsidRPr="00E03373">
              <w:rPr>
                <w:rFonts w:ascii="Arial Narrow" w:hAnsi="Arial Narrow"/>
                <w:b/>
                <w:bCs/>
                <w:color w:val="000000"/>
              </w:rPr>
              <w:t>Estimated financial implications for</w:t>
            </w:r>
            <w:r w:rsidR="00513EA5" w:rsidRPr="00E03373">
              <w:rPr>
                <w:rFonts w:ascii="Arial Narrow" w:hAnsi="Arial Narrow"/>
                <w:b/>
                <w:bCs/>
                <w:color w:val="000000"/>
              </w:rPr>
              <w:t xml:space="preserve"> replacement of</w:t>
            </w:r>
            <w:r w:rsidRPr="00E03373">
              <w:rPr>
                <w:rFonts w:ascii="Arial Narrow" w:hAnsi="Arial Narrow"/>
                <w:b/>
                <w:bCs/>
                <w:color w:val="000000"/>
              </w:rPr>
              <w:t xml:space="preserve"> </w:t>
            </w:r>
            <w:r w:rsidR="00DF21C0" w:rsidRPr="00E03373">
              <w:rPr>
                <w:rFonts w:ascii="Arial Narrow" w:hAnsi="Arial Narrow"/>
                <w:b/>
                <w:bCs/>
                <w:color w:val="000000"/>
              </w:rPr>
              <w:t>MSUD Gel</w:t>
            </w:r>
          </w:p>
        </w:tc>
      </w:tr>
      <w:tr w:rsidR="00FE075D" w:rsidRPr="00E03373" w:rsidTr="00483DF3">
        <w:tc>
          <w:tcPr>
            <w:tcW w:w="1102" w:type="pct"/>
            <w:shd w:val="clear" w:color="auto" w:fill="auto"/>
            <w:vAlign w:val="center"/>
          </w:tcPr>
          <w:p w:rsidR="00FE075D" w:rsidRPr="00E03373" w:rsidRDefault="00FE075D" w:rsidP="00FE075D">
            <w:pPr>
              <w:pStyle w:val="Tabletext"/>
              <w:spacing w:after="0"/>
              <w:rPr>
                <w:rFonts w:ascii="Arial Narrow" w:hAnsi="Arial Narrow"/>
                <w:color w:val="000000" w:themeColor="text1"/>
              </w:rPr>
            </w:pPr>
            <w:r w:rsidRPr="00E03373">
              <w:rPr>
                <w:rFonts w:ascii="Arial Narrow" w:hAnsi="Arial Narrow"/>
                <w:color w:val="000000" w:themeColor="text1"/>
              </w:rPr>
              <w:t>Cost to PBS/RPBS</w:t>
            </w:r>
          </w:p>
        </w:tc>
        <w:tc>
          <w:tcPr>
            <w:tcW w:w="637"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637"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638"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638"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638"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c>
          <w:tcPr>
            <w:tcW w:w="709" w:type="pct"/>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noProof/>
                <w:color w:val="000000"/>
                <w:highlight w:val="black"/>
              </w:rPr>
              <w:t>''''''''''''''''''''''</w:t>
            </w:r>
          </w:p>
        </w:tc>
      </w:tr>
      <w:tr w:rsidR="00FC3647" w:rsidRPr="00E03373" w:rsidTr="00483DF3">
        <w:tc>
          <w:tcPr>
            <w:tcW w:w="1102" w:type="pct"/>
            <w:shd w:val="clear" w:color="auto" w:fill="auto"/>
            <w:vAlign w:val="center"/>
          </w:tcPr>
          <w:p w:rsidR="00FC3647" w:rsidRPr="00E03373" w:rsidRDefault="00FC3647" w:rsidP="00EC0072">
            <w:pPr>
              <w:pStyle w:val="Tabletext"/>
              <w:spacing w:after="0"/>
              <w:rPr>
                <w:rFonts w:ascii="Arial Narrow" w:hAnsi="Arial Narrow"/>
                <w:color w:val="000000" w:themeColor="text1"/>
              </w:rPr>
            </w:pPr>
            <w:proofErr w:type="spellStart"/>
            <w:r w:rsidRPr="00E03373">
              <w:rPr>
                <w:rFonts w:ascii="Arial Narrow" w:hAnsi="Arial Narrow"/>
                <w:color w:val="000000" w:themeColor="text1"/>
              </w:rPr>
              <w:t>Copayments</w:t>
            </w:r>
            <w:proofErr w:type="spellEnd"/>
          </w:p>
        </w:tc>
        <w:tc>
          <w:tcPr>
            <w:tcW w:w="637" w:type="pct"/>
            <w:shd w:val="clear" w:color="auto" w:fill="auto"/>
            <w:vAlign w:val="center"/>
          </w:tcPr>
          <w:p w:rsidR="00FC3647" w:rsidRPr="00144873" w:rsidRDefault="00144873" w:rsidP="00EC0072">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37" w:type="pct"/>
            <w:shd w:val="clear" w:color="auto" w:fill="auto"/>
            <w:vAlign w:val="center"/>
          </w:tcPr>
          <w:p w:rsidR="00FC3647" w:rsidRPr="00144873" w:rsidRDefault="00144873" w:rsidP="00EC0072">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638" w:type="pct"/>
            <w:shd w:val="clear" w:color="auto" w:fill="auto"/>
            <w:vAlign w:val="center"/>
          </w:tcPr>
          <w:p w:rsidR="00FC3647" w:rsidRPr="00144873" w:rsidRDefault="00144873" w:rsidP="00EC0072">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c>
          <w:tcPr>
            <w:tcW w:w="709" w:type="pct"/>
          </w:tcPr>
          <w:p w:rsidR="00FC3647" w:rsidRPr="00144873" w:rsidRDefault="00144873" w:rsidP="00EC0072">
            <w:pPr>
              <w:pStyle w:val="Tabletext"/>
              <w:spacing w:after="0"/>
              <w:jc w:val="center"/>
              <w:rPr>
                <w:rFonts w:ascii="Arial Narrow" w:hAnsi="Arial Narrow"/>
                <w:bCs/>
                <w:color w:val="000000" w:themeColor="text1"/>
                <w:highlight w:val="black"/>
              </w:rPr>
            </w:pPr>
            <w:r>
              <w:rPr>
                <w:rFonts w:ascii="Arial Narrow" w:hAnsi="Arial Narrow"/>
                <w:bCs/>
                <w:noProof/>
                <w:color w:val="000000"/>
                <w:highlight w:val="black"/>
              </w:rPr>
              <w:t>'''''''''''''</w:t>
            </w:r>
          </w:p>
        </w:tc>
      </w:tr>
      <w:tr w:rsidR="00FE075D" w:rsidRPr="00E03373" w:rsidTr="00483DF3">
        <w:tc>
          <w:tcPr>
            <w:tcW w:w="1102" w:type="pct"/>
            <w:shd w:val="clear" w:color="auto" w:fill="auto"/>
            <w:vAlign w:val="center"/>
          </w:tcPr>
          <w:p w:rsidR="00FE075D" w:rsidRPr="00E03373" w:rsidRDefault="00FE075D" w:rsidP="00FE075D">
            <w:pPr>
              <w:pStyle w:val="Tabletext"/>
              <w:spacing w:after="0"/>
              <w:rPr>
                <w:rFonts w:ascii="Arial Narrow" w:hAnsi="Arial Narrow"/>
                <w:color w:val="000000" w:themeColor="text1"/>
              </w:rPr>
            </w:pPr>
            <w:r w:rsidRPr="00E03373">
              <w:rPr>
                <w:rFonts w:ascii="Arial Narrow" w:hAnsi="Arial Narrow"/>
                <w:color w:val="000000" w:themeColor="text1"/>
              </w:rPr>
              <w:t xml:space="preserve">Cost to PBS/RPBS less </w:t>
            </w:r>
            <w:proofErr w:type="spellStart"/>
            <w:r w:rsidRPr="00E03373">
              <w:rPr>
                <w:rFonts w:ascii="Arial Narrow" w:hAnsi="Arial Narrow"/>
                <w:color w:val="000000" w:themeColor="text1"/>
              </w:rPr>
              <w:t>copayments</w:t>
            </w:r>
            <w:proofErr w:type="spellEnd"/>
          </w:p>
        </w:tc>
        <w:tc>
          <w:tcPr>
            <w:tcW w:w="637"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bCs/>
                <w:noProof/>
                <w:color w:val="000000"/>
                <w:highlight w:val="black"/>
              </w:rPr>
              <w:t>'''''''''''''''''''''</w:t>
            </w:r>
          </w:p>
        </w:tc>
        <w:tc>
          <w:tcPr>
            <w:tcW w:w="637"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bCs/>
                <w:noProof/>
                <w:color w:val="000000"/>
                <w:highlight w:val="black"/>
              </w:rPr>
              <w:t>''''''''''''''''''''''</w:t>
            </w:r>
          </w:p>
        </w:tc>
        <w:tc>
          <w:tcPr>
            <w:tcW w:w="638"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bCs/>
                <w:noProof/>
                <w:color w:val="000000"/>
                <w:highlight w:val="black"/>
              </w:rPr>
              <w:t>'''''''''''''''''''''''</w:t>
            </w:r>
          </w:p>
        </w:tc>
        <w:tc>
          <w:tcPr>
            <w:tcW w:w="638"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bCs/>
                <w:noProof/>
                <w:color w:val="000000"/>
                <w:highlight w:val="black"/>
              </w:rPr>
              <w:t>''''''''''''''''''''''''''</w:t>
            </w:r>
          </w:p>
        </w:tc>
        <w:tc>
          <w:tcPr>
            <w:tcW w:w="638" w:type="pct"/>
            <w:shd w:val="clear" w:color="auto" w:fill="auto"/>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bCs/>
                <w:noProof/>
                <w:color w:val="000000"/>
                <w:highlight w:val="black"/>
              </w:rPr>
              <w:t>'''''''''''''''''''''''</w:t>
            </w:r>
          </w:p>
        </w:tc>
        <w:tc>
          <w:tcPr>
            <w:tcW w:w="709" w:type="pct"/>
            <w:vAlign w:val="center"/>
          </w:tcPr>
          <w:p w:rsidR="00FE075D" w:rsidRPr="00144873" w:rsidRDefault="00144873" w:rsidP="00D37FC7">
            <w:pPr>
              <w:pStyle w:val="Tabletext"/>
              <w:spacing w:after="0"/>
              <w:jc w:val="center"/>
              <w:rPr>
                <w:rFonts w:ascii="Arial Narrow" w:hAnsi="Arial Narrow"/>
                <w:bCs/>
                <w:color w:val="000000" w:themeColor="text1"/>
                <w:highlight w:val="black"/>
              </w:rPr>
            </w:pPr>
            <w:r>
              <w:rPr>
                <w:rFonts w:ascii="Arial Narrow" w:hAnsi="Arial Narrow" w:cs="Arial"/>
                <w:bCs/>
                <w:noProof/>
                <w:color w:val="000000"/>
                <w:highlight w:val="black"/>
              </w:rPr>
              <w:t>'''''''''''''''''''''''''</w:t>
            </w:r>
          </w:p>
        </w:tc>
      </w:tr>
      <w:tr w:rsidR="00FC3647" w:rsidRPr="00E03373" w:rsidTr="00483DF3">
        <w:tc>
          <w:tcPr>
            <w:tcW w:w="5000" w:type="pct"/>
            <w:gridSpan w:val="7"/>
            <w:shd w:val="clear" w:color="auto" w:fill="auto"/>
            <w:vAlign w:val="center"/>
          </w:tcPr>
          <w:p w:rsidR="00FC3647" w:rsidRPr="00E03373" w:rsidRDefault="00FC3647" w:rsidP="00513EA5">
            <w:pPr>
              <w:pStyle w:val="Tabletext"/>
              <w:spacing w:after="0"/>
              <w:rPr>
                <w:rFonts w:ascii="Arial Narrow" w:hAnsi="Arial Narrow"/>
                <w:b/>
                <w:bCs/>
                <w:color w:val="000000"/>
              </w:rPr>
            </w:pPr>
            <w:r w:rsidRPr="00E03373">
              <w:rPr>
                <w:rFonts w:ascii="Arial Narrow" w:hAnsi="Arial Narrow"/>
                <w:b/>
                <w:bCs/>
                <w:color w:val="000000"/>
              </w:rPr>
              <w:t>Net financial implications</w:t>
            </w:r>
            <w:r w:rsidRPr="00E03373">
              <w:rPr>
                <w:rFonts w:ascii="Arial Narrow" w:hAnsi="Arial Narrow"/>
                <w:b/>
                <w:bCs/>
                <w:color w:val="4BACC6" w:themeColor="accent5"/>
              </w:rPr>
              <w:t xml:space="preserve"> </w:t>
            </w:r>
          </w:p>
        </w:tc>
      </w:tr>
      <w:tr w:rsidR="00FE075D" w:rsidRPr="00E03373" w:rsidTr="00483DF3">
        <w:tc>
          <w:tcPr>
            <w:tcW w:w="1102" w:type="pct"/>
            <w:shd w:val="clear" w:color="auto" w:fill="auto"/>
            <w:vAlign w:val="center"/>
          </w:tcPr>
          <w:p w:rsidR="00FE075D" w:rsidRPr="00E03373" w:rsidRDefault="00FE075D" w:rsidP="00FE075D">
            <w:pPr>
              <w:pStyle w:val="Tabletext"/>
              <w:spacing w:after="0"/>
              <w:rPr>
                <w:rFonts w:ascii="Arial Narrow" w:hAnsi="Arial Narrow"/>
              </w:rPr>
            </w:pPr>
            <w:r w:rsidRPr="00E03373">
              <w:rPr>
                <w:rFonts w:ascii="Arial Narrow" w:hAnsi="Arial Narrow"/>
              </w:rPr>
              <w:t>Net cost to PBS/RPBS</w:t>
            </w:r>
          </w:p>
        </w:tc>
        <w:tc>
          <w:tcPr>
            <w:tcW w:w="637"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
                <w:bCs/>
                <w:noProof/>
                <w:color w:val="000000"/>
                <w:highlight w:val="black"/>
              </w:rPr>
              <w:t>'''''''''''''''''</w:t>
            </w:r>
          </w:p>
        </w:tc>
        <w:tc>
          <w:tcPr>
            <w:tcW w:w="637"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
                <w:bCs/>
                <w:noProof/>
                <w:color w:val="000000"/>
                <w:highlight w:val="black"/>
              </w:rPr>
              <w:t>''''''''''''''''</w:t>
            </w:r>
          </w:p>
        </w:tc>
        <w:tc>
          <w:tcPr>
            <w:tcW w:w="638"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
                <w:bCs/>
                <w:noProof/>
                <w:color w:val="000000"/>
                <w:highlight w:val="black"/>
              </w:rPr>
              <w:t>'''''''''''''''</w:t>
            </w:r>
          </w:p>
        </w:tc>
        <w:tc>
          <w:tcPr>
            <w:tcW w:w="638"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
                <w:bCs/>
                <w:noProof/>
                <w:color w:val="000000"/>
                <w:highlight w:val="black"/>
              </w:rPr>
              <w:t>''''''''''''''''</w:t>
            </w:r>
          </w:p>
        </w:tc>
        <w:tc>
          <w:tcPr>
            <w:tcW w:w="638" w:type="pct"/>
            <w:shd w:val="clear" w:color="auto" w:fill="auto"/>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
                <w:bCs/>
                <w:noProof/>
                <w:color w:val="000000"/>
                <w:highlight w:val="black"/>
              </w:rPr>
              <w:t>''''''''''''''</w:t>
            </w:r>
          </w:p>
        </w:tc>
        <w:tc>
          <w:tcPr>
            <w:tcW w:w="709" w:type="pct"/>
            <w:vAlign w:val="center"/>
          </w:tcPr>
          <w:p w:rsidR="00FE075D" w:rsidRPr="00144873" w:rsidRDefault="00144873" w:rsidP="00FE075D">
            <w:pPr>
              <w:pStyle w:val="Tabletext"/>
              <w:spacing w:after="0"/>
              <w:jc w:val="center"/>
              <w:rPr>
                <w:rFonts w:ascii="Arial Narrow" w:hAnsi="Arial Narrow"/>
                <w:bCs/>
                <w:color w:val="000000"/>
                <w:highlight w:val="black"/>
              </w:rPr>
            </w:pPr>
            <w:r>
              <w:rPr>
                <w:rFonts w:ascii="Arial Narrow" w:hAnsi="Arial Narrow" w:cs="Arial"/>
                <w:b/>
                <w:bCs/>
                <w:noProof/>
                <w:color w:val="000000"/>
                <w:highlight w:val="black"/>
              </w:rPr>
              <w:t>''''''''''''''''</w:t>
            </w:r>
          </w:p>
        </w:tc>
      </w:tr>
    </w:tbl>
    <w:p w:rsidR="00FC3647" w:rsidRPr="00E03373" w:rsidRDefault="00FC3647" w:rsidP="00FC3647">
      <w:pPr>
        <w:pStyle w:val="TableFooter"/>
        <w:tabs>
          <w:tab w:val="left" w:pos="142"/>
        </w:tabs>
        <w:rPr>
          <w:sz w:val="20"/>
          <w:szCs w:val="20"/>
        </w:rPr>
      </w:pPr>
      <w:proofErr w:type="spellStart"/>
      <w:proofErr w:type="gramStart"/>
      <w:r w:rsidRPr="00E03373">
        <w:rPr>
          <w:sz w:val="20"/>
          <w:szCs w:val="20"/>
          <w:vertAlign w:val="superscript"/>
        </w:rPr>
        <w:t>a</w:t>
      </w:r>
      <w:proofErr w:type="spellEnd"/>
      <w:proofErr w:type="gramEnd"/>
      <w:r w:rsidR="006372F4" w:rsidRPr="00E03373">
        <w:rPr>
          <w:sz w:val="20"/>
          <w:szCs w:val="20"/>
        </w:rPr>
        <w:tab/>
        <w:t>Assuming 9 prescriptions</w:t>
      </w:r>
      <w:r w:rsidRPr="00E03373">
        <w:rPr>
          <w:sz w:val="20"/>
          <w:szCs w:val="20"/>
        </w:rPr>
        <w:t xml:space="preserve"> per year</w:t>
      </w:r>
      <w:r w:rsidR="006372F4" w:rsidRPr="00E03373">
        <w:rPr>
          <w:sz w:val="20"/>
          <w:szCs w:val="20"/>
        </w:rPr>
        <w:t>/patient</w:t>
      </w:r>
      <w:r w:rsidRPr="00E03373">
        <w:rPr>
          <w:sz w:val="20"/>
          <w:szCs w:val="20"/>
        </w:rPr>
        <w:t xml:space="preserve"> as estimated by the submission.</w:t>
      </w:r>
    </w:p>
    <w:p w:rsidR="00FC3647" w:rsidRDefault="006372F4" w:rsidP="00FC3647">
      <w:pPr>
        <w:jc w:val="both"/>
        <w:rPr>
          <w:rFonts w:ascii="Arial Narrow" w:hAnsi="Arial Narrow"/>
          <w:sz w:val="20"/>
          <w:szCs w:val="20"/>
        </w:rPr>
      </w:pPr>
      <w:r w:rsidRPr="00E03373">
        <w:rPr>
          <w:rFonts w:ascii="Arial Narrow" w:hAnsi="Arial Narrow"/>
          <w:sz w:val="20"/>
          <w:szCs w:val="20"/>
        </w:rPr>
        <w:t xml:space="preserve">Source: </w:t>
      </w:r>
      <w:r w:rsidR="00024048" w:rsidRPr="00E03373">
        <w:rPr>
          <w:rFonts w:ascii="Arial Narrow" w:hAnsi="Arial Narrow"/>
          <w:sz w:val="20"/>
          <w:szCs w:val="20"/>
        </w:rPr>
        <w:t xml:space="preserve">Compiled in the minor overview based on </w:t>
      </w:r>
      <w:r w:rsidR="00366F93" w:rsidRPr="00E03373">
        <w:rPr>
          <w:rFonts w:ascii="Arial Narrow" w:hAnsi="Arial Narrow"/>
          <w:sz w:val="20"/>
          <w:szCs w:val="20"/>
        </w:rPr>
        <w:t xml:space="preserve">utilisation and cost model spreadsheet </w:t>
      </w:r>
      <w:r w:rsidR="00483DF3" w:rsidRPr="00E03373">
        <w:rPr>
          <w:rFonts w:ascii="Arial Narrow" w:hAnsi="Arial Narrow"/>
          <w:sz w:val="20"/>
          <w:szCs w:val="20"/>
        </w:rPr>
        <w:t xml:space="preserve">August 2019 </w:t>
      </w:r>
      <w:r w:rsidR="00024048" w:rsidRPr="00E03373">
        <w:rPr>
          <w:rFonts w:ascii="Arial Narrow" w:hAnsi="Arial Narrow"/>
          <w:sz w:val="20"/>
          <w:szCs w:val="20"/>
        </w:rPr>
        <w:t>of the submission</w:t>
      </w:r>
      <w:r w:rsidR="00FC3647" w:rsidRPr="00E03373">
        <w:rPr>
          <w:rFonts w:ascii="Arial Narrow" w:hAnsi="Arial Narrow"/>
          <w:sz w:val="20"/>
          <w:szCs w:val="20"/>
        </w:rPr>
        <w:t>.</w:t>
      </w:r>
      <w:r w:rsidR="00E775EF" w:rsidRPr="00E03373">
        <w:rPr>
          <w:rFonts w:ascii="Arial Narrow" w:hAnsi="Arial Narrow"/>
          <w:sz w:val="20"/>
          <w:szCs w:val="20"/>
        </w:rPr>
        <w:t xml:space="preserve"> MSUD Gel prices from the PBS Schedule, item 8592F</w:t>
      </w:r>
      <w:r w:rsidR="00024048" w:rsidRPr="00E03373">
        <w:rPr>
          <w:rFonts w:ascii="Arial Narrow" w:hAnsi="Arial Narrow"/>
          <w:sz w:val="20"/>
          <w:szCs w:val="20"/>
        </w:rPr>
        <w:t>.</w:t>
      </w:r>
    </w:p>
    <w:p w:rsidR="00DC25E7" w:rsidRPr="00E03373" w:rsidRDefault="00DC25E7" w:rsidP="00FC3647">
      <w:pPr>
        <w:jc w:val="both"/>
        <w:rPr>
          <w:rFonts w:ascii="Arial Narrow" w:hAnsi="Arial Narrow"/>
          <w:sz w:val="20"/>
          <w:szCs w:val="20"/>
        </w:rPr>
      </w:pPr>
    </w:p>
    <w:p w:rsidR="00DC25E7" w:rsidRPr="00592303" w:rsidRDefault="00DC25E7" w:rsidP="00DC25E7">
      <w:pPr>
        <w:rPr>
          <w:rFonts w:asciiTheme="minorHAnsi" w:hAnsiTheme="minorHAnsi"/>
          <w:szCs w:val="22"/>
        </w:rPr>
      </w:pPr>
      <w:r w:rsidRPr="00592303">
        <w:rPr>
          <w:rFonts w:asciiTheme="minorHAnsi" w:hAnsiTheme="minorHAnsi"/>
          <w:szCs w:val="22"/>
        </w:rPr>
        <w:t>The redacted table shows that at Year 6, the estimated number of scripts dispensed was less than 10,000 and the net cost to the PBS would be less than $10 million.</w:t>
      </w:r>
    </w:p>
    <w:p w:rsidR="00FC3647" w:rsidRPr="00E03373" w:rsidRDefault="00FC3647" w:rsidP="00FC3647">
      <w:pPr>
        <w:rPr>
          <w:rFonts w:asciiTheme="minorHAnsi" w:hAnsiTheme="minorHAnsi"/>
          <w:sz w:val="22"/>
          <w:szCs w:val="22"/>
        </w:rPr>
      </w:pPr>
    </w:p>
    <w:p w:rsidR="00C46A02" w:rsidRPr="00E03373" w:rsidRDefault="006B20A8" w:rsidP="00C8425A">
      <w:pPr>
        <w:pStyle w:val="3Bodytext"/>
        <w:numPr>
          <w:ilvl w:val="1"/>
          <w:numId w:val="5"/>
        </w:numPr>
      </w:pPr>
      <w:r w:rsidRPr="00E03373">
        <w:t xml:space="preserve">The submission requested a 15% </w:t>
      </w:r>
      <w:r w:rsidR="00DF21C0" w:rsidRPr="00E03373">
        <w:t>higher price</w:t>
      </w:r>
      <w:r w:rsidR="00FC5DC0" w:rsidRPr="00E03373">
        <w:t xml:space="preserve"> per gram of protein equivalent</w:t>
      </w:r>
      <w:r w:rsidR="00DF21C0" w:rsidRPr="00E03373">
        <w:t xml:space="preserve"> than</w:t>
      </w:r>
      <w:r w:rsidR="00FC5DC0" w:rsidRPr="00E03373">
        <w:t xml:space="preserve"> the comparator MSUD</w:t>
      </w:r>
      <w:r w:rsidRPr="00E03373">
        <w:t xml:space="preserve"> Gel</w:t>
      </w:r>
      <w:r w:rsidR="00FC5DC0" w:rsidRPr="00E03373">
        <w:t>, as MSUD Explore</w:t>
      </w:r>
      <w:r w:rsidR="008371F5" w:rsidRPr="00E03373">
        <w:t xml:space="preserve"> </w:t>
      </w:r>
      <w:r w:rsidR="00FC5DC0" w:rsidRPr="00E03373">
        <w:t>5</w:t>
      </w:r>
      <w:r w:rsidRPr="00E03373">
        <w:t xml:space="preserve"> contains DHA and ARA</w:t>
      </w:r>
      <w:r w:rsidR="00FC5DC0" w:rsidRPr="00E03373">
        <w:rPr>
          <w:vertAlign w:val="superscript"/>
        </w:rPr>
        <w:footnoteReference w:id="1"/>
      </w:r>
      <w:r w:rsidRPr="00E03373">
        <w:t xml:space="preserve">. </w:t>
      </w:r>
      <w:r w:rsidR="006372F4" w:rsidRPr="00E03373">
        <w:t>Based on the submission estimates, this results in an additional cost per patient per year to the PBS of</w:t>
      </w:r>
      <w:r w:rsidR="009677AD" w:rsidRPr="00E03373">
        <w:t xml:space="preserve"> $2,068.50 per year.</w:t>
      </w:r>
      <w:r w:rsidR="006372F4" w:rsidRPr="00E03373">
        <w:t xml:space="preserve"> </w:t>
      </w:r>
      <w:r w:rsidRPr="00E03373">
        <w:t>The projected net cost to the PBS/RPBS is driven by the requested price premium.</w:t>
      </w:r>
      <w:r w:rsidR="00024048" w:rsidRPr="00E03373">
        <w:t xml:space="preserve"> </w:t>
      </w:r>
      <w:r w:rsidR="00483DF3" w:rsidRPr="00E03373">
        <w:t xml:space="preserve">The </w:t>
      </w:r>
      <w:r w:rsidR="00F200F3" w:rsidRPr="00E03373">
        <w:t>Secretariat notes that c</w:t>
      </w:r>
      <w:r w:rsidR="00024048" w:rsidRPr="00E03373">
        <w:t>alculation of the cost per patient per year in years 2 to 6 equates to $2,081.13.</w:t>
      </w:r>
    </w:p>
    <w:p w:rsidR="006B20A8" w:rsidRPr="00E03373" w:rsidRDefault="006B20A8" w:rsidP="00A96EA4">
      <w:pPr>
        <w:pStyle w:val="3Bodytext"/>
        <w:numPr>
          <w:ilvl w:val="1"/>
          <w:numId w:val="5"/>
        </w:numPr>
      </w:pPr>
      <w:r w:rsidRPr="00E03373">
        <w:t xml:space="preserve">The estimates assume patients will use 9 prescriptions per year, based on an analysis of utilisation of the comparator, MSUD Gel. The submission also states 1,200g PE equates to approximately 1 months’ supply, which may equate to up to 12 prescriptions per year. </w:t>
      </w:r>
    </w:p>
    <w:p w:rsidR="00725BF0" w:rsidRPr="00E03373" w:rsidRDefault="006B20A8" w:rsidP="00725BF0">
      <w:pPr>
        <w:pStyle w:val="3Bodytext"/>
        <w:numPr>
          <w:ilvl w:val="1"/>
          <w:numId w:val="5"/>
        </w:numPr>
      </w:pPr>
      <w:r w:rsidRPr="00E03373">
        <w:t>As</w:t>
      </w:r>
      <w:r w:rsidR="00FC3647" w:rsidRPr="00E03373">
        <w:t xml:space="preserve"> a minor submission, the financial estimates have not been independently evaluated.</w:t>
      </w:r>
    </w:p>
    <w:p w:rsidR="00281256" w:rsidRPr="00E03373" w:rsidRDefault="00725BF0" w:rsidP="00725BF0">
      <w:pPr>
        <w:ind w:left="709"/>
        <w:rPr>
          <w:rFonts w:asciiTheme="minorHAnsi" w:eastAsiaTheme="majorEastAsia" w:hAnsiTheme="minorHAnsi" w:cstheme="minorHAnsi"/>
          <w:b/>
          <w:i/>
          <w:snapToGrid w:val="0"/>
          <w:lang w:eastAsia="en-US"/>
        </w:rPr>
      </w:pPr>
      <w:r w:rsidRPr="00E03373">
        <w:rPr>
          <w:rFonts w:asciiTheme="minorHAnsi" w:eastAsiaTheme="majorEastAsia" w:hAnsiTheme="minorHAnsi" w:cstheme="minorHAnsi"/>
          <w:i/>
        </w:rPr>
        <w:t>For more detail on PBAC’s view, see section 7 PBAC outcome.</w:t>
      </w:r>
    </w:p>
    <w:p w:rsidR="00E46493" w:rsidRPr="00E03373" w:rsidRDefault="00E46493" w:rsidP="00E46493">
      <w:pPr>
        <w:pStyle w:val="Heading1"/>
        <w:keepNext/>
        <w:keepLines/>
        <w:widowControl/>
        <w:numPr>
          <w:ilvl w:val="0"/>
          <w:numId w:val="5"/>
        </w:numPr>
        <w:spacing w:before="240" w:after="120"/>
        <w:ind w:left="709" w:hanging="709"/>
        <w:contextualSpacing w:val="0"/>
        <w:jc w:val="left"/>
        <w:rPr>
          <w:rFonts w:asciiTheme="minorHAnsi" w:eastAsiaTheme="majorEastAsia" w:hAnsiTheme="minorHAnsi" w:cstheme="majorBidi"/>
          <w:sz w:val="32"/>
          <w:szCs w:val="28"/>
        </w:rPr>
      </w:pPr>
      <w:r w:rsidRPr="00E03373">
        <w:rPr>
          <w:rFonts w:asciiTheme="minorHAnsi" w:eastAsiaTheme="majorEastAsia" w:hAnsiTheme="minorHAnsi" w:cstheme="majorBidi"/>
          <w:sz w:val="32"/>
          <w:szCs w:val="28"/>
        </w:rPr>
        <w:t>NPWP Consideration (and sponsor’s further clarification)</w:t>
      </w:r>
    </w:p>
    <w:p w:rsidR="00E46493" w:rsidRPr="00E03373" w:rsidRDefault="00E46493" w:rsidP="00E46493">
      <w:pPr>
        <w:pStyle w:val="3Bodytext"/>
        <w:numPr>
          <w:ilvl w:val="1"/>
          <w:numId w:val="5"/>
        </w:numPr>
      </w:pPr>
      <w:r w:rsidRPr="00E03373">
        <w:t xml:space="preserve">The NPWP noted the requested listing of MSUD Explore5® as a second-stage protein supplement alternative to MSUD Gel® for the dietary management of patients with </w:t>
      </w:r>
      <w:r w:rsidR="008D6DDE" w:rsidRPr="00E03373">
        <w:t>MSUD</w:t>
      </w:r>
      <w:r w:rsidRPr="00E03373">
        <w:t xml:space="preserve">. The NPWP noted the Sponsor intends to delist MSUD Gel® following the listing of MSUD Explore5®, after which it will be the only second-stage protein supplement for patients aged 6 months to </w:t>
      </w:r>
      <w:r w:rsidR="00EE74A7">
        <w:t>5</w:t>
      </w:r>
      <w:r w:rsidR="00EE74A7" w:rsidRPr="00E03373">
        <w:t xml:space="preserve"> </w:t>
      </w:r>
      <w:r w:rsidRPr="00E03373">
        <w:t>years of age on the PBS for this condition.</w:t>
      </w:r>
    </w:p>
    <w:p w:rsidR="00E46493" w:rsidRPr="00E03373" w:rsidRDefault="00E46493" w:rsidP="00E46493">
      <w:pPr>
        <w:pStyle w:val="3Bodytext"/>
        <w:numPr>
          <w:ilvl w:val="1"/>
          <w:numId w:val="5"/>
        </w:numPr>
      </w:pPr>
      <w:r w:rsidRPr="00E03373">
        <w:t xml:space="preserve">MSUD Explore5® contains arachidonic acid (AA) and </w:t>
      </w:r>
      <w:r w:rsidR="00E53A1A" w:rsidRPr="00E03373">
        <w:t>docosahexaenoic</w:t>
      </w:r>
      <w:r w:rsidRPr="00E03373">
        <w:t xml:space="preserve"> acid (DHA) which the NPWP agreed was beneficial. The NPWP noted the Sponsor requested a 15% price premium for the addition of AA and DHA, however the NPWP noted this </w:t>
      </w:r>
      <w:r w:rsidRPr="00E03373">
        <w:lastRenderedPageBreak/>
        <w:t xml:space="preserve">may not be reasonable as other formulas containing AA and/or DHA, such as MSUD </w:t>
      </w:r>
      <w:proofErr w:type="spellStart"/>
      <w:r w:rsidRPr="00E03373">
        <w:t>Anamix</w:t>
      </w:r>
      <w:proofErr w:type="spellEnd"/>
      <w:r w:rsidRPr="00E03373">
        <w:t xml:space="preserve"> Junior®, do not have such a price premium.</w:t>
      </w:r>
    </w:p>
    <w:p w:rsidR="00E46493" w:rsidRPr="00E03373" w:rsidRDefault="00E46493" w:rsidP="00E46493">
      <w:pPr>
        <w:pStyle w:val="3Bodytext"/>
        <w:numPr>
          <w:ilvl w:val="1"/>
          <w:numId w:val="5"/>
        </w:numPr>
      </w:pPr>
      <w:r w:rsidRPr="00E03373">
        <w:t>The NPWP supported the listing of MSUD Explore5® on a cost minimisation basis with MSUD Gel® per gram of protein equivalent without the requested price premium.</w:t>
      </w:r>
    </w:p>
    <w:p w:rsidR="00986DCE" w:rsidRDefault="00986DCE" w:rsidP="00E46493">
      <w:pPr>
        <w:pStyle w:val="3Bodytext"/>
        <w:numPr>
          <w:ilvl w:val="1"/>
          <w:numId w:val="5"/>
        </w:numPr>
      </w:pPr>
      <w:r w:rsidRPr="00E03373">
        <w:t xml:space="preserve">The Pre-PBAC Response argued that the requested price premium was justified, as the addition of DHA and AA represents a patient-relevant improvement in the formulation over the comparator, MSUD Gel. In an out of session consideration, the NPWP advised the PBAC it considered that </w:t>
      </w:r>
      <w:r w:rsidR="00B8492A" w:rsidRPr="00E03373">
        <w:t>in this case, the requested price premium was not justified as the addition of DHA and AA in the target population was not clinically indicated.</w:t>
      </w:r>
    </w:p>
    <w:p w:rsidR="00890E57" w:rsidRPr="00890E57" w:rsidRDefault="00890E57" w:rsidP="00890E57">
      <w:pPr>
        <w:pStyle w:val="3Bodytext"/>
        <w:numPr>
          <w:ilvl w:val="0"/>
          <w:numId w:val="0"/>
        </w:numPr>
        <w:ind w:left="720"/>
        <w:rPr>
          <w:i/>
        </w:rPr>
      </w:pPr>
      <w:r w:rsidRPr="00890E57">
        <w:rPr>
          <w:i/>
        </w:rPr>
        <w:t>For more detail on PBAC’s view, see section 7 PBAC outcome.</w:t>
      </w:r>
    </w:p>
    <w:p w:rsidR="002C708C" w:rsidRPr="00E03373" w:rsidRDefault="002C708C" w:rsidP="00DD1BE3">
      <w:pPr>
        <w:keepNext/>
        <w:widowControl w:val="0"/>
        <w:numPr>
          <w:ilvl w:val="0"/>
          <w:numId w:val="5"/>
        </w:numPr>
        <w:spacing w:before="240" w:after="120"/>
        <w:jc w:val="both"/>
        <w:outlineLvl w:val="0"/>
        <w:rPr>
          <w:rFonts w:asciiTheme="minorHAnsi" w:hAnsiTheme="minorHAnsi" w:cs="Arial"/>
          <w:b/>
          <w:bCs/>
          <w:snapToGrid w:val="0"/>
          <w:sz w:val="32"/>
        </w:rPr>
      </w:pPr>
      <w:r w:rsidRPr="00E03373">
        <w:rPr>
          <w:rFonts w:asciiTheme="minorHAnsi" w:hAnsiTheme="minorHAnsi" w:cs="Arial"/>
          <w:b/>
          <w:bCs/>
          <w:snapToGrid w:val="0"/>
          <w:sz w:val="32"/>
        </w:rPr>
        <w:t>PBAC Outcome</w:t>
      </w:r>
    </w:p>
    <w:p w:rsidR="00C46A02" w:rsidRPr="00E53A1A" w:rsidRDefault="002C708C" w:rsidP="00C8425A">
      <w:pPr>
        <w:widowControl w:val="0"/>
        <w:numPr>
          <w:ilvl w:val="1"/>
          <w:numId w:val="5"/>
        </w:numPr>
        <w:spacing w:after="120"/>
        <w:jc w:val="both"/>
        <w:rPr>
          <w:rFonts w:asciiTheme="minorHAnsi" w:hAnsiTheme="minorHAnsi" w:cs="Arial"/>
          <w:bCs/>
          <w:snapToGrid w:val="0"/>
        </w:rPr>
      </w:pPr>
      <w:r w:rsidRPr="00E53A1A">
        <w:rPr>
          <w:rFonts w:asciiTheme="minorHAnsi" w:hAnsiTheme="minorHAnsi" w:cs="Arial"/>
          <w:bCs/>
          <w:snapToGrid w:val="0"/>
        </w:rPr>
        <w:t>The PB</w:t>
      </w:r>
      <w:r w:rsidR="00986DCE" w:rsidRPr="00E53A1A">
        <w:rPr>
          <w:rFonts w:asciiTheme="minorHAnsi" w:hAnsiTheme="minorHAnsi" w:cs="Arial"/>
          <w:bCs/>
          <w:snapToGrid w:val="0"/>
        </w:rPr>
        <w:t>AC recommended the</w:t>
      </w:r>
      <w:r w:rsidR="00B8492A" w:rsidRPr="00E53A1A">
        <w:rPr>
          <w:rFonts w:asciiTheme="minorHAnsi" w:hAnsiTheme="minorHAnsi" w:cs="Arial"/>
          <w:bCs/>
          <w:snapToGrid w:val="0"/>
        </w:rPr>
        <w:t xml:space="preserve"> Restricted Benefit</w:t>
      </w:r>
      <w:r w:rsidR="00986DCE" w:rsidRPr="00E53A1A">
        <w:rPr>
          <w:rFonts w:asciiTheme="minorHAnsi" w:hAnsiTheme="minorHAnsi" w:cs="Arial"/>
          <w:bCs/>
          <w:snapToGrid w:val="0"/>
        </w:rPr>
        <w:t xml:space="preserve"> listing of the amino acid formula, MSUD Explore 5</w:t>
      </w:r>
      <w:r w:rsidR="002931EC" w:rsidRPr="00E53A1A">
        <w:rPr>
          <w:rFonts w:asciiTheme="minorHAnsi" w:hAnsiTheme="minorHAnsi" w:cstheme="minorHAnsi"/>
          <w:bCs/>
          <w:snapToGrid w:val="0"/>
          <w:vertAlign w:val="superscript"/>
        </w:rPr>
        <w:t>®</w:t>
      </w:r>
      <w:r w:rsidRPr="00E53A1A">
        <w:rPr>
          <w:rFonts w:asciiTheme="minorHAnsi" w:hAnsiTheme="minorHAnsi" w:cs="Arial"/>
          <w:bCs/>
          <w:snapToGrid w:val="0"/>
        </w:rPr>
        <w:t>,</w:t>
      </w:r>
      <w:r w:rsidR="00B8492A" w:rsidRPr="00E53A1A">
        <w:rPr>
          <w:rFonts w:asciiTheme="minorHAnsi" w:hAnsiTheme="minorHAnsi" w:cs="Arial"/>
          <w:bCs/>
          <w:snapToGrid w:val="0"/>
        </w:rPr>
        <w:t xml:space="preserve"> for the dietary management of maple syrup urine disease</w:t>
      </w:r>
      <w:r w:rsidR="00291C0A" w:rsidRPr="00E53A1A">
        <w:rPr>
          <w:rFonts w:asciiTheme="minorHAnsi" w:hAnsiTheme="minorHAnsi" w:cs="Arial"/>
          <w:bCs/>
          <w:snapToGrid w:val="0"/>
        </w:rPr>
        <w:t xml:space="preserve"> (MSUD) on a cost minimisation basis with MSUD Gel</w:t>
      </w:r>
      <w:r w:rsidR="002931EC" w:rsidRPr="00E53A1A">
        <w:rPr>
          <w:rFonts w:asciiTheme="minorHAnsi" w:hAnsiTheme="minorHAnsi" w:cstheme="minorHAnsi"/>
          <w:bCs/>
          <w:snapToGrid w:val="0"/>
          <w:vertAlign w:val="superscript"/>
        </w:rPr>
        <w:t>®</w:t>
      </w:r>
      <w:r w:rsidR="00291C0A" w:rsidRPr="00E53A1A">
        <w:rPr>
          <w:rFonts w:asciiTheme="minorHAnsi" w:hAnsiTheme="minorHAnsi" w:cs="Arial"/>
          <w:bCs/>
          <w:snapToGrid w:val="0"/>
        </w:rPr>
        <w:t>, at an equivalent cost per gram of protein equivalent (PE)</w:t>
      </w:r>
      <w:r w:rsidR="00B8492A" w:rsidRPr="00E53A1A">
        <w:rPr>
          <w:rFonts w:asciiTheme="minorHAnsi" w:hAnsiTheme="minorHAnsi" w:cs="Arial"/>
          <w:bCs/>
          <w:snapToGrid w:val="0"/>
        </w:rPr>
        <w:t>.</w:t>
      </w:r>
      <w:r w:rsidRPr="00E53A1A">
        <w:rPr>
          <w:rFonts w:asciiTheme="minorHAnsi" w:hAnsiTheme="minorHAnsi" w:cs="Arial"/>
          <w:bCs/>
          <w:snapToGrid w:val="0"/>
        </w:rPr>
        <w:t xml:space="preserve"> </w:t>
      </w:r>
    </w:p>
    <w:p w:rsidR="002C708C" w:rsidRPr="00E53A1A" w:rsidRDefault="002C708C" w:rsidP="002C708C">
      <w:pPr>
        <w:widowControl w:val="0"/>
        <w:numPr>
          <w:ilvl w:val="1"/>
          <w:numId w:val="5"/>
        </w:numPr>
        <w:spacing w:after="120"/>
        <w:jc w:val="both"/>
        <w:rPr>
          <w:rFonts w:asciiTheme="minorHAnsi" w:hAnsiTheme="minorHAnsi" w:cs="Arial"/>
          <w:bCs/>
          <w:snapToGrid w:val="0"/>
        </w:rPr>
      </w:pPr>
      <w:r w:rsidRPr="00E53A1A">
        <w:rPr>
          <w:rFonts w:asciiTheme="minorHAnsi" w:hAnsiTheme="minorHAnsi" w:cs="Arial"/>
          <w:bCs/>
          <w:snapToGrid w:val="0"/>
        </w:rPr>
        <w:t xml:space="preserve">The PBAC </w:t>
      </w:r>
      <w:r w:rsidR="00291C0A" w:rsidRPr="00E53A1A">
        <w:rPr>
          <w:rFonts w:asciiTheme="minorHAnsi" w:hAnsiTheme="minorHAnsi" w:cs="Arial"/>
          <w:bCs/>
          <w:snapToGrid w:val="0"/>
        </w:rPr>
        <w:t xml:space="preserve">noted the NPWP supported the proposed listing as an alternative second stage protein supplement for dietary management of MSUD in patients aged six months to </w:t>
      </w:r>
      <w:r w:rsidR="00EE74A7">
        <w:rPr>
          <w:rFonts w:asciiTheme="minorHAnsi" w:hAnsiTheme="minorHAnsi" w:cs="Arial"/>
          <w:bCs/>
          <w:snapToGrid w:val="0"/>
        </w:rPr>
        <w:t>five</w:t>
      </w:r>
      <w:r w:rsidR="00EE74A7" w:rsidRPr="00E53A1A">
        <w:rPr>
          <w:rFonts w:asciiTheme="minorHAnsi" w:hAnsiTheme="minorHAnsi" w:cs="Arial"/>
          <w:bCs/>
          <w:snapToGrid w:val="0"/>
        </w:rPr>
        <w:t xml:space="preserve"> </w:t>
      </w:r>
      <w:r w:rsidR="00291C0A" w:rsidRPr="00E53A1A">
        <w:rPr>
          <w:rFonts w:asciiTheme="minorHAnsi" w:hAnsiTheme="minorHAnsi" w:cs="Arial"/>
          <w:bCs/>
          <w:snapToGrid w:val="0"/>
        </w:rPr>
        <w:t>years old</w:t>
      </w:r>
      <w:r w:rsidRPr="00E53A1A">
        <w:rPr>
          <w:rFonts w:asciiTheme="minorHAnsi" w:hAnsiTheme="minorHAnsi" w:cs="Arial"/>
          <w:bCs/>
          <w:snapToGrid w:val="0"/>
        </w:rPr>
        <w:t>.</w:t>
      </w:r>
      <w:r w:rsidR="00291C0A" w:rsidRPr="00E53A1A">
        <w:rPr>
          <w:rFonts w:asciiTheme="minorHAnsi" w:hAnsiTheme="minorHAnsi" w:cs="Arial"/>
          <w:bCs/>
          <w:snapToGrid w:val="0"/>
        </w:rPr>
        <w:t xml:space="preserve"> The PBAC further noted the Sponsor’s intention to delist the comparator, MSUD Gel from the PBS following the listing of MSUD Explore 5.</w:t>
      </w:r>
    </w:p>
    <w:p w:rsidR="002C708C" w:rsidRPr="00E53A1A" w:rsidRDefault="00291C0A" w:rsidP="002C708C">
      <w:pPr>
        <w:widowControl w:val="0"/>
        <w:numPr>
          <w:ilvl w:val="1"/>
          <w:numId w:val="5"/>
        </w:numPr>
        <w:spacing w:after="120"/>
        <w:jc w:val="both"/>
        <w:rPr>
          <w:rFonts w:asciiTheme="minorHAnsi" w:hAnsiTheme="minorHAnsi" w:cs="Arial"/>
          <w:bCs/>
          <w:snapToGrid w:val="0"/>
        </w:rPr>
      </w:pPr>
      <w:r w:rsidRPr="00E53A1A">
        <w:rPr>
          <w:rFonts w:asciiTheme="minorHAnsi" w:hAnsiTheme="minorHAnsi" w:cs="Arial"/>
          <w:bCs/>
          <w:snapToGrid w:val="0"/>
        </w:rPr>
        <w:t xml:space="preserve">The PBAC accepted MSUD Gel was the appropriate comparator. The PBAC considered MSUD Explore 5 would directly substitute for MSUD Gel and was unlikely to grow the market </w:t>
      </w:r>
      <w:r w:rsidR="00223192">
        <w:rPr>
          <w:rFonts w:asciiTheme="minorHAnsi" w:hAnsiTheme="minorHAnsi" w:cs="Arial"/>
          <w:bCs/>
          <w:snapToGrid w:val="0"/>
        </w:rPr>
        <w:t xml:space="preserve">for </w:t>
      </w:r>
      <w:r w:rsidRPr="00E53A1A">
        <w:rPr>
          <w:rFonts w:asciiTheme="minorHAnsi" w:hAnsiTheme="minorHAnsi" w:cs="Arial"/>
          <w:bCs/>
          <w:snapToGrid w:val="0"/>
        </w:rPr>
        <w:t>nutritional products for dietary management of MSUD for the target age group.</w:t>
      </w:r>
    </w:p>
    <w:p w:rsidR="00291C0A" w:rsidRPr="00E53A1A" w:rsidRDefault="00291C0A" w:rsidP="00553FE3">
      <w:pPr>
        <w:widowControl w:val="0"/>
        <w:numPr>
          <w:ilvl w:val="1"/>
          <w:numId w:val="5"/>
        </w:numPr>
        <w:spacing w:after="120"/>
        <w:jc w:val="both"/>
        <w:rPr>
          <w:rFonts w:asciiTheme="minorHAnsi" w:hAnsiTheme="minorHAnsi" w:cs="Arial"/>
          <w:bCs/>
          <w:snapToGrid w:val="0"/>
        </w:rPr>
      </w:pPr>
      <w:r w:rsidRPr="00E53A1A">
        <w:rPr>
          <w:rFonts w:asciiTheme="minorHAnsi" w:hAnsiTheme="minorHAnsi" w:cs="Arial"/>
          <w:bCs/>
          <w:snapToGrid w:val="0"/>
        </w:rPr>
        <w:t xml:space="preserve">The PBAC agreed with the NPWP advice </w:t>
      </w:r>
      <w:r w:rsidR="00553FE3" w:rsidRPr="00E53A1A">
        <w:rPr>
          <w:rFonts w:asciiTheme="minorHAnsi" w:hAnsiTheme="minorHAnsi" w:cs="Arial"/>
          <w:bCs/>
          <w:snapToGrid w:val="0"/>
        </w:rPr>
        <w:t>that</w:t>
      </w:r>
      <w:r w:rsidRPr="00E53A1A">
        <w:rPr>
          <w:rFonts w:asciiTheme="minorHAnsi" w:hAnsiTheme="minorHAnsi" w:cs="Arial"/>
          <w:bCs/>
          <w:snapToGrid w:val="0"/>
        </w:rPr>
        <w:t xml:space="preserve"> the requested 15% price premium was not justified as the addition of </w:t>
      </w:r>
      <w:r w:rsidR="00E53A1A" w:rsidRPr="00E53A1A">
        <w:rPr>
          <w:rFonts w:asciiTheme="minorHAnsi" w:hAnsiTheme="minorHAnsi" w:cs="Arial"/>
          <w:bCs/>
          <w:snapToGrid w:val="0"/>
        </w:rPr>
        <w:t>docosahexaenoic</w:t>
      </w:r>
      <w:r w:rsidR="00553FE3" w:rsidRPr="00E53A1A">
        <w:rPr>
          <w:rFonts w:asciiTheme="minorHAnsi" w:hAnsiTheme="minorHAnsi" w:cs="Arial"/>
          <w:bCs/>
          <w:snapToGrid w:val="0"/>
        </w:rPr>
        <w:t xml:space="preserve"> acid (DHA) and arachidonic acid (AA)</w:t>
      </w:r>
      <w:r w:rsidRPr="00E53A1A">
        <w:rPr>
          <w:rFonts w:asciiTheme="minorHAnsi" w:hAnsiTheme="minorHAnsi" w:cs="Arial"/>
          <w:bCs/>
          <w:snapToGrid w:val="0"/>
        </w:rPr>
        <w:t xml:space="preserve"> was not clinically indicated for the target population, and other nutritional products for the dietary management of MSUD which contain DHA and/or AA such as MSUD </w:t>
      </w:r>
      <w:proofErr w:type="spellStart"/>
      <w:r w:rsidRPr="00E53A1A">
        <w:rPr>
          <w:rFonts w:asciiTheme="minorHAnsi" w:hAnsiTheme="minorHAnsi" w:cs="Arial"/>
          <w:bCs/>
          <w:snapToGrid w:val="0"/>
        </w:rPr>
        <w:t>Anamix</w:t>
      </w:r>
      <w:proofErr w:type="spellEnd"/>
      <w:r w:rsidRPr="00E53A1A">
        <w:rPr>
          <w:rFonts w:asciiTheme="minorHAnsi" w:hAnsiTheme="minorHAnsi" w:cs="Arial"/>
          <w:bCs/>
          <w:snapToGrid w:val="0"/>
        </w:rPr>
        <w:t xml:space="preserve"> Junior were not listed with a price premium.</w:t>
      </w:r>
    </w:p>
    <w:p w:rsidR="00C8425A" w:rsidRPr="00E53A1A" w:rsidRDefault="00C8425A" w:rsidP="00C8425A">
      <w:pPr>
        <w:widowControl w:val="0"/>
        <w:spacing w:after="120"/>
        <w:ind w:left="720"/>
        <w:jc w:val="both"/>
        <w:rPr>
          <w:rFonts w:asciiTheme="minorHAnsi" w:hAnsiTheme="minorHAnsi" w:cs="Arial"/>
          <w:bCs/>
          <w:snapToGrid w:val="0"/>
        </w:rPr>
      </w:pPr>
    </w:p>
    <w:p w:rsidR="002C708C" w:rsidRPr="00E53A1A" w:rsidRDefault="00291C0A" w:rsidP="00725BF0">
      <w:pPr>
        <w:widowControl w:val="0"/>
        <w:numPr>
          <w:ilvl w:val="1"/>
          <w:numId w:val="5"/>
        </w:numPr>
        <w:spacing w:after="120"/>
        <w:jc w:val="both"/>
        <w:rPr>
          <w:rFonts w:asciiTheme="minorHAnsi" w:hAnsiTheme="minorHAnsi" w:cs="Arial"/>
          <w:bCs/>
          <w:snapToGrid w:val="0"/>
        </w:rPr>
      </w:pPr>
      <w:r w:rsidRPr="00E53A1A">
        <w:rPr>
          <w:rFonts w:asciiTheme="minorHAnsi" w:hAnsiTheme="minorHAnsi" w:cs="Arial"/>
          <w:bCs/>
          <w:snapToGrid w:val="0"/>
        </w:rPr>
        <w:t>The PBAC considered that M</w:t>
      </w:r>
      <w:r w:rsidR="00725BF0" w:rsidRPr="00E53A1A">
        <w:rPr>
          <w:rFonts w:asciiTheme="minorHAnsi" w:hAnsiTheme="minorHAnsi" w:cs="Arial"/>
          <w:bCs/>
          <w:snapToGrid w:val="0"/>
        </w:rPr>
        <w:t>SUD Explore 5 is</w:t>
      </w:r>
      <w:r w:rsidR="00725BF0" w:rsidRPr="00E03373">
        <w:t xml:space="preserve"> </w:t>
      </w:r>
      <w:r w:rsidR="00725BF0" w:rsidRPr="00E53A1A">
        <w:rPr>
          <w:rFonts w:asciiTheme="minorHAnsi" w:hAnsiTheme="minorHAnsi" w:cs="Arial"/>
          <w:bCs/>
          <w:snapToGrid w:val="0"/>
        </w:rPr>
        <w:t>suitable for inclusion in the PBS medicines for prescribing by nurse practitioners, similar to other nutritional products currently listed for the dietary management of patients with MSUD.</w:t>
      </w:r>
    </w:p>
    <w:p w:rsidR="00022121" w:rsidRPr="00E53A1A" w:rsidRDefault="00022121" w:rsidP="00022121">
      <w:pPr>
        <w:widowControl w:val="0"/>
        <w:numPr>
          <w:ilvl w:val="1"/>
          <w:numId w:val="5"/>
        </w:numPr>
        <w:spacing w:after="120"/>
        <w:jc w:val="both"/>
        <w:rPr>
          <w:rFonts w:asciiTheme="minorHAnsi" w:hAnsiTheme="minorHAnsi" w:cs="Arial"/>
          <w:bCs/>
          <w:snapToGrid w:val="0"/>
        </w:rPr>
      </w:pPr>
      <w:r w:rsidRPr="00E53A1A">
        <w:rPr>
          <w:rFonts w:asciiTheme="minorHAnsi" w:hAnsiTheme="minorHAnsi" w:cs="Arial"/>
          <w:bCs/>
          <w:snapToGrid w:val="0"/>
        </w:rPr>
        <w:t xml:space="preserve">The PBAC advised, under Section 101(3BA) of the </w:t>
      </w:r>
      <w:r w:rsidRPr="00E53A1A">
        <w:rPr>
          <w:rFonts w:asciiTheme="minorHAnsi" w:hAnsiTheme="minorHAnsi" w:cs="Arial"/>
          <w:bCs/>
          <w:i/>
          <w:snapToGrid w:val="0"/>
        </w:rPr>
        <w:t>National Health Act 1953</w:t>
      </w:r>
      <w:r w:rsidRPr="00E53A1A">
        <w:rPr>
          <w:rFonts w:asciiTheme="minorHAnsi" w:hAnsiTheme="minorHAnsi" w:cs="Arial"/>
          <w:bCs/>
          <w:snapToGrid w:val="0"/>
        </w:rPr>
        <w:t xml:space="preserve"> that MSUD Explore 5 should be treated as interchangeable on an individual patient basis with MSUD Gel. </w:t>
      </w:r>
    </w:p>
    <w:p w:rsidR="002C708C" w:rsidRPr="00E53A1A" w:rsidRDefault="002C708C" w:rsidP="002C708C">
      <w:pPr>
        <w:widowControl w:val="0"/>
        <w:numPr>
          <w:ilvl w:val="1"/>
          <w:numId w:val="5"/>
        </w:numPr>
        <w:spacing w:after="120"/>
        <w:jc w:val="both"/>
        <w:rPr>
          <w:rFonts w:asciiTheme="minorHAnsi" w:hAnsiTheme="minorHAnsi" w:cs="Arial"/>
          <w:bCs/>
          <w:snapToGrid w:val="0"/>
        </w:rPr>
      </w:pPr>
      <w:r w:rsidRPr="00E53A1A">
        <w:rPr>
          <w:rFonts w:asciiTheme="minorHAnsi" w:hAnsiTheme="minorHAnsi" w:cs="Arial"/>
          <w:bCs/>
          <w:snapToGrid w:val="0"/>
        </w:rPr>
        <w:t>The PBAC recomme</w:t>
      </w:r>
      <w:r w:rsidR="00022121" w:rsidRPr="00E53A1A">
        <w:rPr>
          <w:rFonts w:asciiTheme="minorHAnsi" w:hAnsiTheme="minorHAnsi" w:cs="Arial"/>
          <w:bCs/>
          <w:snapToGrid w:val="0"/>
        </w:rPr>
        <w:t>nded that the Early Supply Rule should not apply to MSUD Explore 5, as it has generally been the PBAC’s view that nutritional product listings be exempt.</w:t>
      </w:r>
    </w:p>
    <w:p w:rsidR="00725BF0" w:rsidRPr="00E53A1A" w:rsidRDefault="00725BF0" w:rsidP="00725BF0">
      <w:pPr>
        <w:widowControl w:val="0"/>
        <w:numPr>
          <w:ilvl w:val="1"/>
          <w:numId w:val="5"/>
        </w:numPr>
        <w:spacing w:after="120"/>
        <w:jc w:val="both"/>
        <w:rPr>
          <w:rFonts w:asciiTheme="minorHAnsi" w:hAnsiTheme="minorHAnsi" w:cs="Arial"/>
          <w:bCs/>
          <w:snapToGrid w:val="0"/>
        </w:rPr>
      </w:pPr>
      <w:r w:rsidRPr="00E53A1A">
        <w:rPr>
          <w:rFonts w:asciiTheme="minorHAnsi" w:hAnsiTheme="minorHAnsi" w:cs="Arial"/>
          <w:bCs/>
          <w:snapToGrid w:val="0"/>
        </w:rPr>
        <w:lastRenderedPageBreak/>
        <w:t>The PBAC noted that its recommendation was on a cost-minimisation basis and advised that, because MSUD Explore 5 is not expected to provide a substantial and clinically relevant improvement in efficacy, or reduction of toxicity, over MSUD Gel, or not expected to address a high and urgent unmet clinical need given the presence of an alternative therapy, the criteria prescribed by the National Health (Pharmaceuticals and Vaccines – Cost Recovery) Regulations 2009 for Pricing Pathway A were not met.</w:t>
      </w:r>
    </w:p>
    <w:p w:rsidR="002C708C" w:rsidRPr="00F82EFD" w:rsidRDefault="002C708C" w:rsidP="00F82EFD">
      <w:pPr>
        <w:widowControl w:val="0"/>
        <w:numPr>
          <w:ilvl w:val="1"/>
          <w:numId w:val="5"/>
        </w:numPr>
        <w:spacing w:after="120"/>
        <w:jc w:val="both"/>
        <w:rPr>
          <w:rFonts w:asciiTheme="minorHAnsi" w:hAnsiTheme="minorHAnsi" w:cs="Arial"/>
          <w:bCs/>
          <w:i/>
          <w:snapToGrid w:val="0"/>
        </w:rPr>
      </w:pPr>
      <w:r w:rsidRPr="00E53A1A">
        <w:rPr>
          <w:rFonts w:asciiTheme="minorHAnsi" w:hAnsiTheme="minorHAnsi" w:cs="Arial"/>
          <w:bCs/>
          <w:snapToGrid w:val="0"/>
        </w:rPr>
        <w:t>The PBAC noted that this is not eligible for an Independent Review</w:t>
      </w:r>
      <w:r w:rsidR="00022121" w:rsidRPr="00E53A1A">
        <w:rPr>
          <w:rFonts w:asciiTheme="minorHAnsi" w:hAnsiTheme="minorHAnsi" w:cs="Arial"/>
          <w:bCs/>
          <w:snapToGrid w:val="0"/>
        </w:rPr>
        <w:t xml:space="preserve"> as it received a positive recommendation</w:t>
      </w:r>
      <w:r w:rsidRPr="00E53A1A">
        <w:rPr>
          <w:rFonts w:asciiTheme="minorHAnsi" w:hAnsiTheme="minorHAnsi" w:cs="Arial"/>
          <w:bCs/>
          <w:snapToGrid w:val="0"/>
        </w:rPr>
        <w:t xml:space="preserve">. </w:t>
      </w:r>
    </w:p>
    <w:p w:rsidR="002C708C" w:rsidRPr="00F82EFD" w:rsidRDefault="002C708C" w:rsidP="00F82EFD">
      <w:pPr>
        <w:spacing w:before="240"/>
        <w:jc w:val="both"/>
        <w:outlineLvl w:val="1"/>
        <w:rPr>
          <w:rFonts w:asciiTheme="minorHAnsi" w:hAnsiTheme="minorHAnsi" w:cs="Arial"/>
          <w:b/>
          <w:bCs/>
          <w:snapToGrid w:val="0"/>
        </w:rPr>
      </w:pPr>
      <w:r w:rsidRPr="00E53A1A">
        <w:rPr>
          <w:rFonts w:asciiTheme="minorHAnsi" w:hAnsiTheme="minorHAnsi" w:cs="Arial"/>
          <w:b/>
          <w:bCs/>
          <w:snapToGrid w:val="0"/>
        </w:rPr>
        <w:t>Outcome</w:t>
      </w:r>
      <w:proofErr w:type="gramStart"/>
      <w:r w:rsidRPr="00E53A1A">
        <w:rPr>
          <w:rFonts w:asciiTheme="minorHAnsi" w:hAnsiTheme="minorHAnsi" w:cs="Arial"/>
          <w:b/>
          <w:bCs/>
          <w:snapToGrid w:val="0"/>
        </w:rPr>
        <w:t>:</w:t>
      </w:r>
      <w:proofErr w:type="gramEnd"/>
      <w:r w:rsidR="00DD1BE3" w:rsidRPr="00E53A1A">
        <w:rPr>
          <w:rFonts w:asciiTheme="minorHAnsi" w:hAnsiTheme="minorHAnsi" w:cs="Arial"/>
          <w:b/>
          <w:bCs/>
          <w:snapToGrid w:val="0"/>
        </w:rPr>
        <w:br/>
      </w:r>
      <w:r w:rsidR="00FC3035" w:rsidRPr="00E53A1A">
        <w:rPr>
          <w:rFonts w:asciiTheme="minorHAnsi" w:hAnsiTheme="minorHAnsi" w:cs="Arial"/>
          <w:bCs/>
          <w:snapToGrid w:val="0"/>
        </w:rPr>
        <w:t>Recommended</w:t>
      </w:r>
    </w:p>
    <w:p w:rsidR="002C708C" w:rsidRPr="00E53A1A" w:rsidRDefault="002C708C" w:rsidP="00DD1BE3">
      <w:pPr>
        <w:widowControl w:val="0"/>
        <w:numPr>
          <w:ilvl w:val="0"/>
          <w:numId w:val="5"/>
        </w:numPr>
        <w:spacing w:before="240" w:after="120"/>
        <w:jc w:val="both"/>
        <w:outlineLvl w:val="0"/>
        <w:rPr>
          <w:rFonts w:asciiTheme="minorHAnsi" w:hAnsiTheme="minorHAnsi" w:cs="Arial"/>
          <w:b/>
          <w:bCs/>
          <w:i/>
          <w:snapToGrid w:val="0"/>
          <w:sz w:val="32"/>
        </w:rPr>
      </w:pPr>
      <w:r w:rsidRPr="00E53A1A">
        <w:rPr>
          <w:rFonts w:asciiTheme="minorHAnsi" w:hAnsiTheme="minorHAnsi" w:cs="Arial"/>
          <w:b/>
          <w:bCs/>
          <w:snapToGrid w:val="0"/>
          <w:sz w:val="32"/>
        </w:rPr>
        <w:t>Recommended listing</w:t>
      </w:r>
    </w:p>
    <w:p w:rsidR="002C708C" w:rsidRPr="00E03373" w:rsidRDefault="002C708C" w:rsidP="00754C24">
      <w:pPr>
        <w:widowControl w:val="0"/>
        <w:numPr>
          <w:ilvl w:val="1"/>
          <w:numId w:val="5"/>
        </w:numPr>
        <w:spacing w:after="120"/>
        <w:jc w:val="both"/>
        <w:rPr>
          <w:rFonts w:asciiTheme="minorHAnsi" w:hAnsiTheme="minorHAnsi" w:cs="Arial"/>
          <w:b/>
          <w:bCs/>
          <w:snapToGrid w:val="0"/>
        </w:rPr>
      </w:pPr>
      <w:r w:rsidRPr="00E03373">
        <w:rPr>
          <w:rFonts w:asciiTheme="minorHAnsi" w:hAnsiTheme="minorHAnsi" w:cs="Arial"/>
          <w:bCs/>
          <w:snapToGrid w:val="0"/>
        </w:rPr>
        <w:t>Add new item:</w:t>
      </w:r>
    </w:p>
    <w:tbl>
      <w:tblPr>
        <w:tblW w:w="9214" w:type="dxa"/>
        <w:tblInd w:w="108" w:type="dxa"/>
        <w:tblLayout w:type="fixed"/>
        <w:tblLook w:val="0000" w:firstRow="0" w:lastRow="0" w:firstColumn="0" w:lastColumn="0" w:noHBand="0" w:noVBand="0"/>
      </w:tblPr>
      <w:tblGrid>
        <w:gridCol w:w="2835"/>
        <w:gridCol w:w="426"/>
        <w:gridCol w:w="567"/>
        <w:gridCol w:w="850"/>
        <w:gridCol w:w="1877"/>
        <w:gridCol w:w="2659"/>
      </w:tblGrid>
      <w:tr w:rsidR="00754C24" w:rsidRPr="00E03373" w:rsidTr="00F9470A">
        <w:trPr>
          <w:cantSplit/>
          <w:trHeight w:val="471"/>
        </w:trPr>
        <w:tc>
          <w:tcPr>
            <w:tcW w:w="3261" w:type="dxa"/>
            <w:gridSpan w:val="2"/>
            <w:tcBorders>
              <w:bottom w:val="single" w:sz="4" w:space="0" w:color="auto"/>
            </w:tcBorders>
          </w:tcPr>
          <w:p w:rsidR="00754C24" w:rsidRPr="00E03373" w:rsidRDefault="00754C24" w:rsidP="004955A5">
            <w:pPr>
              <w:keepNext/>
              <w:ind w:left="-108"/>
              <w:jc w:val="both"/>
              <w:rPr>
                <w:rFonts w:ascii="Arial Narrow" w:hAnsi="Arial Narrow" w:cs="Arial"/>
                <w:sz w:val="20"/>
                <w:szCs w:val="20"/>
              </w:rPr>
            </w:pPr>
            <w:r w:rsidRPr="00E03373">
              <w:rPr>
                <w:rFonts w:ascii="Arial Narrow" w:hAnsi="Arial Narrow" w:cs="Arial"/>
                <w:sz w:val="20"/>
                <w:szCs w:val="20"/>
              </w:rPr>
              <w:t>Name, Restriction,</w:t>
            </w:r>
          </w:p>
          <w:p w:rsidR="00754C24" w:rsidRPr="00E03373" w:rsidRDefault="00754C24" w:rsidP="004955A5">
            <w:pPr>
              <w:keepNext/>
              <w:ind w:left="-108"/>
              <w:jc w:val="both"/>
              <w:rPr>
                <w:rFonts w:ascii="Arial Narrow" w:hAnsi="Arial Narrow" w:cs="Arial"/>
                <w:sz w:val="20"/>
                <w:szCs w:val="20"/>
              </w:rPr>
            </w:pPr>
            <w:r w:rsidRPr="00E03373">
              <w:rPr>
                <w:rFonts w:ascii="Arial Narrow" w:hAnsi="Arial Narrow" w:cs="Arial"/>
                <w:sz w:val="20"/>
                <w:szCs w:val="20"/>
              </w:rPr>
              <w:t>Manner of administration and form</w:t>
            </w:r>
          </w:p>
        </w:tc>
        <w:tc>
          <w:tcPr>
            <w:tcW w:w="567" w:type="dxa"/>
            <w:tcBorders>
              <w:bottom w:val="single" w:sz="4" w:space="0" w:color="auto"/>
            </w:tcBorders>
          </w:tcPr>
          <w:p w:rsidR="00754C24" w:rsidRPr="00E03373" w:rsidRDefault="00754C24" w:rsidP="004955A5">
            <w:pPr>
              <w:keepNext/>
              <w:ind w:left="-108"/>
              <w:jc w:val="both"/>
              <w:rPr>
                <w:rFonts w:ascii="Arial Narrow" w:hAnsi="Arial Narrow" w:cs="Arial"/>
                <w:sz w:val="20"/>
                <w:szCs w:val="20"/>
              </w:rPr>
            </w:pPr>
            <w:r w:rsidRPr="00E03373">
              <w:rPr>
                <w:rFonts w:ascii="Arial Narrow" w:hAnsi="Arial Narrow" w:cs="Arial"/>
                <w:sz w:val="20"/>
                <w:szCs w:val="20"/>
              </w:rPr>
              <w:t>Max.</w:t>
            </w:r>
          </w:p>
          <w:p w:rsidR="00754C24" w:rsidRPr="00E03373" w:rsidRDefault="00754C24" w:rsidP="004955A5">
            <w:pPr>
              <w:keepNext/>
              <w:ind w:left="-108"/>
              <w:jc w:val="both"/>
              <w:rPr>
                <w:rFonts w:ascii="Arial Narrow" w:hAnsi="Arial Narrow" w:cs="Arial"/>
                <w:sz w:val="20"/>
                <w:szCs w:val="20"/>
              </w:rPr>
            </w:pPr>
            <w:proofErr w:type="spellStart"/>
            <w:r w:rsidRPr="00E03373">
              <w:rPr>
                <w:rFonts w:ascii="Arial Narrow" w:hAnsi="Arial Narrow" w:cs="Arial"/>
                <w:sz w:val="20"/>
                <w:szCs w:val="20"/>
              </w:rPr>
              <w:t>Qty</w:t>
            </w:r>
            <w:proofErr w:type="spellEnd"/>
          </w:p>
        </w:tc>
        <w:tc>
          <w:tcPr>
            <w:tcW w:w="850" w:type="dxa"/>
            <w:tcBorders>
              <w:bottom w:val="single" w:sz="4" w:space="0" w:color="auto"/>
            </w:tcBorders>
          </w:tcPr>
          <w:p w:rsidR="00754C24" w:rsidRPr="00E03373" w:rsidRDefault="00754C24" w:rsidP="004955A5">
            <w:pPr>
              <w:keepNext/>
              <w:ind w:left="-108"/>
              <w:jc w:val="both"/>
              <w:rPr>
                <w:rFonts w:ascii="Arial Narrow" w:hAnsi="Arial Narrow" w:cs="Arial"/>
                <w:sz w:val="20"/>
                <w:szCs w:val="20"/>
              </w:rPr>
            </w:pPr>
            <w:r w:rsidRPr="00E03373">
              <w:rPr>
                <w:rFonts w:ascii="Arial Narrow" w:hAnsi="Arial Narrow" w:cs="Arial"/>
                <w:sz w:val="20"/>
                <w:szCs w:val="20"/>
              </w:rPr>
              <w:t>№.of</w:t>
            </w:r>
          </w:p>
          <w:p w:rsidR="00754C24" w:rsidRPr="00E03373" w:rsidRDefault="00754C24" w:rsidP="004955A5">
            <w:pPr>
              <w:keepNext/>
              <w:ind w:left="-108"/>
              <w:jc w:val="both"/>
              <w:rPr>
                <w:rFonts w:ascii="Arial Narrow" w:hAnsi="Arial Narrow" w:cs="Arial"/>
                <w:sz w:val="20"/>
                <w:szCs w:val="20"/>
              </w:rPr>
            </w:pPr>
            <w:proofErr w:type="spellStart"/>
            <w:r w:rsidRPr="00E03373">
              <w:rPr>
                <w:rFonts w:ascii="Arial Narrow" w:hAnsi="Arial Narrow" w:cs="Arial"/>
                <w:sz w:val="20"/>
                <w:szCs w:val="20"/>
              </w:rPr>
              <w:t>Rpts</w:t>
            </w:r>
            <w:proofErr w:type="spellEnd"/>
          </w:p>
        </w:tc>
        <w:tc>
          <w:tcPr>
            <w:tcW w:w="4536" w:type="dxa"/>
            <w:gridSpan w:val="2"/>
            <w:tcBorders>
              <w:bottom w:val="single" w:sz="4" w:space="0" w:color="auto"/>
            </w:tcBorders>
          </w:tcPr>
          <w:p w:rsidR="00754C24" w:rsidRPr="00E53A1A" w:rsidRDefault="00754C24" w:rsidP="004955A5">
            <w:pPr>
              <w:keepNext/>
              <w:jc w:val="both"/>
              <w:rPr>
                <w:rFonts w:ascii="Arial Narrow" w:hAnsi="Arial Narrow" w:cs="Arial"/>
                <w:sz w:val="20"/>
                <w:szCs w:val="20"/>
              </w:rPr>
            </w:pPr>
            <w:r w:rsidRPr="00E03373">
              <w:rPr>
                <w:rFonts w:ascii="Arial Narrow" w:hAnsi="Arial Narrow" w:cs="Arial"/>
                <w:sz w:val="20"/>
                <w:szCs w:val="20"/>
              </w:rPr>
              <w:t>Proprietary Name and Manufacturer</w:t>
            </w:r>
          </w:p>
        </w:tc>
      </w:tr>
      <w:tr w:rsidR="00754C24" w:rsidRPr="00E03373" w:rsidTr="00754C24">
        <w:trPr>
          <w:cantSplit/>
          <w:trHeight w:val="577"/>
        </w:trPr>
        <w:tc>
          <w:tcPr>
            <w:tcW w:w="3261" w:type="dxa"/>
            <w:gridSpan w:val="2"/>
          </w:tcPr>
          <w:p w:rsidR="00754C24" w:rsidRPr="00E03373" w:rsidRDefault="00754C24" w:rsidP="000839BA">
            <w:pPr>
              <w:keepNext/>
              <w:ind w:left="-108"/>
              <w:rPr>
                <w:rFonts w:ascii="Arial Narrow" w:hAnsi="Arial Narrow" w:cs="Arial"/>
                <w:sz w:val="20"/>
                <w:szCs w:val="20"/>
              </w:rPr>
            </w:pPr>
            <w:r w:rsidRPr="00E03373">
              <w:rPr>
                <w:rFonts w:ascii="Arial Narrow" w:hAnsi="Arial Narrow" w:cs="Arial"/>
                <w:smallCaps/>
                <w:sz w:val="20"/>
                <w:szCs w:val="20"/>
              </w:rPr>
              <w:t>AMINO ACID FORMULA WITH VITAMINS AND MINERALS WITHOUT VALINE, LEUCINE AND ISOLEUCINE</w:t>
            </w:r>
          </w:p>
          <w:p w:rsidR="00754C24" w:rsidRPr="00E03373" w:rsidRDefault="00754C24" w:rsidP="004955A5">
            <w:pPr>
              <w:keepNext/>
              <w:ind w:left="-108"/>
              <w:jc w:val="both"/>
              <w:rPr>
                <w:rFonts w:ascii="Arial Narrow" w:hAnsi="Arial Narrow" w:cs="Arial"/>
                <w:color w:val="FF0000"/>
                <w:sz w:val="20"/>
                <w:szCs w:val="20"/>
              </w:rPr>
            </w:pPr>
            <w:r w:rsidRPr="00E03373">
              <w:rPr>
                <w:rFonts w:ascii="Arial Narrow" w:hAnsi="Arial Narrow" w:cs="Arial"/>
                <w:color w:val="000000" w:themeColor="text1"/>
                <w:sz w:val="20"/>
                <w:szCs w:val="20"/>
              </w:rPr>
              <w:t>Powder for oral liquid, 30 x 12.5 g sachets</w:t>
            </w:r>
          </w:p>
        </w:tc>
        <w:tc>
          <w:tcPr>
            <w:tcW w:w="567" w:type="dxa"/>
          </w:tcPr>
          <w:p w:rsidR="00754C24" w:rsidRPr="00E03373" w:rsidRDefault="00754C24" w:rsidP="004955A5">
            <w:pPr>
              <w:keepNext/>
              <w:ind w:left="-108"/>
              <w:jc w:val="both"/>
              <w:rPr>
                <w:rFonts w:ascii="Arial Narrow" w:hAnsi="Arial Narrow" w:cs="Arial"/>
                <w:sz w:val="20"/>
                <w:szCs w:val="20"/>
              </w:rPr>
            </w:pPr>
          </w:p>
          <w:p w:rsidR="00754C24" w:rsidRPr="00E03373" w:rsidRDefault="00754C24" w:rsidP="004955A5">
            <w:pPr>
              <w:keepNext/>
              <w:ind w:left="-108"/>
              <w:jc w:val="both"/>
              <w:rPr>
                <w:rFonts w:ascii="Arial Narrow" w:hAnsi="Arial Narrow" w:cs="Arial"/>
                <w:sz w:val="20"/>
                <w:szCs w:val="20"/>
              </w:rPr>
            </w:pPr>
          </w:p>
          <w:p w:rsidR="00754C24" w:rsidRPr="00E03373" w:rsidRDefault="00754C24" w:rsidP="004955A5">
            <w:pPr>
              <w:keepNext/>
              <w:ind w:left="-108"/>
              <w:jc w:val="both"/>
              <w:rPr>
                <w:rFonts w:ascii="Arial Narrow" w:hAnsi="Arial Narrow" w:cs="Arial"/>
                <w:sz w:val="20"/>
                <w:szCs w:val="20"/>
              </w:rPr>
            </w:pPr>
          </w:p>
          <w:p w:rsidR="00754C24" w:rsidRPr="00E03373" w:rsidRDefault="00754C24" w:rsidP="004955A5">
            <w:pPr>
              <w:keepNext/>
              <w:ind w:left="-108"/>
              <w:jc w:val="both"/>
              <w:rPr>
                <w:rFonts w:ascii="Arial Narrow" w:hAnsi="Arial Narrow" w:cs="Arial"/>
                <w:sz w:val="20"/>
                <w:szCs w:val="20"/>
              </w:rPr>
            </w:pPr>
            <w:r w:rsidRPr="00E03373">
              <w:rPr>
                <w:rFonts w:ascii="Arial Narrow" w:hAnsi="Arial Narrow" w:cs="Arial"/>
                <w:sz w:val="20"/>
                <w:szCs w:val="20"/>
              </w:rPr>
              <w:t>8</w:t>
            </w:r>
          </w:p>
        </w:tc>
        <w:tc>
          <w:tcPr>
            <w:tcW w:w="850" w:type="dxa"/>
          </w:tcPr>
          <w:p w:rsidR="00754C24" w:rsidRPr="00E03373" w:rsidRDefault="00754C24" w:rsidP="004955A5">
            <w:pPr>
              <w:keepNext/>
              <w:ind w:left="-108"/>
              <w:jc w:val="both"/>
              <w:rPr>
                <w:rFonts w:ascii="Arial Narrow" w:hAnsi="Arial Narrow" w:cs="Arial"/>
                <w:sz w:val="20"/>
                <w:szCs w:val="20"/>
              </w:rPr>
            </w:pPr>
          </w:p>
          <w:p w:rsidR="00754C24" w:rsidRPr="00E03373" w:rsidRDefault="00754C24" w:rsidP="004955A5">
            <w:pPr>
              <w:keepNext/>
              <w:ind w:left="-108"/>
              <w:jc w:val="both"/>
              <w:rPr>
                <w:rFonts w:ascii="Arial Narrow" w:hAnsi="Arial Narrow" w:cs="Arial"/>
                <w:sz w:val="20"/>
                <w:szCs w:val="20"/>
              </w:rPr>
            </w:pPr>
          </w:p>
          <w:p w:rsidR="00754C24" w:rsidRPr="00E03373" w:rsidRDefault="00754C24" w:rsidP="004955A5">
            <w:pPr>
              <w:keepNext/>
              <w:ind w:left="-108"/>
              <w:jc w:val="both"/>
              <w:rPr>
                <w:rFonts w:ascii="Arial Narrow" w:hAnsi="Arial Narrow" w:cs="Arial"/>
                <w:sz w:val="20"/>
                <w:szCs w:val="20"/>
              </w:rPr>
            </w:pPr>
          </w:p>
          <w:p w:rsidR="00754C24" w:rsidRPr="00E03373" w:rsidRDefault="00754C24" w:rsidP="004955A5">
            <w:pPr>
              <w:keepNext/>
              <w:ind w:left="-108"/>
              <w:jc w:val="both"/>
              <w:rPr>
                <w:rFonts w:ascii="Arial Narrow" w:hAnsi="Arial Narrow" w:cs="Arial"/>
                <w:sz w:val="20"/>
                <w:szCs w:val="20"/>
              </w:rPr>
            </w:pPr>
            <w:r w:rsidRPr="00E03373">
              <w:rPr>
                <w:rFonts w:ascii="Arial Narrow" w:hAnsi="Arial Narrow" w:cs="Arial"/>
                <w:sz w:val="20"/>
                <w:szCs w:val="20"/>
              </w:rPr>
              <w:t>5</w:t>
            </w:r>
          </w:p>
        </w:tc>
        <w:tc>
          <w:tcPr>
            <w:tcW w:w="1877" w:type="dxa"/>
          </w:tcPr>
          <w:p w:rsidR="00754C24" w:rsidRPr="00E03373" w:rsidRDefault="00754C24" w:rsidP="004955A5">
            <w:pPr>
              <w:keepNext/>
              <w:jc w:val="both"/>
              <w:rPr>
                <w:rFonts w:ascii="Arial Narrow" w:hAnsi="Arial Narrow" w:cs="Arial"/>
                <w:sz w:val="20"/>
                <w:szCs w:val="20"/>
              </w:rPr>
            </w:pPr>
          </w:p>
          <w:p w:rsidR="00754C24" w:rsidRPr="00E03373" w:rsidRDefault="00754C24" w:rsidP="004955A5">
            <w:pPr>
              <w:keepNext/>
              <w:jc w:val="both"/>
              <w:rPr>
                <w:rFonts w:ascii="Arial Narrow" w:hAnsi="Arial Narrow" w:cs="Arial"/>
                <w:sz w:val="20"/>
                <w:szCs w:val="20"/>
              </w:rPr>
            </w:pPr>
          </w:p>
          <w:p w:rsidR="00754C24" w:rsidRPr="00E03373" w:rsidRDefault="00754C24" w:rsidP="004955A5">
            <w:pPr>
              <w:keepNext/>
              <w:jc w:val="both"/>
              <w:rPr>
                <w:rFonts w:ascii="Arial Narrow" w:hAnsi="Arial Narrow" w:cs="Arial"/>
                <w:sz w:val="20"/>
                <w:szCs w:val="20"/>
              </w:rPr>
            </w:pPr>
          </w:p>
          <w:p w:rsidR="00754C24" w:rsidRPr="00E03373" w:rsidRDefault="00754C24" w:rsidP="004955A5">
            <w:pPr>
              <w:keepNext/>
              <w:jc w:val="both"/>
              <w:rPr>
                <w:rFonts w:ascii="Arial Narrow" w:hAnsi="Arial Narrow" w:cs="Arial"/>
                <w:sz w:val="20"/>
                <w:szCs w:val="20"/>
                <w:vertAlign w:val="superscript"/>
              </w:rPr>
            </w:pPr>
            <w:r w:rsidRPr="00E03373">
              <w:rPr>
                <w:rFonts w:ascii="Arial Narrow" w:hAnsi="Arial Narrow" w:cs="Arial"/>
                <w:sz w:val="20"/>
                <w:szCs w:val="20"/>
              </w:rPr>
              <w:t>MSUD Explore</w:t>
            </w:r>
            <w:r w:rsidR="008371F5" w:rsidRPr="00E03373">
              <w:rPr>
                <w:rFonts w:ascii="Arial Narrow" w:hAnsi="Arial Narrow" w:cs="Arial"/>
                <w:sz w:val="20"/>
                <w:szCs w:val="20"/>
              </w:rPr>
              <w:t xml:space="preserve"> </w:t>
            </w:r>
            <w:r w:rsidRPr="00E03373">
              <w:rPr>
                <w:rFonts w:ascii="Arial Narrow" w:hAnsi="Arial Narrow" w:cs="Arial"/>
                <w:sz w:val="20"/>
                <w:szCs w:val="20"/>
              </w:rPr>
              <w:t>5</w:t>
            </w:r>
            <w:r w:rsidRPr="00E03373">
              <w:rPr>
                <w:rFonts w:ascii="Arial Narrow" w:hAnsi="Arial Narrow" w:cs="Arial"/>
                <w:sz w:val="20"/>
                <w:szCs w:val="20"/>
                <w:vertAlign w:val="superscript"/>
              </w:rPr>
              <w:t>®</w:t>
            </w:r>
          </w:p>
        </w:tc>
        <w:tc>
          <w:tcPr>
            <w:tcW w:w="2659" w:type="dxa"/>
          </w:tcPr>
          <w:p w:rsidR="00754C24" w:rsidRPr="00E03373" w:rsidRDefault="00754C24" w:rsidP="004955A5">
            <w:pPr>
              <w:keepNext/>
              <w:jc w:val="both"/>
              <w:rPr>
                <w:rFonts w:ascii="Arial Narrow" w:hAnsi="Arial Narrow" w:cs="Arial"/>
                <w:sz w:val="20"/>
                <w:szCs w:val="20"/>
              </w:rPr>
            </w:pPr>
          </w:p>
          <w:p w:rsidR="00754C24" w:rsidRPr="00E03373" w:rsidRDefault="00754C24" w:rsidP="004955A5">
            <w:pPr>
              <w:keepNext/>
              <w:jc w:val="both"/>
              <w:rPr>
                <w:rFonts w:ascii="Arial Narrow" w:hAnsi="Arial Narrow" w:cs="Arial"/>
                <w:sz w:val="20"/>
                <w:szCs w:val="20"/>
              </w:rPr>
            </w:pPr>
          </w:p>
          <w:p w:rsidR="00754C24" w:rsidRPr="00E03373" w:rsidRDefault="00754C24" w:rsidP="004955A5">
            <w:pPr>
              <w:keepNext/>
              <w:jc w:val="both"/>
              <w:rPr>
                <w:rFonts w:ascii="Arial Narrow" w:hAnsi="Arial Narrow" w:cs="Arial"/>
                <w:sz w:val="20"/>
                <w:szCs w:val="20"/>
              </w:rPr>
            </w:pPr>
          </w:p>
          <w:p w:rsidR="00754C24" w:rsidRPr="00E03373" w:rsidRDefault="00754C24" w:rsidP="000839BA">
            <w:pPr>
              <w:keepNext/>
              <w:rPr>
                <w:rFonts w:ascii="Arial Narrow" w:hAnsi="Arial Narrow" w:cs="Arial"/>
                <w:sz w:val="20"/>
                <w:szCs w:val="20"/>
              </w:rPr>
            </w:pPr>
            <w:proofErr w:type="spellStart"/>
            <w:r w:rsidRPr="00E03373">
              <w:rPr>
                <w:rFonts w:ascii="Arial Narrow" w:hAnsi="Arial Narrow" w:cs="Arial"/>
                <w:sz w:val="20"/>
                <w:szCs w:val="20"/>
              </w:rPr>
              <w:t>Vitaflo</w:t>
            </w:r>
            <w:proofErr w:type="spellEnd"/>
            <w:r w:rsidRPr="00E03373">
              <w:rPr>
                <w:rFonts w:ascii="Arial Narrow" w:hAnsi="Arial Narrow" w:cs="Arial"/>
                <w:sz w:val="20"/>
                <w:szCs w:val="20"/>
              </w:rPr>
              <w:t xml:space="preserve"> Australia Pty Ltd</w:t>
            </w:r>
          </w:p>
        </w:tc>
      </w:tr>
      <w:tr w:rsidR="00754C24" w:rsidRPr="00E03373" w:rsidTr="004955A5">
        <w:trPr>
          <w:cantSplit/>
          <w:trHeight w:val="360"/>
        </w:trPr>
        <w:tc>
          <w:tcPr>
            <w:tcW w:w="9214" w:type="dxa"/>
            <w:gridSpan w:val="6"/>
            <w:tcBorders>
              <w:bottom w:val="single" w:sz="4" w:space="0" w:color="auto"/>
            </w:tcBorders>
          </w:tcPr>
          <w:p w:rsidR="00754C24" w:rsidRPr="00E03373" w:rsidRDefault="00754C24" w:rsidP="004955A5">
            <w:pPr>
              <w:jc w:val="both"/>
              <w:rPr>
                <w:rFonts w:ascii="Arial Narrow" w:hAnsi="Arial Narrow" w:cs="Arial"/>
                <w:sz w:val="20"/>
                <w:szCs w:val="20"/>
              </w:rPr>
            </w:pPr>
          </w:p>
        </w:tc>
      </w:tr>
      <w:tr w:rsidR="00754C24" w:rsidRPr="00E03373" w:rsidTr="004955A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4C24" w:rsidRPr="00E03373" w:rsidRDefault="00754C24" w:rsidP="004955A5">
            <w:pPr>
              <w:jc w:val="both"/>
              <w:rPr>
                <w:rFonts w:ascii="Arial Narrow" w:hAnsi="Arial Narrow" w:cs="Arial"/>
                <w:b/>
                <w:sz w:val="20"/>
                <w:szCs w:val="20"/>
              </w:rPr>
            </w:pPr>
            <w:r w:rsidRPr="00E03373">
              <w:rPr>
                <w:rFonts w:ascii="Arial Narrow" w:hAnsi="Arial Narrow" w:cs="Arial"/>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754C24" w:rsidRPr="00E03373" w:rsidRDefault="00754C24" w:rsidP="004955A5">
            <w:pPr>
              <w:rPr>
                <w:rFonts w:ascii="Arial Narrow" w:hAnsi="Arial Narrow" w:cs="Arial"/>
                <w:sz w:val="20"/>
                <w:szCs w:val="20"/>
              </w:rPr>
            </w:pPr>
            <w:r w:rsidRPr="00E03373">
              <w:rPr>
                <w:rFonts w:ascii="Arial Narrow" w:hAnsi="Arial Narrow" w:cs="Arial"/>
                <w:sz w:val="20"/>
                <w:szCs w:val="20"/>
              </w:rPr>
              <w:t>GENERAL – General Schedule (Code GE)</w:t>
            </w:r>
          </w:p>
        </w:tc>
      </w:tr>
      <w:tr w:rsidR="00754C24" w:rsidRPr="00E03373" w:rsidTr="004955A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4C24" w:rsidRPr="00E03373" w:rsidRDefault="00754C24" w:rsidP="004955A5">
            <w:pPr>
              <w:jc w:val="both"/>
              <w:rPr>
                <w:rFonts w:ascii="Arial Narrow" w:hAnsi="Arial Narrow" w:cs="Arial"/>
                <w:b/>
                <w:sz w:val="20"/>
                <w:szCs w:val="20"/>
              </w:rPr>
            </w:pPr>
            <w:r w:rsidRPr="00E03373">
              <w:rPr>
                <w:rFonts w:ascii="Arial Narrow" w:hAnsi="Arial Narrow" w:cs="Arial"/>
                <w:b/>
                <w:sz w:val="20"/>
                <w:szCs w:val="20"/>
              </w:rPr>
              <w:t>Prescriber type:</w:t>
            </w:r>
          </w:p>
          <w:p w:rsidR="00754C24" w:rsidRPr="00E03373" w:rsidRDefault="00754C24" w:rsidP="004955A5">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754C24" w:rsidRPr="00E03373" w:rsidRDefault="00754C24" w:rsidP="004955A5">
            <w:pPr>
              <w:rPr>
                <w:rFonts w:ascii="Arial Narrow" w:hAnsi="Arial Narrow" w:cs="Arial"/>
                <w:sz w:val="20"/>
                <w:szCs w:val="20"/>
              </w:rPr>
            </w:pPr>
            <w:r w:rsidRPr="00E53A1A">
              <w:rPr>
                <w:rFonts w:ascii="Arial Narrow" w:hAnsi="Arial Narrow" w:cs="Arial"/>
                <w:sz w:val="20"/>
                <w:szCs w:val="20"/>
              </w:rPr>
              <w:fldChar w:fldCharType="begin">
                <w:ffData>
                  <w:name w:val="Check1"/>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 xml:space="preserve">Dental  </w:t>
            </w:r>
            <w:r w:rsidRPr="00E53A1A">
              <w:rPr>
                <w:rFonts w:ascii="Arial Narrow" w:hAnsi="Arial Narrow" w:cs="Arial"/>
                <w:sz w:val="20"/>
                <w:szCs w:val="20"/>
              </w:rPr>
              <w:fldChar w:fldCharType="begin">
                <w:ffData>
                  <w:name w:val=""/>
                  <w:enabled/>
                  <w:calcOnExit w:val="0"/>
                  <w:checkBox>
                    <w:sizeAuto/>
                    <w:default w:val="1"/>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 xml:space="preserve">Medical Practitioners  </w:t>
            </w:r>
            <w:r w:rsidRPr="00E53A1A">
              <w:rPr>
                <w:rFonts w:ascii="Arial Narrow" w:hAnsi="Arial Narrow" w:cs="Arial"/>
                <w:sz w:val="20"/>
                <w:szCs w:val="20"/>
              </w:rPr>
              <w:fldChar w:fldCharType="begin">
                <w:ffData>
                  <w:name w:val="Check3"/>
                  <w:enabled/>
                  <w:calcOnExit w:val="0"/>
                  <w:checkBox>
                    <w:sizeAuto/>
                    <w:default w:val="1"/>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 xml:space="preserve">Nurse practitioners  </w:t>
            </w:r>
            <w:r w:rsidRPr="00E53A1A">
              <w:rPr>
                <w:rFonts w:ascii="Arial Narrow" w:hAnsi="Arial Narrow" w:cs="Arial"/>
                <w:sz w:val="20"/>
                <w:szCs w:val="20"/>
              </w:rPr>
              <w:fldChar w:fldCharType="begin">
                <w:ffData>
                  <w:name w:val=""/>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Optometrists</w:t>
            </w:r>
          </w:p>
          <w:p w:rsidR="00754C24" w:rsidRPr="00E03373" w:rsidRDefault="00754C24" w:rsidP="004955A5">
            <w:pPr>
              <w:rPr>
                <w:rFonts w:ascii="Arial Narrow" w:hAnsi="Arial Narrow" w:cs="Arial"/>
                <w:sz w:val="20"/>
                <w:szCs w:val="20"/>
              </w:rPr>
            </w:pPr>
            <w:r w:rsidRPr="00E53A1A">
              <w:rPr>
                <w:rFonts w:ascii="Arial Narrow" w:hAnsi="Arial Narrow" w:cs="Arial"/>
                <w:sz w:val="20"/>
                <w:szCs w:val="20"/>
              </w:rPr>
              <w:fldChar w:fldCharType="begin">
                <w:ffData>
                  <w:name w:val="Check5"/>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Midwives</w:t>
            </w:r>
          </w:p>
        </w:tc>
      </w:tr>
      <w:tr w:rsidR="00754C24" w:rsidRPr="00E03373" w:rsidTr="004955A5">
        <w:trPr>
          <w:cantSplit/>
          <w:trHeight w:val="369"/>
        </w:trPr>
        <w:tc>
          <w:tcPr>
            <w:tcW w:w="2835" w:type="dxa"/>
            <w:tcBorders>
              <w:top w:val="single" w:sz="4" w:space="0" w:color="auto"/>
              <w:left w:val="single" w:sz="4" w:space="0" w:color="auto"/>
              <w:bottom w:val="single" w:sz="4" w:space="0" w:color="auto"/>
              <w:right w:val="single" w:sz="4" w:space="0" w:color="auto"/>
            </w:tcBorders>
          </w:tcPr>
          <w:p w:rsidR="00754C24" w:rsidRPr="00E03373" w:rsidRDefault="00754C24" w:rsidP="004955A5">
            <w:pPr>
              <w:jc w:val="both"/>
              <w:rPr>
                <w:rFonts w:ascii="Arial Narrow" w:hAnsi="Arial Narrow" w:cs="Arial"/>
                <w:b/>
                <w:sz w:val="20"/>
                <w:szCs w:val="20"/>
              </w:rPr>
            </w:pPr>
            <w:r w:rsidRPr="00E03373">
              <w:rPr>
                <w:rFonts w:ascii="Arial Narrow" w:hAnsi="Arial Narrow" w:cs="Arial"/>
                <w:b/>
                <w:sz w:val="20"/>
                <w:szCs w:val="20"/>
              </w:rPr>
              <w:t>PBS Indication:</w:t>
            </w:r>
          </w:p>
          <w:p w:rsidR="00754C24" w:rsidRPr="00E03373" w:rsidRDefault="00754C24" w:rsidP="004955A5">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754C24" w:rsidRPr="00E03373" w:rsidRDefault="00754C24" w:rsidP="004955A5">
            <w:pPr>
              <w:rPr>
                <w:rFonts w:ascii="Arial Narrow" w:hAnsi="Arial Narrow" w:cs="Arial"/>
                <w:sz w:val="20"/>
                <w:szCs w:val="20"/>
              </w:rPr>
            </w:pPr>
            <w:r w:rsidRPr="00E03373">
              <w:rPr>
                <w:rFonts w:ascii="Arial Narrow" w:hAnsi="Arial Narrow" w:cs="Arial"/>
                <w:sz w:val="20"/>
                <w:szCs w:val="20"/>
              </w:rPr>
              <w:t>Maple syrup urine disease</w:t>
            </w:r>
          </w:p>
        </w:tc>
      </w:tr>
      <w:tr w:rsidR="00754C24" w:rsidRPr="00E03373" w:rsidTr="004955A5">
        <w:trPr>
          <w:cantSplit/>
          <w:trHeight w:val="360"/>
        </w:trPr>
        <w:tc>
          <w:tcPr>
            <w:tcW w:w="2835" w:type="dxa"/>
            <w:tcBorders>
              <w:top w:val="single" w:sz="4" w:space="0" w:color="auto"/>
              <w:left w:val="single" w:sz="4" w:space="0" w:color="auto"/>
              <w:bottom w:val="single" w:sz="4" w:space="0" w:color="auto"/>
              <w:right w:val="single" w:sz="4" w:space="0" w:color="auto"/>
            </w:tcBorders>
          </w:tcPr>
          <w:p w:rsidR="00754C24" w:rsidRPr="00E03373" w:rsidRDefault="00754C24" w:rsidP="004955A5">
            <w:pPr>
              <w:jc w:val="both"/>
              <w:rPr>
                <w:rFonts w:ascii="Arial Narrow" w:hAnsi="Arial Narrow" w:cs="Arial"/>
                <w:b/>
                <w:sz w:val="20"/>
                <w:szCs w:val="20"/>
              </w:rPr>
            </w:pPr>
            <w:r w:rsidRPr="00E03373">
              <w:rPr>
                <w:rFonts w:ascii="Arial Narrow" w:hAnsi="Arial Narrow" w:cs="Arial"/>
                <w:b/>
                <w:sz w:val="20"/>
                <w:szCs w:val="20"/>
              </w:rPr>
              <w:t>Restriction Level / Method:</w:t>
            </w:r>
          </w:p>
          <w:p w:rsidR="00754C24" w:rsidRPr="00E03373" w:rsidRDefault="00754C24" w:rsidP="004955A5">
            <w:pPr>
              <w:rPr>
                <w:rFonts w:ascii="Arial Narrow" w:hAnsi="Arial Narrow" w:cs="Arial"/>
                <w:sz w:val="20"/>
                <w:szCs w:val="20"/>
              </w:rPr>
            </w:pPr>
          </w:p>
          <w:p w:rsidR="00754C24" w:rsidRPr="00E03373" w:rsidRDefault="00754C24" w:rsidP="004955A5">
            <w:pPr>
              <w:rPr>
                <w:rFonts w:ascii="Arial Narrow" w:hAnsi="Arial Narrow" w:cs="Arial"/>
                <w:sz w:val="20"/>
                <w:szCs w:val="20"/>
              </w:rPr>
            </w:pPr>
          </w:p>
          <w:p w:rsidR="00754C24" w:rsidRPr="00E03373" w:rsidRDefault="00754C24" w:rsidP="004955A5">
            <w:pPr>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754C24" w:rsidRPr="00E03373" w:rsidRDefault="00754C24" w:rsidP="004955A5">
            <w:pPr>
              <w:rPr>
                <w:rFonts w:ascii="Arial Narrow" w:hAnsi="Arial Narrow" w:cs="Arial"/>
                <w:sz w:val="20"/>
                <w:szCs w:val="20"/>
              </w:rPr>
            </w:pPr>
            <w:r w:rsidRPr="00E53A1A">
              <w:rPr>
                <w:rFonts w:ascii="Arial Narrow" w:hAnsi="Arial Narrow" w:cs="Arial"/>
                <w:sz w:val="20"/>
                <w:szCs w:val="20"/>
              </w:rPr>
              <w:fldChar w:fldCharType="begin">
                <w:ffData>
                  <w:name w:val="Check1"/>
                  <w:enabled/>
                  <w:calcOnExit w:val="0"/>
                  <w:checkBox>
                    <w:sizeAuto/>
                    <w:default w:val="1"/>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Restricted benefit</w:t>
            </w:r>
          </w:p>
          <w:p w:rsidR="00754C24" w:rsidRPr="00E03373" w:rsidRDefault="00754C24" w:rsidP="004955A5">
            <w:pPr>
              <w:rPr>
                <w:rFonts w:ascii="Arial Narrow" w:hAnsi="Arial Narrow" w:cs="Arial"/>
                <w:sz w:val="20"/>
                <w:szCs w:val="20"/>
              </w:rPr>
            </w:pPr>
            <w:r w:rsidRPr="00E53A1A">
              <w:rPr>
                <w:rFonts w:ascii="Arial Narrow" w:hAnsi="Arial Narrow" w:cs="Arial"/>
                <w:sz w:val="20"/>
                <w:szCs w:val="20"/>
              </w:rPr>
              <w:fldChar w:fldCharType="begin">
                <w:ffData>
                  <w:name w:val=""/>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Authority Required – In Writing</w:t>
            </w:r>
          </w:p>
          <w:p w:rsidR="00754C24" w:rsidRPr="00E03373" w:rsidRDefault="00754C24" w:rsidP="004955A5">
            <w:pPr>
              <w:rPr>
                <w:rFonts w:ascii="Arial Narrow" w:hAnsi="Arial Narrow" w:cs="Arial"/>
                <w:sz w:val="20"/>
                <w:szCs w:val="20"/>
              </w:rPr>
            </w:pPr>
            <w:r w:rsidRPr="00E53A1A">
              <w:rPr>
                <w:rFonts w:ascii="Arial Narrow" w:hAnsi="Arial Narrow" w:cs="Arial"/>
                <w:sz w:val="20"/>
                <w:szCs w:val="20"/>
              </w:rPr>
              <w:fldChar w:fldCharType="begin">
                <w:ffData>
                  <w:name w:val="Check3"/>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Authority Required – Telephone/Electronic/Emergency</w:t>
            </w:r>
          </w:p>
          <w:p w:rsidR="00754C24" w:rsidRPr="00E03373" w:rsidRDefault="00754C24" w:rsidP="004955A5">
            <w:pPr>
              <w:rPr>
                <w:rFonts w:ascii="Arial Narrow" w:hAnsi="Arial Narrow" w:cs="Arial"/>
                <w:sz w:val="20"/>
                <w:szCs w:val="20"/>
              </w:rPr>
            </w:pPr>
            <w:r w:rsidRPr="00E53A1A">
              <w:rPr>
                <w:rFonts w:ascii="Arial Narrow" w:hAnsi="Arial Narrow" w:cs="Arial"/>
                <w:sz w:val="20"/>
                <w:szCs w:val="20"/>
              </w:rPr>
              <w:fldChar w:fldCharType="begin">
                <w:ffData>
                  <w:name w:val="Check5"/>
                  <w:enabled/>
                  <w:calcOnExit w:val="0"/>
                  <w:checkBox>
                    <w:sizeAuto/>
                    <w:default w:val="0"/>
                  </w:checkBox>
                </w:ffData>
              </w:fldChar>
            </w:r>
            <w:r w:rsidRPr="00E03373">
              <w:rPr>
                <w:rFonts w:ascii="Arial Narrow" w:hAnsi="Arial Narrow" w:cs="Arial"/>
                <w:sz w:val="20"/>
                <w:szCs w:val="20"/>
              </w:rPr>
              <w:instrText xml:space="preserve"> FORMCHECKBOX </w:instrText>
            </w:r>
            <w:r w:rsidR="00CB2AA3">
              <w:rPr>
                <w:rFonts w:ascii="Arial Narrow" w:hAnsi="Arial Narrow" w:cs="Arial"/>
                <w:sz w:val="20"/>
                <w:szCs w:val="20"/>
              </w:rPr>
            </w:r>
            <w:r w:rsidR="00CB2AA3">
              <w:rPr>
                <w:rFonts w:ascii="Arial Narrow" w:hAnsi="Arial Narrow" w:cs="Arial"/>
                <w:sz w:val="20"/>
                <w:szCs w:val="20"/>
              </w:rPr>
              <w:fldChar w:fldCharType="separate"/>
            </w:r>
            <w:r w:rsidRPr="00E53A1A">
              <w:rPr>
                <w:rFonts w:ascii="Arial Narrow" w:hAnsi="Arial Narrow" w:cs="Arial"/>
                <w:sz w:val="20"/>
                <w:szCs w:val="20"/>
              </w:rPr>
              <w:fldChar w:fldCharType="end"/>
            </w:r>
            <w:r w:rsidRPr="00E03373">
              <w:rPr>
                <w:rFonts w:ascii="Arial Narrow" w:hAnsi="Arial Narrow" w:cs="Arial"/>
                <w:sz w:val="20"/>
                <w:szCs w:val="20"/>
              </w:rPr>
              <w:t>Streamlined</w:t>
            </w:r>
          </w:p>
        </w:tc>
      </w:tr>
    </w:tbl>
    <w:p w:rsidR="002C708C" w:rsidRDefault="002C708C" w:rsidP="00FC3647">
      <w:pPr>
        <w:jc w:val="both"/>
        <w:rPr>
          <w:rFonts w:asciiTheme="minorHAnsi" w:hAnsiTheme="minorHAnsi"/>
        </w:rPr>
      </w:pPr>
    </w:p>
    <w:p w:rsidR="00EA07B4" w:rsidRPr="00EA07B4" w:rsidRDefault="00EA07B4" w:rsidP="00EA07B4">
      <w:pPr>
        <w:widowControl w:val="0"/>
        <w:snapToGrid w:val="0"/>
        <w:spacing w:after="120"/>
        <w:jc w:val="both"/>
        <w:rPr>
          <w:rFonts w:ascii="Calibri" w:hAnsi="Calibri" w:cs="Calibri"/>
          <w:i/>
          <w:szCs w:val="22"/>
        </w:rPr>
      </w:pPr>
      <w:r w:rsidRPr="00EA07B4">
        <w:rPr>
          <w:rFonts w:ascii="Calibri" w:hAnsi="Calibri" w:cs="Calibri"/>
          <w:i/>
        </w:rPr>
        <w:t>This restriction may be subject to further review. Should there be any changes made to the restriction the Sponsor will be informed.</w:t>
      </w:r>
    </w:p>
    <w:p w:rsidR="0028601B" w:rsidRDefault="0028601B" w:rsidP="0028601B">
      <w:pPr>
        <w:pStyle w:val="2Sections"/>
        <w:rPr>
          <w:rFonts w:cstheme="minorHAnsi"/>
        </w:rPr>
      </w:pPr>
      <w:r>
        <w:t xml:space="preserve">Context for Decision </w:t>
      </w:r>
    </w:p>
    <w:p w:rsidR="0028601B" w:rsidRDefault="00AB751D" w:rsidP="00F82EFD">
      <w:pPr>
        <w:jc w:val="both"/>
        <w:rPr>
          <w:rFonts w:asciiTheme="minorHAnsi" w:hAnsiTheme="minorHAnsi" w:cstheme="minorHAnsi"/>
          <w:color w:val="000000"/>
          <w:shd w:val="clear" w:color="auto" w:fill="FEFFFF"/>
        </w:rPr>
      </w:pPr>
      <w:r w:rsidRPr="00AB751D">
        <w:rPr>
          <w:rFonts w:asciiTheme="minorHAnsi" w:hAnsiTheme="minorHAnsi" w:cstheme="minorHAnsi"/>
          <w:color w:val="000000"/>
          <w:shd w:val="clear" w:color="auto" w:fill="FEFFFF"/>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B751D" w:rsidRPr="00AB751D" w:rsidRDefault="00AB751D" w:rsidP="00F82EFD">
      <w:pPr>
        <w:jc w:val="both"/>
        <w:rPr>
          <w:rFonts w:asciiTheme="minorHAnsi" w:hAnsiTheme="minorHAnsi" w:cstheme="minorHAnsi"/>
        </w:rPr>
      </w:pPr>
    </w:p>
    <w:p w:rsidR="0028601B" w:rsidRPr="00D53BD3" w:rsidRDefault="0028601B" w:rsidP="0028601B">
      <w:pPr>
        <w:pStyle w:val="2Sections"/>
      </w:pPr>
      <w:r w:rsidRPr="00D53BD3">
        <w:lastRenderedPageBreak/>
        <w:t>Sponsor’s Comment</w:t>
      </w:r>
    </w:p>
    <w:p w:rsidR="00EA07B4" w:rsidRPr="00F82EFD" w:rsidRDefault="0028601B" w:rsidP="00F82EFD">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sectPr w:rsidR="00EA07B4" w:rsidRPr="00F82EFD"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873" w:rsidRDefault="00144873">
      <w:r>
        <w:separator/>
      </w:r>
    </w:p>
    <w:p w:rsidR="00144873" w:rsidRDefault="00144873"/>
  </w:endnote>
  <w:endnote w:type="continuationSeparator" w:id="0">
    <w:p w:rsidR="00144873" w:rsidRDefault="00144873">
      <w:r>
        <w:continuationSeparator/>
      </w:r>
    </w:p>
    <w:p w:rsidR="00144873" w:rsidRDefault="00144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84" w:rsidRDefault="000F3384" w:rsidP="00E27234">
    <w:pPr>
      <w:pStyle w:val="PBACFooter"/>
      <w:rPr>
        <w:rFonts w:asciiTheme="minorHAnsi" w:hAnsiTheme="minorHAnsi" w:cstheme="minorHAnsi"/>
        <w:sz w:val="24"/>
      </w:rPr>
    </w:pPr>
  </w:p>
  <w:p w:rsidR="00F80475" w:rsidRPr="00CE6509" w:rsidRDefault="00CE6509" w:rsidP="00CE6509">
    <w:pPr>
      <w:pStyle w:val="PBACFooter"/>
      <w:rPr>
        <w:rFonts w:asciiTheme="minorHAnsi" w:hAnsiTheme="minorHAnsi" w:cstheme="minorHAnsi"/>
        <w:sz w:val="24"/>
        <w:szCs w:val="24"/>
      </w:rPr>
    </w:pPr>
    <w:r w:rsidRPr="00CE6509">
      <w:rPr>
        <w:rFonts w:ascii="Calibri" w:hAnsi="Calibri"/>
        <w:b w:val="0"/>
        <w:sz w:val="24"/>
        <w:szCs w:val="24"/>
      </w:rPr>
      <w:fldChar w:fldCharType="begin"/>
    </w:r>
    <w:r w:rsidRPr="00CE6509">
      <w:rPr>
        <w:rFonts w:ascii="Calibri" w:hAnsi="Calibri"/>
        <w:sz w:val="24"/>
        <w:szCs w:val="24"/>
      </w:rPr>
      <w:instrText xml:space="preserve"> PAGE   \* MERGEFORMAT </w:instrText>
    </w:r>
    <w:r w:rsidRPr="00CE6509">
      <w:rPr>
        <w:rFonts w:ascii="Calibri" w:hAnsi="Calibri"/>
        <w:b w:val="0"/>
        <w:sz w:val="24"/>
        <w:szCs w:val="24"/>
      </w:rPr>
      <w:fldChar w:fldCharType="separate"/>
    </w:r>
    <w:r w:rsidR="00CB2AA3">
      <w:rPr>
        <w:rFonts w:ascii="Calibri" w:hAnsi="Calibri"/>
        <w:noProof/>
        <w:sz w:val="24"/>
        <w:szCs w:val="24"/>
      </w:rPr>
      <w:t>3</w:t>
    </w:r>
    <w:r w:rsidRPr="00CE6509">
      <w:rPr>
        <w:rFonts w:ascii="Calibri" w:hAnsi="Calibri"/>
        <w:b w:val="0"/>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73" w:rsidRDefault="00144873">
      <w:r>
        <w:separator/>
      </w:r>
    </w:p>
    <w:p w:rsidR="00144873" w:rsidRDefault="00144873"/>
  </w:footnote>
  <w:footnote w:type="continuationSeparator" w:id="0">
    <w:p w:rsidR="00144873" w:rsidRDefault="00144873">
      <w:r>
        <w:continuationSeparator/>
      </w:r>
    </w:p>
    <w:p w:rsidR="00144873" w:rsidRDefault="00144873"/>
  </w:footnote>
  <w:footnote w:id="1">
    <w:p w:rsidR="00FC5DC0" w:rsidRDefault="00FC5DC0">
      <w:pPr>
        <w:pStyle w:val="FootnoteText"/>
      </w:pPr>
      <w:r>
        <w:rPr>
          <w:rStyle w:val="FootnoteReference"/>
        </w:rPr>
        <w:footnoteRef/>
      </w:r>
      <w:r>
        <w:t xml:space="preserve"> </w:t>
      </w:r>
      <w:r w:rsidR="00DF21C0" w:rsidRPr="009677AD">
        <w:rPr>
          <w:rFonts w:asciiTheme="minorHAnsi" w:hAnsiTheme="minorHAnsi" w:cstheme="minorHAnsi"/>
        </w:rPr>
        <w:t xml:space="preserve">The requested price per gram of protein equivalent (at approved ex-manufacturer price) is $1.533/g PE, which is 15% higher than the price of MSUD Gel </w:t>
      </w:r>
      <w:r w:rsidR="006372F4" w:rsidRPr="009677AD">
        <w:rPr>
          <w:rFonts w:asciiTheme="minorHAnsi" w:hAnsiTheme="minorHAnsi" w:cstheme="minorHAnsi"/>
        </w:rPr>
        <w:t>at $</w:t>
      </w:r>
      <w:r w:rsidR="00DF21C0" w:rsidRPr="009677AD">
        <w:rPr>
          <w:rFonts w:asciiTheme="minorHAnsi" w:hAnsiTheme="minorHAnsi" w:cstheme="minorHAnsi"/>
        </w:rPr>
        <w:t>1.333/g PE.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09" w:rsidRPr="00056684" w:rsidRDefault="0028601B" w:rsidP="0028601B">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00CE6509" w:rsidRPr="00056684">
      <w:rPr>
        <w:rFonts w:asciiTheme="minorHAnsi" w:hAnsiTheme="minorHAnsi" w:cs="Arial"/>
        <w:i/>
        <w:color w:val="808080"/>
      </w:rPr>
      <w:t xml:space="preserve"> – </w:t>
    </w:r>
    <w:r w:rsidR="00890E57">
      <w:rPr>
        <w:rFonts w:asciiTheme="minorHAnsi" w:hAnsiTheme="minorHAnsi" w:cs="Arial"/>
        <w:i/>
        <w:color w:val="808080"/>
      </w:rPr>
      <w:t>November</w:t>
    </w:r>
    <w:r w:rsidR="00CE6509">
      <w:rPr>
        <w:rFonts w:asciiTheme="minorHAnsi" w:hAnsiTheme="minorHAnsi" w:cs="Arial"/>
        <w:i/>
        <w:color w:val="808080"/>
      </w:rPr>
      <w:t xml:space="preserve"> 2019</w:t>
    </w:r>
    <w:r w:rsidR="00CE6509" w:rsidRPr="00056684">
      <w:rPr>
        <w:rFonts w:asciiTheme="minorHAnsi" w:hAnsiTheme="minorHAnsi" w:cs="Arial"/>
        <w:i/>
        <w:color w:val="808080"/>
      </w:rPr>
      <w:t xml:space="preserve"> PBAC Meeting</w:t>
    </w:r>
  </w:p>
  <w:p w:rsidR="00F80475" w:rsidRDefault="00F80475"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A57A8"/>
    <w:multiLevelType w:val="hybridMultilevel"/>
    <w:tmpl w:val="FEB892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C6BC4"/>
    <w:multiLevelType w:val="hybridMultilevel"/>
    <w:tmpl w:val="0D302D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D2D71"/>
    <w:multiLevelType w:val="multilevel"/>
    <w:tmpl w:val="7164A3CC"/>
    <w:lvl w:ilvl="0">
      <w:start w:val="1"/>
      <w:numFmt w:val="decimal"/>
      <w:lvlText w:val="%1"/>
      <w:lvlJc w:val="left"/>
      <w:pPr>
        <w:ind w:left="1440" w:hanging="720"/>
      </w:pPr>
      <w:rPr>
        <w:rFonts w:hint="default"/>
        <w:b w:val="0"/>
      </w:rPr>
    </w:lvl>
    <w:lvl w:ilvl="1">
      <w:start w:val="1"/>
      <w:numFmt w:val="decimal"/>
      <w:lvlText w:val="%1.%2"/>
      <w:lvlJc w:val="left"/>
      <w:pPr>
        <w:ind w:left="1440" w:hanging="720"/>
      </w:pPr>
      <w:rPr>
        <w:rFonts w:hint="default"/>
        <w:i w:val="0"/>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784D033C"/>
    <w:multiLevelType w:val="multilevel"/>
    <w:tmpl w:val="B908F474"/>
    <w:lvl w:ilvl="0">
      <w:start w:val="1"/>
      <w:numFmt w:val="decimal"/>
      <w:pStyle w:val="2Sections"/>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83505C"/>
    <w:multiLevelType w:val="multilevel"/>
    <w:tmpl w:val="A52E81C4"/>
    <w:lvl w:ilvl="0">
      <w:start w:val="1"/>
      <w:numFmt w:val="decimal"/>
      <w:lvlText w:val="%1"/>
      <w:lvlJc w:val="left"/>
      <w:pPr>
        <w:ind w:left="1440" w:hanging="720"/>
      </w:pPr>
      <w:rPr>
        <w:rFonts w:hint="default"/>
        <w:b/>
      </w:rPr>
    </w:lvl>
    <w:lvl w:ilvl="1">
      <w:start w:val="1"/>
      <w:numFmt w:val="decimal"/>
      <w:pStyle w:val="3Bodytext"/>
      <w:lvlText w:val="%1.%2"/>
      <w:lvlJc w:val="left"/>
      <w:pPr>
        <w:ind w:left="1440" w:hanging="720"/>
      </w:pPr>
      <w:rPr>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abstractNumId w:val="9"/>
  </w:num>
  <w:num w:numId="2">
    <w:abstractNumId w:val="3"/>
  </w:num>
  <w:num w:numId="3">
    <w:abstractNumId w:val="6"/>
  </w:num>
  <w:num w:numId="4">
    <w:abstractNumId w:val="18"/>
  </w:num>
  <w:num w:numId="5">
    <w:abstractNumId w:val="25"/>
  </w:num>
  <w:num w:numId="6">
    <w:abstractNumId w:val="8"/>
  </w:num>
  <w:num w:numId="7">
    <w:abstractNumId w:val="16"/>
  </w:num>
  <w:num w:numId="8">
    <w:abstractNumId w:val="4"/>
  </w:num>
  <w:num w:numId="9">
    <w:abstractNumId w:val="15"/>
  </w:num>
  <w:num w:numId="10">
    <w:abstractNumId w:val="14"/>
  </w:num>
  <w:num w:numId="11">
    <w:abstractNumId w:val="12"/>
  </w:num>
  <w:num w:numId="12">
    <w:abstractNumId w:val="1"/>
  </w:num>
  <w:num w:numId="13">
    <w:abstractNumId w:val="0"/>
  </w:num>
  <w:num w:numId="14">
    <w:abstractNumId w:val="25"/>
  </w:num>
  <w:num w:numId="15">
    <w:abstractNumId w:val="25"/>
  </w:num>
  <w:num w:numId="16">
    <w:abstractNumId w:val="25"/>
  </w:num>
  <w:num w:numId="17">
    <w:abstractNumId w:val="23"/>
  </w:num>
  <w:num w:numId="18">
    <w:abstractNumId w:val="20"/>
  </w:num>
  <w:num w:numId="19">
    <w:abstractNumId w:val="25"/>
  </w:num>
  <w:num w:numId="20">
    <w:abstractNumId w:val="17"/>
  </w:num>
  <w:num w:numId="21">
    <w:abstractNumId w:val="26"/>
  </w:num>
  <w:num w:numId="22">
    <w:abstractNumId w:val="19"/>
  </w:num>
  <w:num w:numId="23">
    <w:abstractNumId w:val="26"/>
  </w:num>
  <w:num w:numId="24">
    <w:abstractNumId w:val="26"/>
  </w:num>
  <w:num w:numId="25">
    <w:abstractNumId w:val="26"/>
  </w:num>
  <w:num w:numId="26">
    <w:abstractNumId w:val="26"/>
  </w:num>
  <w:num w:numId="27">
    <w:abstractNumId w:val="7"/>
  </w:num>
  <w:num w:numId="28">
    <w:abstractNumId w:val="24"/>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1"/>
  </w:num>
  <w:num w:numId="43">
    <w:abstractNumId w:val="22"/>
  </w:num>
  <w:num w:numId="44">
    <w:abstractNumId w:val="5"/>
  </w:num>
  <w:num w:numId="45">
    <w:abstractNumId w:val="2"/>
  </w:num>
  <w:num w:numId="46">
    <w:abstractNumId w:val="11"/>
  </w:num>
  <w:num w:numId="47">
    <w:abstractNumId w:val="13"/>
  </w:num>
  <w:num w:numId="48">
    <w:abstractNumId w:val="10"/>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604F"/>
    <w:rsid w:val="00022121"/>
    <w:rsid w:val="00024048"/>
    <w:rsid w:val="0002464A"/>
    <w:rsid w:val="0003106B"/>
    <w:rsid w:val="00034562"/>
    <w:rsid w:val="00034905"/>
    <w:rsid w:val="000421A1"/>
    <w:rsid w:val="0004240E"/>
    <w:rsid w:val="00045E26"/>
    <w:rsid w:val="000514B5"/>
    <w:rsid w:val="00060E64"/>
    <w:rsid w:val="00066755"/>
    <w:rsid w:val="000763D5"/>
    <w:rsid w:val="00077143"/>
    <w:rsid w:val="00082169"/>
    <w:rsid w:val="000839BA"/>
    <w:rsid w:val="000842D9"/>
    <w:rsid w:val="000969AD"/>
    <w:rsid w:val="000A44B2"/>
    <w:rsid w:val="000B558D"/>
    <w:rsid w:val="000C3E6F"/>
    <w:rsid w:val="000C6996"/>
    <w:rsid w:val="000D23BA"/>
    <w:rsid w:val="000E0154"/>
    <w:rsid w:val="000E681E"/>
    <w:rsid w:val="000E7E64"/>
    <w:rsid w:val="000F0003"/>
    <w:rsid w:val="000F3384"/>
    <w:rsid w:val="000F4E6A"/>
    <w:rsid w:val="000F7354"/>
    <w:rsid w:val="00104227"/>
    <w:rsid w:val="001107BF"/>
    <w:rsid w:val="0012417C"/>
    <w:rsid w:val="00142395"/>
    <w:rsid w:val="00142714"/>
    <w:rsid w:val="00144873"/>
    <w:rsid w:val="001452ED"/>
    <w:rsid w:val="00145877"/>
    <w:rsid w:val="001617F4"/>
    <w:rsid w:val="00162D4E"/>
    <w:rsid w:val="00163329"/>
    <w:rsid w:val="00164623"/>
    <w:rsid w:val="00165B64"/>
    <w:rsid w:val="00180713"/>
    <w:rsid w:val="001830CE"/>
    <w:rsid w:val="0018643B"/>
    <w:rsid w:val="00196307"/>
    <w:rsid w:val="001A33EA"/>
    <w:rsid w:val="001B017F"/>
    <w:rsid w:val="001B2BBC"/>
    <w:rsid w:val="001B5129"/>
    <w:rsid w:val="001C0B4C"/>
    <w:rsid w:val="001C1195"/>
    <w:rsid w:val="001E7300"/>
    <w:rsid w:val="001F1850"/>
    <w:rsid w:val="00202974"/>
    <w:rsid w:val="00203FAC"/>
    <w:rsid w:val="00213CFB"/>
    <w:rsid w:val="0021553C"/>
    <w:rsid w:val="0021557B"/>
    <w:rsid w:val="00217BE1"/>
    <w:rsid w:val="00223192"/>
    <w:rsid w:val="00253499"/>
    <w:rsid w:val="00263B03"/>
    <w:rsid w:val="00265134"/>
    <w:rsid w:val="00271BA1"/>
    <w:rsid w:val="002762FA"/>
    <w:rsid w:val="00277505"/>
    <w:rsid w:val="00281256"/>
    <w:rsid w:val="0028601B"/>
    <w:rsid w:val="00291C0A"/>
    <w:rsid w:val="002931EC"/>
    <w:rsid w:val="0029458F"/>
    <w:rsid w:val="002A104C"/>
    <w:rsid w:val="002A4960"/>
    <w:rsid w:val="002B1AE6"/>
    <w:rsid w:val="002B2DE8"/>
    <w:rsid w:val="002B30F8"/>
    <w:rsid w:val="002B5596"/>
    <w:rsid w:val="002C212F"/>
    <w:rsid w:val="002C708C"/>
    <w:rsid w:val="002D4543"/>
    <w:rsid w:val="002D5008"/>
    <w:rsid w:val="002E3153"/>
    <w:rsid w:val="002E72CA"/>
    <w:rsid w:val="002F600D"/>
    <w:rsid w:val="00300AD6"/>
    <w:rsid w:val="00304BCF"/>
    <w:rsid w:val="00317278"/>
    <w:rsid w:val="00317C6C"/>
    <w:rsid w:val="00321486"/>
    <w:rsid w:val="00326E79"/>
    <w:rsid w:val="003301B1"/>
    <w:rsid w:val="0033263D"/>
    <w:rsid w:val="0033518A"/>
    <w:rsid w:val="003367EF"/>
    <w:rsid w:val="00341AE4"/>
    <w:rsid w:val="00350C34"/>
    <w:rsid w:val="0035330B"/>
    <w:rsid w:val="00355D18"/>
    <w:rsid w:val="00356046"/>
    <w:rsid w:val="003639C7"/>
    <w:rsid w:val="00366F93"/>
    <w:rsid w:val="00384988"/>
    <w:rsid w:val="003872CF"/>
    <w:rsid w:val="0039782C"/>
    <w:rsid w:val="003A1B2A"/>
    <w:rsid w:val="003A5B4A"/>
    <w:rsid w:val="003A5BF9"/>
    <w:rsid w:val="003B23C5"/>
    <w:rsid w:val="003B2596"/>
    <w:rsid w:val="003B2A75"/>
    <w:rsid w:val="003B6124"/>
    <w:rsid w:val="003C1ECF"/>
    <w:rsid w:val="003C2FB5"/>
    <w:rsid w:val="003D3D16"/>
    <w:rsid w:val="003D4AC4"/>
    <w:rsid w:val="003D63B7"/>
    <w:rsid w:val="003E468B"/>
    <w:rsid w:val="003F3228"/>
    <w:rsid w:val="003F5C8C"/>
    <w:rsid w:val="00402922"/>
    <w:rsid w:val="004252EC"/>
    <w:rsid w:val="00430D39"/>
    <w:rsid w:val="004465BD"/>
    <w:rsid w:val="00463882"/>
    <w:rsid w:val="00466ADA"/>
    <w:rsid w:val="0047494B"/>
    <w:rsid w:val="00476245"/>
    <w:rsid w:val="00483035"/>
    <w:rsid w:val="00483DF3"/>
    <w:rsid w:val="00485940"/>
    <w:rsid w:val="00495461"/>
    <w:rsid w:val="004A2484"/>
    <w:rsid w:val="004A5A85"/>
    <w:rsid w:val="004A71D1"/>
    <w:rsid w:val="004B5640"/>
    <w:rsid w:val="004C1BD7"/>
    <w:rsid w:val="004C31FE"/>
    <w:rsid w:val="004C691D"/>
    <w:rsid w:val="004C6C07"/>
    <w:rsid w:val="004D3B14"/>
    <w:rsid w:val="004E692D"/>
    <w:rsid w:val="004F65BD"/>
    <w:rsid w:val="00501554"/>
    <w:rsid w:val="00504E0C"/>
    <w:rsid w:val="00513EA5"/>
    <w:rsid w:val="00514CD7"/>
    <w:rsid w:val="00522DB6"/>
    <w:rsid w:val="005319B2"/>
    <w:rsid w:val="00532402"/>
    <w:rsid w:val="00532C74"/>
    <w:rsid w:val="00534E2E"/>
    <w:rsid w:val="00544552"/>
    <w:rsid w:val="00553FE3"/>
    <w:rsid w:val="00562B6E"/>
    <w:rsid w:val="00574144"/>
    <w:rsid w:val="00577C4D"/>
    <w:rsid w:val="00581932"/>
    <w:rsid w:val="00593DDA"/>
    <w:rsid w:val="005963BB"/>
    <w:rsid w:val="005A10AC"/>
    <w:rsid w:val="005A1CC9"/>
    <w:rsid w:val="005A3173"/>
    <w:rsid w:val="005A3223"/>
    <w:rsid w:val="005A3DA3"/>
    <w:rsid w:val="005A52C4"/>
    <w:rsid w:val="005D03AB"/>
    <w:rsid w:val="005D5017"/>
    <w:rsid w:val="005E1333"/>
    <w:rsid w:val="005E5F62"/>
    <w:rsid w:val="00601A91"/>
    <w:rsid w:val="00602BA3"/>
    <w:rsid w:val="00605B63"/>
    <w:rsid w:val="00606EED"/>
    <w:rsid w:val="00612E34"/>
    <w:rsid w:val="00614159"/>
    <w:rsid w:val="00617C00"/>
    <w:rsid w:val="006263BF"/>
    <w:rsid w:val="0062748A"/>
    <w:rsid w:val="00630A2C"/>
    <w:rsid w:val="0063682E"/>
    <w:rsid w:val="006372F4"/>
    <w:rsid w:val="006436CD"/>
    <w:rsid w:val="00651169"/>
    <w:rsid w:val="00653D69"/>
    <w:rsid w:val="006552E6"/>
    <w:rsid w:val="006670BE"/>
    <w:rsid w:val="00670A76"/>
    <w:rsid w:val="006711AA"/>
    <w:rsid w:val="00672B57"/>
    <w:rsid w:val="00675622"/>
    <w:rsid w:val="0067747D"/>
    <w:rsid w:val="0069039D"/>
    <w:rsid w:val="006906DB"/>
    <w:rsid w:val="00691E6C"/>
    <w:rsid w:val="0069501D"/>
    <w:rsid w:val="00696129"/>
    <w:rsid w:val="00697CF2"/>
    <w:rsid w:val="006A12A5"/>
    <w:rsid w:val="006B0D94"/>
    <w:rsid w:val="006B20A8"/>
    <w:rsid w:val="006B485D"/>
    <w:rsid w:val="006C180D"/>
    <w:rsid w:val="006C1AAF"/>
    <w:rsid w:val="006C708E"/>
    <w:rsid w:val="006D14E7"/>
    <w:rsid w:val="006D6493"/>
    <w:rsid w:val="006D6EC7"/>
    <w:rsid w:val="006E1BCD"/>
    <w:rsid w:val="006F5125"/>
    <w:rsid w:val="00702B6F"/>
    <w:rsid w:val="00704C97"/>
    <w:rsid w:val="00706A2F"/>
    <w:rsid w:val="0070718E"/>
    <w:rsid w:val="00710685"/>
    <w:rsid w:val="0071340B"/>
    <w:rsid w:val="007174BB"/>
    <w:rsid w:val="0072025D"/>
    <w:rsid w:val="00725BF0"/>
    <w:rsid w:val="007353D3"/>
    <w:rsid w:val="00754C24"/>
    <w:rsid w:val="0076420C"/>
    <w:rsid w:val="00766CF3"/>
    <w:rsid w:val="00774E2C"/>
    <w:rsid w:val="007753C2"/>
    <w:rsid w:val="007838B8"/>
    <w:rsid w:val="007C0F57"/>
    <w:rsid w:val="007C40B6"/>
    <w:rsid w:val="007C729F"/>
    <w:rsid w:val="007D69B6"/>
    <w:rsid w:val="007E1D28"/>
    <w:rsid w:val="007E23F9"/>
    <w:rsid w:val="007F2641"/>
    <w:rsid w:val="007F7C36"/>
    <w:rsid w:val="00806796"/>
    <w:rsid w:val="008151D6"/>
    <w:rsid w:val="008268BB"/>
    <w:rsid w:val="00826F6D"/>
    <w:rsid w:val="008306F3"/>
    <w:rsid w:val="00830E40"/>
    <w:rsid w:val="008371F5"/>
    <w:rsid w:val="008555B9"/>
    <w:rsid w:val="00856DDD"/>
    <w:rsid w:val="00863E68"/>
    <w:rsid w:val="00882085"/>
    <w:rsid w:val="00883188"/>
    <w:rsid w:val="00890E57"/>
    <w:rsid w:val="0089324A"/>
    <w:rsid w:val="00897D58"/>
    <w:rsid w:val="00897F22"/>
    <w:rsid w:val="008A1956"/>
    <w:rsid w:val="008A4937"/>
    <w:rsid w:val="008A50F1"/>
    <w:rsid w:val="008D1B5C"/>
    <w:rsid w:val="008D3C82"/>
    <w:rsid w:val="008D447E"/>
    <w:rsid w:val="008D6DDE"/>
    <w:rsid w:val="008D7A41"/>
    <w:rsid w:val="008E2C72"/>
    <w:rsid w:val="008E3680"/>
    <w:rsid w:val="008E5870"/>
    <w:rsid w:val="008F1434"/>
    <w:rsid w:val="008F7355"/>
    <w:rsid w:val="00902E46"/>
    <w:rsid w:val="009067B7"/>
    <w:rsid w:val="00911CB2"/>
    <w:rsid w:val="00921DCA"/>
    <w:rsid w:val="00930937"/>
    <w:rsid w:val="00933E6C"/>
    <w:rsid w:val="00937958"/>
    <w:rsid w:val="00941602"/>
    <w:rsid w:val="00942160"/>
    <w:rsid w:val="0095146F"/>
    <w:rsid w:val="00955867"/>
    <w:rsid w:val="009602C5"/>
    <w:rsid w:val="00962223"/>
    <w:rsid w:val="00966D0D"/>
    <w:rsid w:val="009677AD"/>
    <w:rsid w:val="00974C21"/>
    <w:rsid w:val="00986DCE"/>
    <w:rsid w:val="009A61CA"/>
    <w:rsid w:val="009B0F67"/>
    <w:rsid w:val="009C703C"/>
    <w:rsid w:val="009D3CAA"/>
    <w:rsid w:val="009D4933"/>
    <w:rsid w:val="009E40E1"/>
    <w:rsid w:val="009F0EFA"/>
    <w:rsid w:val="009F4E46"/>
    <w:rsid w:val="009F5B65"/>
    <w:rsid w:val="009F5F2E"/>
    <w:rsid w:val="00A06225"/>
    <w:rsid w:val="00A128E6"/>
    <w:rsid w:val="00A34E6C"/>
    <w:rsid w:val="00A35A3C"/>
    <w:rsid w:val="00A37C8D"/>
    <w:rsid w:val="00A5273B"/>
    <w:rsid w:val="00A53A9D"/>
    <w:rsid w:val="00A55FEE"/>
    <w:rsid w:val="00A62C1A"/>
    <w:rsid w:val="00A6426D"/>
    <w:rsid w:val="00A665C1"/>
    <w:rsid w:val="00A70622"/>
    <w:rsid w:val="00A70977"/>
    <w:rsid w:val="00A744F9"/>
    <w:rsid w:val="00A77613"/>
    <w:rsid w:val="00A8390C"/>
    <w:rsid w:val="00A928BD"/>
    <w:rsid w:val="00A96EA4"/>
    <w:rsid w:val="00AA12CD"/>
    <w:rsid w:val="00AA4D1C"/>
    <w:rsid w:val="00AB751D"/>
    <w:rsid w:val="00AC193C"/>
    <w:rsid w:val="00AC5206"/>
    <w:rsid w:val="00AD4322"/>
    <w:rsid w:val="00AE11A5"/>
    <w:rsid w:val="00AE13E2"/>
    <w:rsid w:val="00AE22D3"/>
    <w:rsid w:val="00AF62DF"/>
    <w:rsid w:val="00AF68CC"/>
    <w:rsid w:val="00B00575"/>
    <w:rsid w:val="00B00FB4"/>
    <w:rsid w:val="00B1059E"/>
    <w:rsid w:val="00B176C8"/>
    <w:rsid w:val="00B205AA"/>
    <w:rsid w:val="00B22E84"/>
    <w:rsid w:val="00B233AD"/>
    <w:rsid w:val="00B25F75"/>
    <w:rsid w:val="00B26B3F"/>
    <w:rsid w:val="00B2778F"/>
    <w:rsid w:val="00B33635"/>
    <w:rsid w:val="00B43E90"/>
    <w:rsid w:val="00B467DC"/>
    <w:rsid w:val="00B56118"/>
    <w:rsid w:val="00B6773F"/>
    <w:rsid w:val="00B801BA"/>
    <w:rsid w:val="00B8492A"/>
    <w:rsid w:val="00B84D5C"/>
    <w:rsid w:val="00B91472"/>
    <w:rsid w:val="00BB69F5"/>
    <w:rsid w:val="00BB7EC3"/>
    <w:rsid w:val="00BC4B9A"/>
    <w:rsid w:val="00BD4D42"/>
    <w:rsid w:val="00BD784C"/>
    <w:rsid w:val="00BE4C9F"/>
    <w:rsid w:val="00BF1D9E"/>
    <w:rsid w:val="00BF4CB6"/>
    <w:rsid w:val="00C00DA7"/>
    <w:rsid w:val="00C12768"/>
    <w:rsid w:val="00C27B58"/>
    <w:rsid w:val="00C35996"/>
    <w:rsid w:val="00C41D11"/>
    <w:rsid w:val="00C46A02"/>
    <w:rsid w:val="00C4747E"/>
    <w:rsid w:val="00C5342C"/>
    <w:rsid w:val="00C60272"/>
    <w:rsid w:val="00C603D4"/>
    <w:rsid w:val="00C609CB"/>
    <w:rsid w:val="00C6256A"/>
    <w:rsid w:val="00C71C3F"/>
    <w:rsid w:val="00C77891"/>
    <w:rsid w:val="00C8425A"/>
    <w:rsid w:val="00C91449"/>
    <w:rsid w:val="00C92D10"/>
    <w:rsid w:val="00CB1193"/>
    <w:rsid w:val="00CB2AA3"/>
    <w:rsid w:val="00CE10C4"/>
    <w:rsid w:val="00CE27B5"/>
    <w:rsid w:val="00CE3439"/>
    <w:rsid w:val="00CE6509"/>
    <w:rsid w:val="00CF236C"/>
    <w:rsid w:val="00D01516"/>
    <w:rsid w:val="00D0321E"/>
    <w:rsid w:val="00D1455A"/>
    <w:rsid w:val="00D15693"/>
    <w:rsid w:val="00D31150"/>
    <w:rsid w:val="00D3138B"/>
    <w:rsid w:val="00D3280C"/>
    <w:rsid w:val="00D3406A"/>
    <w:rsid w:val="00D37FC7"/>
    <w:rsid w:val="00D4572C"/>
    <w:rsid w:val="00D469B2"/>
    <w:rsid w:val="00D6394E"/>
    <w:rsid w:val="00D741EB"/>
    <w:rsid w:val="00D820F3"/>
    <w:rsid w:val="00D83605"/>
    <w:rsid w:val="00D84934"/>
    <w:rsid w:val="00D91271"/>
    <w:rsid w:val="00D919F5"/>
    <w:rsid w:val="00D94F03"/>
    <w:rsid w:val="00DA2CB5"/>
    <w:rsid w:val="00DA4BAC"/>
    <w:rsid w:val="00DB0151"/>
    <w:rsid w:val="00DC25E7"/>
    <w:rsid w:val="00DC3473"/>
    <w:rsid w:val="00DD1BE3"/>
    <w:rsid w:val="00DE6D27"/>
    <w:rsid w:val="00DF217D"/>
    <w:rsid w:val="00DF21C0"/>
    <w:rsid w:val="00DF26A7"/>
    <w:rsid w:val="00E03373"/>
    <w:rsid w:val="00E15627"/>
    <w:rsid w:val="00E164B3"/>
    <w:rsid w:val="00E16910"/>
    <w:rsid w:val="00E219F7"/>
    <w:rsid w:val="00E27234"/>
    <w:rsid w:val="00E42BDB"/>
    <w:rsid w:val="00E46493"/>
    <w:rsid w:val="00E53A1A"/>
    <w:rsid w:val="00E57EEB"/>
    <w:rsid w:val="00E60575"/>
    <w:rsid w:val="00E608F4"/>
    <w:rsid w:val="00E62D94"/>
    <w:rsid w:val="00E65E54"/>
    <w:rsid w:val="00E663E9"/>
    <w:rsid w:val="00E75587"/>
    <w:rsid w:val="00E775EF"/>
    <w:rsid w:val="00E80155"/>
    <w:rsid w:val="00E81F28"/>
    <w:rsid w:val="00E848C0"/>
    <w:rsid w:val="00E90903"/>
    <w:rsid w:val="00E91B96"/>
    <w:rsid w:val="00E941A1"/>
    <w:rsid w:val="00E95CE3"/>
    <w:rsid w:val="00EA07B4"/>
    <w:rsid w:val="00EA2825"/>
    <w:rsid w:val="00EB0B63"/>
    <w:rsid w:val="00EB1936"/>
    <w:rsid w:val="00EB5088"/>
    <w:rsid w:val="00EC49B9"/>
    <w:rsid w:val="00ED1644"/>
    <w:rsid w:val="00ED2593"/>
    <w:rsid w:val="00ED7D9C"/>
    <w:rsid w:val="00EE74A7"/>
    <w:rsid w:val="00EF0069"/>
    <w:rsid w:val="00EF29AC"/>
    <w:rsid w:val="00EF44A0"/>
    <w:rsid w:val="00EF4FED"/>
    <w:rsid w:val="00F0172E"/>
    <w:rsid w:val="00F050BD"/>
    <w:rsid w:val="00F05657"/>
    <w:rsid w:val="00F200F3"/>
    <w:rsid w:val="00F25578"/>
    <w:rsid w:val="00F258E5"/>
    <w:rsid w:val="00F300BC"/>
    <w:rsid w:val="00F3334E"/>
    <w:rsid w:val="00F36CCB"/>
    <w:rsid w:val="00F370E8"/>
    <w:rsid w:val="00F374E5"/>
    <w:rsid w:val="00F43AF2"/>
    <w:rsid w:val="00F5007E"/>
    <w:rsid w:val="00F50EC4"/>
    <w:rsid w:val="00F52232"/>
    <w:rsid w:val="00F53313"/>
    <w:rsid w:val="00F550CF"/>
    <w:rsid w:val="00F577B8"/>
    <w:rsid w:val="00F57A6D"/>
    <w:rsid w:val="00F638CC"/>
    <w:rsid w:val="00F64CC1"/>
    <w:rsid w:val="00F72317"/>
    <w:rsid w:val="00F80475"/>
    <w:rsid w:val="00F8247A"/>
    <w:rsid w:val="00F82EFD"/>
    <w:rsid w:val="00F9629A"/>
    <w:rsid w:val="00F97EFC"/>
    <w:rsid w:val="00FA4DD5"/>
    <w:rsid w:val="00FA5883"/>
    <w:rsid w:val="00FA6055"/>
    <w:rsid w:val="00FB0F7A"/>
    <w:rsid w:val="00FB322F"/>
    <w:rsid w:val="00FB442F"/>
    <w:rsid w:val="00FC1929"/>
    <w:rsid w:val="00FC3035"/>
    <w:rsid w:val="00FC3647"/>
    <w:rsid w:val="00FC5B46"/>
    <w:rsid w:val="00FC5DC0"/>
    <w:rsid w:val="00FD6D8E"/>
    <w:rsid w:val="00FE075D"/>
    <w:rsid w:val="00FE0E94"/>
    <w:rsid w:val="00FE138A"/>
    <w:rsid w:val="00FF00BD"/>
    <w:rsid w:val="00FF1ED4"/>
    <w:rsid w:val="00FF2801"/>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1A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593DDA"/>
    <w:pPr>
      <w:numPr>
        <w:numId w:val="5"/>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21"/>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styleId="FootnoteText">
    <w:name w:val="footnote text"/>
    <w:basedOn w:val="Normal"/>
    <w:link w:val="FootnoteTextChar"/>
    <w:semiHidden/>
    <w:unhideWhenUsed/>
    <w:rsid w:val="00FC5DC0"/>
    <w:rPr>
      <w:sz w:val="20"/>
      <w:szCs w:val="20"/>
    </w:rPr>
  </w:style>
  <w:style w:type="character" w:customStyle="1" w:styleId="FootnoteTextChar">
    <w:name w:val="Footnote Text Char"/>
    <w:basedOn w:val="DefaultParagraphFont"/>
    <w:link w:val="FootnoteText"/>
    <w:semiHidden/>
    <w:rsid w:val="00FC5DC0"/>
  </w:style>
  <w:style w:type="character" w:styleId="FootnoteReference">
    <w:name w:val="footnote reference"/>
    <w:basedOn w:val="DefaultParagraphFont"/>
    <w:semiHidden/>
    <w:unhideWhenUsed/>
    <w:rsid w:val="00FC5DC0"/>
    <w:rPr>
      <w:vertAlign w:val="superscript"/>
    </w:rPr>
  </w:style>
  <w:style w:type="paragraph" w:customStyle="1" w:styleId="Bodytextitalics">
    <w:name w:val="Body text italics"/>
    <w:basedOn w:val="BodyText"/>
    <w:qFormat/>
    <w:rsid w:val="0028601B"/>
    <w:pPr>
      <w:ind w:left="720" w:hanging="720"/>
    </w:pPr>
    <w:rPr>
      <w:rFonts w:asciiTheme="minorHAnsi" w:eastAsiaTheme="minorHAnsi" w:hAnsiTheme="minorHAnsi" w:cstheme="minorBidi"/>
      <w:i/>
      <w:szCs w:val="22"/>
    </w:rPr>
  </w:style>
  <w:style w:type="paragraph" w:styleId="BodyText">
    <w:name w:val="Body Text"/>
    <w:basedOn w:val="Normal"/>
    <w:link w:val="BodyTextChar"/>
    <w:semiHidden/>
    <w:unhideWhenUsed/>
    <w:rsid w:val="0028601B"/>
    <w:pPr>
      <w:spacing w:after="120"/>
    </w:pPr>
  </w:style>
  <w:style w:type="character" w:customStyle="1" w:styleId="BodyTextChar">
    <w:name w:val="Body Text Char"/>
    <w:basedOn w:val="DefaultParagraphFont"/>
    <w:link w:val="BodyText"/>
    <w:semiHidden/>
    <w:rsid w:val="002860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1168007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441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21A4-A46A-4BAD-BA47-CF5D2A34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2020-02-18T23:45:00Z</dcterms:created>
  <dcterms:modified xsi:type="dcterms:W3CDTF">2020-02-26T01:22:00Z</dcterms:modified>
</cp:coreProperties>
</file>