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BA" w:rsidRPr="00695A45" w:rsidRDefault="003455BA" w:rsidP="00761007">
      <w:pPr>
        <w:rPr>
          <w:b/>
        </w:rPr>
      </w:pPr>
    </w:p>
    <w:p w:rsidR="00FC3647" w:rsidRPr="00695A45" w:rsidRDefault="001C16F6" w:rsidP="000A40E3">
      <w:pPr>
        <w:pStyle w:val="1MainTitle"/>
        <w:spacing w:after="240"/>
        <w:contextualSpacing w:val="0"/>
      </w:pPr>
      <w:r w:rsidRPr="00695A45">
        <w:t>7.08</w:t>
      </w:r>
      <w:r w:rsidR="00EC12E9" w:rsidRPr="00695A45">
        <w:tab/>
        <w:t>ATEZOLIZUMAB,</w:t>
      </w:r>
      <w:r w:rsidR="00FC3647" w:rsidRPr="00695A45">
        <w:t xml:space="preserve"> </w:t>
      </w:r>
      <w:r w:rsidR="00FC3647" w:rsidRPr="00695A45">
        <w:br/>
      </w:r>
      <w:r w:rsidR="00EC12E9" w:rsidRPr="00695A45">
        <w:t>Solution concentrate for IV infusion 1200mg in 20mL</w:t>
      </w:r>
      <w:proofErr w:type="gramStart"/>
      <w:r w:rsidR="00EC12E9" w:rsidRPr="00695A45">
        <w:t>,</w:t>
      </w:r>
      <w:proofErr w:type="gramEnd"/>
      <w:r w:rsidR="00EC12E9" w:rsidRPr="00695A45">
        <w:br/>
      </w:r>
      <w:proofErr w:type="spellStart"/>
      <w:r w:rsidR="00EC12E9" w:rsidRPr="00695A45">
        <w:t>Tecentriq</w:t>
      </w:r>
      <w:proofErr w:type="spellEnd"/>
      <w:r w:rsidR="00EC12E9" w:rsidRPr="00695A45">
        <w:t xml:space="preserve">®, </w:t>
      </w:r>
      <w:r w:rsidR="00EC12E9" w:rsidRPr="00695A45">
        <w:br/>
        <w:t>Roche Products Pty Ltd</w:t>
      </w:r>
      <w:r w:rsidR="00FC3647" w:rsidRPr="00695A45">
        <w:tab/>
      </w:r>
    </w:p>
    <w:p w:rsidR="00FC3647" w:rsidRPr="00695A45" w:rsidRDefault="00FC3647" w:rsidP="00D752C2">
      <w:pPr>
        <w:pStyle w:val="2Sections"/>
        <w:numPr>
          <w:ilvl w:val="0"/>
          <w:numId w:val="1"/>
        </w:numPr>
      </w:pPr>
      <w:r w:rsidRPr="00695A45">
        <w:t xml:space="preserve">Purpose of Application </w:t>
      </w:r>
    </w:p>
    <w:p w:rsidR="00D51F74" w:rsidRPr="00695A45" w:rsidRDefault="00D51F74" w:rsidP="00D51F74">
      <w:pPr>
        <w:pStyle w:val="3Bodytext"/>
      </w:pPr>
      <w:r w:rsidRPr="00695A45">
        <w:t xml:space="preserve">The </w:t>
      </w:r>
      <w:r w:rsidR="004B30F0" w:rsidRPr="00695A45">
        <w:t>minor re</w:t>
      </w:r>
      <w:r w:rsidRPr="00695A45">
        <w:t xml:space="preserve">submission requested a Section 100 (Efficient Funding of Chemotherapy Program), Authority Required (STREAMLINED) listing for </w:t>
      </w:r>
      <w:proofErr w:type="spellStart"/>
      <w:r w:rsidRPr="00695A45">
        <w:t>atezolizumab</w:t>
      </w:r>
      <w:proofErr w:type="spellEnd"/>
      <w:r w:rsidRPr="00695A45">
        <w:t xml:space="preserve"> for the treatment of previously untreated patients with extensive stage (ES) small cell lung cancer (SCLC) and Eastern Cooperative Oncology Group (ECOG) 0-1. </w:t>
      </w:r>
      <w:proofErr w:type="spellStart"/>
      <w:r w:rsidRPr="00695A45">
        <w:t>Atezolizumab</w:t>
      </w:r>
      <w:proofErr w:type="spellEnd"/>
      <w:r w:rsidRPr="00695A45">
        <w:t xml:space="preserve"> is intended to be used in combination with carboplatin and etoposide (CE) initially, then as monotherapy for maintenance</w:t>
      </w:r>
      <w:r w:rsidR="00695A45">
        <w:t xml:space="preserve">. </w:t>
      </w:r>
    </w:p>
    <w:p w:rsidR="00AD19A8" w:rsidRPr="00695A45" w:rsidRDefault="00AD19A8" w:rsidP="00D752C2">
      <w:pPr>
        <w:pStyle w:val="3Bodytext"/>
        <w:numPr>
          <w:ilvl w:val="1"/>
          <w:numId w:val="1"/>
        </w:numPr>
      </w:pPr>
      <w:r w:rsidRPr="00695A45">
        <w:t xml:space="preserve">The minor resubmission sought to address the outstanding </w:t>
      </w:r>
      <w:r w:rsidR="004B30F0" w:rsidRPr="00695A45">
        <w:t>issues from</w:t>
      </w:r>
      <w:r w:rsidRPr="00695A45">
        <w:t xml:space="preserve"> the previous submission</w:t>
      </w:r>
      <w:r w:rsidR="003455BA" w:rsidRPr="00695A45">
        <w:t>,</w:t>
      </w:r>
      <w:r w:rsidRPr="00695A45">
        <w:t xml:space="preserve"> </w:t>
      </w:r>
      <w:r w:rsidR="004B30F0" w:rsidRPr="00695A45">
        <w:t xml:space="preserve">which was considered </w:t>
      </w:r>
      <w:r w:rsidRPr="00695A45">
        <w:t>at the July 2019 PBAC meeting.</w:t>
      </w:r>
    </w:p>
    <w:p w:rsidR="00D34E63" w:rsidRPr="00695A45" w:rsidRDefault="00D34E63" w:rsidP="00D34E63">
      <w:pPr>
        <w:pStyle w:val="2Sections"/>
      </w:pPr>
      <w:r w:rsidRPr="00695A45">
        <w:t>Requested listing</w:t>
      </w:r>
    </w:p>
    <w:p w:rsidR="0097202A" w:rsidRPr="00695A45" w:rsidRDefault="0097202A" w:rsidP="0097202A">
      <w:pPr>
        <w:pStyle w:val="3Bodytext"/>
      </w:pPr>
      <w:r w:rsidRPr="00695A45">
        <w:t xml:space="preserve">The minor resubmission replicated the proposed PBS restrictions for </w:t>
      </w:r>
      <w:proofErr w:type="spellStart"/>
      <w:r w:rsidRPr="00695A45">
        <w:t>atezoli</w:t>
      </w:r>
      <w:r w:rsidR="004165DD" w:rsidRPr="00695A45">
        <w:t>z</w:t>
      </w:r>
      <w:r w:rsidRPr="00695A45">
        <w:t>umab</w:t>
      </w:r>
      <w:proofErr w:type="spellEnd"/>
      <w:r w:rsidRPr="00695A45">
        <w:t xml:space="preserve"> from </w:t>
      </w:r>
      <w:r w:rsidR="0018339F" w:rsidRPr="00695A45">
        <w:t>the previous submission</w:t>
      </w:r>
      <w:r w:rsidR="003455BA" w:rsidRPr="00695A45">
        <w:t>,</w:t>
      </w:r>
      <w:r w:rsidRPr="00695A45">
        <w:t xml:space="preserve"> accepting changes proposed by the Secretariat and the PBAC. </w:t>
      </w:r>
      <w:r w:rsidR="00A11CB4" w:rsidRPr="00695A45">
        <w:t>A</w:t>
      </w:r>
      <w:r w:rsidR="009A2075" w:rsidRPr="00695A45">
        <w:t xml:space="preserve">dditions to the requested listing </w:t>
      </w:r>
      <w:r w:rsidR="00A11CB4" w:rsidRPr="00695A45">
        <w:t xml:space="preserve">advised by the PBAC </w:t>
      </w:r>
      <w:r w:rsidR="009A2075" w:rsidRPr="00695A45">
        <w:t>are added in italics and deletions are crossed out with strikethrough.</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7"/>
        <w:gridCol w:w="448"/>
        <w:gridCol w:w="1134"/>
        <w:gridCol w:w="710"/>
        <w:gridCol w:w="2410"/>
        <w:gridCol w:w="1939"/>
      </w:tblGrid>
      <w:tr w:rsidR="0097202A" w:rsidRPr="00695A45" w:rsidTr="00B95403">
        <w:trPr>
          <w:cantSplit/>
          <w:trHeight w:val="463"/>
        </w:trPr>
        <w:tc>
          <w:tcPr>
            <w:tcW w:w="1570" w:type="pct"/>
            <w:gridSpan w:val="2"/>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lastRenderedPageBreak/>
              <w:t>Name, Restriction,</w:t>
            </w:r>
          </w:p>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Manner of administration and form</w:t>
            </w:r>
          </w:p>
        </w:tc>
        <w:tc>
          <w:tcPr>
            <w:tcW w:w="628" w:type="pct"/>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 xml:space="preserve">Max </w:t>
            </w:r>
            <w:proofErr w:type="spellStart"/>
            <w:r w:rsidRPr="00695A45">
              <w:rPr>
                <w:rFonts w:ascii="Arial Narrow" w:hAnsi="Arial Narrow"/>
                <w:b/>
                <w:sz w:val="20"/>
                <w:szCs w:val="20"/>
              </w:rPr>
              <w:t>Amt</w:t>
            </w:r>
            <w:proofErr w:type="spellEnd"/>
          </w:p>
        </w:tc>
        <w:tc>
          <w:tcPr>
            <w:tcW w:w="393" w:type="pct"/>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№.of</w:t>
            </w:r>
          </w:p>
          <w:p w:rsidR="0097202A" w:rsidRPr="00695A45" w:rsidRDefault="0097202A" w:rsidP="00B95403">
            <w:pPr>
              <w:keepNext/>
              <w:keepLines/>
              <w:rPr>
                <w:rFonts w:ascii="Arial Narrow" w:hAnsi="Arial Narrow"/>
                <w:b/>
                <w:sz w:val="20"/>
                <w:szCs w:val="20"/>
              </w:rPr>
            </w:pPr>
            <w:proofErr w:type="spellStart"/>
            <w:r w:rsidRPr="00695A45">
              <w:rPr>
                <w:rFonts w:ascii="Arial Narrow" w:hAnsi="Arial Narrow"/>
                <w:b/>
                <w:sz w:val="20"/>
                <w:szCs w:val="20"/>
              </w:rPr>
              <w:t>Rpts</w:t>
            </w:r>
            <w:proofErr w:type="spellEnd"/>
          </w:p>
        </w:tc>
        <w:tc>
          <w:tcPr>
            <w:tcW w:w="1335" w:type="pct"/>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 xml:space="preserve">Dispensed Price for Max </w:t>
            </w:r>
            <w:proofErr w:type="spellStart"/>
            <w:r w:rsidRPr="00695A45">
              <w:rPr>
                <w:rFonts w:ascii="Arial Narrow" w:hAnsi="Arial Narrow"/>
                <w:b/>
                <w:sz w:val="20"/>
                <w:szCs w:val="20"/>
              </w:rPr>
              <w:t>Amt</w:t>
            </w:r>
            <w:proofErr w:type="spellEnd"/>
          </w:p>
        </w:tc>
        <w:tc>
          <w:tcPr>
            <w:tcW w:w="1074" w:type="pct"/>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Proprietary Name and Manufacturer</w:t>
            </w:r>
          </w:p>
        </w:tc>
      </w:tr>
      <w:tr w:rsidR="0097202A" w:rsidRPr="00695A45" w:rsidTr="00B95403">
        <w:trPr>
          <w:cantSplit/>
          <w:trHeight w:val="567"/>
        </w:trPr>
        <w:tc>
          <w:tcPr>
            <w:tcW w:w="1570" w:type="pct"/>
            <w:gridSpan w:val="2"/>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628" w:type="pct"/>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1,200 mg</w:t>
            </w:r>
          </w:p>
        </w:tc>
        <w:tc>
          <w:tcPr>
            <w:tcW w:w="393" w:type="pct"/>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3</w:t>
            </w:r>
          </w:p>
        </w:tc>
        <w:tc>
          <w:tcPr>
            <w:tcW w:w="1335" w:type="pct"/>
            <w:tcBorders>
              <w:top w:val="single" w:sz="4" w:space="0" w:color="auto"/>
              <w:left w:val="nil"/>
              <w:bottom w:val="nil"/>
              <w:right w:val="nil"/>
            </w:tcBorders>
          </w:tcPr>
          <w:p w:rsidR="0097202A" w:rsidRPr="00695A45" w:rsidRDefault="0097202A" w:rsidP="00B95403">
            <w:pPr>
              <w:pStyle w:val="Tabletext"/>
              <w:keepNext/>
              <w:keepLines/>
              <w:spacing w:after="0"/>
              <w:rPr>
                <w:rFonts w:ascii="Arial Narrow" w:hAnsi="Arial Narrow"/>
                <w:u w:val="single"/>
              </w:rPr>
            </w:pPr>
            <w:r w:rsidRPr="00695A45">
              <w:rPr>
                <w:rFonts w:ascii="Arial Narrow" w:hAnsi="Arial Narrow"/>
                <w:u w:val="single"/>
              </w:rPr>
              <w:t xml:space="preserve">Public </w:t>
            </w:r>
          </w:p>
          <w:p w:rsidR="0097202A" w:rsidRPr="00695A45" w:rsidRDefault="0097202A" w:rsidP="00B95403">
            <w:pPr>
              <w:pStyle w:val="Tabletext"/>
              <w:keepNext/>
              <w:keepLines/>
              <w:spacing w:after="0"/>
              <w:rPr>
                <w:rFonts w:ascii="Arial Narrow" w:hAnsi="Arial Narrow"/>
              </w:rPr>
            </w:pPr>
            <w:r w:rsidRPr="00695A45">
              <w:rPr>
                <w:rFonts w:ascii="Arial Narrow" w:hAnsi="Arial Narrow"/>
              </w:rPr>
              <w:t>Published: $7</w:t>
            </w:r>
            <w:r w:rsidR="0018339F" w:rsidRPr="00695A45">
              <w:rPr>
                <w:rFonts w:ascii="Arial Narrow" w:hAnsi="Arial Narrow"/>
              </w:rPr>
              <w:t>,</w:t>
            </w:r>
            <w:r w:rsidRPr="00695A45">
              <w:rPr>
                <w:rFonts w:ascii="Arial Narrow" w:hAnsi="Arial Narrow"/>
              </w:rPr>
              <w:t>561.36</w:t>
            </w:r>
          </w:p>
          <w:p w:rsidR="0097202A" w:rsidRPr="00695A45" w:rsidRDefault="0097202A" w:rsidP="00B95403">
            <w:pPr>
              <w:pStyle w:val="Tabletext"/>
              <w:keepNext/>
              <w:keepLines/>
              <w:spacing w:after="0"/>
              <w:rPr>
                <w:rFonts w:ascii="Arial Narrow" w:hAnsi="Arial Narrow"/>
              </w:rPr>
            </w:pPr>
            <w:r w:rsidRPr="00695A45">
              <w:rPr>
                <w:rFonts w:ascii="Arial Narrow" w:hAnsi="Arial Narrow"/>
              </w:rPr>
              <w:t>Effective: $</w:t>
            </w:r>
            <w:r w:rsidR="00B905EC">
              <w:rPr>
                <w:rFonts w:ascii="Arial Narrow" w:hAnsi="Arial Narrow"/>
                <w:noProof/>
                <w:color w:val="000000"/>
                <w:highlight w:val="black"/>
              </w:rPr>
              <w:t>''''''''''''''''''''''</w:t>
            </w:r>
          </w:p>
          <w:p w:rsidR="0097202A" w:rsidRPr="00695A45" w:rsidRDefault="0097202A" w:rsidP="00B95403">
            <w:pPr>
              <w:pStyle w:val="Tabletext"/>
              <w:keepNext/>
              <w:keepLines/>
              <w:spacing w:after="0"/>
              <w:rPr>
                <w:rFonts w:ascii="Arial Narrow" w:hAnsi="Arial Narrow"/>
                <w:u w:val="single"/>
              </w:rPr>
            </w:pPr>
            <w:r w:rsidRPr="00695A45">
              <w:rPr>
                <w:rFonts w:ascii="Arial Narrow" w:hAnsi="Arial Narrow"/>
                <w:u w:val="single"/>
              </w:rPr>
              <w:t>Private</w:t>
            </w:r>
          </w:p>
          <w:p w:rsidR="0097202A" w:rsidRPr="00695A45" w:rsidRDefault="0097202A" w:rsidP="00B95403">
            <w:pPr>
              <w:pStyle w:val="TableText1"/>
              <w:keepNext/>
              <w:keepLines/>
              <w:spacing w:before="0" w:after="0"/>
              <w:rPr>
                <w:rFonts w:ascii="Arial Narrow" w:hAnsi="Arial Narrow" w:cs="Times New Roman"/>
                <w:bCs w:val="0"/>
              </w:rPr>
            </w:pPr>
            <w:r w:rsidRPr="00695A45">
              <w:rPr>
                <w:rFonts w:ascii="Arial Narrow" w:hAnsi="Arial Narrow" w:cs="Times New Roman"/>
                <w:bCs w:val="0"/>
              </w:rPr>
              <w:t>Published: $7</w:t>
            </w:r>
            <w:r w:rsidR="0018339F" w:rsidRPr="00695A45">
              <w:rPr>
                <w:rFonts w:ascii="Arial Narrow" w:hAnsi="Arial Narrow" w:cs="Times New Roman"/>
                <w:bCs w:val="0"/>
              </w:rPr>
              <w:t>,</w:t>
            </w:r>
            <w:r w:rsidRPr="00695A45">
              <w:rPr>
                <w:rFonts w:ascii="Arial Narrow" w:hAnsi="Arial Narrow" w:cs="Times New Roman"/>
                <w:bCs w:val="0"/>
              </w:rPr>
              <w:t>705.79</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Effective: $</w:t>
            </w:r>
            <w:r w:rsidR="00B905EC">
              <w:rPr>
                <w:rFonts w:ascii="Arial Narrow" w:hAnsi="Arial Narrow"/>
                <w:noProof/>
                <w:color w:val="000000"/>
                <w:sz w:val="20"/>
                <w:szCs w:val="20"/>
                <w:highlight w:val="black"/>
              </w:rPr>
              <w:t>'''''''''''''''''''''</w:t>
            </w:r>
          </w:p>
        </w:tc>
        <w:tc>
          <w:tcPr>
            <w:tcW w:w="1074" w:type="pct"/>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Category / Program</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Section 100 – Efficient funding of Chemotherapy</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Private Hospital/Private Clinic Authority Required</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Public Hospital Authority Required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Prescriber type:</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Dental  </w:t>
            </w:r>
            <w:r w:rsidRPr="00695A45">
              <w:rPr>
                <w:rFonts w:ascii="Arial Narrow" w:hAnsi="Arial Narrow"/>
                <w:sz w:val="20"/>
                <w:szCs w:val="20"/>
              </w:rPr>
              <w:fldChar w:fldCharType="begin">
                <w:ffData>
                  <w:name w:val=""/>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Medical Practitioners  </w:t>
            </w: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Nurse practitioners  </w:t>
            </w: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Optometrists</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Midwives</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Episodicity:</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trike/>
                <w:sz w:val="20"/>
                <w:szCs w:val="20"/>
              </w:rPr>
            </w:pPr>
            <w:r w:rsidRPr="00695A45">
              <w:rPr>
                <w:rFonts w:ascii="Arial Narrow" w:hAnsi="Arial Narrow"/>
                <w:strike/>
                <w:sz w:val="20"/>
                <w:szCs w:val="20"/>
              </w:rPr>
              <w:t>Previously untreated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Severity:</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i/>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Condition:</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Small cell carcinoma of lung</w:t>
            </w:r>
            <w:r w:rsidR="00A76BAB" w:rsidRPr="00695A45">
              <w:rPr>
                <w:rFonts w:ascii="Arial Narrow" w:hAnsi="Arial Narrow"/>
                <w:sz w:val="20"/>
                <w:szCs w:val="20"/>
              </w:rPr>
              <w:t xml:space="preserve"> [24247 draft, preferred SNOMED term]</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PBS Indication:</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trike/>
                <w:sz w:val="20"/>
                <w:szCs w:val="20"/>
              </w:rPr>
              <w:t>Previously untreated</w:t>
            </w:r>
            <w:r w:rsidRPr="00695A45">
              <w:rPr>
                <w:rFonts w:ascii="Arial Narrow" w:hAnsi="Arial Narrow"/>
                <w:sz w:val="20"/>
                <w:szCs w:val="20"/>
              </w:rPr>
              <w:t xml:space="preserve"> </w:t>
            </w:r>
            <w:r w:rsidR="009A2075" w:rsidRPr="00695A45">
              <w:rPr>
                <w:rFonts w:ascii="Arial Narrow" w:hAnsi="Arial Narrow"/>
                <w:sz w:val="20"/>
                <w:szCs w:val="20"/>
              </w:rPr>
              <w:t>E</w:t>
            </w:r>
            <w:r w:rsidRPr="00695A45">
              <w:rPr>
                <w:rFonts w:ascii="Arial Narrow" w:hAnsi="Arial Narrow"/>
                <w:sz w:val="20"/>
                <w:szCs w:val="20"/>
              </w:rPr>
              <w:t>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Treatment phase:</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Initial treatment</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Restriction:</w:t>
            </w:r>
          </w:p>
          <w:p w:rsidR="0097202A" w:rsidRPr="00695A45" w:rsidRDefault="0097202A" w:rsidP="00B95403">
            <w:pPr>
              <w:keepNext/>
              <w:keepLines/>
              <w:rPr>
                <w:rFonts w:ascii="Arial Narrow" w:hAnsi="Arial Narrow"/>
                <w:sz w:val="20"/>
                <w:szCs w:val="20"/>
              </w:rPr>
            </w:pP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Clinical criteria:</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trike/>
                <w:sz w:val="20"/>
                <w:szCs w:val="20"/>
              </w:rPr>
            </w:pPr>
            <w:r w:rsidRPr="00695A45">
              <w:rPr>
                <w:rFonts w:ascii="Arial Narrow" w:hAnsi="Arial Narrow"/>
                <w:strike/>
                <w:sz w:val="20"/>
                <w:szCs w:val="20"/>
              </w:rPr>
              <w:t>Patient must have extensive-stage small cell lung cancer,</w:t>
            </w:r>
          </w:p>
          <w:p w:rsidR="0097202A" w:rsidRPr="00695A45" w:rsidRDefault="0097202A" w:rsidP="00B95403">
            <w:pPr>
              <w:keepNext/>
              <w:keepLines/>
              <w:rPr>
                <w:rFonts w:ascii="Arial Narrow" w:hAnsi="Arial Narrow"/>
                <w:sz w:val="20"/>
                <w:szCs w:val="20"/>
              </w:rPr>
            </w:pPr>
            <w:r w:rsidRPr="00695A45">
              <w:rPr>
                <w:rFonts w:ascii="Arial Narrow" w:hAnsi="Arial Narrow"/>
                <w:strike/>
                <w:sz w:val="20"/>
                <w:szCs w:val="20"/>
              </w:rPr>
              <w:t>AND</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The condition must be previously untreated</w:t>
            </w:r>
            <w:r w:rsidR="00A76BAB" w:rsidRPr="00695A45">
              <w:rPr>
                <w:rFonts w:ascii="Arial Narrow" w:hAnsi="Arial Narrow"/>
                <w:sz w:val="20"/>
                <w:szCs w:val="20"/>
              </w:rPr>
              <w:t xml:space="preserve"> [8594]</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AND</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Patient must have</w:t>
            </w:r>
            <w:r w:rsidR="009A2075" w:rsidRPr="00695A45">
              <w:rPr>
                <w:rFonts w:ascii="Arial Narrow" w:hAnsi="Arial Narrow"/>
                <w:sz w:val="20"/>
                <w:szCs w:val="20"/>
              </w:rPr>
              <w:t xml:space="preserve"> </w:t>
            </w:r>
            <w:r w:rsidR="009A2075" w:rsidRPr="00695A45">
              <w:rPr>
                <w:rFonts w:ascii="Arial Narrow" w:hAnsi="Arial Narrow"/>
                <w:i/>
                <w:sz w:val="20"/>
                <w:szCs w:val="20"/>
              </w:rPr>
              <w:t>a</w:t>
            </w:r>
            <w:r w:rsidRPr="00695A45">
              <w:rPr>
                <w:rFonts w:ascii="Arial Narrow" w:hAnsi="Arial Narrow"/>
                <w:sz w:val="20"/>
                <w:szCs w:val="20"/>
              </w:rPr>
              <w:t xml:space="preserve"> WHO performance status of 0 or 1</w:t>
            </w:r>
            <w:r w:rsidR="00A76BAB" w:rsidRPr="00695A45">
              <w:rPr>
                <w:rFonts w:ascii="Arial Narrow" w:hAnsi="Arial Narrow"/>
                <w:sz w:val="20"/>
                <w:szCs w:val="20"/>
              </w:rPr>
              <w:t xml:space="preserve"> [10859]</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AND</w:t>
            </w:r>
          </w:p>
          <w:p w:rsidR="001302F3" w:rsidRDefault="0097202A" w:rsidP="001302F3">
            <w:pPr>
              <w:keepNext/>
              <w:keepLines/>
              <w:rPr>
                <w:rFonts w:ascii="Arial Narrow" w:hAnsi="Arial Narrow"/>
                <w:strike/>
                <w:sz w:val="20"/>
                <w:szCs w:val="20"/>
              </w:rPr>
            </w:pPr>
            <w:r w:rsidRPr="001302F3">
              <w:rPr>
                <w:rFonts w:ascii="Arial Narrow" w:hAnsi="Arial Narrow"/>
                <w:strike/>
                <w:sz w:val="20"/>
                <w:szCs w:val="20"/>
              </w:rPr>
              <w:t>The treatment must be in combination with carboplatin and etoposide</w:t>
            </w:r>
          </w:p>
          <w:p w:rsidR="0097202A" w:rsidRPr="001302F3" w:rsidRDefault="001302F3" w:rsidP="001302F3">
            <w:pPr>
              <w:keepNext/>
              <w:keepLines/>
              <w:rPr>
                <w:rFonts w:ascii="Arial Narrow" w:hAnsi="Arial Narrow"/>
                <w:strike/>
                <w:sz w:val="20"/>
                <w:szCs w:val="20"/>
              </w:rPr>
            </w:pPr>
            <w:r>
              <w:rPr>
                <w:rFonts w:ascii="Arial Narrow" w:hAnsi="Arial Narrow"/>
                <w:i/>
                <w:sz w:val="20"/>
                <w:szCs w:val="20"/>
              </w:rPr>
              <w:t>M</w:t>
            </w:r>
            <w:r w:rsidRPr="001302F3">
              <w:rPr>
                <w:rFonts w:ascii="Arial Narrow" w:hAnsi="Arial Narrow"/>
                <w:i/>
                <w:sz w:val="20"/>
                <w:szCs w:val="20"/>
              </w:rPr>
              <w:t>ust be in combination with etoposide and a platinum-based antineoplastic</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64"/>
        </w:trPr>
        <w:tc>
          <w:tcPr>
            <w:tcW w:w="1322" w:type="pct"/>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Administrative advice</w:t>
            </w:r>
          </w:p>
        </w:tc>
        <w:tc>
          <w:tcPr>
            <w:tcW w:w="3678"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w:t>
            </w:r>
            <w:r w:rsidR="00A76BAB" w:rsidRPr="00695A45">
              <w:rPr>
                <w:rFonts w:ascii="Arial Narrow" w:hAnsi="Arial Narrow"/>
                <w:sz w:val="20"/>
                <w:szCs w:val="20"/>
              </w:rPr>
              <w:t xml:space="preserve"> [7606]</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No increase in the maximum number of repeats may be authorised</w:t>
            </w:r>
            <w:r w:rsidR="00A76BAB" w:rsidRPr="00695A45">
              <w:rPr>
                <w:rFonts w:ascii="Arial Narrow" w:hAnsi="Arial Narrow"/>
                <w:sz w:val="20"/>
                <w:szCs w:val="20"/>
              </w:rPr>
              <w:t xml:space="preserve"> [7607]</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Special Pricing Arrangements apply</w:t>
            </w:r>
            <w:r w:rsidR="00A76BAB" w:rsidRPr="00695A45">
              <w:rPr>
                <w:rFonts w:ascii="Arial Narrow" w:hAnsi="Arial Narrow"/>
                <w:sz w:val="20"/>
                <w:szCs w:val="20"/>
              </w:rPr>
              <w:t xml:space="preserve"> [7608]</w:t>
            </w:r>
            <w:r w:rsidRPr="00695A45">
              <w:rPr>
                <w:rFonts w:ascii="Arial Narrow" w:hAnsi="Arial Narrow"/>
                <w:sz w:val="20"/>
                <w:szCs w:val="20"/>
              </w:rPr>
              <w:t>.</w:t>
            </w:r>
          </w:p>
        </w:tc>
      </w:tr>
    </w:tbl>
    <w:p w:rsidR="0097202A" w:rsidRPr="00695A45" w:rsidRDefault="0097202A" w:rsidP="0097202A"/>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
        <w:gridCol w:w="2665"/>
        <w:gridCol w:w="137"/>
        <w:gridCol w:w="993"/>
        <w:gridCol w:w="709"/>
        <w:gridCol w:w="2553"/>
        <w:gridCol w:w="1926"/>
        <w:gridCol w:w="9"/>
      </w:tblGrid>
      <w:tr w:rsidR="0097202A" w:rsidRPr="00695A45" w:rsidTr="00B95403">
        <w:trPr>
          <w:gridBefore w:val="1"/>
          <w:gridAfter w:val="1"/>
          <w:wBefore w:w="13" w:type="pct"/>
          <w:wAfter w:w="5" w:type="pct"/>
          <w:cantSplit/>
          <w:trHeight w:val="463"/>
        </w:trPr>
        <w:tc>
          <w:tcPr>
            <w:tcW w:w="1554" w:type="pct"/>
            <w:gridSpan w:val="2"/>
            <w:tcBorders>
              <w:top w:val="single" w:sz="4" w:space="0" w:color="auto"/>
              <w:left w:val="nil"/>
              <w:bottom w:val="single" w:sz="4" w:space="0" w:color="auto"/>
              <w:right w:val="nil"/>
            </w:tcBorders>
            <w:vAlign w:val="center"/>
          </w:tcPr>
          <w:p w:rsidR="0097202A" w:rsidRPr="00695A45" w:rsidRDefault="0097202A" w:rsidP="00B95403">
            <w:pPr>
              <w:keepNext/>
              <w:keepLines/>
              <w:rPr>
                <w:rFonts w:ascii="Arial Narrow" w:hAnsi="Arial Narrow"/>
                <w:b/>
                <w:sz w:val="20"/>
              </w:rPr>
            </w:pPr>
            <w:r w:rsidRPr="00695A45">
              <w:rPr>
                <w:rFonts w:ascii="Arial Narrow" w:hAnsi="Arial Narrow"/>
                <w:b/>
                <w:sz w:val="20"/>
              </w:rPr>
              <w:lastRenderedPageBreak/>
              <w:t>Name, Restriction,</w:t>
            </w:r>
          </w:p>
          <w:p w:rsidR="0097202A" w:rsidRPr="00695A45" w:rsidRDefault="0097202A" w:rsidP="00B95403">
            <w:pPr>
              <w:keepNext/>
              <w:keepLines/>
              <w:rPr>
                <w:rFonts w:ascii="Arial Narrow" w:hAnsi="Arial Narrow"/>
                <w:b/>
                <w:sz w:val="20"/>
              </w:rPr>
            </w:pPr>
            <w:r w:rsidRPr="00695A45">
              <w:rPr>
                <w:rFonts w:ascii="Arial Narrow" w:hAnsi="Arial Narrow"/>
                <w:b/>
                <w:sz w:val="20"/>
              </w:rPr>
              <w:t>Manner of administration and form</w:t>
            </w:r>
          </w:p>
        </w:tc>
        <w:tc>
          <w:tcPr>
            <w:tcW w:w="551" w:type="pct"/>
            <w:tcBorders>
              <w:top w:val="single" w:sz="4" w:space="0" w:color="auto"/>
              <w:left w:val="nil"/>
              <w:bottom w:val="single" w:sz="4" w:space="0" w:color="auto"/>
              <w:right w:val="nil"/>
            </w:tcBorders>
            <w:vAlign w:val="center"/>
          </w:tcPr>
          <w:p w:rsidR="0097202A" w:rsidRPr="00695A45" w:rsidRDefault="0097202A" w:rsidP="00B95403">
            <w:pPr>
              <w:keepNext/>
              <w:keepLines/>
              <w:jc w:val="center"/>
              <w:rPr>
                <w:rFonts w:ascii="Arial Narrow" w:hAnsi="Arial Narrow"/>
                <w:b/>
                <w:sz w:val="20"/>
              </w:rPr>
            </w:pPr>
            <w:r w:rsidRPr="00695A45">
              <w:rPr>
                <w:rFonts w:ascii="Arial Narrow" w:hAnsi="Arial Narrow"/>
                <w:b/>
                <w:sz w:val="20"/>
              </w:rPr>
              <w:t xml:space="preserve">Max </w:t>
            </w:r>
            <w:proofErr w:type="spellStart"/>
            <w:r w:rsidRPr="00695A45">
              <w:rPr>
                <w:rFonts w:ascii="Arial Narrow" w:hAnsi="Arial Narrow"/>
                <w:b/>
                <w:sz w:val="20"/>
              </w:rPr>
              <w:t>Amt</w:t>
            </w:r>
            <w:proofErr w:type="spellEnd"/>
          </w:p>
        </w:tc>
        <w:tc>
          <w:tcPr>
            <w:tcW w:w="393" w:type="pct"/>
            <w:tcBorders>
              <w:top w:val="single" w:sz="4" w:space="0" w:color="auto"/>
              <w:left w:val="nil"/>
              <w:bottom w:val="single" w:sz="4" w:space="0" w:color="auto"/>
              <w:right w:val="nil"/>
            </w:tcBorders>
            <w:vAlign w:val="center"/>
          </w:tcPr>
          <w:p w:rsidR="0097202A" w:rsidRPr="00695A45" w:rsidRDefault="0097202A" w:rsidP="00B95403">
            <w:pPr>
              <w:keepNext/>
              <w:keepLines/>
              <w:jc w:val="center"/>
              <w:rPr>
                <w:rFonts w:ascii="Arial Narrow" w:hAnsi="Arial Narrow"/>
                <w:b/>
                <w:sz w:val="20"/>
              </w:rPr>
            </w:pPr>
            <w:r w:rsidRPr="00695A45">
              <w:rPr>
                <w:rFonts w:ascii="Arial Narrow" w:hAnsi="Arial Narrow"/>
                <w:b/>
                <w:sz w:val="20"/>
              </w:rPr>
              <w:t>№.of</w:t>
            </w:r>
          </w:p>
          <w:p w:rsidR="0097202A" w:rsidRPr="00695A45" w:rsidRDefault="0097202A" w:rsidP="00B95403">
            <w:pPr>
              <w:keepNext/>
              <w:keepLines/>
              <w:jc w:val="center"/>
              <w:rPr>
                <w:rFonts w:ascii="Arial Narrow" w:hAnsi="Arial Narrow"/>
                <w:b/>
                <w:sz w:val="20"/>
              </w:rPr>
            </w:pPr>
            <w:proofErr w:type="spellStart"/>
            <w:r w:rsidRPr="00695A45">
              <w:rPr>
                <w:rFonts w:ascii="Arial Narrow" w:hAnsi="Arial Narrow"/>
                <w:b/>
                <w:sz w:val="20"/>
              </w:rPr>
              <w:t>Rpts</w:t>
            </w:r>
            <w:proofErr w:type="spellEnd"/>
          </w:p>
        </w:tc>
        <w:tc>
          <w:tcPr>
            <w:tcW w:w="1416" w:type="pct"/>
            <w:tcBorders>
              <w:top w:val="single" w:sz="4" w:space="0" w:color="auto"/>
              <w:left w:val="nil"/>
              <w:bottom w:val="single" w:sz="4" w:space="0" w:color="auto"/>
              <w:right w:val="nil"/>
            </w:tcBorders>
            <w:vAlign w:val="center"/>
          </w:tcPr>
          <w:p w:rsidR="0097202A" w:rsidRPr="00695A45" w:rsidRDefault="0097202A" w:rsidP="00B95403">
            <w:pPr>
              <w:keepNext/>
              <w:keepLines/>
              <w:jc w:val="center"/>
              <w:rPr>
                <w:rFonts w:ascii="Arial Narrow" w:hAnsi="Arial Narrow"/>
                <w:b/>
                <w:sz w:val="20"/>
              </w:rPr>
            </w:pPr>
            <w:r w:rsidRPr="00695A45">
              <w:rPr>
                <w:rFonts w:ascii="Arial Narrow" w:hAnsi="Arial Narrow"/>
                <w:b/>
                <w:sz w:val="20"/>
              </w:rPr>
              <w:t xml:space="preserve">Dispensed Price for Max </w:t>
            </w:r>
            <w:proofErr w:type="spellStart"/>
            <w:r w:rsidRPr="00695A45">
              <w:rPr>
                <w:rFonts w:ascii="Arial Narrow" w:hAnsi="Arial Narrow"/>
                <w:b/>
                <w:sz w:val="20"/>
              </w:rPr>
              <w:t>Amt</w:t>
            </w:r>
            <w:proofErr w:type="spellEnd"/>
          </w:p>
        </w:tc>
        <w:tc>
          <w:tcPr>
            <w:tcW w:w="1068" w:type="pct"/>
            <w:tcBorders>
              <w:top w:val="single" w:sz="4" w:space="0" w:color="auto"/>
              <w:left w:val="nil"/>
              <w:bottom w:val="single" w:sz="4" w:space="0" w:color="auto"/>
              <w:right w:val="nil"/>
            </w:tcBorders>
            <w:vAlign w:val="center"/>
          </w:tcPr>
          <w:p w:rsidR="0097202A" w:rsidRPr="00695A45" w:rsidRDefault="00695A45" w:rsidP="00B95403">
            <w:pPr>
              <w:keepNext/>
              <w:keepLines/>
              <w:rPr>
                <w:rFonts w:ascii="Arial Narrow" w:hAnsi="Arial Narrow"/>
                <w:b/>
                <w:sz w:val="20"/>
              </w:rPr>
            </w:pPr>
            <w:r>
              <w:rPr>
                <w:rFonts w:ascii="Arial Narrow" w:hAnsi="Arial Narrow"/>
                <w:b/>
                <w:sz w:val="20"/>
              </w:rPr>
              <w:t xml:space="preserve"> </w:t>
            </w:r>
          </w:p>
        </w:tc>
      </w:tr>
      <w:tr w:rsidR="0097202A" w:rsidRPr="00695A45" w:rsidTr="00B95403">
        <w:trPr>
          <w:gridBefore w:val="1"/>
          <w:gridAfter w:val="1"/>
          <w:wBefore w:w="13" w:type="pct"/>
          <w:wAfter w:w="5" w:type="pct"/>
          <w:cantSplit/>
          <w:trHeight w:val="567"/>
        </w:trPr>
        <w:tc>
          <w:tcPr>
            <w:tcW w:w="1554" w:type="pct"/>
            <w:gridSpan w:val="2"/>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551" w:type="pct"/>
            <w:tcBorders>
              <w:top w:val="single" w:sz="4" w:space="0" w:color="auto"/>
              <w:left w:val="nil"/>
              <w:bottom w:val="nil"/>
              <w:right w:val="nil"/>
            </w:tcBorders>
          </w:tcPr>
          <w:p w:rsidR="0097202A" w:rsidRPr="00695A45" w:rsidRDefault="0097202A" w:rsidP="00B95403">
            <w:pPr>
              <w:keepNext/>
              <w:keepLines/>
              <w:jc w:val="center"/>
              <w:rPr>
                <w:rFonts w:ascii="Arial Narrow" w:hAnsi="Arial Narrow"/>
                <w:sz w:val="20"/>
                <w:szCs w:val="20"/>
              </w:rPr>
            </w:pPr>
            <w:r w:rsidRPr="00695A45">
              <w:rPr>
                <w:rFonts w:ascii="Arial Narrow" w:hAnsi="Arial Narrow"/>
                <w:sz w:val="20"/>
                <w:szCs w:val="20"/>
              </w:rPr>
              <w:t>1,200 mg</w:t>
            </w:r>
          </w:p>
        </w:tc>
        <w:tc>
          <w:tcPr>
            <w:tcW w:w="393" w:type="pct"/>
            <w:tcBorders>
              <w:top w:val="single" w:sz="4" w:space="0" w:color="auto"/>
              <w:left w:val="nil"/>
              <w:bottom w:val="nil"/>
              <w:right w:val="nil"/>
            </w:tcBorders>
          </w:tcPr>
          <w:p w:rsidR="0097202A" w:rsidRPr="00695A45" w:rsidRDefault="0097202A" w:rsidP="00B95403">
            <w:pPr>
              <w:keepNext/>
              <w:keepLines/>
              <w:jc w:val="center"/>
              <w:rPr>
                <w:rFonts w:ascii="Arial Narrow" w:hAnsi="Arial Narrow"/>
                <w:sz w:val="20"/>
                <w:szCs w:val="20"/>
              </w:rPr>
            </w:pPr>
            <w:r w:rsidRPr="00695A45">
              <w:rPr>
                <w:rFonts w:ascii="Arial Narrow" w:hAnsi="Arial Narrow"/>
                <w:sz w:val="20"/>
                <w:szCs w:val="20"/>
              </w:rPr>
              <w:t>4</w:t>
            </w:r>
          </w:p>
        </w:tc>
        <w:tc>
          <w:tcPr>
            <w:tcW w:w="1416" w:type="pct"/>
            <w:tcBorders>
              <w:top w:val="single" w:sz="4" w:space="0" w:color="auto"/>
              <w:left w:val="nil"/>
              <w:bottom w:val="nil"/>
              <w:right w:val="nil"/>
            </w:tcBorders>
          </w:tcPr>
          <w:p w:rsidR="0097202A" w:rsidRPr="00695A45" w:rsidRDefault="0097202A" w:rsidP="00B95403">
            <w:pPr>
              <w:pStyle w:val="Tabletext"/>
              <w:keepNext/>
              <w:keepLines/>
              <w:spacing w:after="0"/>
              <w:rPr>
                <w:rFonts w:ascii="Arial Narrow" w:hAnsi="Arial Narrow"/>
                <w:u w:val="single"/>
              </w:rPr>
            </w:pPr>
            <w:r w:rsidRPr="00695A45">
              <w:rPr>
                <w:rFonts w:ascii="Arial Narrow" w:hAnsi="Arial Narrow"/>
                <w:u w:val="single"/>
              </w:rPr>
              <w:t xml:space="preserve">Public </w:t>
            </w:r>
          </w:p>
          <w:p w:rsidR="0097202A" w:rsidRPr="00695A45" w:rsidRDefault="0097202A" w:rsidP="00B95403">
            <w:pPr>
              <w:pStyle w:val="Tabletext"/>
              <w:keepNext/>
              <w:keepLines/>
              <w:spacing w:after="0"/>
              <w:rPr>
                <w:rFonts w:ascii="Arial Narrow" w:hAnsi="Arial Narrow"/>
              </w:rPr>
            </w:pPr>
            <w:r w:rsidRPr="00695A45">
              <w:rPr>
                <w:rFonts w:ascii="Arial Narrow" w:hAnsi="Arial Narrow"/>
              </w:rPr>
              <w:t>Published: $7561.36</w:t>
            </w:r>
          </w:p>
          <w:p w:rsidR="0097202A" w:rsidRPr="00695A45" w:rsidRDefault="0097202A" w:rsidP="00B95403">
            <w:pPr>
              <w:pStyle w:val="Tabletext"/>
              <w:keepNext/>
              <w:keepLines/>
              <w:spacing w:after="0"/>
              <w:rPr>
                <w:rFonts w:ascii="Arial Narrow" w:hAnsi="Arial Narrow"/>
              </w:rPr>
            </w:pPr>
            <w:r w:rsidRPr="00695A45">
              <w:rPr>
                <w:rFonts w:ascii="Arial Narrow" w:hAnsi="Arial Narrow"/>
              </w:rPr>
              <w:t>Effective: $</w:t>
            </w:r>
            <w:r w:rsidR="00B905EC">
              <w:rPr>
                <w:rFonts w:ascii="Arial Narrow" w:hAnsi="Arial Narrow"/>
                <w:noProof/>
                <w:color w:val="000000"/>
                <w:highlight w:val="black"/>
              </w:rPr>
              <w:t>''''''''''''''''''''</w:t>
            </w:r>
          </w:p>
          <w:p w:rsidR="0097202A" w:rsidRPr="00695A45" w:rsidRDefault="0097202A" w:rsidP="00B95403">
            <w:pPr>
              <w:pStyle w:val="Tabletext"/>
              <w:keepNext/>
              <w:keepLines/>
              <w:spacing w:after="0"/>
              <w:rPr>
                <w:rFonts w:ascii="Arial Narrow" w:hAnsi="Arial Narrow"/>
                <w:u w:val="single"/>
              </w:rPr>
            </w:pPr>
            <w:r w:rsidRPr="00695A45">
              <w:rPr>
                <w:rFonts w:ascii="Arial Narrow" w:hAnsi="Arial Narrow"/>
                <w:u w:val="single"/>
              </w:rPr>
              <w:t>Private</w:t>
            </w:r>
          </w:p>
          <w:p w:rsidR="0097202A" w:rsidRPr="00695A45" w:rsidRDefault="0097202A" w:rsidP="00B95403">
            <w:pPr>
              <w:pStyle w:val="TableText1"/>
              <w:keepNext/>
              <w:keepLines/>
              <w:spacing w:before="0" w:after="0"/>
              <w:rPr>
                <w:rFonts w:ascii="Arial Narrow" w:hAnsi="Arial Narrow" w:cs="Times New Roman"/>
                <w:bCs w:val="0"/>
              </w:rPr>
            </w:pPr>
            <w:r w:rsidRPr="00695A45">
              <w:rPr>
                <w:rFonts w:ascii="Arial Narrow" w:hAnsi="Arial Narrow" w:cs="Times New Roman"/>
                <w:bCs w:val="0"/>
              </w:rPr>
              <w:t>Published: $7705.79</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Effective: $</w:t>
            </w:r>
            <w:r w:rsidR="00B905EC">
              <w:rPr>
                <w:rFonts w:ascii="Arial Narrow" w:hAnsi="Arial Narrow"/>
                <w:noProof/>
                <w:color w:val="000000"/>
                <w:sz w:val="20"/>
                <w:szCs w:val="20"/>
                <w:highlight w:val="black"/>
              </w:rPr>
              <w:t>''''''''''''''''''</w:t>
            </w:r>
          </w:p>
        </w:tc>
        <w:tc>
          <w:tcPr>
            <w:tcW w:w="1068" w:type="pct"/>
            <w:tcBorders>
              <w:top w:val="single" w:sz="4" w:space="0" w:color="auto"/>
              <w:left w:val="nil"/>
              <w:bottom w:val="nil"/>
              <w:right w:val="nil"/>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Category /Program</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Section 100 – Efficient funding of Chemotherapy</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Private Hospital/Private Clinic Authority Required</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 xml:space="preserve">Public Hospital Authority Required </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Prescriber type:</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Dental  </w:t>
            </w:r>
            <w:r w:rsidRPr="00695A45">
              <w:rPr>
                <w:rFonts w:ascii="Arial Narrow" w:hAnsi="Arial Narrow"/>
                <w:sz w:val="20"/>
                <w:szCs w:val="20"/>
              </w:rPr>
              <w:fldChar w:fldCharType="begin">
                <w:ffData>
                  <w:name w:val=""/>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Medical Practitioners  </w:t>
            </w: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Nurse practitioners  </w:t>
            </w: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Optometrists</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Midwives</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Episodicity:</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trike/>
                <w:sz w:val="20"/>
                <w:szCs w:val="20"/>
              </w:rPr>
            </w:pPr>
            <w:r w:rsidRPr="00695A45">
              <w:rPr>
                <w:rFonts w:ascii="Arial Narrow" w:hAnsi="Arial Narrow"/>
                <w:strike/>
                <w:sz w:val="20"/>
                <w:szCs w:val="20"/>
              </w:rPr>
              <w:t>Previously untreated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Severity:</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Condition:</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Small cell carcinoma of lung</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PBS Indication:</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trike/>
                <w:sz w:val="20"/>
                <w:szCs w:val="20"/>
              </w:rPr>
              <w:t>Previously untreated</w:t>
            </w:r>
            <w:r w:rsidR="009A2075" w:rsidRPr="00695A45">
              <w:rPr>
                <w:rFonts w:ascii="Arial Narrow" w:hAnsi="Arial Narrow"/>
                <w:sz w:val="20"/>
                <w:szCs w:val="20"/>
              </w:rPr>
              <w:t xml:space="preserve"> E</w:t>
            </w:r>
            <w:r w:rsidRPr="00695A45">
              <w:rPr>
                <w:rFonts w:ascii="Arial Narrow" w:hAnsi="Arial Narrow"/>
                <w:sz w:val="20"/>
                <w:szCs w:val="20"/>
              </w:rPr>
              <w:t>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Treatment phase:</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Continuing treatment</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Restriction:</w:t>
            </w:r>
          </w:p>
          <w:p w:rsidR="0097202A" w:rsidRPr="00695A45" w:rsidRDefault="0097202A" w:rsidP="00B95403">
            <w:pPr>
              <w:keepNext/>
              <w:keepLines/>
              <w:rPr>
                <w:rFonts w:ascii="Arial Narrow" w:hAnsi="Arial Narrow"/>
                <w:sz w:val="20"/>
                <w:szCs w:val="20"/>
              </w:rPr>
            </w:pP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z w:val="20"/>
                <w:szCs w:val="20"/>
              </w:rPr>
            </w:pPr>
            <w:r w:rsidRPr="00695A45">
              <w:rPr>
                <w:rFonts w:ascii="Arial Narrow" w:hAnsi="Arial Narrow"/>
                <w:b/>
                <w:sz w:val="20"/>
                <w:szCs w:val="20"/>
              </w:rPr>
              <w:t>Clinical criteria:</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The treatment must be as monotherapy</w:t>
            </w:r>
            <w:r w:rsidR="00AF5978" w:rsidRPr="00695A45">
              <w:rPr>
                <w:rFonts w:ascii="Arial Narrow" w:hAnsi="Arial Narrow"/>
                <w:sz w:val="20"/>
                <w:szCs w:val="20"/>
              </w:rPr>
              <w:t xml:space="preserve"> [7910]</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AND</w:t>
            </w:r>
          </w:p>
          <w:p w:rsidR="0097202A" w:rsidRPr="00695A45" w:rsidRDefault="0097202A" w:rsidP="00B95403">
            <w:pPr>
              <w:keepNext/>
              <w:keepLines/>
              <w:rPr>
                <w:rFonts w:ascii="Arial Narrow" w:hAnsi="Arial Narrow"/>
                <w:strike/>
                <w:sz w:val="20"/>
                <w:szCs w:val="20"/>
              </w:rPr>
            </w:pPr>
            <w:r w:rsidRPr="00695A45">
              <w:rPr>
                <w:rFonts w:ascii="Arial Narrow" w:hAnsi="Arial Narrow"/>
                <w:strike/>
                <w:sz w:val="20"/>
                <w:szCs w:val="20"/>
              </w:rPr>
              <w:t>Patient must have previously been issued with an authority prescription for this drug for this condition</w:t>
            </w:r>
            <w:r w:rsidR="00AF5978" w:rsidRPr="00695A45">
              <w:rPr>
                <w:rFonts w:ascii="Arial Narrow" w:hAnsi="Arial Narrow"/>
                <w:strike/>
                <w:sz w:val="20"/>
                <w:szCs w:val="20"/>
              </w:rPr>
              <w:t xml:space="preserve"> [10972; 19469; 18901; 23815 draft]</w:t>
            </w:r>
            <w:r w:rsidRPr="00695A45">
              <w:rPr>
                <w:rFonts w:ascii="Arial Narrow" w:hAnsi="Arial Narrow"/>
                <w:strike/>
                <w:sz w:val="20"/>
                <w:szCs w:val="20"/>
              </w:rPr>
              <w:t>,</w:t>
            </w:r>
          </w:p>
          <w:p w:rsidR="00AF5978" w:rsidRPr="00695A45" w:rsidRDefault="00AF5978" w:rsidP="00B95403">
            <w:pPr>
              <w:keepNext/>
              <w:keepLines/>
              <w:rPr>
                <w:rFonts w:ascii="Arial Narrow" w:hAnsi="Arial Narrow"/>
                <w:i/>
                <w:sz w:val="20"/>
                <w:szCs w:val="20"/>
              </w:rPr>
            </w:pPr>
            <w:r w:rsidRPr="00695A45">
              <w:rPr>
                <w:rFonts w:ascii="Arial Narrow" w:hAnsi="Arial Narrow"/>
                <w:i/>
                <w:sz w:val="20"/>
                <w:szCs w:val="20"/>
              </w:rPr>
              <w:t>Patient must have previously received PBS-subsidised treatment with this drug for this condition [20717]</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AND</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Patient must not have developed disease progression while being treated with this drug for this condition</w:t>
            </w:r>
            <w:r w:rsidR="00AF5978" w:rsidRPr="00695A45">
              <w:rPr>
                <w:rFonts w:ascii="Arial Narrow" w:hAnsi="Arial Narrow"/>
                <w:sz w:val="20"/>
                <w:szCs w:val="20"/>
              </w:rPr>
              <w:t xml:space="preserve"> [23679]</w:t>
            </w:r>
          </w:p>
        </w:tc>
      </w:tr>
      <w:tr w:rsidR="0097202A" w:rsidRPr="00695A45" w:rsidTr="00B95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b/>
                <w:strike/>
                <w:sz w:val="20"/>
                <w:szCs w:val="20"/>
              </w:rPr>
            </w:pPr>
            <w:r w:rsidRPr="00695A45">
              <w:rPr>
                <w:rFonts w:ascii="Arial Narrow" w:hAnsi="Arial Narrow"/>
                <w:b/>
                <w:sz w:val="20"/>
                <w:szCs w:val="20"/>
              </w:rPr>
              <w:t>Administrative advice</w:t>
            </w:r>
          </w:p>
        </w:tc>
        <w:tc>
          <w:tcPr>
            <w:tcW w:w="3509" w:type="pct"/>
            <w:gridSpan w:val="6"/>
            <w:tcBorders>
              <w:top w:val="single" w:sz="4" w:space="0" w:color="auto"/>
              <w:left w:val="single" w:sz="4" w:space="0" w:color="auto"/>
              <w:bottom w:val="single" w:sz="4" w:space="0" w:color="auto"/>
              <w:right w:val="single" w:sz="4" w:space="0" w:color="auto"/>
            </w:tcBorders>
          </w:tcPr>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w:t>
            </w:r>
            <w:r w:rsidR="00AF5978" w:rsidRPr="00695A45">
              <w:rPr>
                <w:rFonts w:ascii="Arial Narrow" w:hAnsi="Arial Narrow"/>
                <w:sz w:val="20"/>
                <w:szCs w:val="20"/>
              </w:rPr>
              <w:t xml:space="preserve"> [7606]</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No increase in the maximum number of repeats may be authorised</w:t>
            </w:r>
            <w:r w:rsidR="00AF5978" w:rsidRPr="00695A45">
              <w:rPr>
                <w:rFonts w:ascii="Arial Narrow" w:hAnsi="Arial Narrow"/>
                <w:sz w:val="20"/>
                <w:szCs w:val="20"/>
              </w:rPr>
              <w:t xml:space="preserve"> [7607]</w:t>
            </w:r>
            <w:r w:rsidRPr="00695A45">
              <w:rPr>
                <w:rFonts w:ascii="Arial Narrow" w:hAnsi="Arial Narrow"/>
                <w:sz w:val="20"/>
                <w:szCs w:val="20"/>
              </w:rPr>
              <w:t>.</w:t>
            </w:r>
          </w:p>
          <w:p w:rsidR="0097202A" w:rsidRPr="00695A45" w:rsidRDefault="0097202A" w:rsidP="00B95403">
            <w:pPr>
              <w:keepNext/>
              <w:keepLines/>
              <w:rPr>
                <w:rFonts w:ascii="Arial Narrow" w:hAnsi="Arial Narrow"/>
                <w:sz w:val="20"/>
                <w:szCs w:val="20"/>
              </w:rPr>
            </w:pPr>
            <w:r w:rsidRPr="00695A45">
              <w:rPr>
                <w:rFonts w:ascii="Arial Narrow" w:hAnsi="Arial Narrow"/>
                <w:sz w:val="20"/>
                <w:szCs w:val="20"/>
              </w:rPr>
              <w:t>Special Pricing Arrangements apply</w:t>
            </w:r>
            <w:r w:rsidR="00AF5978" w:rsidRPr="00695A45">
              <w:rPr>
                <w:rFonts w:ascii="Arial Narrow" w:hAnsi="Arial Narrow"/>
                <w:sz w:val="20"/>
                <w:szCs w:val="20"/>
              </w:rPr>
              <w:t xml:space="preserve"> [7608]</w:t>
            </w:r>
            <w:r w:rsidRPr="00695A45">
              <w:rPr>
                <w:rFonts w:ascii="Arial Narrow" w:hAnsi="Arial Narrow"/>
                <w:sz w:val="20"/>
                <w:szCs w:val="20"/>
              </w:rPr>
              <w:t>.</w:t>
            </w:r>
          </w:p>
        </w:tc>
      </w:tr>
    </w:tbl>
    <w:p w:rsidR="0097202A" w:rsidRPr="00695A45" w:rsidRDefault="0097202A" w:rsidP="0097202A"/>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7"/>
        <w:gridCol w:w="126"/>
        <w:gridCol w:w="997"/>
        <w:gridCol w:w="710"/>
        <w:gridCol w:w="2562"/>
        <w:gridCol w:w="1933"/>
      </w:tblGrid>
      <w:tr w:rsidR="006B3472" w:rsidRPr="00695A45" w:rsidTr="00752BBD">
        <w:trPr>
          <w:cantSplit/>
          <w:trHeight w:val="463"/>
        </w:trPr>
        <w:tc>
          <w:tcPr>
            <w:tcW w:w="1560" w:type="pct"/>
            <w:gridSpan w:val="2"/>
            <w:tcBorders>
              <w:top w:val="single" w:sz="4" w:space="0" w:color="auto"/>
              <w:left w:val="nil"/>
              <w:bottom w:val="single" w:sz="4" w:space="0" w:color="auto"/>
              <w:right w:val="nil"/>
            </w:tcBorders>
            <w:vAlign w:val="center"/>
          </w:tcPr>
          <w:p w:rsidR="006B3472" w:rsidRPr="00695A45" w:rsidRDefault="006B3472" w:rsidP="006B3472">
            <w:pPr>
              <w:keepNext/>
              <w:keepLines/>
              <w:rPr>
                <w:rFonts w:ascii="Arial Narrow" w:hAnsi="Arial Narrow"/>
                <w:b/>
                <w:sz w:val="20"/>
              </w:rPr>
            </w:pPr>
            <w:r w:rsidRPr="00695A45">
              <w:rPr>
                <w:rFonts w:ascii="Arial Narrow" w:hAnsi="Arial Narrow"/>
                <w:b/>
                <w:sz w:val="20"/>
              </w:rPr>
              <w:lastRenderedPageBreak/>
              <w:t>Name, Restriction,</w:t>
            </w:r>
          </w:p>
          <w:p w:rsidR="006B3472" w:rsidRPr="00695A45" w:rsidRDefault="006B3472" w:rsidP="006B3472">
            <w:pPr>
              <w:keepNext/>
              <w:keepLines/>
              <w:rPr>
                <w:rFonts w:ascii="Arial Narrow" w:hAnsi="Arial Narrow"/>
                <w:b/>
                <w:sz w:val="20"/>
              </w:rPr>
            </w:pPr>
            <w:r w:rsidRPr="00695A45">
              <w:rPr>
                <w:rFonts w:ascii="Arial Narrow" w:hAnsi="Arial Narrow"/>
                <w:b/>
                <w:sz w:val="20"/>
              </w:rPr>
              <w:t>Manner of administration and form</w:t>
            </w:r>
          </w:p>
        </w:tc>
        <w:tc>
          <w:tcPr>
            <w:tcW w:w="553" w:type="pct"/>
            <w:tcBorders>
              <w:top w:val="single" w:sz="4" w:space="0" w:color="auto"/>
              <w:left w:val="nil"/>
              <w:bottom w:val="single" w:sz="4" w:space="0" w:color="auto"/>
              <w:right w:val="nil"/>
            </w:tcBorders>
            <w:vAlign w:val="center"/>
          </w:tcPr>
          <w:p w:rsidR="006B3472" w:rsidRPr="00695A45" w:rsidRDefault="006B3472" w:rsidP="006B3472">
            <w:pPr>
              <w:keepNext/>
              <w:keepLines/>
              <w:jc w:val="center"/>
              <w:rPr>
                <w:rFonts w:ascii="Arial Narrow" w:hAnsi="Arial Narrow"/>
                <w:b/>
                <w:sz w:val="20"/>
              </w:rPr>
            </w:pPr>
            <w:r w:rsidRPr="00695A45">
              <w:rPr>
                <w:rFonts w:ascii="Arial Narrow" w:hAnsi="Arial Narrow"/>
                <w:b/>
                <w:sz w:val="20"/>
              </w:rPr>
              <w:t xml:space="preserve">Max </w:t>
            </w:r>
            <w:proofErr w:type="spellStart"/>
            <w:r w:rsidRPr="00695A45">
              <w:rPr>
                <w:rFonts w:ascii="Arial Narrow" w:hAnsi="Arial Narrow"/>
                <w:b/>
                <w:sz w:val="20"/>
              </w:rPr>
              <w:t>Amt</w:t>
            </w:r>
            <w:proofErr w:type="spellEnd"/>
          </w:p>
        </w:tc>
        <w:tc>
          <w:tcPr>
            <w:tcW w:w="394" w:type="pct"/>
            <w:tcBorders>
              <w:top w:val="single" w:sz="4" w:space="0" w:color="auto"/>
              <w:left w:val="nil"/>
              <w:bottom w:val="single" w:sz="4" w:space="0" w:color="auto"/>
              <w:right w:val="nil"/>
            </w:tcBorders>
            <w:vAlign w:val="center"/>
          </w:tcPr>
          <w:p w:rsidR="006B3472" w:rsidRPr="00695A45" w:rsidRDefault="006B3472" w:rsidP="006B3472">
            <w:pPr>
              <w:keepNext/>
              <w:keepLines/>
              <w:jc w:val="center"/>
              <w:rPr>
                <w:rFonts w:ascii="Arial Narrow" w:hAnsi="Arial Narrow"/>
                <w:b/>
                <w:sz w:val="20"/>
              </w:rPr>
            </w:pPr>
            <w:r w:rsidRPr="00695A45">
              <w:rPr>
                <w:rFonts w:ascii="Arial Narrow" w:hAnsi="Arial Narrow"/>
                <w:b/>
                <w:sz w:val="20"/>
              </w:rPr>
              <w:t>№.of</w:t>
            </w:r>
          </w:p>
          <w:p w:rsidR="006B3472" w:rsidRPr="00695A45" w:rsidRDefault="006B3472" w:rsidP="006B3472">
            <w:pPr>
              <w:keepNext/>
              <w:keepLines/>
              <w:jc w:val="center"/>
              <w:rPr>
                <w:rFonts w:ascii="Arial Narrow" w:hAnsi="Arial Narrow"/>
                <w:b/>
                <w:sz w:val="20"/>
              </w:rPr>
            </w:pPr>
            <w:proofErr w:type="spellStart"/>
            <w:r w:rsidRPr="00695A45">
              <w:rPr>
                <w:rFonts w:ascii="Arial Narrow" w:hAnsi="Arial Narrow"/>
                <w:b/>
                <w:sz w:val="20"/>
              </w:rPr>
              <w:t>Rpts</w:t>
            </w:r>
            <w:proofErr w:type="spellEnd"/>
          </w:p>
        </w:tc>
        <w:tc>
          <w:tcPr>
            <w:tcW w:w="1421" w:type="pct"/>
            <w:tcBorders>
              <w:top w:val="single" w:sz="4" w:space="0" w:color="auto"/>
              <w:left w:val="nil"/>
              <w:bottom w:val="single" w:sz="4" w:space="0" w:color="auto"/>
              <w:right w:val="nil"/>
            </w:tcBorders>
            <w:vAlign w:val="center"/>
          </w:tcPr>
          <w:p w:rsidR="006B3472" w:rsidRPr="00695A45" w:rsidRDefault="006B3472" w:rsidP="006B3472">
            <w:pPr>
              <w:keepNext/>
              <w:keepLines/>
              <w:jc w:val="center"/>
              <w:rPr>
                <w:rFonts w:ascii="Arial Narrow" w:hAnsi="Arial Narrow"/>
                <w:b/>
                <w:sz w:val="20"/>
              </w:rPr>
            </w:pPr>
            <w:r w:rsidRPr="00695A45">
              <w:rPr>
                <w:rFonts w:ascii="Arial Narrow" w:hAnsi="Arial Narrow"/>
                <w:b/>
                <w:sz w:val="20"/>
              </w:rPr>
              <w:t xml:space="preserve">Dispensed Price for Max </w:t>
            </w:r>
            <w:proofErr w:type="spellStart"/>
            <w:r w:rsidRPr="00695A45">
              <w:rPr>
                <w:rFonts w:ascii="Arial Narrow" w:hAnsi="Arial Narrow"/>
                <w:b/>
                <w:sz w:val="20"/>
              </w:rPr>
              <w:t>Amt</w:t>
            </w:r>
            <w:proofErr w:type="spellEnd"/>
          </w:p>
        </w:tc>
        <w:tc>
          <w:tcPr>
            <w:tcW w:w="1072" w:type="pct"/>
            <w:tcBorders>
              <w:top w:val="single" w:sz="4" w:space="0" w:color="auto"/>
              <w:left w:val="nil"/>
              <w:bottom w:val="single" w:sz="4" w:space="0" w:color="auto"/>
              <w:right w:val="nil"/>
            </w:tcBorders>
            <w:vAlign w:val="center"/>
          </w:tcPr>
          <w:p w:rsidR="006B3472" w:rsidRPr="00695A45" w:rsidRDefault="006B3472" w:rsidP="006B3472">
            <w:pPr>
              <w:keepNext/>
              <w:keepLines/>
              <w:rPr>
                <w:rFonts w:ascii="Arial Narrow" w:hAnsi="Arial Narrow"/>
                <w:b/>
                <w:sz w:val="20"/>
              </w:rPr>
            </w:pPr>
            <w:r w:rsidRPr="00695A45">
              <w:rPr>
                <w:rFonts w:ascii="Arial Narrow" w:hAnsi="Arial Narrow"/>
                <w:b/>
                <w:sz w:val="20"/>
              </w:rPr>
              <w:t>Proprietary Name and Manufacturer</w:t>
            </w:r>
          </w:p>
        </w:tc>
      </w:tr>
      <w:tr w:rsidR="006B3472" w:rsidRPr="00695A45" w:rsidTr="00752BBD">
        <w:trPr>
          <w:cantSplit/>
          <w:trHeight w:val="567"/>
        </w:trPr>
        <w:tc>
          <w:tcPr>
            <w:tcW w:w="1560" w:type="pct"/>
            <w:gridSpan w:val="2"/>
            <w:tcBorders>
              <w:top w:val="single" w:sz="4" w:space="0" w:color="auto"/>
              <w:left w:val="nil"/>
              <w:bottom w:val="nil"/>
              <w:right w:val="nil"/>
            </w:tcBorders>
          </w:tcPr>
          <w:p w:rsidR="006B3472" w:rsidRPr="00695A45" w:rsidRDefault="006B3472" w:rsidP="006B3472">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553" w:type="pct"/>
            <w:tcBorders>
              <w:top w:val="single" w:sz="4" w:space="0" w:color="auto"/>
              <w:left w:val="nil"/>
              <w:bottom w:val="nil"/>
              <w:right w:val="nil"/>
            </w:tcBorders>
          </w:tcPr>
          <w:p w:rsidR="006B3472" w:rsidRPr="00695A45" w:rsidRDefault="006B3472" w:rsidP="006B3472">
            <w:pPr>
              <w:keepNext/>
              <w:keepLines/>
              <w:jc w:val="center"/>
              <w:rPr>
                <w:rFonts w:ascii="Arial Narrow" w:hAnsi="Arial Narrow"/>
                <w:sz w:val="20"/>
                <w:szCs w:val="20"/>
              </w:rPr>
            </w:pPr>
            <w:r w:rsidRPr="00695A45">
              <w:rPr>
                <w:rFonts w:ascii="Arial Narrow" w:hAnsi="Arial Narrow"/>
                <w:sz w:val="20"/>
                <w:szCs w:val="20"/>
              </w:rPr>
              <w:t>1,200 mg</w:t>
            </w:r>
          </w:p>
        </w:tc>
        <w:tc>
          <w:tcPr>
            <w:tcW w:w="394" w:type="pct"/>
            <w:tcBorders>
              <w:top w:val="single" w:sz="4" w:space="0" w:color="auto"/>
              <w:left w:val="nil"/>
              <w:bottom w:val="nil"/>
              <w:right w:val="nil"/>
            </w:tcBorders>
          </w:tcPr>
          <w:p w:rsidR="006B3472" w:rsidRPr="00695A45" w:rsidRDefault="006B3472" w:rsidP="006B3472">
            <w:pPr>
              <w:keepNext/>
              <w:keepLines/>
              <w:jc w:val="center"/>
              <w:rPr>
                <w:rFonts w:ascii="Arial Narrow" w:hAnsi="Arial Narrow"/>
                <w:sz w:val="20"/>
                <w:szCs w:val="20"/>
              </w:rPr>
            </w:pPr>
            <w:r w:rsidRPr="00695A45">
              <w:rPr>
                <w:rFonts w:ascii="Arial Narrow" w:hAnsi="Arial Narrow"/>
                <w:sz w:val="20"/>
                <w:szCs w:val="20"/>
              </w:rPr>
              <w:t>4</w:t>
            </w:r>
          </w:p>
        </w:tc>
        <w:tc>
          <w:tcPr>
            <w:tcW w:w="1421" w:type="pct"/>
            <w:tcBorders>
              <w:top w:val="single" w:sz="4" w:space="0" w:color="auto"/>
              <w:left w:val="nil"/>
              <w:bottom w:val="nil"/>
              <w:right w:val="nil"/>
            </w:tcBorders>
          </w:tcPr>
          <w:p w:rsidR="006B3472" w:rsidRPr="00695A45" w:rsidRDefault="006B3472" w:rsidP="006B3472">
            <w:pPr>
              <w:pStyle w:val="Tabletext"/>
              <w:keepNext/>
              <w:keepLines/>
              <w:spacing w:after="0"/>
              <w:rPr>
                <w:rFonts w:ascii="Arial Narrow" w:hAnsi="Arial Narrow"/>
                <w:u w:val="single"/>
              </w:rPr>
            </w:pPr>
            <w:r w:rsidRPr="00695A45">
              <w:rPr>
                <w:rFonts w:ascii="Arial Narrow" w:hAnsi="Arial Narrow"/>
                <w:u w:val="single"/>
              </w:rPr>
              <w:t xml:space="preserve">Public </w:t>
            </w:r>
          </w:p>
          <w:p w:rsidR="006B3472" w:rsidRPr="00695A45" w:rsidRDefault="006B3472" w:rsidP="006B3472">
            <w:pPr>
              <w:pStyle w:val="Tabletext"/>
              <w:keepNext/>
              <w:keepLines/>
              <w:spacing w:after="0"/>
              <w:rPr>
                <w:rFonts w:ascii="Arial Narrow" w:hAnsi="Arial Narrow"/>
              </w:rPr>
            </w:pPr>
            <w:r w:rsidRPr="00695A45">
              <w:rPr>
                <w:rFonts w:ascii="Arial Narrow" w:hAnsi="Arial Narrow"/>
              </w:rPr>
              <w:t>Published: $7561.36</w:t>
            </w:r>
          </w:p>
          <w:p w:rsidR="006B3472" w:rsidRPr="00695A45" w:rsidRDefault="006B3472" w:rsidP="006B3472">
            <w:pPr>
              <w:pStyle w:val="Tabletext"/>
              <w:keepNext/>
              <w:keepLines/>
              <w:spacing w:after="0"/>
              <w:rPr>
                <w:rFonts w:ascii="Arial Narrow" w:hAnsi="Arial Narrow"/>
              </w:rPr>
            </w:pPr>
            <w:r w:rsidRPr="00695A45">
              <w:rPr>
                <w:rFonts w:ascii="Arial Narrow" w:hAnsi="Arial Narrow"/>
              </w:rPr>
              <w:t>Effective: $</w:t>
            </w:r>
            <w:r w:rsidR="00B905EC">
              <w:rPr>
                <w:rFonts w:ascii="Arial Narrow" w:hAnsi="Arial Narrow"/>
                <w:noProof/>
                <w:color w:val="000000"/>
                <w:highlight w:val="black"/>
              </w:rPr>
              <w:t>''''''''''''''''''''</w:t>
            </w:r>
          </w:p>
          <w:p w:rsidR="006B3472" w:rsidRPr="00695A45" w:rsidRDefault="006B3472" w:rsidP="006B3472">
            <w:pPr>
              <w:pStyle w:val="Tabletext"/>
              <w:keepNext/>
              <w:keepLines/>
              <w:spacing w:after="0"/>
              <w:rPr>
                <w:rFonts w:ascii="Arial Narrow" w:hAnsi="Arial Narrow"/>
                <w:u w:val="single"/>
              </w:rPr>
            </w:pPr>
            <w:r w:rsidRPr="00695A45">
              <w:rPr>
                <w:rFonts w:ascii="Arial Narrow" w:hAnsi="Arial Narrow"/>
                <w:u w:val="single"/>
              </w:rPr>
              <w:t>Private</w:t>
            </w:r>
          </w:p>
          <w:p w:rsidR="006B3472" w:rsidRPr="00695A45" w:rsidRDefault="006B3472" w:rsidP="006B3472">
            <w:pPr>
              <w:pStyle w:val="TableText1"/>
              <w:keepNext/>
              <w:keepLines/>
              <w:spacing w:before="0" w:after="0"/>
              <w:rPr>
                <w:rFonts w:ascii="Arial Narrow" w:hAnsi="Arial Narrow" w:cs="Times New Roman"/>
                <w:bCs w:val="0"/>
              </w:rPr>
            </w:pPr>
            <w:r w:rsidRPr="00695A45">
              <w:rPr>
                <w:rFonts w:ascii="Arial Narrow" w:hAnsi="Arial Narrow" w:cs="Times New Roman"/>
                <w:bCs w:val="0"/>
              </w:rPr>
              <w:t>Published: $7705.79</w:t>
            </w:r>
          </w:p>
          <w:p w:rsidR="006B3472" w:rsidRPr="00695A45" w:rsidRDefault="006B3472" w:rsidP="006B3472">
            <w:pPr>
              <w:keepNext/>
              <w:keepLines/>
              <w:rPr>
                <w:rFonts w:ascii="Arial Narrow" w:hAnsi="Arial Narrow"/>
                <w:sz w:val="20"/>
                <w:szCs w:val="20"/>
              </w:rPr>
            </w:pPr>
            <w:r w:rsidRPr="00695A45">
              <w:rPr>
                <w:rFonts w:ascii="Arial Narrow" w:hAnsi="Arial Narrow"/>
                <w:sz w:val="20"/>
                <w:szCs w:val="20"/>
              </w:rPr>
              <w:t>Effective: $</w:t>
            </w:r>
            <w:r w:rsidR="00B905EC">
              <w:rPr>
                <w:rFonts w:ascii="Arial Narrow" w:hAnsi="Arial Narrow"/>
                <w:noProof/>
                <w:color w:val="000000"/>
                <w:sz w:val="20"/>
                <w:szCs w:val="20"/>
                <w:highlight w:val="black"/>
              </w:rPr>
              <w:t>'''''''''''''''''''''</w:t>
            </w:r>
          </w:p>
        </w:tc>
        <w:tc>
          <w:tcPr>
            <w:tcW w:w="1072" w:type="pct"/>
            <w:tcBorders>
              <w:top w:val="single" w:sz="4" w:space="0" w:color="auto"/>
              <w:left w:val="nil"/>
              <w:bottom w:val="nil"/>
              <w:right w:val="nil"/>
            </w:tcBorders>
          </w:tcPr>
          <w:p w:rsidR="006B3472" w:rsidRPr="00695A45" w:rsidRDefault="006B3472" w:rsidP="006B3472">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Category/Program:</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Section 100 – Efficient Funding of Chemotherapy</w:t>
            </w:r>
            <w:r w:rsidRPr="00695A45">
              <w:rPr>
                <w:rFonts w:ascii="Arial Narrow" w:hAnsi="Arial Narrow"/>
                <w:sz w:val="20"/>
                <w:szCs w:val="20"/>
              </w:rPr>
              <w:br/>
              <w:t>Private Hospital/Private Clinic Authority Required</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 xml:space="preserve">Public Hospital Authority Required </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Episodicity:</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trike/>
                <w:sz w:val="20"/>
                <w:szCs w:val="20"/>
              </w:rPr>
            </w:pPr>
            <w:r w:rsidRPr="00695A45">
              <w:rPr>
                <w:rFonts w:ascii="Arial Narrow" w:hAnsi="Arial Narrow"/>
                <w:strike/>
                <w:sz w:val="20"/>
                <w:szCs w:val="20"/>
              </w:rPr>
              <w:t>Previously untreated</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Severity:</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Condition:</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Small cell carcinoma of lung</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PBS Indication:</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trike/>
                <w:sz w:val="20"/>
                <w:szCs w:val="20"/>
              </w:rPr>
              <w:t>Previously untreated</w:t>
            </w:r>
            <w:r w:rsidRPr="00695A45">
              <w:rPr>
                <w:rFonts w:ascii="Arial Narrow" w:hAnsi="Arial Narrow"/>
                <w:sz w:val="20"/>
                <w:szCs w:val="20"/>
              </w:rPr>
              <w:t xml:space="preserve"> </w:t>
            </w:r>
            <w:r w:rsidR="00B95403" w:rsidRPr="00695A45">
              <w:rPr>
                <w:rFonts w:ascii="Arial Narrow" w:hAnsi="Arial Narrow"/>
                <w:sz w:val="20"/>
                <w:szCs w:val="20"/>
              </w:rPr>
              <w:t>E</w:t>
            </w:r>
            <w:r w:rsidRPr="00695A45">
              <w:rPr>
                <w:rFonts w:ascii="Arial Narrow" w:hAnsi="Arial Narrow"/>
                <w:sz w:val="20"/>
                <w:szCs w:val="20"/>
              </w:rPr>
              <w:t>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Treatment phase:</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Grandfathering treatment</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z w:val="20"/>
                <w:szCs w:val="20"/>
              </w:rPr>
            </w:pPr>
            <w:r w:rsidRPr="00695A45">
              <w:rPr>
                <w:rFonts w:ascii="Arial Narrow" w:hAnsi="Arial Narrow"/>
                <w:b/>
                <w:sz w:val="20"/>
                <w:szCs w:val="20"/>
              </w:rPr>
              <w:t>Restriction:</w:t>
            </w:r>
          </w:p>
          <w:p w:rsidR="0097202A" w:rsidRPr="00695A45" w:rsidRDefault="0097202A" w:rsidP="006B3472">
            <w:pPr>
              <w:keepNext/>
              <w:keepLines/>
              <w:rPr>
                <w:rFonts w:ascii="Arial Narrow" w:hAnsi="Arial Narrow"/>
                <w:sz w:val="20"/>
                <w:szCs w:val="20"/>
              </w:rPr>
            </w:pP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b/>
                <w:sz w:val="20"/>
                <w:szCs w:val="20"/>
              </w:rPr>
              <w:t>Clinical criteria:</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Patient must have received treatment with this drug for this condition prior to the [PBS listing date]</w:t>
            </w:r>
            <w:r w:rsidR="00B95403" w:rsidRPr="00695A45">
              <w:rPr>
                <w:rFonts w:ascii="Arial Narrow" w:hAnsi="Arial Narrow"/>
                <w:sz w:val="20"/>
                <w:szCs w:val="20"/>
              </w:rPr>
              <w:t xml:space="preserve"> [new concept]</w:t>
            </w:r>
            <w:r w:rsidRPr="00695A45">
              <w:rPr>
                <w:rFonts w:ascii="Arial Narrow" w:hAnsi="Arial Narrow"/>
                <w:sz w:val="20"/>
                <w:szCs w:val="20"/>
              </w:rPr>
              <w:t xml:space="preserve">, </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AND</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Patient must not have developed disease progression while being treated with this drug for this condition</w:t>
            </w:r>
            <w:r w:rsidR="00B95403" w:rsidRPr="00695A45">
              <w:rPr>
                <w:rFonts w:ascii="Arial Narrow" w:hAnsi="Arial Narrow"/>
                <w:sz w:val="20"/>
                <w:szCs w:val="20"/>
              </w:rPr>
              <w:t xml:space="preserve"> [23679],</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AND</w:t>
            </w:r>
          </w:p>
          <w:p w:rsidR="00B95403" w:rsidRPr="00695A45" w:rsidRDefault="00B95403" w:rsidP="006B3472">
            <w:pPr>
              <w:keepNext/>
              <w:keepLines/>
              <w:rPr>
                <w:rFonts w:ascii="Arial Narrow" w:hAnsi="Arial Narrow"/>
                <w:sz w:val="20"/>
                <w:szCs w:val="20"/>
              </w:rPr>
            </w:pPr>
            <w:r w:rsidRPr="00695A45">
              <w:rPr>
                <w:rFonts w:ascii="Arial Narrow" w:hAnsi="Arial Narrow"/>
                <w:i/>
                <w:sz w:val="20"/>
                <w:szCs w:val="20"/>
              </w:rPr>
              <w:t>The condition must have been untreated prior to initiation of non-PBS subsidised treatment with this drug for this condition</w:t>
            </w:r>
            <w:r w:rsidRPr="00695A45">
              <w:rPr>
                <w:rFonts w:ascii="Arial Narrow" w:hAnsi="Arial Narrow"/>
                <w:sz w:val="20"/>
                <w:szCs w:val="20"/>
              </w:rPr>
              <w:t xml:space="preserve"> [new concept],</w:t>
            </w:r>
          </w:p>
          <w:p w:rsidR="00B95403" w:rsidRPr="00695A45" w:rsidRDefault="00B95403" w:rsidP="006B3472">
            <w:pPr>
              <w:keepNext/>
              <w:keepLines/>
              <w:rPr>
                <w:rFonts w:ascii="Arial Narrow" w:hAnsi="Arial Narrow"/>
                <w:sz w:val="20"/>
                <w:szCs w:val="20"/>
              </w:rPr>
            </w:pPr>
            <w:r w:rsidRPr="00695A45">
              <w:rPr>
                <w:rFonts w:ascii="Arial Narrow" w:hAnsi="Arial Narrow"/>
                <w:sz w:val="20"/>
                <w:szCs w:val="20"/>
              </w:rPr>
              <w:t>AND</w:t>
            </w:r>
          </w:p>
          <w:p w:rsidR="0097202A" w:rsidRPr="00695A45" w:rsidRDefault="0097202A" w:rsidP="006B3472">
            <w:pPr>
              <w:keepNext/>
              <w:keepLines/>
              <w:rPr>
                <w:rFonts w:ascii="Arial Narrow" w:hAnsi="Arial Narrow"/>
                <w:strike/>
                <w:sz w:val="20"/>
                <w:szCs w:val="20"/>
              </w:rPr>
            </w:pPr>
            <w:r w:rsidRPr="00695A45">
              <w:rPr>
                <w:rFonts w:ascii="Arial Narrow" w:hAnsi="Arial Narrow"/>
                <w:strike/>
                <w:sz w:val="20"/>
                <w:szCs w:val="20"/>
              </w:rPr>
              <w:t>Patient must have had a WHO performance status of 0 or 1 prior to initiating non-PBS-subsidised treatment</w:t>
            </w:r>
            <w:r w:rsidR="00B95403" w:rsidRPr="00695A45">
              <w:rPr>
                <w:rFonts w:ascii="Arial Narrow" w:hAnsi="Arial Narrow"/>
                <w:strike/>
                <w:sz w:val="20"/>
                <w:szCs w:val="20"/>
              </w:rPr>
              <w:t xml:space="preserve"> </w:t>
            </w:r>
            <w:r w:rsidR="00B95403" w:rsidRPr="00695A45">
              <w:rPr>
                <w:rFonts w:ascii="Arial Narrow" w:hAnsi="Arial Narrow"/>
                <w:i/>
                <w:strike/>
                <w:sz w:val="20"/>
                <w:szCs w:val="20"/>
              </w:rPr>
              <w:t xml:space="preserve">with this drug for this condition </w:t>
            </w:r>
            <w:r w:rsidR="00B95403" w:rsidRPr="00695A45">
              <w:rPr>
                <w:rFonts w:ascii="Arial Narrow" w:hAnsi="Arial Narrow"/>
                <w:strike/>
                <w:sz w:val="20"/>
                <w:szCs w:val="20"/>
              </w:rPr>
              <w:t>[22916]</w:t>
            </w:r>
          </w:p>
          <w:p w:rsidR="00B95403" w:rsidRPr="00695A45" w:rsidRDefault="00B95403" w:rsidP="006B3472">
            <w:pPr>
              <w:keepNext/>
              <w:keepLines/>
              <w:rPr>
                <w:rFonts w:ascii="Arial Narrow" w:hAnsi="Arial Narrow"/>
                <w:sz w:val="20"/>
                <w:szCs w:val="20"/>
              </w:rPr>
            </w:pPr>
            <w:r w:rsidRPr="00695A45">
              <w:rPr>
                <w:rFonts w:ascii="Arial Narrow" w:hAnsi="Arial Narrow"/>
                <w:i/>
                <w:sz w:val="20"/>
                <w:szCs w:val="20"/>
              </w:rPr>
              <w:t>Patient must have had a WHO performance status of 0 or 1 at the time non-PBS subsidised treatment with this drug for this condition was initiated</w:t>
            </w:r>
            <w:r w:rsidRPr="00695A45">
              <w:rPr>
                <w:rFonts w:ascii="Arial Narrow" w:hAnsi="Arial Narrow"/>
                <w:sz w:val="20"/>
                <w:szCs w:val="20"/>
              </w:rPr>
              <w:t xml:space="preserve"> [21831],</w:t>
            </w:r>
          </w:p>
          <w:p w:rsidR="00B95403" w:rsidRPr="00695A45" w:rsidRDefault="00B95403" w:rsidP="006B3472">
            <w:pPr>
              <w:keepNext/>
              <w:keepLines/>
              <w:rPr>
                <w:rFonts w:ascii="Arial Narrow" w:hAnsi="Arial Narrow"/>
                <w:i/>
                <w:sz w:val="20"/>
                <w:szCs w:val="20"/>
              </w:rPr>
            </w:pPr>
            <w:r w:rsidRPr="00695A45">
              <w:rPr>
                <w:rFonts w:ascii="Arial Narrow" w:hAnsi="Arial Narrow"/>
                <w:i/>
                <w:sz w:val="20"/>
                <w:szCs w:val="20"/>
              </w:rPr>
              <w:t>AND</w:t>
            </w:r>
          </w:p>
          <w:p w:rsidR="00B95403" w:rsidRPr="00695A45" w:rsidRDefault="00B95403" w:rsidP="006B3472">
            <w:pPr>
              <w:keepNext/>
              <w:keepLines/>
              <w:rPr>
                <w:rFonts w:ascii="Arial Narrow" w:hAnsi="Arial Narrow"/>
                <w:i/>
                <w:sz w:val="20"/>
                <w:szCs w:val="20"/>
              </w:rPr>
            </w:pPr>
            <w:r w:rsidRPr="00695A45">
              <w:rPr>
                <w:rFonts w:ascii="Arial Narrow" w:hAnsi="Arial Narrow"/>
                <w:i/>
                <w:sz w:val="20"/>
                <w:szCs w:val="20"/>
              </w:rPr>
              <w:t xml:space="preserve">The treatment must </w:t>
            </w:r>
            <w:r w:rsidR="005C22ED" w:rsidRPr="00695A45">
              <w:rPr>
                <w:rFonts w:ascii="Arial Narrow" w:hAnsi="Arial Narrow"/>
                <w:i/>
                <w:sz w:val="20"/>
                <w:szCs w:val="20"/>
              </w:rPr>
              <w:t xml:space="preserve">be in </w:t>
            </w:r>
            <w:r w:rsidR="001302F3" w:rsidRPr="001302F3">
              <w:rPr>
                <w:rFonts w:ascii="Arial Narrow" w:hAnsi="Arial Narrow"/>
                <w:i/>
                <w:sz w:val="20"/>
                <w:szCs w:val="20"/>
              </w:rPr>
              <w:t>combination with etoposide and a platinum-based antineoplastic</w:t>
            </w:r>
            <w:r w:rsidRPr="00695A45">
              <w:rPr>
                <w:rFonts w:ascii="Arial Narrow" w:hAnsi="Arial Narrow"/>
                <w:i/>
                <w:sz w:val="20"/>
                <w:szCs w:val="20"/>
              </w:rPr>
              <w:t xml:space="preserve"> if the patient is yet to complete their first 4 cycles of treatment; or</w:t>
            </w:r>
          </w:p>
          <w:p w:rsidR="00B95403" w:rsidRPr="00695A45" w:rsidRDefault="00B95403" w:rsidP="006B3472">
            <w:pPr>
              <w:keepNext/>
              <w:keepLines/>
              <w:rPr>
                <w:rFonts w:ascii="Arial Narrow" w:hAnsi="Arial Narrow"/>
                <w:sz w:val="20"/>
                <w:szCs w:val="20"/>
              </w:rPr>
            </w:pPr>
            <w:r w:rsidRPr="00695A45">
              <w:rPr>
                <w:rFonts w:ascii="Arial Narrow" w:hAnsi="Arial Narrow"/>
                <w:i/>
                <w:sz w:val="20"/>
                <w:szCs w:val="20"/>
              </w:rPr>
              <w:t>The treatment must be as monotherapy if being administered as maintenance therapy</w:t>
            </w:r>
            <w:r w:rsidRPr="00695A45">
              <w:rPr>
                <w:rFonts w:ascii="Arial Narrow" w:hAnsi="Arial Narrow"/>
                <w:sz w:val="20"/>
                <w:szCs w:val="20"/>
              </w:rPr>
              <w:t xml:space="preserve"> [new concept]</w:t>
            </w:r>
          </w:p>
        </w:tc>
      </w:tr>
      <w:tr w:rsidR="00B95403"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B95403" w:rsidRPr="00695A45" w:rsidRDefault="00B95403" w:rsidP="006B3472">
            <w:pPr>
              <w:keepNext/>
              <w:keepLines/>
              <w:rPr>
                <w:rFonts w:ascii="Arial Narrow" w:hAnsi="Arial Narrow"/>
                <w:b/>
                <w:sz w:val="20"/>
                <w:szCs w:val="20"/>
              </w:rPr>
            </w:pPr>
            <w:r w:rsidRPr="00695A45">
              <w:rPr>
                <w:rFonts w:ascii="Arial Narrow" w:hAnsi="Arial Narrow"/>
                <w:b/>
                <w:i/>
                <w:sz w:val="20"/>
                <w:szCs w:val="20"/>
              </w:rPr>
              <w:t>Prescriber</w:t>
            </w:r>
            <w:r w:rsidRPr="00695A45">
              <w:rPr>
                <w:rFonts w:ascii="Arial Narrow" w:hAnsi="Arial Narrow"/>
                <w:b/>
                <w:sz w:val="20"/>
                <w:szCs w:val="20"/>
              </w:rPr>
              <w:t xml:space="preserve"> </w:t>
            </w:r>
            <w:r w:rsidRPr="00695A45">
              <w:rPr>
                <w:rFonts w:ascii="Arial Narrow" w:hAnsi="Arial Narrow"/>
                <w:b/>
                <w:i/>
                <w:sz w:val="20"/>
                <w:szCs w:val="20"/>
              </w:rPr>
              <w:t>instructions</w:t>
            </w:r>
          </w:p>
        </w:tc>
        <w:tc>
          <w:tcPr>
            <w:tcW w:w="3504" w:type="pct"/>
            <w:gridSpan w:val="5"/>
            <w:tcBorders>
              <w:top w:val="single" w:sz="4" w:space="0" w:color="auto"/>
              <w:left w:val="single" w:sz="4" w:space="0" w:color="auto"/>
              <w:bottom w:val="single" w:sz="4" w:space="0" w:color="auto"/>
              <w:right w:val="single" w:sz="4" w:space="0" w:color="auto"/>
            </w:tcBorders>
          </w:tcPr>
          <w:p w:rsidR="00B95403" w:rsidRPr="00695A45" w:rsidRDefault="00637903" w:rsidP="006B3472">
            <w:pPr>
              <w:keepNext/>
              <w:keepLines/>
              <w:rPr>
                <w:rFonts w:ascii="Arial Narrow" w:hAnsi="Arial Narrow"/>
                <w:sz w:val="20"/>
                <w:szCs w:val="20"/>
              </w:rPr>
            </w:pPr>
            <w:r w:rsidRPr="00695A45">
              <w:rPr>
                <w:rFonts w:ascii="Arial Narrow" w:hAnsi="Arial Narrow"/>
                <w:i/>
                <w:sz w:val="20"/>
                <w:szCs w:val="20"/>
              </w:rPr>
              <w:t xml:space="preserve">A patient may qualify for PBS-subsidised treatment under this restriction once only. For continuing PBS-subsidised treatment, a Grandfathered patient must qualify under the continuing treatment criteria. </w:t>
            </w:r>
            <w:r w:rsidRPr="00695A45">
              <w:rPr>
                <w:rFonts w:ascii="Arial Narrow" w:hAnsi="Arial Narrow"/>
                <w:sz w:val="20"/>
                <w:szCs w:val="20"/>
              </w:rPr>
              <w:t>[24007]</w:t>
            </w:r>
          </w:p>
        </w:tc>
      </w:tr>
      <w:tr w:rsidR="0097202A" w:rsidRPr="00695A45" w:rsidTr="00752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b/>
                <w:strike/>
                <w:sz w:val="20"/>
                <w:szCs w:val="20"/>
              </w:rPr>
            </w:pPr>
            <w:r w:rsidRPr="00695A45">
              <w:rPr>
                <w:rFonts w:ascii="Arial Narrow" w:hAnsi="Arial Narrow"/>
                <w:b/>
                <w:sz w:val="20"/>
                <w:szCs w:val="20"/>
              </w:rPr>
              <w:t>Administrative advice</w:t>
            </w:r>
          </w:p>
        </w:tc>
        <w:tc>
          <w:tcPr>
            <w:tcW w:w="3504" w:type="pct"/>
            <w:gridSpan w:val="5"/>
            <w:tcBorders>
              <w:top w:val="single" w:sz="4" w:space="0" w:color="auto"/>
              <w:left w:val="single" w:sz="4" w:space="0" w:color="auto"/>
              <w:bottom w:val="single" w:sz="4" w:space="0" w:color="auto"/>
              <w:right w:val="single" w:sz="4" w:space="0" w:color="auto"/>
            </w:tcBorders>
          </w:tcPr>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w:t>
            </w:r>
            <w:r w:rsidR="00637903" w:rsidRPr="00695A45">
              <w:rPr>
                <w:rFonts w:ascii="Arial Narrow" w:hAnsi="Arial Narrow"/>
                <w:sz w:val="20"/>
                <w:szCs w:val="20"/>
              </w:rPr>
              <w:t xml:space="preserve"> [7606]</w:t>
            </w:r>
            <w:r w:rsidRPr="00695A45">
              <w:rPr>
                <w:rFonts w:ascii="Arial Narrow" w:hAnsi="Arial Narrow"/>
                <w:sz w:val="20"/>
                <w:szCs w:val="20"/>
              </w:rPr>
              <w:t>.</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No increase in the maximum number of repeats may be authorised</w:t>
            </w:r>
            <w:r w:rsidR="00637903" w:rsidRPr="00695A45">
              <w:rPr>
                <w:rFonts w:ascii="Arial Narrow" w:hAnsi="Arial Narrow"/>
                <w:sz w:val="20"/>
                <w:szCs w:val="20"/>
              </w:rPr>
              <w:t xml:space="preserve"> [7607]</w:t>
            </w:r>
            <w:r w:rsidRPr="00695A45">
              <w:rPr>
                <w:rFonts w:ascii="Arial Narrow" w:hAnsi="Arial Narrow"/>
                <w:sz w:val="20"/>
                <w:szCs w:val="20"/>
              </w:rPr>
              <w:t>.</w:t>
            </w:r>
          </w:p>
          <w:p w:rsidR="0097202A" w:rsidRPr="00695A45" w:rsidRDefault="0097202A" w:rsidP="006B3472">
            <w:pPr>
              <w:keepNext/>
              <w:keepLines/>
              <w:rPr>
                <w:rFonts w:ascii="Arial Narrow" w:hAnsi="Arial Narrow"/>
                <w:sz w:val="20"/>
                <w:szCs w:val="20"/>
              </w:rPr>
            </w:pPr>
            <w:r w:rsidRPr="00695A45">
              <w:rPr>
                <w:rFonts w:ascii="Arial Narrow" w:hAnsi="Arial Narrow"/>
                <w:sz w:val="20"/>
                <w:szCs w:val="20"/>
              </w:rPr>
              <w:t>Special Pricing Arrangements apply</w:t>
            </w:r>
            <w:r w:rsidR="00637903" w:rsidRPr="00695A45">
              <w:rPr>
                <w:rFonts w:ascii="Arial Narrow" w:hAnsi="Arial Narrow"/>
                <w:sz w:val="20"/>
                <w:szCs w:val="20"/>
              </w:rPr>
              <w:t xml:space="preserve"> [7608]</w:t>
            </w:r>
            <w:r w:rsidRPr="00695A45">
              <w:rPr>
                <w:rFonts w:ascii="Arial Narrow" w:hAnsi="Arial Narrow"/>
                <w:sz w:val="20"/>
                <w:szCs w:val="20"/>
              </w:rPr>
              <w:t>.</w:t>
            </w:r>
          </w:p>
        </w:tc>
      </w:tr>
    </w:tbl>
    <w:p w:rsidR="00B66053" w:rsidRPr="00695A45" w:rsidRDefault="00B66053" w:rsidP="00B66053">
      <w:pPr>
        <w:jc w:val="both"/>
        <w:rPr>
          <w:rFonts w:asciiTheme="minorHAnsi" w:hAnsiTheme="minorHAnsi"/>
        </w:rPr>
      </w:pPr>
    </w:p>
    <w:p w:rsidR="00575F9C" w:rsidRPr="00695A45" w:rsidRDefault="00575F9C" w:rsidP="00A76CDF">
      <w:pPr>
        <w:pStyle w:val="3Bodytext"/>
      </w:pPr>
      <w:r w:rsidRPr="00695A45">
        <w:t xml:space="preserve">At the July 2019 PBAC meeting, the PBAC proposed that the clinical criterion ‘The treatment must be in combination with carboplatin and etoposide’ should also allow treatment in combination with cisplatin. Subsequent to the PBAC’s July 2019 consideration, </w:t>
      </w:r>
      <w:proofErr w:type="spellStart"/>
      <w:r w:rsidRPr="00695A45">
        <w:t>atezolizumab</w:t>
      </w:r>
      <w:proofErr w:type="spellEnd"/>
      <w:r w:rsidRPr="00695A45">
        <w:t xml:space="preserve"> has been TGA-registered, with the TGA indication specifying that use is in combination with carboplatin and etoposide (refer to </w:t>
      </w:r>
      <w:r w:rsidRPr="00695A45">
        <w:lastRenderedPageBreak/>
        <w:t xml:space="preserve">Paragraph 3.1). The PBAC re-iterated its previous view that use in combination </w:t>
      </w:r>
      <w:r w:rsidR="0082217E" w:rsidRPr="00695A45">
        <w:t>with either cisplatin or carboplatin (each in combination with etoposide) should be allowed under the initial restriction.</w:t>
      </w:r>
      <w:r w:rsidRPr="00695A45">
        <w:t xml:space="preserve"> </w:t>
      </w:r>
      <w:r w:rsidR="00A76CDF" w:rsidRPr="00695A45">
        <w:t xml:space="preserve">As such, the PBAC considered that this clinical </w:t>
      </w:r>
      <w:r w:rsidR="001302F3">
        <w:t>criterion should be changed to t</w:t>
      </w:r>
      <w:r w:rsidR="00A76CDF" w:rsidRPr="00695A45">
        <w:t xml:space="preserve">he treatment </w:t>
      </w:r>
      <w:r w:rsidR="001302F3">
        <w:t>‘</w:t>
      </w:r>
      <w:r w:rsidR="00A76CDF" w:rsidRPr="00695A45">
        <w:t xml:space="preserve">must be in combination with etoposide and a platinum-based antineoplastic’. </w:t>
      </w:r>
      <w:r w:rsidRPr="00695A45">
        <w:t>This criterion also applies to Grandfathering treatment for patients who are yet to complete their first 4 cycles of treatment.</w:t>
      </w:r>
    </w:p>
    <w:p w:rsidR="00B66053" w:rsidRPr="00695A45" w:rsidRDefault="00B66053" w:rsidP="00526E1C">
      <w:pPr>
        <w:jc w:val="both"/>
        <w:rPr>
          <w:rFonts w:asciiTheme="minorHAnsi" w:eastAsiaTheme="minorHAnsi" w:hAnsiTheme="minorHAnsi" w:cstheme="minorBidi"/>
          <w:i/>
          <w:szCs w:val="22"/>
          <w:lang w:eastAsia="en-US"/>
        </w:rPr>
      </w:pPr>
      <w:r w:rsidRPr="00695A45">
        <w:rPr>
          <w:rFonts w:asciiTheme="minorHAnsi" w:eastAsiaTheme="minorHAnsi" w:hAnsiTheme="minorHAnsi" w:cstheme="minorBidi"/>
          <w:i/>
          <w:szCs w:val="22"/>
          <w:lang w:eastAsia="en-US"/>
        </w:rPr>
        <w:t xml:space="preserve">For more detail on PBAC’s view, see section </w:t>
      </w:r>
      <w:r w:rsidR="00FA692E" w:rsidRPr="00695A45">
        <w:rPr>
          <w:rFonts w:asciiTheme="minorHAnsi" w:eastAsiaTheme="minorHAnsi" w:hAnsiTheme="minorHAnsi" w:cstheme="minorBidi"/>
          <w:i/>
          <w:szCs w:val="22"/>
          <w:lang w:eastAsia="en-US"/>
        </w:rPr>
        <w:t>6</w:t>
      </w:r>
      <w:r w:rsidRPr="00695A45">
        <w:rPr>
          <w:rFonts w:asciiTheme="minorHAnsi" w:eastAsiaTheme="minorHAnsi" w:hAnsiTheme="minorHAnsi" w:cstheme="minorBidi"/>
          <w:i/>
          <w:szCs w:val="22"/>
          <w:lang w:eastAsia="en-US"/>
        </w:rPr>
        <w:t xml:space="preserve"> PBAC outcome.</w:t>
      </w:r>
    </w:p>
    <w:p w:rsidR="00FC3647" w:rsidRPr="00695A45" w:rsidRDefault="00AD19A8" w:rsidP="00D752C2">
      <w:pPr>
        <w:pStyle w:val="2Sections"/>
        <w:numPr>
          <w:ilvl w:val="0"/>
          <w:numId w:val="1"/>
        </w:numPr>
      </w:pPr>
      <w:r w:rsidRPr="00695A45">
        <w:t>Background</w:t>
      </w:r>
    </w:p>
    <w:p w:rsidR="00AD19A8" w:rsidRPr="00695A45" w:rsidRDefault="00163A6F" w:rsidP="00163A6F">
      <w:pPr>
        <w:pStyle w:val="3Bodytext"/>
      </w:pPr>
      <w:r w:rsidRPr="00695A45">
        <w:t xml:space="preserve">The July 2019 submission was made under the TGA/PBAC Parallel Process. </w:t>
      </w:r>
      <w:r w:rsidR="00CC7BDA" w:rsidRPr="00695A45">
        <w:t xml:space="preserve">Subsequent to the July 2019 PBAC meeting, </w:t>
      </w:r>
      <w:proofErr w:type="spellStart"/>
      <w:r w:rsidR="00CC7BDA" w:rsidRPr="00695A45">
        <w:t>a</w:t>
      </w:r>
      <w:r w:rsidR="00A06F0B" w:rsidRPr="00695A45">
        <w:t>tezolizumab</w:t>
      </w:r>
      <w:proofErr w:type="spellEnd"/>
      <w:r w:rsidR="00A06F0B" w:rsidRPr="00695A45">
        <w:t xml:space="preserve"> </w:t>
      </w:r>
      <w:r w:rsidR="00CC7BDA" w:rsidRPr="00695A45">
        <w:t>has been</w:t>
      </w:r>
      <w:r w:rsidR="00A06F0B" w:rsidRPr="00695A45">
        <w:t xml:space="preserve"> </w:t>
      </w:r>
      <w:r w:rsidR="005546AE" w:rsidRPr="00695A45">
        <w:t xml:space="preserve">TGA </w:t>
      </w:r>
      <w:r w:rsidR="00A06F0B" w:rsidRPr="00695A45">
        <w:t xml:space="preserve">registered </w:t>
      </w:r>
      <w:r w:rsidR="005546AE" w:rsidRPr="00695A45">
        <w:t xml:space="preserve">with the following indication: </w:t>
      </w:r>
      <w:proofErr w:type="spellStart"/>
      <w:r w:rsidR="005546AE" w:rsidRPr="00695A45">
        <w:t>atezolizumab</w:t>
      </w:r>
      <w:proofErr w:type="spellEnd"/>
      <w:r w:rsidR="005546AE" w:rsidRPr="00695A45">
        <w:t xml:space="preserve"> </w:t>
      </w:r>
      <w:r w:rsidR="00A06F0B" w:rsidRPr="00695A45">
        <w:t>‘in combination with carboplatin and etoposide, is indicated for the first-line treatment of patients with extensive-stage small cell lung cancer</w:t>
      </w:r>
      <w:r w:rsidR="005546AE" w:rsidRPr="00695A45">
        <w:t xml:space="preserve"> </w:t>
      </w:r>
      <w:r w:rsidR="00A06F0B" w:rsidRPr="00695A45">
        <w:t>(ES-SCLC)</w:t>
      </w:r>
      <w:r w:rsidR="005546AE" w:rsidRPr="00695A45">
        <w:t>’</w:t>
      </w:r>
      <w:r w:rsidR="00A06F0B" w:rsidRPr="00695A45">
        <w:t>.</w:t>
      </w:r>
      <w:r w:rsidR="00392531" w:rsidRPr="00695A45">
        <w:t xml:space="preserve"> </w:t>
      </w:r>
    </w:p>
    <w:p w:rsidR="005546AE" w:rsidRPr="00695A45" w:rsidRDefault="005546AE" w:rsidP="00506D40">
      <w:pPr>
        <w:pStyle w:val="Heading2"/>
        <w:keepLines/>
        <w:spacing w:before="240" w:after="120"/>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Previous PBAC considerations</w:t>
      </w:r>
    </w:p>
    <w:p w:rsidR="00F80C72" w:rsidRPr="00695A45" w:rsidRDefault="005546AE" w:rsidP="00D752C2">
      <w:pPr>
        <w:pStyle w:val="3Bodytext"/>
        <w:numPr>
          <w:ilvl w:val="1"/>
          <w:numId w:val="1"/>
        </w:numPr>
      </w:pPr>
      <w:r w:rsidRPr="00695A45">
        <w:t>A</w:t>
      </w:r>
      <w:r w:rsidR="00F80C72" w:rsidRPr="00695A45">
        <w:t xml:space="preserve">t the July 2019 meeting, the PBAC </w:t>
      </w:r>
      <w:r w:rsidR="0018339F" w:rsidRPr="00695A45">
        <w:t>did not</w:t>
      </w:r>
      <w:r w:rsidR="00F80C72" w:rsidRPr="00695A45">
        <w:t xml:space="preserve"> recommend </w:t>
      </w:r>
      <w:r w:rsidR="00CC7BDA" w:rsidRPr="00695A45">
        <w:t xml:space="preserve">the PBS listing of </w:t>
      </w:r>
      <w:proofErr w:type="spellStart"/>
      <w:r w:rsidR="00F80C72" w:rsidRPr="00695A45">
        <w:t>atezolizumab</w:t>
      </w:r>
      <w:proofErr w:type="spellEnd"/>
      <w:r w:rsidR="00F80C72" w:rsidRPr="00695A45">
        <w:t xml:space="preserve">. The PBAC considered there was uncertainty in </w:t>
      </w:r>
      <w:r w:rsidR="003435D8" w:rsidRPr="00695A45">
        <w:t xml:space="preserve">the magnitude and durability of the benefit in overall survival (OS) </w:t>
      </w:r>
      <w:r w:rsidR="00245F35" w:rsidRPr="00695A45">
        <w:t>and the impact on patient quality of life was unclear. The PBAC also considered the incremental cost effectiveness ratio (ICER) in this setting was uncertain and unacceptably high at the proposed price</w:t>
      </w:r>
      <w:r w:rsidR="00BA2CE1" w:rsidRPr="00695A45">
        <w:t xml:space="preserve"> </w:t>
      </w:r>
      <w:r w:rsidR="00BA2CE1" w:rsidRPr="00695A45">
        <w:rPr>
          <w:rFonts w:cstheme="minorHAnsi"/>
          <w:szCs w:val="24"/>
        </w:rPr>
        <w:t xml:space="preserve">(paragraph 7.1, </w:t>
      </w:r>
      <w:proofErr w:type="spellStart"/>
      <w:r w:rsidR="0018339F" w:rsidRPr="00695A45">
        <w:rPr>
          <w:rFonts w:cstheme="minorHAnsi"/>
          <w:szCs w:val="24"/>
        </w:rPr>
        <w:t>a</w:t>
      </w:r>
      <w:r w:rsidR="00BA2CE1" w:rsidRPr="00695A45">
        <w:rPr>
          <w:rFonts w:cstheme="minorHAnsi"/>
          <w:szCs w:val="24"/>
        </w:rPr>
        <w:t>tezolizumab</w:t>
      </w:r>
      <w:proofErr w:type="spellEnd"/>
      <w:r w:rsidR="00BA2CE1" w:rsidRPr="00695A45">
        <w:rPr>
          <w:rFonts w:cstheme="minorHAnsi"/>
          <w:szCs w:val="24"/>
        </w:rPr>
        <w:t xml:space="preserve"> </w:t>
      </w:r>
      <w:r w:rsidR="00F96E08" w:rsidRPr="00695A45">
        <w:rPr>
          <w:rFonts w:cstheme="minorHAnsi"/>
          <w:szCs w:val="24"/>
        </w:rPr>
        <w:t>Public Summary Document (PSD)</w:t>
      </w:r>
      <w:r w:rsidR="00BA2CE1" w:rsidRPr="00695A45">
        <w:rPr>
          <w:rFonts w:cstheme="minorHAnsi"/>
          <w:szCs w:val="24"/>
        </w:rPr>
        <w:t>, July 2019)</w:t>
      </w:r>
      <w:r w:rsidR="00245F35" w:rsidRPr="00695A45">
        <w:t>.</w:t>
      </w:r>
    </w:p>
    <w:p w:rsidR="00347A35" w:rsidRPr="00695A45" w:rsidRDefault="00347A35" w:rsidP="000A40E3">
      <w:pPr>
        <w:pStyle w:val="3Bodytext"/>
      </w:pPr>
      <w:r w:rsidRPr="00695A45">
        <w:t xml:space="preserve">Table 1 provides a summary of the key issues </w:t>
      </w:r>
      <w:r w:rsidR="00163A6F" w:rsidRPr="00695A45">
        <w:t>rais</w:t>
      </w:r>
      <w:r w:rsidRPr="00695A45">
        <w:t xml:space="preserve">ed by the PBAC at the July 2019 meeting </w:t>
      </w:r>
      <w:r w:rsidR="00CC7BDA" w:rsidRPr="00695A45">
        <w:t>that were addressed in</w:t>
      </w:r>
      <w:r w:rsidRPr="00695A45">
        <w:t xml:space="preserve"> the minor resubmission.</w:t>
      </w:r>
      <w:r w:rsidR="00CC7BDA" w:rsidRPr="00695A45">
        <w:t xml:space="preserve"> </w:t>
      </w:r>
      <w:r w:rsidR="00831E66" w:rsidRPr="00695A45">
        <w:t xml:space="preserve">Only economic and financial issues were addressed. </w:t>
      </w:r>
      <w:r w:rsidR="00CC7BDA" w:rsidRPr="00695A45">
        <w:t xml:space="preserve">In July 2019, the PBAC noted that the PSCR stated that no further formal OS analyses of </w:t>
      </w:r>
      <w:proofErr w:type="spellStart"/>
      <w:r w:rsidR="00CC7BDA" w:rsidRPr="00695A45">
        <w:t>IMpower</w:t>
      </w:r>
      <w:proofErr w:type="spellEnd"/>
      <w:r w:rsidR="00CC7BDA" w:rsidRPr="00695A45">
        <w:t xml:space="preserve"> 133 are planned. Thus, it was unlikely that uncertainties with the OS data would be resolved through any further data-cuts </w:t>
      </w:r>
      <w:r w:rsidR="00CC7BDA" w:rsidRPr="00695A45">
        <w:rPr>
          <w:rFonts w:cstheme="minorHAnsi"/>
          <w:szCs w:val="24"/>
        </w:rPr>
        <w:t xml:space="preserve">(paragraph 7.6, </w:t>
      </w:r>
      <w:proofErr w:type="spellStart"/>
      <w:r w:rsidR="00CC7BDA" w:rsidRPr="00695A45">
        <w:rPr>
          <w:rFonts w:cstheme="minorHAnsi"/>
          <w:szCs w:val="24"/>
        </w:rPr>
        <w:t>atezolizumab</w:t>
      </w:r>
      <w:proofErr w:type="spellEnd"/>
      <w:r w:rsidR="00CC7BDA" w:rsidRPr="00695A45">
        <w:rPr>
          <w:rFonts w:cstheme="minorHAnsi"/>
          <w:szCs w:val="24"/>
        </w:rPr>
        <w:t xml:space="preserve"> </w:t>
      </w:r>
      <w:r w:rsidR="00F96E08" w:rsidRPr="00695A45">
        <w:rPr>
          <w:rFonts w:cstheme="minorHAnsi"/>
          <w:szCs w:val="24"/>
        </w:rPr>
        <w:t>PSD</w:t>
      </w:r>
      <w:r w:rsidR="00CC7BDA" w:rsidRPr="00695A45">
        <w:rPr>
          <w:rFonts w:cstheme="minorHAnsi"/>
          <w:szCs w:val="24"/>
        </w:rPr>
        <w:t>, July 2019).</w:t>
      </w:r>
    </w:p>
    <w:p w:rsidR="00347A35" w:rsidRPr="00695A45" w:rsidRDefault="00347A35" w:rsidP="00C51439">
      <w:pPr>
        <w:keepNext/>
        <w:keepLines/>
        <w:rPr>
          <w:rFonts w:ascii="Arial Narrow" w:hAnsi="Arial Narrow" w:cstheme="minorHAnsi"/>
          <w:b/>
          <w:sz w:val="20"/>
          <w:szCs w:val="20"/>
        </w:rPr>
      </w:pPr>
      <w:r w:rsidRPr="00695A45">
        <w:rPr>
          <w:rFonts w:ascii="Arial Narrow" w:hAnsi="Arial Narrow" w:cstheme="minorHAnsi"/>
          <w:b/>
          <w:sz w:val="20"/>
          <w:szCs w:val="20"/>
        </w:rPr>
        <w:lastRenderedPageBreak/>
        <w:t>Table 1: Key issues identified by the PBAC in July 2019 and how they were addressed in the minor resubmission</w:t>
      </w:r>
    </w:p>
    <w:tbl>
      <w:tblPr>
        <w:tblStyle w:val="TableGrid"/>
        <w:tblW w:w="0" w:type="auto"/>
        <w:tblLook w:val="04A0" w:firstRow="1" w:lastRow="0" w:firstColumn="1" w:lastColumn="0" w:noHBand="0" w:noVBand="1"/>
        <w:tblCaption w:val="Table 1: Key issues identified by the PBAC in July 2019 and how they were addressed in the minor resubmission"/>
      </w:tblPr>
      <w:tblGrid>
        <w:gridCol w:w="4390"/>
        <w:gridCol w:w="4626"/>
      </w:tblGrid>
      <w:tr w:rsidR="00347A35" w:rsidRPr="00695A45" w:rsidTr="00122ACB">
        <w:trPr>
          <w:tblHeader/>
        </w:trPr>
        <w:tc>
          <w:tcPr>
            <w:tcW w:w="4390" w:type="dxa"/>
            <w:tcMar>
              <w:left w:w="28" w:type="dxa"/>
              <w:right w:w="28" w:type="dxa"/>
            </w:tcMar>
          </w:tcPr>
          <w:p w:rsidR="00347A35" w:rsidRPr="00695A45" w:rsidRDefault="00347A35" w:rsidP="0018339F">
            <w:pPr>
              <w:keepNext/>
              <w:keepLines/>
              <w:rPr>
                <w:rFonts w:ascii="Arial Narrow" w:hAnsi="Arial Narrow" w:cstheme="minorHAnsi"/>
                <w:b/>
                <w:sz w:val="20"/>
                <w:szCs w:val="20"/>
              </w:rPr>
            </w:pPr>
            <w:r w:rsidRPr="00695A45">
              <w:rPr>
                <w:rFonts w:ascii="Arial Narrow" w:hAnsi="Arial Narrow" w:cstheme="minorHAnsi"/>
                <w:b/>
                <w:sz w:val="20"/>
                <w:szCs w:val="20"/>
              </w:rPr>
              <w:t xml:space="preserve">Issue identified by PBAC in July 2019 </w:t>
            </w:r>
          </w:p>
        </w:tc>
        <w:tc>
          <w:tcPr>
            <w:tcW w:w="4626" w:type="dxa"/>
            <w:tcMar>
              <w:left w:w="28" w:type="dxa"/>
              <w:right w:w="28" w:type="dxa"/>
            </w:tcMar>
          </w:tcPr>
          <w:p w:rsidR="00347A35" w:rsidRPr="00695A45" w:rsidRDefault="00347A35" w:rsidP="00C51439">
            <w:pPr>
              <w:keepNext/>
              <w:keepLines/>
              <w:rPr>
                <w:rFonts w:ascii="Arial Narrow" w:hAnsi="Arial Narrow" w:cstheme="minorHAnsi"/>
                <w:b/>
                <w:sz w:val="20"/>
                <w:szCs w:val="20"/>
              </w:rPr>
            </w:pPr>
            <w:r w:rsidRPr="00695A45">
              <w:rPr>
                <w:rFonts w:ascii="Arial Narrow" w:hAnsi="Arial Narrow" w:cstheme="minorHAnsi"/>
                <w:b/>
                <w:sz w:val="20"/>
                <w:szCs w:val="20"/>
              </w:rPr>
              <w:t>How issue was addressed in November 2019 resubmission</w:t>
            </w:r>
          </w:p>
        </w:tc>
      </w:tr>
      <w:tr w:rsidR="00347A35" w:rsidRPr="00695A45" w:rsidTr="00122ACB">
        <w:tc>
          <w:tcPr>
            <w:tcW w:w="4390" w:type="dxa"/>
            <w:tcMar>
              <w:left w:w="28" w:type="dxa"/>
              <w:right w:w="28" w:type="dxa"/>
            </w:tcMar>
          </w:tcPr>
          <w:p w:rsidR="00347A35" w:rsidRPr="00695A45" w:rsidRDefault="009872C9" w:rsidP="00C57628">
            <w:pPr>
              <w:keepNext/>
              <w:keepLines/>
              <w:widowControl w:val="0"/>
              <w:spacing w:after="120"/>
              <w:rPr>
                <w:rFonts w:ascii="Arial Narrow" w:hAnsi="Arial Narrow"/>
                <w:bCs/>
                <w:sz w:val="20"/>
                <w:szCs w:val="20"/>
              </w:rPr>
            </w:pPr>
            <w:r w:rsidRPr="00695A45">
              <w:rPr>
                <w:rFonts w:ascii="Arial Narrow" w:hAnsi="Arial Narrow"/>
                <w:bCs/>
                <w:sz w:val="20"/>
                <w:szCs w:val="20"/>
              </w:rPr>
              <w:t>[paragraph 7.11</w:t>
            </w:r>
            <w:r w:rsidR="00347A35" w:rsidRPr="00695A45">
              <w:rPr>
                <w:rFonts w:ascii="Arial Narrow" w:hAnsi="Arial Narrow"/>
                <w:bCs/>
                <w:sz w:val="20"/>
                <w:szCs w:val="20"/>
              </w:rPr>
              <w:t xml:space="preserve">] </w:t>
            </w:r>
            <w:r w:rsidRPr="00695A45">
              <w:rPr>
                <w:rFonts w:ascii="Arial Narrow" w:hAnsi="Arial Narrow"/>
                <w:bCs/>
                <w:sz w:val="20"/>
                <w:szCs w:val="20"/>
              </w:rPr>
              <w:t xml:space="preserve">The PSCR and pre-PBAC response provided updated clinical data from the January 2019 </w:t>
            </w:r>
            <w:proofErr w:type="spellStart"/>
            <w:r w:rsidRPr="00695A45">
              <w:rPr>
                <w:rFonts w:ascii="Arial Narrow" w:hAnsi="Arial Narrow"/>
                <w:bCs/>
                <w:sz w:val="20"/>
                <w:szCs w:val="20"/>
              </w:rPr>
              <w:t>cutoff</w:t>
            </w:r>
            <w:proofErr w:type="spellEnd"/>
            <w:r w:rsidRPr="00695A45">
              <w:rPr>
                <w:rFonts w:ascii="Arial Narrow" w:hAnsi="Arial Narrow"/>
                <w:bCs/>
                <w:sz w:val="20"/>
                <w:szCs w:val="20"/>
              </w:rPr>
              <w:t>. The PBAC considered that the economic model would need to be updated to reflect the most recent data-cut.</w:t>
            </w:r>
          </w:p>
        </w:tc>
        <w:tc>
          <w:tcPr>
            <w:tcW w:w="4626" w:type="dxa"/>
            <w:tcMar>
              <w:left w:w="28" w:type="dxa"/>
              <w:right w:w="28" w:type="dxa"/>
            </w:tcMar>
          </w:tcPr>
          <w:p w:rsidR="00347A35" w:rsidRPr="00695A45" w:rsidRDefault="00C57628" w:rsidP="00C51439">
            <w:pPr>
              <w:keepNext/>
              <w:keepLines/>
              <w:rPr>
                <w:rFonts w:ascii="Arial Narrow" w:hAnsi="Arial Narrow" w:cstheme="minorHAnsi"/>
                <w:sz w:val="20"/>
                <w:szCs w:val="20"/>
              </w:rPr>
            </w:pPr>
            <w:r w:rsidRPr="00695A45">
              <w:rPr>
                <w:rFonts w:ascii="Arial Narrow" w:hAnsi="Arial Narrow" w:cstheme="minorHAnsi"/>
                <w:sz w:val="20"/>
                <w:szCs w:val="20"/>
              </w:rPr>
              <w:t>Updated (for OS results)</w:t>
            </w:r>
          </w:p>
        </w:tc>
      </w:tr>
      <w:tr w:rsidR="005546AE" w:rsidRPr="00695A45" w:rsidTr="00122ACB">
        <w:tc>
          <w:tcPr>
            <w:tcW w:w="4390" w:type="dxa"/>
            <w:tcMar>
              <w:left w:w="28" w:type="dxa"/>
              <w:right w:w="28" w:type="dxa"/>
            </w:tcMar>
          </w:tcPr>
          <w:p w:rsidR="005546AE" w:rsidRPr="00695A45" w:rsidRDefault="005546AE" w:rsidP="005F3DE6">
            <w:pPr>
              <w:keepNext/>
              <w:keepLines/>
              <w:widowControl w:val="0"/>
              <w:spacing w:after="120"/>
              <w:rPr>
                <w:rFonts w:ascii="Arial Narrow" w:hAnsi="Arial Narrow"/>
                <w:bCs/>
                <w:sz w:val="20"/>
                <w:szCs w:val="20"/>
              </w:rPr>
            </w:pPr>
            <w:r w:rsidRPr="00695A45">
              <w:rPr>
                <w:rFonts w:ascii="Arial Narrow" w:hAnsi="Arial Narrow"/>
                <w:bCs/>
                <w:sz w:val="20"/>
                <w:szCs w:val="20"/>
              </w:rPr>
              <w:t>[paragraph 7.12] The base case of the economic model should: (</w:t>
            </w:r>
            <w:proofErr w:type="spellStart"/>
            <w:r w:rsidRPr="00695A45">
              <w:rPr>
                <w:rFonts w:ascii="Arial Narrow" w:hAnsi="Arial Narrow"/>
                <w:bCs/>
                <w:sz w:val="20"/>
                <w:szCs w:val="20"/>
              </w:rPr>
              <w:t>i</w:t>
            </w:r>
            <w:proofErr w:type="spellEnd"/>
            <w:r w:rsidRPr="00695A45">
              <w:rPr>
                <w:rFonts w:ascii="Arial Narrow" w:hAnsi="Arial Narrow"/>
                <w:bCs/>
                <w:sz w:val="20"/>
                <w:szCs w:val="20"/>
              </w:rPr>
              <w:t xml:space="preserve">) assume the OS curves begin to converge at 24 months with convergence at 60 months; and (ii) use a time horizon of 5 years. </w:t>
            </w:r>
            <w:r w:rsidR="005F3DE6" w:rsidRPr="00695A45">
              <w:rPr>
                <w:rFonts w:ascii="Arial Narrow" w:hAnsi="Arial Narrow"/>
                <w:bCs/>
                <w:sz w:val="20"/>
                <w:szCs w:val="20"/>
              </w:rPr>
              <w:t>T</w:t>
            </w:r>
            <w:r w:rsidRPr="00695A45">
              <w:rPr>
                <w:rFonts w:ascii="Arial Narrow" w:hAnsi="Arial Narrow"/>
                <w:bCs/>
                <w:sz w:val="20"/>
                <w:szCs w:val="20"/>
              </w:rPr>
              <w:t>his increased the ICER to $</w:t>
            </w:r>
            <w:r w:rsidR="00B905EC">
              <w:rPr>
                <w:rFonts w:ascii="Arial Narrow" w:hAnsi="Arial Narrow"/>
                <w:bCs/>
                <w:noProof/>
                <w:color w:val="000000"/>
                <w:sz w:val="20"/>
                <w:szCs w:val="20"/>
                <w:highlight w:val="black"/>
              </w:rPr>
              <w:t>''''''''''''''''''''</w:t>
            </w:r>
            <w:r w:rsidRPr="00695A45">
              <w:rPr>
                <w:rFonts w:ascii="Arial Narrow" w:hAnsi="Arial Narrow"/>
                <w:bCs/>
                <w:sz w:val="20"/>
                <w:szCs w:val="20"/>
              </w:rPr>
              <w:t xml:space="preserve"> per QALY.</w:t>
            </w:r>
          </w:p>
        </w:tc>
        <w:tc>
          <w:tcPr>
            <w:tcW w:w="4626" w:type="dxa"/>
            <w:tcMar>
              <w:left w:w="28" w:type="dxa"/>
              <w:right w:w="28" w:type="dxa"/>
            </w:tcMar>
          </w:tcPr>
          <w:p w:rsidR="005546AE" w:rsidRPr="00695A45" w:rsidRDefault="00C57628" w:rsidP="00C51439">
            <w:pPr>
              <w:keepNext/>
              <w:keepLines/>
              <w:rPr>
                <w:rFonts w:ascii="Arial Narrow" w:hAnsi="Arial Narrow" w:cstheme="minorHAnsi"/>
                <w:sz w:val="20"/>
                <w:szCs w:val="20"/>
              </w:rPr>
            </w:pPr>
            <w:r w:rsidRPr="00695A45">
              <w:rPr>
                <w:rFonts w:ascii="Arial Narrow" w:hAnsi="Arial Narrow" w:cstheme="minorHAnsi"/>
                <w:sz w:val="20"/>
                <w:szCs w:val="20"/>
              </w:rPr>
              <w:t>Updated</w:t>
            </w:r>
            <w:r w:rsidR="00831E66" w:rsidRPr="00695A45">
              <w:rPr>
                <w:rFonts w:ascii="Arial Narrow" w:hAnsi="Arial Narrow" w:cstheme="minorHAnsi"/>
                <w:sz w:val="20"/>
                <w:szCs w:val="20"/>
              </w:rPr>
              <w:t xml:space="preserve"> as requested.</w:t>
            </w:r>
          </w:p>
          <w:p w:rsidR="00831E66" w:rsidRPr="00695A45" w:rsidRDefault="00831E66" w:rsidP="00C51439">
            <w:pPr>
              <w:keepNext/>
              <w:keepLines/>
              <w:rPr>
                <w:rFonts w:ascii="Arial Narrow" w:hAnsi="Arial Narrow" w:cstheme="minorHAnsi"/>
                <w:sz w:val="20"/>
                <w:szCs w:val="20"/>
              </w:rPr>
            </w:pPr>
          </w:p>
        </w:tc>
      </w:tr>
      <w:tr w:rsidR="00347A35" w:rsidRPr="00695A45" w:rsidTr="00122ACB">
        <w:tc>
          <w:tcPr>
            <w:tcW w:w="4390" w:type="dxa"/>
            <w:tcMar>
              <w:left w:w="28" w:type="dxa"/>
              <w:right w:w="28" w:type="dxa"/>
            </w:tcMar>
          </w:tcPr>
          <w:p w:rsidR="00347A35" w:rsidRPr="00695A45" w:rsidRDefault="009872C9" w:rsidP="00FF269E">
            <w:pPr>
              <w:keepNext/>
              <w:keepLines/>
              <w:rPr>
                <w:rFonts w:ascii="Arial Narrow" w:hAnsi="Arial Narrow" w:cstheme="minorHAnsi"/>
                <w:sz w:val="20"/>
                <w:szCs w:val="20"/>
                <w:highlight w:val="lightGray"/>
              </w:rPr>
            </w:pPr>
            <w:r w:rsidRPr="00695A45">
              <w:rPr>
                <w:rFonts w:ascii="Arial Narrow" w:hAnsi="Arial Narrow"/>
                <w:bCs/>
                <w:sz w:val="20"/>
                <w:szCs w:val="20"/>
              </w:rPr>
              <w:t>[paragraph 7.13</w:t>
            </w:r>
            <w:r w:rsidR="00347A35" w:rsidRPr="00695A45">
              <w:rPr>
                <w:rFonts w:ascii="Arial Narrow" w:hAnsi="Arial Narrow"/>
                <w:bCs/>
                <w:sz w:val="20"/>
                <w:szCs w:val="20"/>
              </w:rPr>
              <w:t>]</w:t>
            </w:r>
            <w:r w:rsidRPr="00695A45">
              <w:rPr>
                <w:rFonts w:ascii="Arial Narrow" w:hAnsi="Arial Narrow"/>
                <w:bCs/>
                <w:sz w:val="20"/>
                <w:szCs w:val="20"/>
              </w:rPr>
              <w:t xml:space="preserve"> </w:t>
            </w:r>
            <w:r w:rsidR="00FF269E" w:rsidRPr="00695A45">
              <w:rPr>
                <w:rFonts w:ascii="Arial Narrow" w:hAnsi="Arial Narrow"/>
                <w:bCs/>
                <w:sz w:val="20"/>
                <w:szCs w:val="20"/>
              </w:rPr>
              <w:t>In light of uncertainties with the economic model (i.e. additional uncertainties to those outlined in paragraph 7.12), along with the small OS benefit and unclear PFS benefit, t</w:t>
            </w:r>
            <w:r w:rsidRPr="00695A45">
              <w:rPr>
                <w:rFonts w:ascii="Arial Narrow" w:hAnsi="Arial Narrow"/>
                <w:bCs/>
                <w:sz w:val="20"/>
                <w:szCs w:val="20"/>
              </w:rPr>
              <w:t>he PBAC considered that an ICER less than $</w:t>
            </w:r>
            <w:r w:rsidR="00B905EC">
              <w:rPr>
                <w:rFonts w:ascii="Arial Narrow" w:hAnsi="Arial Narrow"/>
                <w:bCs/>
                <w:noProof/>
                <w:color w:val="000000"/>
                <w:sz w:val="20"/>
                <w:szCs w:val="20"/>
                <w:highlight w:val="black"/>
              </w:rPr>
              <w:t>'''''''''''''''</w:t>
            </w:r>
            <w:r w:rsidRPr="00695A45">
              <w:rPr>
                <w:rFonts w:ascii="Arial Narrow" w:hAnsi="Arial Narrow"/>
                <w:bCs/>
                <w:sz w:val="20"/>
                <w:szCs w:val="20"/>
              </w:rPr>
              <w:t xml:space="preserve"> per QALY would be required for </w:t>
            </w:r>
            <w:proofErr w:type="spellStart"/>
            <w:r w:rsidRPr="00695A45">
              <w:rPr>
                <w:rFonts w:ascii="Arial Narrow" w:hAnsi="Arial Narrow"/>
                <w:bCs/>
                <w:sz w:val="20"/>
                <w:szCs w:val="20"/>
              </w:rPr>
              <w:t>atezolizumab</w:t>
            </w:r>
            <w:proofErr w:type="spellEnd"/>
            <w:r w:rsidRPr="00695A45">
              <w:rPr>
                <w:rFonts w:ascii="Arial Narrow" w:hAnsi="Arial Narrow"/>
                <w:bCs/>
                <w:sz w:val="20"/>
                <w:szCs w:val="20"/>
              </w:rPr>
              <w:t xml:space="preserve"> to be considered suitably cost-effective.</w:t>
            </w:r>
          </w:p>
        </w:tc>
        <w:tc>
          <w:tcPr>
            <w:tcW w:w="4626" w:type="dxa"/>
            <w:tcMar>
              <w:left w:w="28" w:type="dxa"/>
              <w:right w:w="28" w:type="dxa"/>
            </w:tcMar>
          </w:tcPr>
          <w:p w:rsidR="00831E66" w:rsidRPr="00695A45" w:rsidRDefault="00831E66" w:rsidP="00925463">
            <w:pPr>
              <w:keepNext/>
              <w:keepLines/>
              <w:rPr>
                <w:rFonts w:ascii="Arial Narrow" w:hAnsi="Arial Narrow" w:cstheme="minorHAnsi"/>
                <w:sz w:val="20"/>
                <w:szCs w:val="20"/>
              </w:rPr>
            </w:pPr>
            <w:r w:rsidRPr="00695A45">
              <w:rPr>
                <w:rFonts w:ascii="Arial Narrow" w:hAnsi="Arial Narrow" w:cstheme="minorHAnsi"/>
                <w:sz w:val="20"/>
                <w:szCs w:val="20"/>
              </w:rPr>
              <w:t xml:space="preserve">The changes </w:t>
            </w:r>
            <w:r w:rsidR="00D14543" w:rsidRPr="00695A45">
              <w:rPr>
                <w:rFonts w:ascii="Arial Narrow" w:hAnsi="Arial Narrow" w:cstheme="minorHAnsi"/>
                <w:sz w:val="20"/>
                <w:szCs w:val="20"/>
              </w:rPr>
              <w:t xml:space="preserve">outlined in the row </w:t>
            </w:r>
            <w:r w:rsidRPr="00695A45">
              <w:rPr>
                <w:rFonts w:ascii="Arial Narrow" w:hAnsi="Arial Narrow" w:cstheme="minorHAnsi"/>
                <w:sz w:val="20"/>
                <w:szCs w:val="20"/>
              </w:rPr>
              <w:t>above resulted in an ICER of $</w:t>
            </w:r>
            <w:r w:rsidR="00B905EC">
              <w:rPr>
                <w:rFonts w:ascii="Arial Narrow" w:hAnsi="Arial Narrow" w:cstheme="minorHAnsi"/>
                <w:noProof/>
                <w:color w:val="000000"/>
                <w:sz w:val="20"/>
                <w:szCs w:val="20"/>
                <w:highlight w:val="black"/>
              </w:rPr>
              <w:t>''''''''''''''''''''''</w:t>
            </w:r>
            <w:r w:rsidRPr="00695A45">
              <w:rPr>
                <w:rFonts w:ascii="Arial Narrow" w:hAnsi="Arial Narrow" w:cstheme="minorHAnsi"/>
                <w:sz w:val="20"/>
                <w:szCs w:val="20"/>
              </w:rPr>
              <w:t xml:space="preserve"> The resubmission proposed to lower the ICER through a combination of:</w:t>
            </w:r>
          </w:p>
          <w:p w:rsidR="00831E66" w:rsidRPr="00695A45" w:rsidRDefault="00122ACB" w:rsidP="00D752C2">
            <w:pPr>
              <w:pStyle w:val="ListParagraph"/>
              <w:keepNext/>
              <w:keepLines/>
              <w:numPr>
                <w:ilvl w:val="0"/>
                <w:numId w:val="8"/>
              </w:numPr>
              <w:ind w:left="253" w:hanging="253"/>
              <w:rPr>
                <w:rFonts w:ascii="Arial Narrow" w:hAnsi="Arial Narrow" w:cstheme="minorHAnsi"/>
                <w:sz w:val="20"/>
              </w:rPr>
            </w:pPr>
            <w:proofErr w:type="gramStart"/>
            <w:r w:rsidRPr="00695A45">
              <w:rPr>
                <w:rFonts w:ascii="Arial Narrow" w:hAnsi="Arial Narrow" w:cstheme="minorHAnsi"/>
                <w:sz w:val="20"/>
                <w:lang w:eastAsia="en-AU"/>
              </w:rPr>
              <w:t>reducin</w:t>
            </w:r>
            <w:r w:rsidR="00D91869" w:rsidRPr="00695A45">
              <w:rPr>
                <w:rFonts w:ascii="Arial Narrow" w:hAnsi="Arial Narrow" w:cstheme="minorHAnsi"/>
                <w:sz w:val="20"/>
                <w:lang w:eastAsia="en-AU"/>
              </w:rPr>
              <w:t>g</w:t>
            </w:r>
            <w:proofErr w:type="gramEnd"/>
            <w:r w:rsidR="00D91869" w:rsidRPr="00695A45">
              <w:rPr>
                <w:rFonts w:ascii="Arial Narrow" w:hAnsi="Arial Narrow" w:cstheme="minorHAnsi"/>
                <w:sz w:val="20"/>
                <w:lang w:eastAsia="en-AU"/>
              </w:rPr>
              <w:t xml:space="preserve"> the </w:t>
            </w:r>
            <w:r w:rsidR="005F3DE6" w:rsidRPr="00695A45">
              <w:rPr>
                <w:rFonts w:ascii="Arial Narrow" w:hAnsi="Arial Narrow" w:cstheme="minorHAnsi"/>
                <w:sz w:val="20"/>
                <w:lang w:eastAsia="en-AU"/>
              </w:rPr>
              <w:t>effective price</w:t>
            </w:r>
            <w:r w:rsidR="00831E66" w:rsidRPr="00695A45">
              <w:rPr>
                <w:rFonts w:ascii="Arial Narrow" w:hAnsi="Arial Narrow" w:cstheme="minorHAnsi"/>
                <w:sz w:val="20"/>
                <w:lang w:eastAsia="en-AU"/>
              </w:rPr>
              <w:t xml:space="preserve"> by </w:t>
            </w:r>
            <w:r w:rsidR="00B905EC">
              <w:rPr>
                <w:rFonts w:ascii="Arial Narrow" w:hAnsi="Arial Narrow" w:cstheme="minorHAnsi"/>
                <w:noProof/>
                <w:color w:val="000000"/>
                <w:sz w:val="20"/>
                <w:highlight w:val="black"/>
                <w:lang w:eastAsia="en-AU"/>
              </w:rPr>
              <w:t>'''''''</w:t>
            </w:r>
            <w:r w:rsidR="00831E66" w:rsidRPr="00695A45">
              <w:rPr>
                <w:rFonts w:ascii="Arial Narrow" w:hAnsi="Arial Narrow" w:cstheme="minorHAnsi"/>
                <w:sz w:val="20"/>
                <w:lang w:eastAsia="en-AU"/>
              </w:rPr>
              <w:t>% (AEMP reduced from $</w:t>
            </w:r>
            <w:r w:rsidR="00B905EC">
              <w:rPr>
                <w:rFonts w:ascii="Arial Narrow" w:hAnsi="Arial Narrow" w:cstheme="minorHAnsi"/>
                <w:noProof/>
                <w:color w:val="000000"/>
                <w:sz w:val="20"/>
                <w:highlight w:val="black"/>
                <w:lang w:eastAsia="en-AU"/>
              </w:rPr>
              <w:t>''''''''''''''''''''''</w:t>
            </w:r>
            <w:r w:rsidR="00831E66" w:rsidRPr="00695A45">
              <w:rPr>
                <w:rFonts w:ascii="Arial Narrow" w:hAnsi="Arial Narrow" w:cstheme="minorHAnsi"/>
                <w:sz w:val="20"/>
                <w:lang w:eastAsia="en-AU"/>
              </w:rPr>
              <w:t xml:space="preserve"> to $</w:t>
            </w:r>
            <w:r w:rsidR="00B905EC">
              <w:rPr>
                <w:rFonts w:ascii="Arial Narrow" w:hAnsi="Arial Narrow" w:cstheme="minorHAnsi"/>
                <w:noProof/>
                <w:color w:val="000000"/>
                <w:sz w:val="20"/>
                <w:highlight w:val="black"/>
                <w:lang w:eastAsia="en-AU"/>
              </w:rPr>
              <w:t>''''''''''''''''''''''</w:t>
            </w:r>
            <w:r w:rsidR="00831E66" w:rsidRPr="00695A45">
              <w:rPr>
                <w:rFonts w:ascii="Arial Narrow" w:hAnsi="Arial Narrow" w:cstheme="minorHAnsi"/>
                <w:sz w:val="20"/>
                <w:lang w:eastAsia="en-AU"/>
              </w:rPr>
              <w:t>; resulting DPMA reduced from $</w:t>
            </w:r>
            <w:r w:rsidR="00B905EC">
              <w:rPr>
                <w:rFonts w:ascii="Arial Narrow" w:hAnsi="Arial Narrow" w:cstheme="minorHAnsi"/>
                <w:noProof/>
                <w:color w:val="000000"/>
                <w:sz w:val="20"/>
                <w:highlight w:val="black"/>
                <w:lang w:eastAsia="en-AU"/>
              </w:rPr>
              <w:t>'''''''''''''''''''''''</w:t>
            </w:r>
            <w:r w:rsidR="00831E66" w:rsidRPr="00695A45">
              <w:rPr>
                <w:rFonts w:ascii="Arial Narrow" w:hAnsi="Arial Narrow" w:cstheme="minorHAnsi"/>
                <w:sz w:val="20"/>
                <w:lang w:eastAsia="en-AU"/>
              </w:rPr>
              <w:t xml:space="preserve"> to $</w:t>
            </w:r>
            <w:r w:rsidR="00B905EC">
              <w:rPr>
                <w:rFonts w:ascii="Arial Narrow" w:hAnsi="Arial Narrow" w:cstheme="minorHAnsi"/>
                <w:noProof/>
                <w:color w:val="000000"/>
                <w:sz w:val="20"/>
                <w:highlight w:val="black"/>
                <w:lang w:eastAsia="en-AU"/>
              </w:rPr>
              <w:t>'''''''''''''''''''''''</w:t>
            </w:r>
            <w:r w:rsidR="00831E66" w:rsidRPr="00695A45">
              <w:rPr>
                <w:rFonts w:ascii="Arial Narrow" w:hAnsi="Arial Narrow" w:cstheme="minorHAnsi"/>
                <w:snapToGrid/>
                <w:sz w:val="20"/>
                <w:lang w:eastAsia="en-AU"/>
              </w:rPr>
              <w:t xml:space="preserve">). </w:t>
            </w:r>
            <w:r w:rsidR="00831E66" w:rsidRPr="00695A45">
              <w:rPr>
                <w:rFonts w:ascii="Arial Narrow" w:hAnsi="Arial Narrow" w:cstheme="minorHAnsi"/>
                <w:sz w:val="20"/>
              </w:rPr>
              <w:t xml:space="preserve">This reduced the ICER to </w:t>
            </w:r>
            <w:r w:rsidR="00D91869" w:rsidRPr="00695A45">
              <w:rPr>
                <w:rFonts w:ascii="Arial Narrow" w:hAnsi="Arial Narrow" w:cstheme="minorHAnsi"/>
                <w:sz w:val="20"/>
              </w:rPr>
              <w:t>$</w:t>
            </w:r>
            <w:r w:rsidR="00B905EC">
              <w:rPr>
                <w:rFonts w:ascii="Arial Narrow" w:hAnsi="Arial Narrow" w:cstheme="minorHAnsi"/>
                <w:noProof/>
                <w:color w:val="000000"/>
                <w:sz w:val="20"/>
                <w:highlight w:val="black"/>
              </w:rPr>
              <w:t>'''''''''''''''''</w:t>
            </w:r>
            <w:r w:rsidR="00D91869" w:rsidRPr="00695A45">
              <w:rPr>
                <w:rFonts w:ascii="Arial Narrow" w:hAnsi="Arial Narrow" w:cstheme="minorHAnsi"/>
                <w:sz w:val="20"/>
              </w:rPr>
              <w:t xml:space="preserve"> per QALY.</w:t>
            </w:r>
          </w:p>
          <w:p w:rsidR="00347A35" w:rsidRPr="00695A45" w:rsidRDefault="00D91869" w:rsidP="00D752C2">
            <w:pPr>
              <w:pStyle w:val="ListParagraph"/>
              <w:keepNext/>
              <w:keepLines/>
              <w:numPr>
                <w:ilvl w:val="0"/>
                <w:numId w:val="8"/>
              </w:numPr>
              <w:ind w:left="253" w:hanging="253"/>
              <w:rPr>
                <w:rFonts w:ascii="Arial Narrow" w:hAnsi="Arial Narrow" w:cstheme="minorHAnsi"/>
                <w:sz w:val="20"/>
              </w:rPr>
            </w:pPr>
            <w:proofErr w:type="gramStart"/>
            <w:r w:rsidRPr="00695A45">
              <w:rPr>
                <w:rFonts w:ascii="Arial Narrow" w:hAnsi="Arial Narrow" w:cstheme="minorHAnsi"/>
                <w:sz w:val="20"/>
              </w:rPr>
              <w:t>a</w:t>
            </w:r>
            <w:r w:rsidR="00831E66" w:rsidRPr="00695A45">
              <w:rPr>
                <w:rFonts w:ascii="Arial Narrow" w:hAnsi="Arial Narrow" w:cstheme="minorHAnsi"/>
                <w:sz w:val="20"/>
              </w:rPr>
              <w:t>n</w:t>
            </w:r>
            <w:proofErr w:type="gramEnd"/>
            <w:r w:rsidR="00831E66" w:rsidRPr="00695A45">
              <w:rPr>
                <w:rFonts w:ascii="Arial Narrow" w:hAnsi="Arial Narrow" w:cstheme="minorHAnsi"/>
                <w:sz w:val="20"/>
              </w:rPr>
              <w:t xml:space="preserve"> RSA </w:t>
            </w:r>
            <w:r w:rsidRPr="00695A45">
              <w:rPr>
                <w:rFonts w:ascii="Arial Narrow" w:hAnsi="Arial Narrow" w:cstheme="minorHAnsi"/>
                <w:sz w:val="20"/>
              </w:rPr>
              <w:t xml:space="preserve">with the subsidisation caps based on an average of </w:t>
            </w:r>
            <w:r w:rsidR="00B905EC">
              <w:rPr>
                <w:rFonts w:ascii="Arial Narrow" w:hAnsi="Arial Narrow" w:cstheme="minorHAnsi"/>
                <w:noProof/>
                <w:color w:val="000000"/>
                <w:sz w:val="20"/>
                <w:highlight w:val="black"/>
              </w:rPr>
              <w:t>'''</w:t>
            </w:r>
            <w:r w:rsidRPr="00695A45">
              <w:rPr>
                <w:rFonts w:ascii="Arial Narrow" w:hAnsi="Arial Narrow" w:cstheme="minorHAnsi"/>
                <w:sz w:val="20"/>
              </w:rPr>
              <w:t xml:space="preserve"> doses per patient</w:t>
            </w:r>
            <w:r w:rsidRPr="00695A45">
              <w:rPr>
                <w:rFonts w:ascii="Arial Narrow" w:hAnsi="Arial Narrow" w:cstheme="minorHAnsi"/>
                <w:sz w:val="20"/>
                <w:lang w:eastAsia="en-AU"/>
              </w:rPr>
              <w:t>. If the minor resubmission’s estimated rebates are achieved this would result in an ICER of $</w:t>
            </w:r>
            <w:r w:rsidR="00B905EC">
              <w:rPr>
                <w:rFonts w:ascii="Arial Narrow" w:hAnsi="Arial Narrow" w:cstheme="minorHAnsi"/>
                <w:noProof/>
                <w:color w:val="000000"/>
                <w:sz w:val="20"/>
                <w:highlight w:val="black"/>
                <w:lang w:eastAsia="en-AU"/>
              </w:rPr>
              <w:t>'''''''''''''''</w:t>
            </w:r>
            <w:r w:rsidRPr="00695A45">
              <w:rPr>
                <w:rFonts w:ascii="Arial Narrow" w:hAnsi="Arial Narrow" w:cstheme="minorHAnsi"/>
                <w:sz w:val="20"/>
                <w:lang w:eastAsia="en-AU"/>
              </w:rPr>
              <w:t xml:space="preserve"> per QALY (also including the lower effective price).</w:t>
            </w:r>
          </w:p>
        </w:tc>
      </w:tr>
      <w:tr w:rsidR="00347A35" w:rsidRPr="00695A45" w:rsidTr="00122ACB">
        <w:tc>
          <w:tcPr>
            <w:tcW w:w="4390" w:type="dxa"/>
            <w:tcMar>
              <w:left w:w="28" w:type="dxa"/>
              <w:right w:w="28" w:type="dxa"/>
            </w:tcMar>
          </w:tcPr>
          <w:p w:rsidR="00347A35" w:rsidRPr="00695A45" w:rsidRDefault="00396E8F" w:rsidP="00C51439">
            <w:pPr>
              <w:keepNext/>
              <w:keepLines/>
              <w:widowControl w:val="0"/>
              <w:spacing w:after="120"/>
              <w:rPr>
                <w:rFonts w:ascii="Arial Narrow" w:hAnsi="Arial Narrow"/>
                <w:sz w:val="20"/>
                <w:szCs w:val="20"/>
                <w:highlight w:val="lightGray"/>
              </w:rPr>
            </w:pPr>
            <w:r w:rsidRPr="00695A45">
              <w:rPr>
                <w:rFonts w:ascii="Arial Narrow" w:hAnsi="Arial Narrow"/>
                <w:bCs/>
                <w:sz w:val="20"/>
                <w:szCs w:val="20"/>
              </w:rPr>
              <w:t>[paragraph 7.15</w:t>
            </w:r>
            <w:r w:rsidR="00347A35" w:rsidRPr="00695A45">
              <w:rPr>
                <w:rFonts w:ascii="Arial Narrow" w:hAnsi="Arial Narrow"/>
                <w:bCs/>
                <w:sz w:val="20"/>
                <w:szCs w:val="20"/>
              </w:rPr>
              <w:t xml:space="preserve">] </w:t>
            </w:r>
            <w:r w:rsidRPr="00695A45">
              <w:rPr>
                <w:rFonts w:ascii="Arial Narrow" w:hAnsi="Arial Narrow"/>
                <w:bCs/>
                <w:sz w:val="20"/>
                <w:szCs w:val="20"/>
              </w:rPr>
              <w:t>The submission proposed an RSA based on a subsidisation cap and rebate arrangement to reduce uncertainty around the financial impact. The PBAC considered that an RSA with a 100% rebate above the subsidy caps would be required to account for the uncertain patient numbers and potential for leakage</w:t>
            </w:r>
            <w:r w:rsidR="00695A45">
              <w:rPr>
                <w:rFonts w:ascii="Arial Narrow" w:hAnsi="Arial Narrow"/>
                <w:bCs/>
                <w:sz w:val="20"/>
                <w:szCs w:val="20"/>
              </w:rPr>
              <w:t xml:space="preserve">. </w:t>
            </w:r>
          </w:p>
        </w:tc>
        <w:tc>
          <w:tcPr>
            <w:tcW w:w="4626" w:type="dxa"/>
            <w:tcMar>
              <w:left w:w="28" w:type="dxa"/>
              <w:right w:w="28" w:type="dxa"/>
            </w:tcMar>
          </w:tcPr>
          <w:p w:rsidR="00347A35" w:rsidRPr="00695A45" w:rsidRDefault="00347A35" w:rsidP="00D23544">
            <w:pPr>
              <w:keepNext/>
              <w:keepLines/>
              <w:rPr>
                <w:rFonts w:ascii="Arial Narrow" w:hAnsi="Arial Narrow" w:cstheme="minorHAnsi"/>
                <w:sz w:val="20"/>
                <w:szCs w:val="20"/>
              </w:rPr>
            </w:pPr>
            <w:r w:rsidRPr="00695A45">
              <w:rPr>
                <w:rFonts w:ascii="Arial Narrow" w:hAnsi="Arial Narrow" w:cstheme="minorHAnsi"/>
                <w:sz w:val="20"/>
                <w:szCs w:val="20"/>
              </w:rPr>
              <w:t xml:space="preserve">The resubmission </w:t>
            </w:r>
            <w:r w:rsidR="00D91869" w:rsidRPr="00695A45">
              <w:rPr>
                <w:rFonts w:ascii="Arial Narrow" w:hAnsi="Arial Narrow" w:cstheme="minorHAnsi"/>
                <w:sz w:val="20"/>
                <w:szCs w:val="20"/>
              </w:rPr>
              <w:t>reduced the</w:t>
            </w:r>
            <w:r w:rsidR="002B4878" w:rsidRPr="00695A45">
              <w:rPr>
                <w:rFonts w:ascii="Arial Narrow" w:hAnsi="Arial Narrow" w:cstheme="minorHAnsi"/>
                <w:sz w:val="20"/>
                <w:szCs w:val="20"/>
              </w:rPr>
              <w:t xml:space="preserve"> </w:t>
            </w:r>
            <w:r w:rsidR="00F71057" w:rsidRPr="00695A45">
              <w:rPr>
                <w:rFonts w:ascii="Arial Narrow" w:hAnsi="Arial Narrow" w:cstheme="minorHAnsi"/>
                <w:sz w:val="20"/>
                <w:szCs w:val="20"/>
              </w:rPr>
              <w:t xml:space="preserve">proposed </w:t>
            </w:r>
            <w:r w:rsidR="002B4878" w:rsidRPr="00695A45">
              <w:rPr>
                <w:rFonts w:ascii="Arial Narrow" w:hAnsi="Arial Narrow" w:cstheme="minorHAnsi"/>
                <w:sz w:val="20"/>
                <w:szCs w:val="20"/>
              </w:rPr>
              <w:t>expenditure cap</w:t>
            </w:r>
            <w:r w:rsidR="00D91869" w:rsidRPr="00695A45">
              <w:rPr>
                <w:rFonts w:ascii="Arial Narrow" w:hAnsi="Arial Narrow" w:cstheme="minorHAnsi"/>
                <w:sz w:val="20"/>
                <w:szCs w:val="20"/>
              </w:rPr>
              <w:t>:</w:t>
            </w:r>
          </w:p>
          <w:p w:rsidR="002B4878" w:rsidRPr="00695A45" w:rsidRDefault="002B4878" w:rsidP="00D23544">
            <w:pPr>
              <w:keepNext/>
              <w:keepLines/>
              <w:rPr>
                <w:rFonts w:ascii="Arial Narrow" w:hAnsi="Arial Narrow" w:cstheme="minorHAnsi"/>
                <w:sz w:val="20"/>
                <w:szCs w:val="20"/>
              </w:rPr>
            </w:pPr>
            <w:r w:rsidRPr="00695A45">
              <w:rPr>
                <w:rFonts w:ascii="Arial Narrow" w:hAnsi="Arial Narrow" w:cstheme="minorHAnsi"/>
                <w:sz w:val="20"/>
                <w:szCs w:val="20"/>
              </w:rPr>
              <w:t>From:</w:t>
            </w:r>
            <w:r w:rsidR="00F71057" w:rsidRPr="00695A45">
              <w:rPr>
                <w:rFonts w:ascii="Arial Narrow" w:hAnsi="Arial Narrow" w:cstheme="minorHAnsi"/>
                <w:sz w:val="20"/>
                <w:szCs w:val="20"/>
              </w:rPr>
              <w:t xml:space="preserve"> $</w:t>
            </w:r>
            <w:r w:rsidR="00B905EC">
              <w:rPr>
                <w:rFonts w:ascii="Arial Narrow" w:hAnsi="Arial Narrow" w:cstheme="minorHAnsi"/>
                <w:noProof/>
                <w:color w:val="000000"/>
                <w:sz w:val="20"/>
                <w:szCs w:val="20"/>
                <w:highlight w:val="black"/>
              </w:rPr>
              <w:t>''''''''''</w:t>
            </w:r>
            <w:r w:rsidR="00F71057" w:rsidRPr="00695A45">
              <w:rPr>
                <w:rFonts w:ascii="Arial Narrow" w:hAnsi="Arial Narrow" w:cstheme="minorHAnsi"/>
                <w:sz w:val="20"/>
                <w:szCs w:val="20"/>
              </w:rPr>
              <w:t>-$</w:t>
            </w:r>
            <w:r w:rsidR="00B905EC">
              <w:rPr>
                <w:rFonts w:ascii="Arial Narrow" w:hAnsi="Arial Narrow" w:cstheme="minorHAnsi"/>
                <w:noProof/>
                <w:color w:val="000000"/>
                <w:sz w:val="20"/>
                <w:szCs w:val="20"/>
                <w:highlight w:val="black"/>
              </w:rPr>
              <w:t>'''''''''''</w:t>
            </w:r>
            <w:r w:rsidR="00F71057" w:rsidRPr="00695A45">
              <w:rPr>
                <w:rFonts w:ascii="Arial Narrow" w:hAnsi="Arial Narrow" w:cstheme="minorHAnsi"/>
                <w:sz w:val="20"/>
                <w:szCs w:val="20"/>
              </w:rPr>
              <w:t xml:space="preserve"> pa</w:t>
            </w:r>
            <w:r w:rsidR="00D91869" w:rsidRPr="00695A45">
              <w:rPr>
                <w:rFonts w:ascii="Arial Narrow" w:hAnsi="Arial Narrow" w:cstheme="minorHAnsi"/>
                <w:sz w:val="20"/>
                <w:szCs w:val="20"/>
              </w:rPr>
              <w:t xml:space="preserve"> (July 2019 pre-PBAC response),</w:t>
            </w:r>
            <w:r w:rsidR="00F71057" w:rsidRPr="00695A45">
              <w:rPr>
                <w:rFonts w:ascii="Arial Narrow" w:hAnsi="Arial Narrow" w:cstheme="minorHAnsi"/>
                <w:sz w:val="20"/>
                <w:szCs w:val="20"/>
              </w:rPr>
              <w:t xml:space="preserve"> 100% rebate for expenditure above the caps;</w:t>
            </w:r>
          </w:p>
          <w:p w:rsidR="002B4878" w:rsidRPr="00695A45" w:rsidRDefault="002B4878" w:rsidP="00F71057">
            <w:pPr>
              <w:keepNext/>
              <w:keepLines/>
              <w:rPr>
                <w:rFonts w:ascii="Arial Narrow" w:hAnsi="Arial Narrow" w:cstheme="minorHAnsi"/>
                <w:sz w:val="20"/>
                <w:szCs w:val="20"/>
                <w:highlight w:val="lightGray"/>
              </w:rPr>
            </w:pPr>
            <w:r w:rsidRPr="00695A45">
              <w:rPr>
                <w:rFonts w:ascii="Arial Narrow" w:hAnsi="Arial Narrow" w:cstheme="minorHAnsi"/>
                <w:sz w:val="20"/>
                <w:szCs w:val="20"/>
              </w:rPr>
              <w:t xml:space="preserve">To: </w:t>
            </w:r>
            <w:r w:rsidR="00F71057" w:rsidRPr="00695A45">
              <w:rPr>
                <w:rFonts w:ascii="Arial Narrow" w:hAnsi="Arial Narrow" w:cstheme="minorHAnsi"/>
                <w:sz w:val="20"/>
                <w:szCs w:val="20"/>
              </w:rPr>
              <w:t>$</w:t>
            </w:r>
            <w:r w:rsidR="00B905EC">
              <w:rPr>
                <w:rFonts w:ascii="Arial Narrow" w:hAnsi="Arial Narrow" w:cstheme="minorHAnsi"/>
                <w:noProof/>
                <w:color w:val="000000"/>
                <w:sz w:val="20"/>
                <w:szCs w:val="20"/>
                <w:highlight w:val="black"/>
              </w:rPr>
              <w:t>'''''''''''</w:t>
            </w:r>
            <w:r w:rsidR="00F71057" w:rsidRPr="00695A45">
              <w:rPr>
                <w:rFonts w:ascii="Arial Narrow" w:hAnsi="Arial Narrow" w:cstheme="minorHAnsi"/>
                <w:sz w:val="20"/>
                <w:szCs w:val="20"/>
              </w:rPr>
              <w:t>-$</w:t>
            </w:r>
            <w:r w:rsidR="00B905EC">
              <w:rPr>
                <w:rFonts w:ascii="Arial Narrow" w:hAnsi="Arial Narrow" w:cstheme="minorHAnsi"/>
                <w:noProof/>
                <w:color w:val="000000"/>
                <w:sz w:val="20"/>
                <w:szCs w:val="20"/>
                <w:highlight w:val="black"/>
              </w:rPr>
              <w:t>''''''''''</w:t>
            </w:r>
            <w:r w:rsidR="00F71057" w:rsidRPr="00695A45">
              <w:rPr>
                <w:rFonts w:ascii="Arial Narrow" w:hAnsi="Arial Narrow" w:cstheme="minorHAnsi"/>
                <w:sz w:val="20"/>
                <w:szCs w:val="20"/>
              </w:rPr>
              <w:t xml:space="preserve"> pa, 100% rebate for expenditure above the caps.</w:t>
            </w:r>
          </w:p>
        </w:tc>
      </w:tr>
    </w:tbl>
    <w:p w:rsidR="00B66053" w:rsidRPr="00695A45" w:rsidRDefault="00925463" w:rsidP="00C679BE">
      <w:pPr>
        <w:pStyle w:val="3Bodytext"/>
        <w:keepNext/>
        <w:keepLines/>
        <w:numPr>
          <w:ilvl w:val="0"/>
          <w:numId w:val="0"/>
        </w:numPr>
        <w:spacing w:after="240"/>
        <w:contextualSpacing/>
        <w:rPr>
          <w:rFonts w:ascii="Arial Narrow" w:hAnsi="Arial Narrow"/>
          <w:sz w:val="18"/>
          <w:szCs w:val="18"/>
        </w:rPr>
      </w:pPr>
      <w:r w:rsidRPr="00695A45">
        <w:rPr>
          <w:rFonts w:ascii="Arial Narrow" w:hAnsi="Arial Narrow"/>
          <w:sz w:val="18"/>
          <w:szCs w:val="18"/>
        </w:rPr>
        <w:t xml:space="preserve">AEMP = approved ex-manufacturer price; </w:t>
      </w:r>
      <w:r w:rsidR="00CF1D06" w:rsidRPr="00695A45">
        <w:rPr>
          <w:rFonts w:ascii="Arial Narrow" w:hAnsi="Arial Narrow"/>
          <w:sz w:val="18"/>
          <w:szCs w:val="18"/>
        </w:rPr>
        <w:t xml:space="preserve">DPMA = dispensed price for maximum amount; </w:t>
      </w:r>
      <w:r w:rsidR="009872C9" w:rsidRPr="00695A45">
        <w:rPr>
          <w:rFonts w:ascii="Arial Narrow" w:hAnsi="Arial Narrow"/>
          <w:sz w:val="18"/>
          <w:szCs w:val="18"/>
        </w:rPr>
        <w:t>ESC = Economics Sub-Committee;</w:t>
      </w:r>
      <w:r w:rsidR="00AE0C59" w:rsidRPr="00695A45">
        <w:rPr>
          <w:rFonts w:ascii="Arial Narrow" w:hAnsi="Arial Narrow"/>
          <w:sz w:val="18"/>
          <w:szCs w:val="18"/>
        </w:rPr>
        <w:t xml:space="preserve"> ICER = incremental cost effectiveness ratio;</w:t>
      </w:r>
      <w:r w:rsidR="009872C9" w:rsidRPr="00695A45">
        <w:rPr>
          <w:rFonts w:ascii="Arial Narrow" w:hAnsi="Arial Narrow"/>
          <w:sz w:val="18"/>
          <w:szCs w:val="18"/>
        </w:rPr>
        <w:t xml:space="preserve"> </w:t>
      </w:r>
      <w:r w:rsidR="00AE0C59" w:rsidRPr="00695A45">
        <w:rPr>
          <w:rFonts w:ascii="Arial Narrow" w:hAnsi="Arial Narrow"/>
          <w:sz w:val="18"/>
          <w:szCs w:val="18"/>
        </w:rPr>
        <w:t xml:space="preserve">OS = overall survival; </w:t>
      </w:r>
      <w:r w:rsidR="00F71057" w:rsidRPr="00695A45">
        <w:rPr>
          <w:rFonts w:ascii="Arial Narrow" w:hAnsi="Arial Narrow"/>
          <w:sz w:val="18"/>
          <w:szCs w:val="18"/>
        </w:rPr>
        <w:t xml:space="preserve">pa = per annum; </w:t>
      </w:r>
      <w:r w:rsidR="00AE0C59" w:rsidRPr="00695A45">
        <w:rPr>
          <w:rFonts w:ascii="Arial Narrow" w:hAnsi="Arial Narrow"/>
          <w:sz w:val="18"/>
          <w:szCs w:val="18"/>
        </w:rPr>
        <w:t xml:space="preserve">PFS = progression free survival; </w:t>
      </w:r>
      <w:r w:rsidR="009872C9" w:rsidRPr="00695A45">
        <w:rPr>
          <w:rFonts w:ascii="Arial Narrow" w:hAnsi="Arial Narrow"/>
          <w:sz w:val="18"/>
          <w:szCs w:val="18"/>
        </w:rPr>
        <w:t xml:space="preserve">PSCR = Pre-Sub-Committee Response; </w:t>
      </w:r>
      <w:r w:rsidR="00AE0C59" w:rsidRPr="00695A45">
        <w:rPr>
          <w:rFonts w:ascii="Arial Narrow" w:hAnsi="Arial Narrow"/>
          <w:sz w:val="18"/>
          <w:szCs w:val="18"/>
        </w:rPr>
        <w:t xml:space="preserve">QALY = quality adjusted life year; </w:t>
      </w:r>
      <w:r w:rsidR="009872C9" w:rsidRPr="00695A45">
        <w:rPr>
          <w:rFonts w:ascii="Arial Narrow" w:hAnsi="Arial Narrow"/>
          <w:sz w:val="18"/>
          <w:szCs w:val="18"/>
        </w:rPr>
        <w:t>RSA = Risk Sharing Arrangement.</w:t>
      </w:r>
    </w:p>
    <w:p w:rsidR="00F96E08" w:rsidRPr="00695A45" w:rsidRDefault="00F96E08" w:rsidP="00C679BE">
      <w:pPr>
        <w:pStyle w:val="3Bodytext"/>
        <w:keepNext/>
        <w:keepLines/>
        <w:numPr>
          <w:ilvl w:val="0"/>
          <w:numId w:val="0"/>
        </w:numPr>
        <w:spacing w:after="240"/>
        <w:rPr>
          <w:rFonts w:ascii="Arial Narrow" w:hAnsi="Arial Narrow"/>
          <w:sz w:val="18"/>
          <w:szCs w:val="18"/>
        </w:rPr>
      </w:pPr>
      <w:r w:rsidRPr="00695A45">
        <w:rPr>
          <w:rFonts w:ascii="Arial Narrow" w:hAnsi="Arial Narrow"/>
          <w:sz w:val="18"/>
          <w:szCs w:val="18"/>
        </w:rPr>
        <w:t xml:space="preserve">Paragraph references refer to the </w:t>
      </w:r>
      <w:proofErr w:type="spellStart"/>
      <w:r w:rsidRPr="00695A45">
        <w:rPr>
          <w:rFonts w:ascii="Arial Narrow" w:hAnsi="Arial Narrow"/>
          <w:sz w:val="18"/>
          <w:szCs w:val="18"/>
        </w:rPr>
        <w:t>atezolizumab</w:t>
      </w:r>
      <w:proofErr w:type="spellEnd"/>
      <w:r w:rsidRPr="00695A45">
        <w:rPr>
          <w:rFonts w:ascii="Arial Narrow" w:hAnsi="Arial Narrow"/>
          <w:sz w:val="18"/>
          <w:szCs w:val="18"/>
        </w:rPr>
        <w:t xml:space="preserve"> PBAC Minutes, July 2019.</w:t>
      </w:r>
    </w:p>
    <w:p w:rsidR="00B66053" w:rsidRPr="00695A45" w:rsidRDefault="00B66053" w:rsidP="0097202A">
      <w:pPr>
        <w:pStyle w:val="3Bodytext"/>
        <w:keepNext/>
        <w:keepLines/>
        <w:numPr>
          <w:ilvl w:val="0"/>
          <w:numId w:val="0"/>
        </w:numPr>
      </w:pPr>
      <w:r w:rsidRPr="00695A45">
        <w:rPr>
          <w:i/>
        </w:rPr>
        <w:t xml:space="preserve">For more detail on PBAC’s view, see section </w:t>
      </w:r>
      <w:r w:rsidR="00526E1C" w:rsidRPr="00695A45">
        <w:rPr>
          <w:i/>
        </w:rPr>
        <w:t xml:space="preserve">6 </w:t>
      </w:r>
      <w:r w:rsidRPr="00695A45">
        <w:rPr>
          <w:i/>
        </w:rPr>
        <w:t>PBAC outcome.</w:t>
      </w:r>
    </w:p>
    <w:p w:rsidR="00E663E9" w:rsidRPr="00695A45" w:rsidRDefault="00E663E9" w:rsidP="00D752C2">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695A45">
        <w:rPr>
          <w:rFonts w:asciiTheme="minorHAnsi" w:hAnsiTheme="minorHAnsi"/>
          <w:sz w:val="32"/>
          <w:szCs w:val="32"/>
        </w:rPr>
        <w:t>Comparator</w:t>
      </w:r>
    </w:p>
    <w:p w:rsidR="00F25CCE" w:rsidRPr="00695A45" w:rsidRDefault="008D1676" w:rsidP="0018339F">
      <w:pPr>
        <w:pStyle w:val="3Bodytext"/>
      </w:pPr>
      <w:r w:rsidRPr="00695A45">
        <w:t xml:space="preserve">The proposed comparator, </w:t>
      </w:r>
      <w:r w:rsidR="00207F1C" w:rsidRPr="00695A45">
        <w:t>platinum based chemotherapy (cisplatin or carboplatin) + etoposide (+ placebo)</w:t>
      </w:r>
      <w:r w:rsidRPr="00695A45">
        <w:t xml:space="preserve">, </w:t>
      </w:r>
      <w:r w:rsidR="005F3DE6" w:rsidRPr="00695A45">
        <w:t>was previously accepted by the PBAC (</w:t>
      </w:r>
      <w:r w:rsidR="0018339F" w:rsidRPr="00695A45">
        <w:t xml:space="preserve">paragraph 7.4, </w:t>
      </w:r>
      <w:proofErr w:type="spellStart"/>
      <w:r w:rsidR="0018339F" w:rsidRPr="00695A45">
        <w:t>atezolizumab</w:t>
      </w:r>
      <w:proofErr w:type="spellEnd"/>
      <w:r w:rsidR="0018339F" w:rsidRPr="00695A45">
        <w:t xml:space="preserve"> </w:t>
      </w:r>
      <w:r w:rsidR="00F96E08" w:rsidRPr="00695A45">
        <w:t>PSD</w:t>
      </w:r>
      <w:r w:rsidR="0018339F" w:rsidRPr="00695A45">
        <w:t>, July 2019</w:t>
      </w:r>
      <w:r w:rsidR="00207F1C" w:rsidRPr="00695A45">
        <w:t>).</w:t>
      </w:r>
    </w:p>
    <w:p w:rsidR="00FC3647" w:rsidRPr="00695A45" w:rsidRDefault="00FC3647" w:rsidP="00D752C2">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695A45">
        <w:rPr>
          <w:rFonts w:asciiTheme="minorHAnsi" w:hAnsiTheme="minorHAnsi"/>
          <w:sz w:val="32"/>
          <w:szCs w:val="32"/>
        </w:rPr>
        <w:t>Consideration of the evidence</w:t>
      </w:r>
    </w:p>
    <w:p w:rsidR="007A16E7" w:rsidRPr="00695A45" w:rsidRDefault="007A16E7" w:rsidP="007D5FC2">
      <w:pPr>
        <w:pStyle w:val="Heading2"/>
        <w:spacing w:before="240" w:after="120"/>
        <w:rPr>
          <w:rFonts w:asciiTheme="minorHAnsi" w:hAnsiTheme="minorHAnsi" w:cs="Arial"/>
          <w:b w:val="0"/>
          <w:bCs/>
          <w:i w:val="0"/>
          <w:iCs/>
          <w:snapToGrid w:val="0"/>
          <w:sz w:val="28"/>
          <w:szCs w:val="28"/>
        </w:rPr>
      </w:pPr>
      <w:r w:rsidRPr="00695A45">
        <w:rPr>
          <w:rFonts w:asciiTheme="minorHAnsi" w:hAnsiTheme="minorHAnsi" w:cs="Arial"/>
          <w:bCs/>
          <w:iCs/>
          <w:snapToGrid w:val="0"/>
          <w:sz w:val="28"/>
          <w:szCs w:val="28"/>
        </w:rPr>
        <w:t>Sponsor hearing</w:t>
      </w:r>
    </w:p>
    <w:p w:rsidR="007A16E7" w:rsidRPr="00695A45" w:rsidRDefault="007A16E7" w:rsidP="00D752C2">
      <w:pPr>
        <w:widowControl w:val="0"/>
        <w:numPr>
          <w:ilvl w:val="1"/>
          <w:numId w:val="1"/>
        </w:numPr>
        <w:spacing w:after="120"/>
        <w:jc w:val="both"/>
        <w:rPr>
          <w:rFonts w:asciiTheme="minorHAnsi" w:hAnsiTheme="minorHAnsi" w:cs="Arial"/>
          <w:bCs/>
          <w:snapToGrid w:val="0"/>
        </w:rPr>
      </w:pPr>
      <w:r w:rsidRPr="00695A45">
        <w:rPr>
          <w:rFonts w:asciiTheme="minorHAnsi" w:hAnsiTheme="minorHAnsi" w:cs="Arial"/>
          <w:bCs/>
          <w:snapToGrid w:val="0"/>
        </w:rPr>
        <w:t>There was no hearing for this item as it was a minor submission.</w:t>
      </w:r>
    </w:p>
    <w:p w:rsidR="007A16E7" w:rsidRPr="00695A45" w:rsidRDefault="007A16E7" w:rsidP="007D5FC2">
      <w:pPr>
        <w:pStyle w:val="Heading2"/>
        <w:spacing w:before="240" w:after="120"/>
        <w:rPr>
          <w:rFonts w:asciiTheme="minorHAnsi" w:hAnsiTheme="minorHAnsi" w:cs="Arial"/>
          <w:b w:val="0"/>
          <w:bCs/>
          <w:i w:val="0"/>
          <w:iCs/>
          <w:snapToGrid w:val="0"/>
          <w:sz w:val="28"/>
          <w:szCs w:val="28"/>
        </w:rPr>
      </w:pPr>
      <w:r w:rsidRPr="00695A45">
        <w:rPr>
          <w:rFonts w:asciiTheme="minorHAnsi" w:hAnsiTheme="minorHAnsi" w:cs="Arial"/>
          <w:bCs/>
          <w:iCs/>
          <w:snapToGrid w:val="0"/>
          <w:sz w:val="28"/>
          <w:szCs w:val="28"/>
        </w:rPr>
        <w:lastRenderedPageBreak/>
        <w:t>Consumer comments</w:t>
      </w:r>
    </w:p>
    <w:p w:rsidR="007A16E7" w:rsidRPr="00695A45" w:rsidRDefault="007A16E7" w:rsidP="00D752C2">
      <w:pPr>
        <w:widowControl w:val="0"/>
        <w:numPr>
          <w:ilvl w:val="1"/>
          <w:numId w:val="1"/>
        </w:numPr>
        <w:spacing w:after="120"/>
        <w:jc w:val="both"/>
        <w:rPr>
          <w:rFonts w:asciiTheme="minorHAnsi" w:hAnsiTheme="minorHAnsi" w:cs="Arial"/>
          <w:bCs/>
          <w:snapToGrid w:val="0"/>
        </w:rPr>
      </w:pPr>
      <w:r w:rsidRPr="00695A45">
        <w:rPr>
          <w:rFonts w:asciiTheme="minorHAnsi" w:hAnsiTheme="minorHAnsi" w:cs="Arial"/>
          <w:bCs/>
          <w:snapToGrid w:val="0"/>
        </w:rPr>
        <w:t xml:space="preserve">The PBAC noted and welcomed the input from </w:t>
      </w:r>
      <w:r w:rsidR="00250902" w:rsidRPr="00695A45">
        <w:rPr>
          <w:rFonts w:asciiTheme="minorHAnsi" w:hAnsiTheme="minorHAnsi" w:cs="Arial"/>
          <w:bCs/>
          <w:snapToGrid w:val="0"/>
        </w:rPr>
        <w:t>one</w:t>
      </w:r>
      <w:r w:rsidRPr="00695A45">
        <w:rPr>
          <w:rFonts w:asciiTheme="minorHAnsi" w:hAnsiTheme="minorHAnsi" w:cs="Arial"/>
          <w:bCs/>
          <w:snapToGrid w:val="0"/>
        </w:rPr>
        <w:t xml:space="preserve"> organisation via the Consumer Comments facility on the PBS website.</w:t>
      </w:r>
    </w:p>
    <w:p w:rsidR="007A16E7" w:rsidRPr="00695A45" w:rsidRDefault="007A16E7" w:rsidP="007753A1">
      <w:pPr>
        <w:widowControl w:val="0"/>
        <w:numPr>
          <w:ilvl w:val="1"/>
          <w:numId w:val="1"/>
        </w:numPr>
        <w:spacing w:after="120"/>
        <w:jc w:val="both"/>
        <w:rPr>
          <w:rFonts w:asciiTheme="minorHAnsi" w:hAnsiTheme="minorHAnsi" w:cs="Arial"/>
          <w:bCs/>
          <w:snapToGrid w:val="0"/>
        </w:rPr>
      </w:pPr>
      <w:r w:rsidRPr="00695A45">
        <w:rPr>
          <w:rFonts w:asciiTheme="minorHAnsi" w:hAnsiTheme="minorHAnsi"/>
          <w:bCs/>
          <w:snapToGrid w:val="0"/>
        </w:rPr>
        <w:t xml:space="preserve">The Medical Oncology Group of Australia (MOGA) expressed its strong support for the </w:t>
      </w:r>
      <w:proofErr w:type="spellStart"/>
      <w:r w:rsidR="00E35CB5" w:rsidRPr="00695A45">
        <w:rPr>
          <w:rFonts w:asciiTheme="minorHAnsi" w:hAnsiTheme="minorHAnsi"/>
          <w:bCs/>
          <w:snapToGrid w:val="0"/>
        </w:rPr>
        <w:t>atezolizumab</w:t>
      </w:r>
      <w:proofErr w:type="spellEnd"/>
      <w:r w:rsidR="00250902" w:rsidRPr="00695A45">
        <w:rPr>
          <w:rFonts w:asciiTheme="minorHAnsi" w:hAnsiTheme="minorHAnsi"/>
          <w:bCs/>
          <w:snapToGrid w:val="0"/>
        </w:rPr>
        <w:t xml:space="preserve"> in ES-SCLC</w:t>
      </w:r>
      <w:r w:rsidR="00E35CB5" w:rsidRPr="00695A45">
        <w:rPr>
          <w:rFonts w:asciiTheme="minorHAnsi" w:hAnsiTheme="minorHAnsi"/>
          <w:bCs/>
          <w:snapToGrid w:val="0"/>
        </w:rPr>
        <w:t xml:space="preserve"> </w:t>
      </w:r>
      <w:r w:rsidR="00E00455" w:rsidRPr="00695A45">
        <w:rPr>
          <w:rFonts w:asciiTheme="minorHAnsi" w:hAnsiTheme="minorHAnsi"/>
          <w:bCs/>
          <w:snapToGrid w:val="0"/>
        </w:rPr>
        <w:t xml:space="preserve">minor </w:t>
      </w:r>
      <w:r w:rsidR="007753A1" w:rsidRPr="00695A45">
        <w:rPr>
          <w:rFonts w:asciiTheme="minorHAnsi" w:hAnsiTheme="minorHAnsi"/>
          <w:bCs/>
          <w:snapToGrid w:val="0"/>
        </w:rPr>
        <w:t>re</w:t>
      </w:r>
      <w:r w:rsidRPr="00695A45">
        <w:rPr>
          <w:rFonts w:asciiTheme="minorHAnsi" w:hAnsiTheme="minorHAnsi"/>
          <w:bCs/>
          <w:snapToGrid w:val="0"/>
        </w:rPr>
        <w:t xml:space="preserve">submission, categorising it as one of the therapies of “high priority for PBS listing” on the basis of the </w:t>
      </w:r>
      <w:proofErr w:type="spellStart"/>
      <w:r w:rsidR="00250902" w:rsidRPr="00695A45">
        <w:rPr>
          <w:rFonts w:asciiTheme="minorHAnsi" w:hAnsiTheme="minorHAnsi"/>
          <w:bCs/>
        </w:rPr>
        <w:t>IMpower</w:t>
      </w:r>
      <w:proofErr w:type="spellEnd"/>
      <w:r w:rsidR="00250902" w:rsidRPr="00695A45">
        <w:rPr>
          <w:rFonts w:asciiTheme="minorHAnsi" w:hAnsiTheme="minorHAnsi"/>
          <w:bCs/>
        </w:rPr>
        <w:t xml:space="preserve"> 133</w:t>
      </w:r>
      <w:r w:rsidRPr="00695A45">
        <w:rPr>
          <w:rFonts w:asciiTheme="minorHAnsi" w:hAnsiTheme="minorHAnsi"/>
          <w:bCs/>
          <w:snapToGrid w:val="0"/>
        </w:rPr>
        <w:t xml:space="preserve"> trial. The PBAC noted that the MOGA presented a European Society for Medical Oncology Magnitude of Clinical Benefit Scale (ESMO-MCBS) for </w:t>
      </w:r>
      <w:proofErr w:type="spellStart"/>
      <w:r w:rsidR="00E35CB5" w:rsidRPr="00695A45">
        <w:rPr>
          <w:rFonts w:asciiTheme="minorHAnsi" w:hAnsiTheme="minorHAnsi"/>
          <w:bCs/>
          <w:snapToGrid w:val="0"/>
        </w:rPr>
        <w:t>atezolizumab</w:t>
      </w:r>
      <w:proofErr w:type="spellEnd"/>
      <w:r w:rsidR="00250902" w:rsidRPr="00695A45">
        <w:rPr>
          <w:rFonts w:asciiTheme="minorHAnsi" w:hAnsiTheme="minorHAnsi"/>
          <w:bCs/>
          <w:snapToGrid w:val="0"/>
        </w:rPr>
        <w:t xml:space="preserve"> + CE in ES-SCLC</w:t>
      </w:r>
      <w:r w:rsidRPr="00695A45">
        <w:rPr>
          <w:rFonts w:asciiTheme="minorHAnsi" w:hAnsiTheme="minorHAnsi"/>
          <w:bCs/>
          <w:snapToGrid w:val="0"/>
        </w:rPr>
        <w:t xml:space="preserve">, which was limited to </w:t>
      </w:r>
      <w:r w:rsidR="00E35CB5" w:rsidRPr="00695A45">
        <w:rPr>
          <w:rFonts w:asciiTheme="minorHAnsi" w:hAnsiTheme="minorHAnsi"/>
          <w:bCs/>
          <w:snapToGrid w:val="0"/>
        </w:rPr>
        <w:t xml:space="preserve">3 </w:t>
      </w:r>
      <w:r w:rsidRPr="00695A45">
        <w:rPr>
          <w:rFonts w:asciiTheme="minorHAnsi" w:hAnsiTheme="minorHAnsi"/>
          <w:bCs/>
          <w:snapToGrid w:val="0"/>
        </w:rPr>
        <w:t>(out of a maximum of 5, where 5 and 4 represent the grades with substantial improvement),</w:t>
      </w:r>
      <w:r w:rsidR="00250902" w:rsidRPr="00695A45">
        <w:rPr>
          <w:rStyle w:val="FootnoteReference"/>
          <w:rFonts w:asciiTheme="minorHAnsi" w:hAnsiTheme="minorHAnsi"/>
          <w:bCs/>
          <w:snapToGrid w:val="0"/>
        </w:rPr>
        <w:footnoteReference w:id="1"/>
      </w:r>
      <w:r w:rsidRPr="00695A45">
        <w:rPr>
          <w:rFonts w:asciiTheme="minorHAnsi" w:hAnsiTheme="minorHAnsi"/>
          <w:bCs/>
          <w:snapToGrid w:val="0"/>
        </w:rPr>
        <w:t xml:space="preserve"> based on a comparison with </w:t>
      </w:r>
      <w:r w:rsidR="00250902" w:rsidRPr="00695A45">
        <w:rPr>
          <w:rFonts w:asciiTheme="minorHAnsi" w:hAnsiTheme="minorHAnsi"/>
          <w:bCs/>
          <w:snapToGrid w:val="0"/>
        </w:rPr>
        <w:t xml:space="preserve">CE </w:t>
      </w:r>
      <w:r w:rsidR="00D14543" w:rsidRPr="00695A45">
        <w:rPr>
          <w:rFonts w:asciiTheme="minorHAnsi" w:hAnsiTheme="minorHAnsi"/>
          <w:bCs/>
          <w:snapToGrid w:val="0"/>
        </w:rPr>
        <w:t>alone</w:t>
      </w:r>
      <w:r w:rsidR="00250902" w:rsidRPr="00695A45">
        <w:rPr>
          <w:rFonts w:asciiTheme="minorHAnsi" w:hAnsiTheme="minorHAnsi"/>
          <w:bCs/>
          <w:snapToGrid w:val="0"/>
        </w:rPr>
        <w:t>.</w:t>
      </w:r>
    </w:p>
    <w:p w:rsidR="00FC3647" w:rsidRPr="00695A45" w:rsidRDefault="00FC3647" w:rsidP="00FC3647">
      <w:pPr>
        <w:pStyle w:val="Heading2"/>
        <w:keepLines/>
        <w:spacing w:before="240" w:after="120"/>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Clinical trials</w:t>
      </w:r>
    </w:p>
    <w:p w:rsidR="005F3DE6" w:rsidRPr="00695A45" w:rsidRDefault="008D1676" w:rsidP="00D752C2">
      <w:pPr>
        <w:pStyle w:val="ListParagraph"/>
        <w:widowControl/>
        <w:numPr>
          <w:ilvl w:val="1"/>
          <w:numId w:val="1"/>
        </w:numPr>
        <w:spacing w:after="120"/>
        <w:contextualSpacing w:val="0"/>
        <w:rPr>
          <w:rFonts w:asciiTheme="minorHAnsi" w:eastAsiaTheme="minorHAnsi" w:hAnsiTheme="minorHAnsi" w:cstheme="minorBidi"/>
          <w:sz w:val="24"/>
          <w:szCs w:val="24"/>
        </w:rPr>
      </w:pPr>
      <w:r w:rsidRPr="00695A45">
        <w:rPr>
          <w:rFonts w:asciiTheme="minorHAnsi" w:eastAsiaTheme="minorHAnsi" w:hAnsiTheme="minorHAnsi" w:cstheme="minorBidi"/>
          <w:sz w:val="24"/>
          <w:szCs w:val="24"/>
        </w:rPr>
        <w:t>In the July 2019 submission, t</w:t>
      </w:r>
      <w:r w:rsidR="00E778D5" w:rsidRPr="00695A45">
        <w:rPr>
          <w:rFonts w:asciiTheme="minorHAnsi" w:eastAsiaTheme="minorHAnsi" w:hAnsiTheme="minorHAnsi" w:cstheme="minorBidi"/>
          <w:sz w:val="24"/>
          <w:szCs w:val="24"/>
        </w:rPr>
        <w:t xml:space="preserve">he relative efficacy and safety of </w:t>
      </w:r>
      <w:proofErr w:type="spellStart"/>
      <w:r w:rsidR="00943B14" w:rsidRPr="00695A45">
        <w:rPr>
          <w:rFonts w:asciiTheme="minorHAnsi" w:eastAsiaTheme="minorHAnsi" w:hAnsiTheme="minorHAnsi" w:cstheme="minorBidi"/>
          <w:sz w:val="24"/>
          <w:szCs w:val="24"/>
        </w:rPr>
        <w:t>atezolizumab</w:t>
      </w:r>
      <w:proofErr w:type="spellEnd"/>
      <w:r w:rsidR="00943B14" w:rsidRPr="00695A45">
        <w:rPr>
          <w:rFonts w:asciiTheme="minorHAnsi" w:eastAsiaTheme="minorHAnsi" w:hAnsiTheme="minorHAnsi" w:cstheme="minorBidi"/>
          <w:sz w:val="24"/>
          <w:szCs w:val="24"/>
        </w:rPr>
        <w:t xml:space="preserve"> + CE (followed by </w:t>
      </w:r>
      <w:proofErr w:type="spellStart"/>
      <w:r w:rsidR="00943B14" w:rsidRPr="00695A45">
        <w:rPr>
          <w:rFonts w:asciiTheme="minorHAnsi" w:eastAsiaTheme="minorHAnsi" w:hAnsiTheme="minorHAnsi" w:cstheme="minorBidi"/>
          <w:sz w:val="24"/>
          <w:szCs w:val="24"/>
        </w:rPr>
        <w:t>atezolizumab</w:t>
      </w:r>
      <w:proofErr w:type="spellEnd"/>
      <w:r w:rsidR="00943B14" w:rsidRPr="00695A45">
        <w:rPr>
          <w:rFonts w:asciiTheme="minorHAnsi" w:eastAsiaTheme="minorHAnsi" w:hAnsiTheme="minorHAnsi" w:cstheme="minorBidi"/>
          <w:sz w:val="24"/>
          <w:szCs w:val="24"/>
        </w:rPr>
        <w:t xml:space="preserve"> monotherapy) compared with placebo + CE (or CE </w:t>
      </w:r>
      <w:r w:rsidR="00D14543" w:rsidRPr="00695A45">
        <w:rPr>
          <w:rFonts w:asciiTheme="minorHAnsi" w:eastAsiaTheme="minorHAnsi" w:hAnsiTheme="minorHAnsi" w:cstheme="minorBidi"/>
          <w:sz w:val="24"/>
          <w:szCs w:val="24"/>
        </w:rPr>
        <w:t>alone</w:t>
      </w:r>
      <w:r w:rsidR="00943B14" w:rsidRPr="00695A45">
        <w:rPr>
          <w:rFonts w:asciiTheme="minorHAnsi" w:eastAsiaTheme="minorHAnsi" w:hAnsiTheme="minorHAnsi" w:cstheme="minorBidi"/>
          <w:sz w:val="24"/>
          <w:szCs w:val="24"/>
        </w:rPr>
        <w:t>) was based on one head-to-head randomised trial (</w:t>
      </w:r>
      <w:proofErr w:type="spellStart"/>
      <w:r w:rsidR="00943B14" w:rsidRPr="00695A45">
        <w:rPr>
          <w:rFonts w:asciiTheme="minorHAnsi" w:eastAsiaTheme="minorHAnsi" w:hAnsiTheme="minorHAnsi" w:cstheme="minorBidi"/>
          <w:sz w:val="24"/>
          <w:szCs w:val="24"/>
        </w:rPr>
        <w:t>IMpower</w:t>
      </w:r>
      <w:proofErr w:type="spellEnd"/>
      <w:r w:rsidR="00943B14" w:rsidRPr="00695A45">
        <w:rPr>
          <w:rFonts w:asciiTheme="minorHAnsi" w:eastAsiaTheme="minorHAnsi" w:hAnsiTheme="minorHAnsi" w:cstheme="minorBidi"/>
          <w:sz w:val="24"/>
          <w:szCs w:val="24"/>
        </w:rPr>
        <w:t xml:space="preserve"> 133). </w:t>
      </w:r>
      <w:r w:rsidR="005F3DE6" w:rsidRPr="00695A45">
        <w:rPr>
          <w:rFonts w:asciiTheme="minorHAnsi" w:eastAsiaTheme="minorHAnsi" w:hAnsiTheme="minorHAnsi" w:cstheme="minorBidi"/>
          <w:snapToGrid/>
          <w:sz w:val="24"/>
          <w:szCs w:val="24"/>
        </w:rPr>
        <w:t>No new clinical evidence was presented in the</w:t>
      </w:r>
      <w:r w:rsidR="00E00455" w:rsidRPr="00695A45">
        <w:rPr>
          <w:rFonts w:asciiTheme="minorHAnsi" w:eastAsiaTheme="minorHAnsi" w:hAnsiTheme="minorHAnsi" w:cstheme="minorBidi"/>
          <w:snapToGrid/>
          <w:sz w:val="24"/>
          <w:szCs w:val="24"/>
        </w:rPr>
        <w:t xml:space="preserve"> minor</w:t>
      </w:r>
      <w:r w:rsidR="005F3DE6" w:rsidRPr="00695A45">
        <w:rPr>
          <w:rFonts w:asciiTheme="minorHAnsi" w:eastAsiaTheme="minorHAnsi" w:hAnsiTheme="minorHAnsi" w:cstheme="minorBidi"/>
          <w:snapToGrid/>
          <w:sz w:val="24"/>
          <w:szCs w:val="24"/>
        </w:rPr>
        <w:t xml:space="preserve"> resubmission. </w:t>
      </w:r>
    </w:p>
    <w:p w:rsidR="00F3447C" w:rsidRPr="00695A45" w:rsidRDefault="00B64CD9" w:rsidP="00B64CD9">
      <w:pPr>
        <w:pStyle w:val="3Bodytext"/>
      </w:pPr>
      <w:r w:rsidRPr="00695A45">
        <w:t>The</w:t>
      </w:r>
      <w:r w:rsidR="00F3447C" w:rsidRPr="00695A45">
        <w:t xml:space="preserve"> July 2019 </w:t>
      </w:r>
      <w:r w:rsidRPr="00695A45">
        <w:t xml:space="preserve">submission presented interim OS results (median follow up 13.9 months, data cut off 24 April 2018) of </w:t>
      </w:r>
      <w:proofErr w:type="spellStart"/>
      <w:r w:rsidRPr="00695A45">
        <w:t>IMpower</w:t>
      </w:r>
      <w:proofErr w:type="spellEnd"/>
      <w:r w:rsidRPr="00695A45">
        <w:t xml:space="preserve"> 133, while the July 2019 </w:t>
      </w:r>
      <w:r w:rsidR="00163A6F" w:rsidRPr="00695A45">
        <w:t>p</w:t>
      </w:r>
      <w:r w:rsidR="00F3447C" w:rsidRPr="00695A45">
        <w:t>re-</w:t>
      </w:r>
      <w:r w:rsidR="00163A6F" w:rsidRPr="00695A45">
        <w:t>s</w:t>
      </w:r>
      <w:r w:rsidR="00F3447C" w:rsidRPr="00695A45">
        <w:t>ub</w:t>
      </w:r>
      <w:r w:rsidR="00163A6F" w:rsidRPr="00695A45">
        <w:t>-</w:t>
      </w:r>
      <w:r w:rsidR="00F3447C" w:rsidRPr="00695A45">
        <w:t>c</w:t>
      </w:r>
      <w:r w:rsidR="00163A6F" w:rsidRPr="00695A45">
        <w:t>ommittee response (p1) and the p</w:t>
      </w:r>
      <w:r w:rsidR="00F3447C" w:rsidRPr="00695A45">
        <w:t xml:space="preserve">re-PBAC </w:t>
      </w:r>
      <w:r w:rsidR="00163A6F" w:rsidRPr="00695A45">
        <w:t>r</w:t>
      </w:r>
      <w:r w:rsidR="00F3447C" w:rsidRPr="00695A45">
        <w:t xml:space="preserve">esponse provided additional OS data from a January 2019 </w:t>
      </w:r>
      <w:proofErr w:type="spellStart"/>
      <w:r w:rsidR="00F3447C" w:rsidRPr="00695A45">
        <w:t>cutoff</w:t>
      </w:r>
      <w:proofErr w:type="spellEnd"/>
      <w:r w:rsidR="00F3447C" w:rsidRPr="00695A45">
        <w:t xml:space="preserve">, which reported a 13% improvement in 18 month OS in favour of </w:t>
      </w:r>
      <w:proofErr w:type="spellStart"/>
      <w:r w:rsidR="00F3447C" w:rsidRPr="00695A45">
        <w:t>atezolizumab</w:t>
      </w:r>
      <w:proofErr w:type="spellEnd"/>
      <w:r w:rsidR="00F476FF" w:rsidRPr="00695A45">
        <w:t xml:space="preserve"> + CE. The hazard ratio for OS, based on the January 2019 data-cut, was 0.755 (95% CI 0.601, 0.949), </w:t>
      </w:r>
      <w:r w:rsidR="00F476FF" w:rsidRPr="00695A45">
        <w:rPr>
          <w:i/>
          <w:iCs/>
        </w:rPr>
        <w:t>p</w:t>
      </w:r>
      <w:r w:rsidR="00F476FF" w:rsidRPr="00695A45">
        <w:t xml:space="preserve">=0.0154. </w:t>
      </w:r>
    </w:p>
    <w:p w:rsidR="00DD6C7F" w:rsidRPr="00695A45" w:rsidRDefault="00DD6C7F" w:rsidP="00DD6C7F">
      <w:pPr>
        <w:keepNext/>
        <w:keepLines/>
        <w:rPr>
          <w:rFonts w:ascii="Arial Narrow" w:hAnsi="Arial Narrow"/>
          <w:b/>
          <w:sz w:val="20"/>
          <w:szCs w:val="20"/>
        </w:rPr>
      </w:pPr>
      <w:r w:rsidRPr="00695A45">
        <w:rPr>
          <w:rFonts w:ascii="Arial Narrow" w:hAnsi="Arial Narrow"/>
          <w:b/>
          <w:sz w:val="20"/>
          <w:szCs w:val="20"/>
        </w:rPr>
        <w:lastRenderedPageBreak/>
        <w:t xml:space="preserve">Figure </w:t>
      </w:r>
      <w:r w:rsidR="00373FBA" w:rsidRPr="00695A45">
        <w:rPr>
          <w:rFonts w:ascii="Arial Narrow" w:hAnsi="Arial Narrow"/>
          <w:b/>
          <w:sz w:val="20"/>
          <w:szCs w:val="20"/>
        </w:rPr>
        <w:t>1</w:t>
      </w:r>
      <w:r w:rsidRPr="00695A45">
        <w:rPr>
          <w:rFonts w:ascii="Arial Narrow" w:hAnsi="Arial Narrow"/>
          <w:b/>
          <w:sz w:val="20"/>
          <w:szCs w:val="20"/>
        </w:rPr>
        <w:t xml:space="preserve">: Overall survival in </w:t>
      </w:r>
      <w:proofErr w:type="spellStart"/>
      <w:r w:rsidRPr="00695A45">
        <w:rPr>
          <w:rFonts w:ascii="Arial Narrow" w:hAnsi="Arial Narrow"/>
          <w:b/>
          <w:sz w:val="20"/>
          <w:szCs w:val="20"/>
        </w:rPr>
        <w:t>IMpower</w:t>
      </w:r>
      <w:proofErr w:type="spellEnd"/>
      <w:r w:rsidRPr="00695A45">
        <w:rPr>
          <w:rFonts w:ascii="Arial Narrow" w:hAnsi="Arial Narrow"/>
          <w:b/>
          <w:sz w:val="20"/>
          <w:szCs w:val="20"/>
        </w:rPr>
        <w:t xml:space="preserve"> 133 (data </w:t>
      </w:r>
      <w:proofErr w:type="spellStart"/>
      <w:r w:rsidRPr="00695A45">
        <w:rPr>
          <w:rFonts w:ascii="Arial Narrow" w:hAnsi="Arial Narrow"/>
          <w:b/>
          <w:sz w:val="20"/>
          <w:szCs w:val="20"/>
        </w:rPr>
        <w:t>cutoff</w:t>
      </w:r>
      <w:proofErr w:type="spellEnd"/>
      <w:r w:rsidRPr="00695A45">
        <w:rPr>
          <w:rFonts w:ascii="Arial Narrow" w:hAnsi="Arial Narrow"/>
          <w:b/>
          <w:sz w:val="20"/>
          <w:szCs w:val="20"/>
        </w:rPr>
        <w:t xml:space="preserve"> January 2019)</w:t>
      </w:r>
    </w:p>
    <w:p w:rsidR="00DD6C7F" w:rsidRPr="00695A45" w:rsidRDefault="00DD6C7F" w:rsidP="00DD6C7F">
      <w:pPr>
        <w:keepNext/>
        <w:keepLines/>
        <w:spacing w:after="160"/>
        <w:rPr>
          <w:b/>
          <w:sz w:val="22"/>
        </w:rPr>
      </w:pPr>
      <w:r w:rsidRPr="00695A45">
        <w:rPr>
          <w:noProof/>
        </w:rPr>
        <w:drawing>
          <wp:inline distT="0" distB="0" distL="0" distR="0" wp14:anchorId="1AB83BE8" wp14:editId="3356A080">
            <wp:extent cx="4862945" cy="3272131"/>
            <wp:effectExtent l="0" t="0" r="0" b="5080"/>
            <wp:docPr id="3" name="Picture 3" title="Figure 1: Overall survival in IMpower 133 (data cutoff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4493" cy="3279901"/>
                    </a:xfrm>
                    <a:prstGeom prst="rect">
                      <a:avLst/>
                    </a:prstGeom>
                  </pic:spPr>
                </pic:pic>
              </a:graphicData>
            </a:graphic>
          </wp:inline>
        </w:drawing>
      </w:r>
    </w:p>
    <w:p w:rsidR="00DD6C7F" w:rsidRPr="00695A45" w:rsidRDefault="00DD6C7F" w:rsidP="00122ACB">
      <w:pPr>
        <w:keepNext/>
        <w:keepLines/>
        <w:spacing w:after="240"/>
        <w:rPr>
          <w:rFonts w:ascii="Arial Narrow" w:hAnsi="Arial Narrow"/>
          <w:sz w:val="18"/>
          <w:szCs w:val="18"/>
        </w:rPr>
      </w:pPr>
      <w:r w:rsidRPr="00695A45">
        <w:rPr>
          <w:rFonts w:ascii="Arial Narrow" w:hAnsi="Arial Narrow"/>
          <w:sz w:val="18"/>
          <w:szCs w:val="18"/>
        </w:rPr>
        <w:t xml:space="preserve">Source: Figure 2, p21 of updated CSR provided with the </w:t>
      </w:r>
      <w:r w:rsidR="002B68BA" w:rsidRPr="00695A45">
        <w:rPr>
          <w:rFonts w:ascii="Arial Narrow" w:hAnsi="Arial Narrow"/>
          <w:sz w:val="18"/>
          <w:szCs w:val="18"/>
        </w:rPr>
        <w:t>July 2019 p</w:t>
      </w:r>
      <w:r w:rsidRPr="00695A45">
        <w:rPr>
          <w:rFonts w:ascii="Arial Narrow" w:hAnsi="Arial Narrow"/>
          <w:sz w:val="18"/>
          <w:szCs w:val="18"/>
        </w:rPr>
        <w:t>re-PBAC response.</w:t>
      </w:r>
    </w:p>
    <w:p w:rsidR="001D2532" w:rsidRPr="00695A45" w:rsidRDefault="001D2532" w:rsidP="001D2532">
      <w:pPr>
        <w:pStyle w:val="Heading2"/>
        <w:rPr>
          <w:rFonts w:asciiTheme="minorHAnsi" w:eastAsiaTheme="majorEastAsia" w:hAnsiTheme="minorHAnsi" w:cstheme="minorHAnsi"/>
          <w:sz w:val="28"/>
          <w:szCs w:val="28"/>
          <w:lang w:eastAsia="en-US"/>
        </w:rPr>
      </w:pPr>
      <w:r w:rsidRPr="00695A45">
        <w:rPr>
          <w:rFonts w:asciiTheme="minorHAnsi" w:eastAsiaTheme="majorEastAsia" w:hAnsiTheme="minorHAnsi" w:cstheme="minorHAnsi"/>
          <w:sz w:val="28"/>
          <w:szCs w:val="28"/>
          <w:lang w:eastAsia="en-US"/>
        </w:rPr>
        <w:t>Clinical claim</w:t>
      </w:r>
    </w:p>
    <w:p w:rsidR="005F3DE6" w:rsidRPr="00695A45" w:rsidRDefault="005F3DE6" w:rsidP="00D752C2">
      <w:pPr>
        <w:pStyle w:val="ListParagraph"/>
        <w:widowControl/>
        <w:numPr>
          <w:ilvl w:val="1"/>
          <w:numId w:val="1"/>
        </w:numPr>
        <w:spacing w:before="120" w:after="160"/>
        <w:rPr>
          <w:rFonts w:asciiTheme="minorHAnsi" w:eastAsiaTheme="minorHAnsi" w:hAnsiTheme="minorHAnsi" w:cstheme="minorBidi"/>
          <w:sz w:val="24"/>
          <w:szCs w:val="24"/>
        </w:rPr>
      </w:pPr>
      <w:r w:rsidRPr="00695A45">
        <w:rPr>
          <w:rFonts w:asciiTheme="minorHAnsi" w:eastAsiaTheme="minorHAnsi" w:hAnsiTheme="minorHAnsi" w:cstheme="minorBidi"/>
          <w:sz w:val="24"/>
          <w:szCs w:val="24"/>
        </w:rPr>
        <w:t>In July 2019, the PBAC considered that:</w:t>
      </w:r>
    </w:p>
    <w:p w:rsidR="005F3DE6" w:rsidRPr="00695A45" w:rsidRDefault="005F3DE6" w:rsidP="00D752C2">
      <w:pPr>
        <w:pStyle w:val="ListParagraph"/>
        <w:widowControl/>
        <w:numPr>
          <w:ilvl w:val="0"/>
          <w:numId w:val="6"/>
        </w:numPr>
        <w:spacing w:before="120" w:after="160"/>
        <w:rPr>
          <w:rFonts w:asciiTheme="minorHAnsi" w:eastAsiaTheme="minorHAnsi" w:hAnsiTheme="minorHAnsi" w:cstheme="minorBidi"/>
          <w:sz w:val="24"/>
          <w:szCs w:val="24"/>
        </w:rPr>
      </w:pPr>
      <w:r w:rsidRPr="00695A45">
        <w:rPr>
          <w:rFonts w:asciiTheme="minorHAnsi" w:eastAsiaTheme="minorHAnsi" w:hAnsiTheme="minorHAnsi" w:cstheme="minorBidi"/>
          <w:sz w:val="24"/>
          <w:szCs w:val="24"/>
        </w:rPr>
        <w:t xml:space="preserve">the claim of superior comparative effectiveness of </w:t>
      </w:r>
      <w:proofErr w:type="spellStart"/>
      <w:r w:rsidRPr="00695A45">
        <w:rPr>
          <w:rFonts w:asciiTheme="minorHAnsi" w:eastAsiaTheme="minorHAnsi" w:hAnsiTheme="minorHAnsi" w:cstheme="minorBidi"/>
          <w:sz w:val="24"/>
          <w:szCs w:val="24"/>
        </w:rPr>
        <w:t>atezolizumab</w:t>
      </w:r>
      <w:proofErr w:type="spellEnd"/>
      <w:r w:rsidRPr="00695A45">
        <w:rPr>
          <w:rFonts w:asciiTheme="minorHAnsi" w:eastAsiaTheme="minorHAnsi" w:hAnsiTheme="minorHAnsi" w:cstheme="minorBidi"/>
          <w:sz w:val="24"/>
          <w:szCs w:val="24"/>
        </w:rPr>
        <w:t xml:space="preserve"> + CE compared with CE </w:t>
      </w:r>
      <w:r w:rsidR="009A0D5E" w:rsidRPr="00695A45">
        <w:rPr>
          <w:rFonts w:asciiTheme="minorHAnsi" w:eastAsiaTheme="minorHAnsi" w:hAnsiTheme="minorHAnsi" w:cstheme="minorBidi"/>
          <w:sz w:val="24"/>
          <w:szCs w:val="24"/>
        </w:rPr>
        <w:t xml:space="preserve">alone </w:t>
      </w:r>
      <w:r w:rsidRPr="00695A45">
        <w:rPr>
          <w:rFonts w:asciiTheme="minorHAnsi" w:eastAsiaTheme="minorHAnsi" w:hAnsiTheme="minorHAnsi" w:cstheme="minorBidi"/>
          <w:sz w:val="24"/>
          <w:szCs w:val="24"/>
        </w:rPr>
        <w:t>was reasonable with respect to OS, however the magnitude and durability of the benefit w</w:t>
      </w:r>
      <w:r w:rsidR="001D2532" w:rsidRPr="00695A45">
        <w:rPr>
          <w:rFonts w:asciiTheme="minorHAnsi" w:eastAsiaTheme="minorHAnsi" w:hAnsiTheme="minorHAnsi" w:cstheme="minorBidi"/>
          <w:sz w:val="24"/>
          <w:szCs w:val="24"/>
        </w:rPr>
        <w:t>ere</w:t>
      </w:r>
      <w:r w:rsidRPr="00695A45">
        <w:rPr>
          <w:rFonts w:asciiTheme="minorHAnsi" w:eastAsiaTheme="minorHAnsi" w:hAnsiTheme="minorHAnsi" w:cstheme="minorBidi"/>
          <w:sz w:val="24"/>
          <w:szCs w:val="24"/>
        </w:rPr>
        <w:t xml:space="preserve"> uncertain; </w:t>
      </w:r>
    </w:p>
    <w:p w:rsidR="005F3DE6" w:rsidRPr="00695A45" w:rsidRDefault="005F3DE6" w:rsidP="00D752C2">
      <w:pPr>
        <w:pStyle w:val="ListParagraph"/>
        <w:widowControl/>
        <w:numPr>
          <w:ilvl w:val="0"/>
          <w:numId w:val="6"/>
        </w:numPr>
        <w:spacing w:before="120" w:after="160"/>
        <w:rPr>
          <w:rFonts w:asciiTheme="minorHAnsi" w:eastAsiaTheme="minorHAnsi" w:hAnsiTheme="minorHAnsi" w:cstheme="minorBidi"/>
          <w:sz w:val="24"/>
          <w:szCs w:val="24"/>
        </w:rPr>
      </w:pPr>
      <w:proofErr w:type="gramStart"/>
      <w:r w:rsidRPr="00695A45">
        <w:rPr>
          <w:rFonts w:asciiTheme="minorHAnsi" w:eastAsiaTheme="minorHAnsi" w:hAnsiTheme="minorHAnsi" w:cstheme="minorBidi"/>
          <w:sz w:val="24"/>
          <w:szCs w:val="24"/>
        </w:rPr>
        <w:t>the</w:t>
      </w:r>
      <w:proofErr w:type="gramEnd"/>
      <w:r w:rsidRPr="00695A45">
        <w:rPr>
          <w:rFonts w:asciiTheme="minorHAnsi" w:eastAsiaTheme="minorHAnsi" w:hAnsiTheme="minorHAnsi" w:cstheme="minorBidi"/>
          <w:sz w:val="24"/>
          <w:szCs w:val="24"/>
        </w:rPr>
        <w:t xml:space="preserve"> revised claim of inferior comparative safety with manageable</w:t>
      </w:r>
      <w:r w:rsidR="00E94011" w:rsidRPr="00695A45">
        <w:rPr>
          <w:rFonts w:asciiTheme="minorHAnsi" w:eastAsiaTheme="minorHAnsi" w:hAnsiTheme="minorHAnsi" w:cstheme="minorBidi"/>
          <w:sz w:val="24"/>
          <w:szCs w:val="24"/>
        </w:rPr>
        <w:t xml:space="preserve"> adverse events</w:t>
      </w:r>
      <w:r w:rsidRPr="00695A45">
        <w:rPr>
          <w:rFonts w:asciiTheme="minorHAnsi" w:eastAsiaTheme="minorHAnsi" w:hAnsiTheme="minorHAnsi" w:cstheme="minorBidi"/>
          <w:sz w:val="24"/>
          <w:szCs w:val="24"/>
        </w:rPr>
        <w:t xml:space="preserve"> </w:t>
      </w:r>
      <w:r w:rsidR="00E94011" w:rsidRPr="00695A45">
        <w:rPr>
          <w:rFonts w:asciiTheme="minorHAnsi" w:eastAsiaTheme="minorHAnsi" w:hAnsiTheme="minorHAnsi" w:cstheme="minorBidi"/>
          <w:sz w:val="24"/>
          <w:szCs w:val="24"/>
        </w:rPr>
        <w:t>(</w:t>
      </w:r>
      <w:r w:rsidRPr="00695A45">
        <w:rPr>
          <w:rFonts w:asciiTheme="minorHAnsi" w:eastAsiaTheme="minorHAnsi" w:hAnsiTheme="minorHAnsi" w:cstheme="minorBidi"/>
          <w:sz w:val="24"/>
          <w:szCs w:val="24"/>
        </w:rPr>
        <w:t>AEs</w:t>
      </w:r>
      <w:r w:rsidR="00E94011" w:rsidRPr="00695A45">
        <w:rPr>
          <w:rFonts w:asciiTheme="minorHAnsi" w:eastAsiaTheme="minorHAnsi" w:hAnsiTheme="minorHAnsi" w:cstheme="minorBidi"/>
          <w:sz w:val="24"/>
          <w:szCs w:val="24"/>
        </w:rPr>
        <w:t>)</w:t>
      </w:r>
      <w:r w:rsidRPr="00695A45">
        <w:rPr>
          <w:rFonts w:asciiTheme="minorHAnsi" w:eastAsiaTheme="minorHAnsi" w:hAnsiTheme="minorHAnsi" w:cstheme="minorBidi"/>
          <w:sz w:val="24"/>
          <w:szCs w:val="24"/>
        </w:rPr>
        <w:t xml:space="preserve"> of </w:t>
      </w:r>
      <w:proofErr w:type="spellStart"/>
      <w:r w:rsidRPr="00695A45">
        <w:rPr>
          <w:rFonts w:asciiTheme="minorHAnsi" w:eastAsiaTheme="minorHAnsi" w:hAnsiTheme="minorHAnsi" w:cstheme="minorBidi"/>
          <w:sz w:val="24"/>
          <w:szCs w:val="24"/>
        </w:rPr>
        <w:t>atezolizumab</w:t>
      </w:r>
      <w:proofErr w:type="spellEnd"/>
      <w:r w:rsidRPr="00695A45">
        <w:rPr>
          <w:rFonts w:asciiTheme="minorHAnsi" w:eastAsiaTheme="minorHAnsi" w:hAnsiTheme="minorHAnsi" w:cstheme="minorBidi"/>
          <w:sz w:val="24"/>
          <w:szCs w:val="24"/>
        </w:rPr>
        <w:t xml:space="preserve"> + CE compared with CE </w:t>
      </w:r>
      <w:r w:rsidR="009A0D5E" w:rsidRPr="00695A45">
        <w:rPr>
          <w:rFonts w:asciiTheme="minorHAnsi" w:eastAsiaTheme="minorHAnsi" w:hAnsiTheme="minorHAnsi" w:cstheme="minorBidi"/>
          <w:sz w:val="24"/>
          <w:szCs w:val="24"/>
        </w:rPr>
        <w:t xml:space="preserve">alone </w:t>
      </w:r>
      <w:r w:rsidRPr="00695A45">
        <w:rPr>
          <w:rFonts w:asciiTheme="minorHAnsi" w:eastAsiaTheme="minorHAnsi" w:hAnsiTheme="minorHAnsi" w:cstheme="minorBidi"/>
          <w:sz w:val="24"/>
          <w:szCs w:val="24"/>
        </w:rPr>
        <w:t xml:space="preserve">was reasonable (paragraphs 6.37-6.38, </w:t>
      </w:r>
      <w:proofErr w:type="spellStart"/>
      <w:r w:rsidRPr="00695A45">
        <w:rPr>
          <w:rFonts w:asciiTheme="minorHAnsi" w:eastAsiaTheme="minorHAnsi" w:hAnsiTheme="minorHAnsi" w:cstheme="minorBidi"/>
          <w:sz w:val="24"/>
          <w:szCs w:val="24"/>
        </w:rPr>
        <w:t>atezolizumab</w:t>
      </w:r>
      <w:proofErr w:type="spellEnd"/>
      <w:r w:rsidRPr="00695A45">
        <w:rPr>
          <w:rFonts w:asciiTheme="minorHAnsi" w:eastAsiaTheme="minorHAnsi" w:hAnsiTheme="minorHAnsi" w:cstheme="minorBidi"/>
          <w:sz w:val="24"/>
          <w:szCs w:val="24"/>
        </w:rPr>
        <w:t xml:space="preserve"> </w:t>
      </w:r>
      <w:r w:rsidR="00F96E08" w:rsidRPr="00695A45">
        <w:rPr>
          <w:rFonts w:asciiTheme="minorHAnsi" w:eastAsiaTheme="minorHAnsi" w:hAnsiTheme="minorHAnsi" w:cstheme="minorBidi"/>
          <w:sz w:val="24"/>
          <w:szCs w:val="24"/>
        </w:rPr>
        <w:t>PSD</w:t>
      </w:r>
      <w:r w:rsidRPr="00695A45">
        <w:rPr>
          <w:rFonts w:asciiTheme="minorHAnsi" w:eastAsiaTheme="minorHAnsi" w:hAnsiTheme="minorHAnsi" w:cstheme="minorBidi"/>
          <w:sz w:val="24"/>
          <w:szCs w:val="24"/>
        </w:rPr>
        <w:t>, July 2019).</w:t>
      </w:r>
    </w:p>
    <w:p w:rsidR="0052792C" w:rsidRPr="00695A45" w:rsidRDefault="0052792C" w:rsidP="00D752C2">
      <w:pPr>
        <w:pStyle w:val="3Bodytext"/>
        <w:rPr>
          <w:snapToGrid w:val="0"/>
        </w:rPr>
      </w:pPr>
      <w:r w:rsidRPr="00695A45">
        <w:rPr>
          <w:rFonts w:cs="Arial"/>
          <w:snapToGrid w:val="0"/>
          <w:szCs w:val="20"/>
        </w:rPr>
        <w:t xml:space="preserve">The PBAC reiterated its previous consideration that the claims of superior comparative effectiveness and inferior comparative safety of </w:t>
      </w:r>
      <w:proofErr w:type="spellStart"/>
      <w:r w:rsidRPr="00695A45">
        <w:rPr>
          <w:szCs w:val="24"/>
        </w:rPr>
        <w:t>atezolizumab</w:t>
      </w:r>
      <w:proofErr w:type="spellEnd"/>
      <w:r w:rsidRPr="00695A45">
        <w:rPr>
          <w:szCs w:val="24"/>
        </w:rPr>
        <w:t xml:space="preserve"> + CE compared with CE </w:t>
      </w:r>
      <w:r w:rsidR="001D2532" w:rsidRPr="00695A45">
        <w:rPr>
          <w:szCs w:val="24"/>
        </w:rPr>
        <w:t>alone</w:t>
      </w:r>
      <w:r w:rsidRPr="00695A45">
        <w:rPr>
          <w:rFonts w:cs="Arial"/>
          <w:snapToGrid w:val="0"/>
          <w:szCs w:val="20"/>
        </w:rPr>
        <w:t xml:space="preserve"> were reasonable.</w:t>
      </w:r>
    </w:p>
    <w:p w:rsidR="006D491E" w:rsidRPr="00695A45" w:rsidRDefault="006D491E" w:rsidP="00CA6AE6">
      <w:pPr>
        <w:pStyle w:val="Heading2"/>
        <w:keepNext w:val="0"/>
        <w:spacing w:before="240" w:after="120"/>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Economic analysis</w:t>
      </w:r>
    </w:p>
    <w:p w:rsidR="008A637A" w:rsidRPr="00695A45" w:rsidRDefault="008A637A" w:rsidP="00CA6AE6">
      <w:pPr>
        <w:ind w:left="720" w:hanging="720"/>
        <w:rPr>
          <w:rFonts w:eastAsiaTheme="majorEastAsia"/>
          <w:b/>
          <w:bCs/>
          <w:u w:val="single"/>
          <w:lang w:eastAsia="en-US"/>
        </w:rPr>
      </w:pPr>
      <w:r w:rsidRPr="00695A45">
        <w:rPr>
          <w:rFonts w:asciiTheme="minorHAnsi" w:eastAsiaTheme="minorHAnsi" w:hAnsiTheme="minorHAnsi" w:cstheme="minorBidi"/>
          <w:b/>
          <w:bCs/>
          <w:szCs w:val="22"/>
          <w:u w:val="single"/>
        </w:rPr>
        <w:t xml:space="preserve">Updated base case </w:t>
      </w:r>
      <w:r w:rsidR="000E7073" w:rsidRPr="00695A45">
        <w:rPr>
          <w:rFonts w:asciiTheme="minorHAnsi" w:eastAsiaTheme="minorHAnsi" w:hAnsiTheme="minorHAnsi" w:cstheme="minorBidi"/>
          <w:b/>
          <w:bCs/>
          <w:szCs w:val="22"/>
          <w:u w:val="single"/>
        </w:rPr>
        <w:t xml:space="preserve">of </w:t>
      </w:r>
      <w:r w:rsidRPr="00695A45">
        <w:rPr>
          <w:rFonts w:asciiTheme="minorHAnsi" w:eastAsiaTheme="minorHAnsi" w:hAnsiTheme="minorHAnsi" w:cstheme="minorBidi"/>
          <w:b/>
          <w:bCs/>
          <w:szCs w:val="22"/>
          <w:u w:val="single"/>
        </w:rPr>
        <w:t>economic model</w:t>
      </w:r>
    </w:p>
    <w:p w:rsidR="00C57FDC" w:rsidRPr="00695A45" w:rsidRDefault="00DA7B19" w:rsidP="00CA6AE6">
      <w:pPr>
        <w:pStyle w:val="ListParagraph"/>
        <w:widowControl/>
        <w:numPr>
          <w:ilvl w:val="1"/>
          <w:numId w:val="1"/>
        </w:numPr>
        <w:spacing w:before="120" w:after="160"/>
        <w:rPr>
          <w:rFonts w:asciiTheme="minorHAnsi" w:eastAsiaTheme="minorHAnsi" w:hAnsiTheme="minorHAnsi" w:cstheme="minorBidi"/>
          <w:snapToGrid/>
          <w:sz w:val="24"/>
          <w:szCs w:val="22"/>
        </w:rPr>
      </w:pPr>
      <w:r w:rsidRPr="00695A45">
        <w:rPr>
          <w:rFonts w:asciiTheme="minorHAnsi" w:eastAsiaTheme="minorHAnsi" w:hAnsiTheme="minorHAnsi" w:cstheme="minorBidi"/>
          <w:snapToGrid/>
          <w:sz w:val="24"/>
          <w:szCs w:val="22"/>
        </w:rPr>
        <w:t xml:space="preserve">The minor resubmission presented an updated and respecified economic model, </w:t>
      </w:r>
      <w:r w:rsidR="00263109" w:rsidRPr="00695A45">
        <w:rPr>
          <w:rFonts w:asciiTheme="minorHAnsi" w:eastAsiaTheme="minorHAnsi" w:hAnsiTheme="minorHAnsi" w:cstheme="minorBidi"/>
          <w:snapToGrid/>
          <w:sz w:val="24"/>
          <w:szCs w:val="22"/>
        </w:rPr>
        <w:t>and stated that the changes were</w:t>
      </w:r>
      <w:r w:rsidRPr="00695A45">
        <w:rPr>
          <w:rFonts w:asciiTheme="minorHAnsi" w:eastAsiaTheme="minorHAnsi" w:hAnsiTheme="minorHAnsi" w:cstheme="minorBidi"/>
          <w:snapToGrid/>
          <w:sz w:val="24"/>
          <w:szCs w:val="22"/>
        </w:rPr>
        <w:t>:</w:t>
      </w:r>
    </w:p>
    <w:p w:rsidR="00DA7B19" w:rsidRPr="00695A45" w:rsidRDefault="00B64CD9" w:rsidP="00CA6AE6">
      <w:pPr>
        <w:pStyle w:val="ListParagraph"/>
        <w:widowControl/>
        <w:numPr>
          <w:ilvl w:val="0"/>
          <w:numId w:val="7"/>
        </w:numPr>
        <w:spacing w:before="120" w:after="160"/>
        <w:rPr>
          <w:rFonts w:asciiTheme="minorHAnsi" w:eastAsiaTheme="minorHAnsi" w:hAnsiTheme="minorHAnsi" w:cstheme="minorBidi"/>
          <w:snapToGrid/>
          <w:sz w:val="24"/>
          <w:szCs w:val="22"/>
        </w:rPr>
      </w:pPr>
      <w:r w:rsidRPr="00695A45">
        <w:rPr>
          <w:rFonts w:asciiTheme="minorHAnsi" w:eastAsiaTheme="minorHAnsi" w:hAnsiTheme="minorHAnsi" w:cstheme="minorBidi"/>
          <w:snapToGrid/>
          <w:sz w:val="24"/>
          <w:szCs w:val="22"/>
        </w:rPr>
        <w:t>The e</w:t>
      </w:r>
      <w:r w:rsidR="00DA7B19" w:rsidRPr="00695A45">
        <w:rPr>
          <w:rFonts w:asciiTheme="minorHAnsi" w:eastAsiaTheme="minorHAnsi" w:hAnsiTheme="minorHAnsi" w:cstheme="minorBidi"/>
          <w:snapToGrid/>
          <w:sz w:val="24"/>
          <w:szCs w:val="22"/>
        </w:rPr>
        <w:t xml:space="preserve">conomic model </w:t>
      </w:r>
      <w:r w:rsidRPr="00695A45">
        <w:rPr>
          <w:rFonts w:asciiTheme="minorHAnsi" w:eastAsiaTheme="minorHAnsi" w:hAnsiTheme="minorHAnsi" w:cstheme="minorBidi"/>
          <w:snapToGrid/>
          <w:sz w:val="24"/>
          <w:szCs w:val="22"/>
        </w:rPr>
        <w:t xml:space="preserve">was </w:t>
      </w:r>
      <w:r w:rsidR="00DA7B19" w:rsidRPr="00695A45">
        <w:rPr>
          <w:rFonts w:asciiTheme="minorHAnsi" w:eastAsiaTheme="minorHAnsi" w:hAnsiTheme="minorHAnsi" w:cstheme="minorBidi"/>
          <w:snapToGrid/>
          <w:sz w:val="24"/>
          <w:szCs w:val="22"/>
        </w:rPr>
        <w:t xml:space="preserve">updated based on </w:t>
      </w:r>
      <w:r w:rsidR="00D05F58" w:rsidRPr="00695A45">
        <w:rPr>
          <w:rFonts w:asciiTheme="minorHAnsi" w:eastAsiaTheme="minorHAnsi" w:hAnsiTheme="minorHAnsi" w:cstheme="minorBidi"/>
          <w:snapToGrid/>
          <w:sz w:val="24"/>
          <w:szCs w:val="22"/>
        </w:rPr>
        <w:t xml:space="preserve">OS results from </w:t>
      </w:r>
      <w:r w:rsidR="00DA7B19" w:rsidRPr="00695A45">
        <w:rPr>
          <w:rFonts w:asciiTheme="minorHAnsi" w:eastAsiaTheme="minorHAnsi" w:hAnsiTheme="minorHAnsi" w:cstheme="minorBidi"/>
          <w:snapToGrid/>
          <w:sz w:val="24"/>
          <w:szCs w:val="22"/>
        </w:rPr>
        <w:t>the most recent data-cut of</w:t>
      </w:r>
      <w:r w:rsidR="00263109" w:rsidRPr="00695A45">
        <w:rPr>
          <w:rFonts w:asciiTheme="minorHAnsi" w:eastAsiaTheme="minorHAnsi" w:hAnsiTheme="minorHAnsi" w:cstheme="minorBidi"/>
          <w:snapToGrid/>
          <w:sz w:val="24"/>
          <w:szCs w:val="22"/>
        </w:rPr>
        <w:t xml:space="preserve"> the</w:t>
      </w:r>
      <w:r w:rsidR="00DA7B19" w:rsidRPr="00695A45">
        <w:rPr>
          <w:rFonts w:asciiTheme="minorHAnsi" w:eastAsiaTheme="minorHAnsi" w:hAnsiTheme="minorHAnsi" w:cstheme="minorBidi"/>
          <w:snapToGrid/>
          <w:sz w:val="24"/>
          <w:szCs w:val="22"/>
        </w:rPr>
        <w:t xml:space="preserve"> </w:t>
      </w:r>
      <w:proofErr w:type="spellStart"/>
      <w:r w:rsidR="00DA7B19" w:rsidRPr="00695A45">
        <w:rPr>
          <w:rFonts w:asciiTheme="minorHAnsi" w:eastAsiaTheme="minorHAnsi" w:hAnsiTheme="minorHAnsi" w:cstheme="minorBidi"/>
          <w:snapToGrid/>
          <w:sz w:val="24"/>
          <w:szCs w:val="22"/>
        </w:rPr>
        <w:t>I</w:t>
      </w:r>
      <w:r w:rsidR="00FF0D61" w:rsidRPr="00695A45">
        <w:rPr>
          <w:rFonts w:asciiTheme="minorHAnsi" w:eastAsiaTheme="minorHAnsi" w:hAnsiTheme="minorHAnsi" w:cstheme="minorBidi"/>
          <w:snapToGrid/>
          <w:sz w:val="24"/>
          <w:szCs w:val="22"/>
        </w:rPr>
        <w:t>M</w:t>
      </w:r>
      <w:r w:rsidR="00DA7B19" w:rsidRPr="00695A45">
        <w:rPr>
          <w:rFonts w:asciiTheme="minorHAnsi" w:eastAsiaTheme="minorHAnsi" w:hAnsiTheme="minorHAnsi" w:cstheme="minorBidi"/>
          <w:snapToGrid/>
          <w:sz w:val="24"/>
          <w:szCs w:val="22"/>
        </w:rPr>
        <w:t>power</w:t>
      </w:r>
      <w:proofErr w:type="spellEnd"/>
      <w:r w:rsidR="00DA7B19" w:rsidRPr="00695A45">
        <w:rPr>
          <w:rFonts w:asciiTheme="minorHAnsi" w:eastAsiaTheme="minorHAnsi" w:hAnsiTheme="minorHAnsi" w:cstheme="minorBidi"/>
          <w:snapToGrid/>
          <w:sz w:val="24"/>
          <w:szCs w:val="22"/>
        </w:rPr>
        <w:t xml:space="preserve"> 133 trial (January 2019)</w:t>
      </w:r>
      <w:r w:rsidR="00186991" w:rsidRPr="00695A45">
        <w:rPr>
          <w:rFonts w:asciiTheme="minorHAnsi" w:eastAsiaTheme="minorHAnsi" w:hAnsiTheme="minorHAnsi" w:cstheme="minorBidi"/>
          <w:snapToGrid/>
          <w:sz w:val="24"/>
          <w:szCs w:val="22"/>
        </w:rPr>
        <w:t>;</w:t>
      </w:r>
    </w:p>
    <w:p w:rsidR="00DA7B19" w:rsidRPr="00695A45" w:rsidRDefault="00186991" w:rsidP="00CA6AE6">
      <w:pPr>
        <w:pStyle w:val="ListParagraph"/>
        <w:widowControl/>
        <w:numPr>
          <w:ilvl w:val="0"/>
          <w:numId w:val="7"/>
        </w:numPr>
        <w:spacing w:before="120" w:after="160"/>
        <w:rPr>
          <w:rFonts w:asciiTheme="minorHAnsi" w:eastAsiaTheme="minorHAnsi" w:hAnsiTheme="minorHAnsi" w:cstheme="minorBidi"/>
          <w:snapToGrid/>
          <w:sz w:val="24"/>
          <w:szCs w:val="22"/>
        </w:rPr>
      </w:pPr>
      <w:r w:rsidRPr="00695A45">
        <w:rPr>
          <w:rFonts w:asciiTheme="minorHAnsi" w:eastAsiaTheme="minorHAnsi" w:hAnsiTheme="minorHAnsi" w:cstheme="minorBidi"/>
          <w:snapToGrid/>
          <w:sz w:val="24"/>
          <w:szCs w:val="22"/>
        </w:rPr>
        <w:t xml:space="preserve">OS curves </w:t>
      </w:r>
      <w:r w:rsidR="00B64CD9" w:rsidRPr="00695A45">
        <w:rPr>
          <w:rFonts w:asciiTheme="minorHAnsi" w:eastAsiaTheme="minorHAnsi" w:hAnsiTheme="minorHAnsi" w:cstheme="minorBidi"/>
          <w:snapToGrid/>
          <w:sz w:val="24"/>
          <w:szCs w:val="22"/>
        </w:rPr>
        <w:t xml:space="preserve">were </w:t>
      </w:r>
      <w:r w:rsidRPr="00695A45">
        <w:rPr>
          <w:rFonts w:asciiTheme="minorHAnsi" w:eastAsiaTheme="minorHAnsi" w:hAnsiTheme="minorHAnsi" w:cstheme="minorBidi"/>
          <w:snapToGrid/>
          <w:sz w:val="24"/>
          <w:szCs w:val="22"/>
        </w:rPr>
        <w:t>assumed to begin to converge at 24 months with convergence at 60 months;</w:t>
      </w:r>
    </w:p>
    <w:p w:rsidR="00186991" w:rsidRPr="00695A45" w:rsidRDefault="00186991" w:rsidP="00CA6AE6">
      <w:pPr>
        <w:pStyle w:val="ListParagraph"/>
        <w:widowControl/>
        <w:numPr>
          <w:ilvl w:val="0"/>
          <w:numId w:val="7"/>
        </w:numPr>
        <w:spacing w:after="120"/>
        <w:ind w:left="1434" w:hanging="357"/>
        <w:contextualSpacing w:val="0"/>
        <w:rPr>
          <w:rFonts w:asciiTheme="minorHAnsi" w:eastAsiaTheme="minorHAnsi" w:hAnsiTheme="minorHAnsi" w:cstheme="minorBidi"/>
          <w:snapToGrid/>
          <w:sz w:val="24"/>
          <w:szCs w:val="22"/>
        </w:rPr>
      </w:pPr>
      <w:r w:rsidRPr="00695A45">
        <w:rPr>
          <w:rFonts w:asciiTheme="minorHAnsi" w:eastAsiaTheme="minorHAnsi" w:hAnsiTheme="minorHAnsi" w:cstheme="minorBidi"/>
          <w:snapToGrid/>
          <w:sz w:val="24"/>
          <w:szCs w:val="22"/>
        </w:rPr>
        <w:t xml:space="preserve">Time horizon of 5 years (as presented in the </w:t>
      </w:r>
      <w:r w:rsidR="00FF0D61" w:rsidRPr="00695A45">
        <w:rPr>
          <w:rFonts w:asciiTheme="minorHAnsi" w:eastAsiaTheme="minorHAnsi" w:hAnsiTheme="minorHAnsi" w:cstheme="minorBidi"/>
          <w:snapToGrid/>
          <w:sz w:val="24"/>
          <w:szCs w:val="22"/>
        </w:rPr>
        <w:t xml:space="preserve">previous submission’s </w:t>
      </w:r>
      <w:r w:rsidRPr="00695A45">
        <w:rPr>
          <w:rFonts w:asciiTheme="minorHAnsi" w:eastAsiaTheme="minorHAnsi" w:hAnsiTheme="minorHAnsi" w:cstheme="minorBidi"/>
          <w:snapToGrid/>
          <w:sz w:val="24"/>
          <w:szCs w:val="22"/>
        </w:rPr>
        <w:t>base case).</w:t>
      </w:r>
    </w:p>
    <w:p w:rsidR="00263109" w:rsidRPr="00695A45" w:rsidRDefault="00DD6C7F" w:rsidP="00EC06F9">
      <w:pPr>
        <w:pStyle w:val="3Bodytext"/>
      </w:pPr>
      <w:r w:rsidRPr="00695A45">
        <w:lastRenderedPageBreak/>
        <w:t>The</w:t>
      </w:r>
      <w:r w:rsidR="00263109" w:rsidRPr="00695A45">
        <w:t>se</w:t>
      </w:r>
      <w:r w:rsidR="001850BD" w:rsidRPr="00695A45">
        <w:t xml:space="preserve"> three </w:t>
      </w:r>
      <w:r w:rsidRPr="00695A45">
        <w:t xml:space="preserve">changes aligned with the changes requested by the PBAC in its July 2019 consideration. </w:t>
      </w:r>
    </w:p>
    <w:p w:rsidR="001D2532" w:rsidRPr="00695A45" w:rsidRDefault="001D2532" w:rsidP="001D2532">
      <w:pPr>
        <w:pStyle w:val="3Bodytext"/>
      </w:pPr>
      <w:r w:rsidRPr="00695A45">
        <w:t xml:space="preserve">The utility values in the economic model were also updated to reflect the most recent January 2019 data-cut of the </w:t>
      </w:r>
      <w:proofErr w:type="spellStart"/>
      <w:r w:rsidRPr="00695A45">
        <w:t>IMpower</w:t>
      </w:r>
      <w:proofErr w:type="spellEnd"/>
      <w:r w:rsidRPr="00695A45">
        <w:t xml:space="preserve"> 133 trial. This had </w:t>
      </w:r>
      <w:r w:rsidR="00A76CDF" w:rsidRPr="00695A45">
        <w:t xml:space="preserve">a </w:t>
      </w:r>
      <w:r w:rsidRPr="00695A45">
        <w:t xml:space="preserve">minimal impact on the ICER. </w:t>
      </w:r>
    </w:p>
    <w:p w:rsidR="00263109" w:rsidRPr="00695A45" w:rsidRDefault="00186991" w:rsidP="00EC06F9">
      <w:pPr>
        <w:pStyle w:val="3Bodytext"/>
      </w:pPr>
      <w:r w:rsidRPr="00695A45">
        <w:t xml:space="preserve">The </w:t>
      </w:r>
      <w:r w:rsidR="00E00455" w:rsidRPr="00695A45">
        <w:t xml:space="preserve">minor </w:t>
      </w:r>
      <w:r w:rsidRPr="00695A45">
        <w:t xml:space="preserve">resubmission stated that no structural changes, data transformations or interpretations </w:t>
      </w:r>
      <w:r w:rsidR="003E6910" w:rsidRPr="00695A45">
        <w:t>were</w:t>
      </w:r>
      <w:r w:rsidRPr="00695A45">
        <w:t xml:space="preserve"> required to update the economic model.</w:t>
      </w:r>
      <w:r w:rsidR="00122ACB" w:rsidRPr="00695A45">
        <w:t xml:space="preserve"> As a minor submission, the economic model </w:t>
      </w:r>
      <w:r w:rsidR="00263109" w:rsidRPr="00695A45">
        <w:t>was not</w:t>
      </w:r>
      <w:r w:rsidR="00122ACB" w:rsidRPr="00695A45">
        <w:t xml:space="preserve"> independently evaluated.</w:t>
      </w:r>
      <w:r w:rsidR="00263109" w:rsidRPr="00695A45">
        <w:t xml:space="preserve"> </w:t>
      </w:r>
    </w:p>
    <w:p w:rsidR="00186991" w:rsidRPr="00695A45" w:rsidRDefault="00186991" w:rsidP="00DD7272">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695A45">
        <w:rPr>
          <w:rFonts w:asciiTheme="minorHAnsi" w:eastAsiaTheme="minorHAnsi" w:hAnsiTheme="minorHAnsi" w:cstheme="minorBidi"/>
          <w:snapToGrid/>
          <w:sz w:val="24"/>
          <w:szCs w:val="22"/>
        </w:rPr>
        <w:t xml:space="preserve">The </w:t>
      </w:r>
      <w:r w:rsidR="00E00455" w:rsidRPr="00695A45">
        <w:rPr>
          <w:rFonts w:asciiTheme="minorHAnsi" w:eastAsiaTheme="minorHAnsi" w:hAnsiTheme="minorHAnsi" w:cstheme="minorBidi"/>
          <w:snapToGrid/>
          <w:sz w:val="24"/>
          <w:szCs w:val="22"/>
        </w:rPr>
        <w:t xml:space="preserve">minor </w:t>
      </w:r>
      <w:r w:rsidRPr="00695A45">
        <w:rPr>
          <w:rFonts w:asciiTheme="minorHAnsi" w:eastAsiaTheme="minorHAnsi" w:hAnsiTheme="minorHAnsi" w:cstheme="minorBidi"/>
          <w:snapToGrid/>
          <w:sz w:val="24"/>
          <w:szCs w:val="22"/>
        </w:rPr>
        <w:t xml:space="preserve">resubmission stated that </w:t>
      </w:r>
      <w:r w:rsidR="001F403A" w:rsidRPr="00695A45">
        <w:rPr>
          <w:rFonts w:asciiTheme="minorHAnsi" w:eastAsiaTheme="minorHAnsi" w:hAnsiTheme="minorHAnsi" w:cstheme="minorBidi"/>
          <w:snapToGrid/>
          <w:sz w:val="24"/>
          <w:szCs w:val="22"/>
        </w:rPr>
        <w:t>with</w:t>
      </w:r>
      <w:r w:rsidRPr="00695A45">
        <w:rPr>
          <w:rFonts w:asciiTheme="minorHAnsi" w:eastAsiaTheme="minorHAnsi" w:hAnsiTheme="minorHAnsi" w:cstheme="minorBidi"/>
          <w:snapToGrid/>
          <w:sz w:val="24"/>
          <w:szCs w:val="22"/>
        </w:rPr>
        <w:t xml:space="preserve"> the changes </w:t>
      </w:r>
      <w:r w:rsidR="001F403A" w:rsidRPr="00695A45">
        <w:rPr>
          <w:rFonts w:asciiTheme="minorHAnsi" w:eastAsiaTheme="minorHAnsi" w:hAnsiTheme="minorHAnsi" w:cstheme="minorBidi"/>
          <w:snapToGrid/>
          <w:sz w:val="24"/>
          <w:szCs w:val="22"/>
        </w:rPr>
        <w:t>outlined in Paragraph 5.</w:t>
      </w:r>
      <w:r w:rsidR="00DD7272" w:rsidRPr="00695A45">
        <w:rPr>
          <w:rFonts w:asciiTheme="minorHAnsi" w:eastAsiaTheme="minorHAnsi" w:hAnsiTheme="minorHAnsi" w:cstheme="minorBidi"/>
          <w:snapToGrid/>
          <w:sz w:val="24"/>
          <w:szCs w:val="22"/>
        </w:rPr>
        <w:t>8</w:t>
      </w:r>
      <w:r w:rsidR="001F403A" w:rsidRPr="00695A45">
        <w:rPr>
          <w:rFonts w:asciiTheme="minorHAnsi" w:eastAsiaTheme="minorHAnsi" w:hAnsiTheme="minorHAnsi" w:cstheme="minorBidi"/>
          <w:snapToGrid/>
          <w:sz w:val="24"/>
          <w:szCs w:val="22"/>
        </w:rPr>
        <w:t xml:space="preserve"> (but at the price proposed in the previous submission)</w:t>
      </w:r>
      <w:r w:rsidRPr="00695A45">
        <w:rPr>
          <w:rFonts w:asciiTheme="minorHAnsi" w:eastAsiaTheme="minorHAnsi" w:hAnsiTheme="minorHAnsi" w:cstheme="minorBidi"/>
          <w:snapToGrid/>
          <w:sz w:val="24"/>
          <w:szCs w:val="22"/>
        </w:rPr>
        <w:t xml:space="preserve">, the incremental cost effectiveness ratio (ICER) </w:t>
      </w:r>
      <w:r w:rsidR="00671451" w:rsidRPr="00695A45">
        <w:rPr>
          <w:rFonts w:asciiTheme="minorHAnsi" w:eastAsiaTheme="minorHAnsi" w:hAnsiTheme="minorHAnsi" w:cstheme="minorBidi"/>
          <w:snapToGrid/>
          <w:sz w:val="24"/>
          <w:szCs w:val="22"/>
        </w:rPr>
        <w:t xml:space="preserve">would be </w:t>
      </w:r>
      <w:r w:rsidRPr="00695A45">
        <w:rPr>
          <w:rFonts w:asciiTheme="minorHAnsi" w:eastAsiaTheme="minorHAnsi" w:hAnsiTheme="minorHAnsi" w:cstheme="minorBidi"/>
          <w:snapToGrid/>
          <w:sz w:val="24"/>
          <w:szCs w:val="22"/>
        </w:rPr>
        <w:t>$</w:t>
      </w:r>
      <w:r w:rsidR="00FA43B6">
        <w:rPr>
          <w:rFonts w:asciiTheme="minorHAnsi" w:eastAsiaTheme="minorHAnsi" w:hAnsiTheme="minorHAnsi" w:cstheme="minorBidi"/>
          <w:snapToGrid/>
          <w:sz w:val="24"/>
          <w:szCs w:val="22"/>
        </w:rPr>
        <w:t>105,000 - $200,000</w:t>
      </w:r>
      <w:r w:rsidRPr="00695A45">
        <w:rPr>
          <w:rFonts w:asciiTheme="minorHAnsi" w:eastAsiaTheme="minorHAnsi" w:hAnsiTheme="minorHAnsi" w:cstheme="minorBidi"/>
          <w:snapToGrid/>
          <w:sz w:val="24"/>
          <w:szCs w:val="22"/>
        </w:rPr>
        <w:t xml:space="preserve"> per quality adjusted life year (QALY). Th</w:t>
      </w:r>
      <w:r w:rsidR="001F403A" w:rsidRPr="00695A45">
        <w:rPr>
          <w:rFonts w:asciiTheme="minorHAnsi" w:eastAsiaTheme="minorHAnsi" w:hAnsiTheme="minorHAnsi" w:cstheme="minorBidi"/>
          <w:snapToGrid/>
          <w:sz w:val="24"/>
          <w:szCs w:val="22"/>
        </w:rPr>
        <w:t>e resubmission stated that th</w:t>
      </w:r>
      <w:r w:rsidRPr="00695A45">
        <w:rPr>
          <w:rFonts w:asciiTheme="minorHAnsi" w:eastAsiaTheme="minorHAnsi" w:hAnsiTheme="minorHAnsi" w:cstheme="minorBidi"/>
          <w:snapToGrid/>
          <w:sz w:val="24"/>
          <w:szCs w:val="22"/>
        </w:rPr>
        <w:t>is is similar to the ICER noted by the PBAC of $</w:t>
      </w:r>
      <w:r w:rsidR="00FA43B6">
        <w:rPr>
          <w:rFonts w:asciiTheme="minorHAnsi" w:eastAsiaTheme="minorHAnsi" w:hAnsiTheme="minorHAnsi" w:cstheme="minorBidi"/>
          <w:snapToGrid/>
          <w:sz w:val="24"/>
          <w:szCs w:val="22"/>
        </w:rPr>
        <w:t>105 - $200,000</w:t>
      </w:r>
      <w:r w:rsidRPr="00695A45">
        <w:rPr>
          <w:rFonts w:asciiTheme="minorHAnsi" w:eastAsiaTheme="minorHAnsi" w:hAnsiTheme="minorHAnsi" w:cstheme="minorBidi"/>
          <w:snapToGrid/>
          <w:sz w:val="24"/>
          <w:szCs w:val="22"/>
        </w:rPr>
        <w:t xml:space="preserve"> per QALY when these changes were applied to the </w:t>
      </w:r>
      <w:r w:rsidR="00327AE3" w:rsidRPr="00695A45">
        <w:rPr>
          <w:rFonts w:asciiTheme="minorHAnsi" w:eastAsiaTheme="minorHAnsi" w:hAnsiTheme="minorHAnsi" w:cstheme="minorBidi"/>
          <w:snapToGrid/>
          <w:sz w:val="24"/>
          <w:szCs w:val="22"/>
        </w:rPr>
        <w:t xml:space="preserve">previous </w:t>
      </w:r>
      <w:r w:rsidRPr="00695A45">
        <w:rPr>
          <w:rFonts w:asciiTheme="minorHAnsi" w:eastAsiaTheme="minorHAnsi" w:hAnsiTheme="minorHAnsi" w:cstheme="minorBidi"/>
          <w:snapToGrid/>
          <w:sz w:val="24"/>
          <w:szCs w:val="22"/>
        </w:rPr>
        <w:t>economic model</w:t>
      </w:r>
      <w:r w:rsidR="00675939" w:rsidRPr="00695A45">
        <w:rPr>
          <w:rFonts w:asciiTheme="minorHAnsi" w:eastAsiaTheme="minorHAnsi" w:hAnsiTheme="minorHAnsi" w:cstheme="minorBidi"/>
          <w:snapToGrid/>
          <w:sz w:val="24"/>
          <w:szCs w:val="22"/>
        </w:rPr>
        <w:t>, but</w:t>
      </w:r>
      <w:r w:rsidRPr="00695A45">
        <w:rPr>
          <w:rFonts w:asciiTheme="minorHAnsi" w:eastAsiaTheme="minorHAnsi" w:hAnsiTheme="minorHAnsi" w:cstheme="minorBidi"/>
          <w:snapToGrid/>
          <w:sz w:val="24"/>
          <w:szCs w:val="22"/>
        </w:rPr>
        <w:t xml:space="preserve"> based on the earlier April 2018 data-cut of </w:t>
      </w:r>
      <w:proofErr w:type="spellStart"/>
      <w:r w:rsidRPr="00695A45">
        <w:rPr>
          <w:rFonts w:asciiTheme="minorHAnsi" w:eastAsiaTheme="minorHAnsi" w:hAnsiTheme="minorHAnsi" w:cstheme="minorBidi"/>
          <w:snapToGrid/>
          <w:sz w:val="24"/>
          <w:szCs w:val="22"/>
        </w:rPr>
        <w:t>I</w:t>
      </w:r>
      <w:r w:rsidR="001F403A" w:rsidRPr="00695A45">
        <w:rPr>
          <w:rFonts w:asciiTheme="minorHAnsi" w:eastAsiaTheme="minorHAnsi" w:hAnsiTheme="minorHAnsi" w:cstheme="minorBidi"/>
          <w:snapToGrid/>
          <w:sz w:val="24"/>
          <w:szCs w:val="22"/>
        </w:rPr>
        <w:t>M</w:t>
      </w:r>
      <w:r w:rsidRPr="00695A45">
        <w:rPr>
          <w:rFonts w:asciiTheme="minorHAnsi" w:eastAsiaTheme="minorHAnsi" w:hAnsiTheme="minorHAnsi" w:cstheme="minorBidi"/>
          <w:snapToGrid/>
          <w:sz w:val="24"/>
          <w:szCs w:val="22"/>
        </w:rPr>
        <w:t>power</w:t>
      </w:r>
      <w:proofErr w:type="spellEnd"/>
      <w:r w:rsidRPr="00695A45">
        <w:rPr>
          <w:rFonts w:asciiTheme="minorHAnsi" w:eastAsiaTheme="minorHAnsi" w:hAnsiTheme="minorHAnsi" w:cstheme="minorBidi"/>
          <w:snapToGrid/>
          <w:sz w:val="24"/>
          <w:szCs w:val="22"/>
        </w:rPr>
        <w:t xml:space="preserve"> 133.</w:t>
      </w:r>
      <w:r w:rsidR="00675939" w:rsidRPr="00695A45">
        <w:rPr>
          <w:rFonts w:asciiTheme="minorHAnsi" w:eastAsiaTheme="minorHAnsi" w:hAnsiTheme="minorHAnsi" w:cstheme="minorBidi"/>
          <w:snapToGrid/>
          <w:sz w:val="24"/>
          <w:szCs w:val="22"/>
        </w:rPr>
        <w:t xml:space="preserve"> As such, updating the OS data increased the ICER by</w:t>
      </w:r>
      <w:r w:rsidR="00FA43B6">
        <w:rPr>
          <w:rFonts w:asciiTheme="minorHAnsi" w:eastAsiaTheme="minorHAnsi" w:hAnsiTheme="minorHAnsi" w:cstheme="minorBidi"/>
          <w:snapToGrid/>
          <w:sz w:val="24"/>
          <w:szCs w:val="22"/>
        </w:rPr>
        <w:t xml:space="preserve"> less than</w:t>
      </w:r>
      <w:r w:rsidR="00675939" w:rsidRPr="00695A45">
        <w:rPr>
          <w:rFonts w:asciiTheme="minorHAnsi" w:eastAsiaTheme="minorHAnsi" w:hAnsiTheme="minorHAnsi" w:cstheme="minorBidi"/>
          <w:snapToGrid/>
          <w:sz w:val="24"/>
          <w:szCs w:val="22"/>
        </w:rPr>
        <w:t xml:space="preserve"> $</w:t>
      </w:r>
      <w:r w:rsidR="00FA43B6">
        <w:rPr>
          <w:rFonts w:asciiTheme="minorHAnsi" w:eastAsiaTheme="minorHAnsi" w:hAnsiTheme="minorHAnsi" w:cstheme="minorBidi"/>
          <w:snapToGrid/>
          <w:sz w:val="24"/>
          <w:szCs w:val="22"/>
        </w:rPr>
        <w:t>15,000</w:t>
      </w:r>
      <w:r w:rsidR="00675939" w:rsidRPr="00695A45">
        <w:rPr>
          <w:rFonts w:asciiTheme="minorHAnsi" w:eastAsiaTheme="minorHAnsi" w:hAnsiTheme="minorHAnsi" w:cstheme="minorBidi"/>
          <w:snapToGrid/>
          <w:sz w:val="24"/>
          <w:szCs w:val="22"/>
        </w:rPr>
        <w:t xml:space="preserve"> per QALY (using the respecified base case).</w:t>
      </w:r>
    </w:p>
    <w:p w:rsidR="006D491E" w:rsidRPr="00695A45" w:rsidRDefault="006D491E" w:rsidP="00EC06F9">
      <w:pPr>
        <w:pStyle w:val="ListParagraph"/>
        <w:widowControl/>
        <w:spacing w:before="240" w:after="120"/>
        <w:ind w:hanging="720"/>
        <w:contextualSpacing w:val="0"/>
        <w:rPr>
          <w:rFonts w:asciiTheme="minorHAnsi" w:hAnsiTheme="minorHAnsi"/>
          <w:b/>
          <w:color w:val="222222"/>
          <w:sz w:val="24"/>
          <w:szCs w:val="24"/>
          <w:u w:val="single"/>
        </w:rPr>
      </w:pPr>
      <w:r w:rsidRPr="00695A45">
        <w:rPr>
          <w:rFonts w:asciiTheme="minorHAnsi" w:hAnsiTheme="minorHAnsi"/>
          <w:b/>
          <w:color w:val="222222"/>
          <w:sz w:val="24"/>
          <w:szCs w:val="24"/>
          <w:u w:val="single"/>
        </w:rPr>
        <w:t>Price proposal</w:t>
      </w:r>
    </w:p>
    <w:p w:rsidR="001C6256" w:rsidRPr="00695A45" w:rsidRDefault="006D491E" w:rsidP="00EC06F9">
      <w:pPr>
        <w:pStyle w:val="3Bodytext"/>
      </w:pPr>
      <w:r w:rsidRPr="00695A45">
        <w:t xml:space="preserve">The </w:t>
      </w:r>
      <w:r w:rsidR="001F403A" w:rsidRPr="00695A45">
        <w:t>PBAC previous</w:t>
      </w:r>
      <w:r w:rsidR="00821792" w:rsidRPr="00695A45">
        <w:t>ly</w:t>
      </w:r>
      <w:r w:rsidR="001F403A" w:rsidRPr="00695A45">
        <w:t xml:space="preserve"> stated “</w:t>
      </w:r>
      <w:r w:rsidR="001F403A" w:rsidRPr="00695A45">
        <w:rPr>
          <w:snapToGrid w:val="0"/>
        </w:rPr>
        <w:t>that an ICER less than $</w:t>
      </w:r>
      <w:r w:rsidR="004816A5">
        <w:rPr>
          <w:snapToGrid w:val="0"/>
        </w:rPr>
        <w:t>45,000 - $75,000</w:t>
      </w:r>
      <w:r w:rsidR="001F403A" w:rsidRPr="00695A45">
        <w:rPr>
          <w:snapToGrid w:val="0"/>
        </w:rPr>
        <w:t xml:space="preserve"> per QALY … would be required for </w:t>
      </w:r>
      <w:proofErr w:type="spellStart"/>
      <w:r w:rsidR="001F403A" w:rsidRPr="00695A45">
        <w:rPr>
          <w:snapToGrid w:val="0"/>
        </w:rPr>
        <w:t>atezolizumab</w:t>
      </w:r>
      <w:proofErr w:type="spellEnd"/>
      <w:r w:rsidR="001F403A" w:rsidRPr="00695A45">
        <w:rPr>
          <w:snapToGrid w:val="0"/>
        </w:rPr>
        <w:t xml:space="preserve"> to be considered suitably cost-effective” </w:t>
      </w:r>
      <w:r w:rsidR="0018339F" w:rsidRPr="00695A45">
        <w:rPr>
          <w:rFonts w:eastAsia="Times New Roman" w:cs="Arial"/>
          <w:snapToGrid w:val="0"/>
          <w:color w:val="222222"/>
          <w:szCs w:val="24"/>
        </w:rPr>
        <w:t xml:space="preserve">(paragraph 7.13, </w:t>
      </w:r>
      <w:proofErr w:type="spellStart"/>
      <w:r w:rsidR="0018339F" w:rsidRPr="00695A45">
        <w:rPr>
          <w:rFonts w:eastAsia="Times New Roman" w:cs="Arial"/>
          <w:snapToGrid w:val="0"/>
          <w:color w:val="222222"/>
          <w:szCs w:val="24"/>
        </w:rPr>
        <w:t>atezolizumab</w:t>
      </w:r>
      <w:proofErr w:type="spellEnd"/>
      <w:r w:rsidR="0018339F" w:rsidRPr="00695A45">
        <w:rPr>
          <w:rFonts w:eastAsia="Times New Roman" w:cs="Arial"/>
          <w:snapToGrid w:val="0"/>
          <w:color w:val="222222"/>
          <w:szCs w:val="24"/>
        </w:rPr>
        <w:t xml:space="preserve"> </w:t>
      </w:r>
      <w:r w:rsidR="00F96E08" w:rsidRPr="00695A45">
        <w:rPr>
          <w:rFonts w:eastAsia="Times New Roman" w:cs="Arial"/>
          <w:snapToGrid w:val="0"/>
          <w:color w:val="222222"/>
          <w:szCs w:val="24"/>
        </w:rPr>
        <w:t>PSD</w:t>
      </w:r>
      <w:r w:rsidR="0018339F" w:rsidRPr="00695A45">
        <w:rPr>
          <w:rFonts w:eastAsia="Times New Roman" w:cs="Arial"/>
          <w:snapToGrid w:val="0"/>
          <w:color w:val="222222"/>
          <w:szCs w:val="24"/>
        </w:rPr>
        <w:t>, July 2019).</w:t>
      </w:r>
      <w:r w:rsidR="001C6256" w:rsidRPr="00695A45">
        <w:t xml:space="preserve"> The </w:t>
      </w:r>
      <w:r w:rsidR="00E00455" w:rsidRPr="00695A45">
        <w:t xml:space="preserve">minor </w:t>
      </w:r>
      <w:r w:rsidR="001F403A" w:rsidRPr="00695A45">
        <w:t xml:space="preserve">resubmission </w:t>
      </w:r>
      <w:r w:rsidR="009B32B1" w:rsidRPr="00695A45">
        <w:t xml:space="preserve">noted this would require a significant price reduction and </w:t>
      </w:r>
      <w:r w:rsidR="001F403A" w:rsidRPr="00695A45">
        <w:t>stated</w:t>
      </w:r>
      <w:r w:rsidR="001C6256" w:rsidRPr="00695A45">
        <w:t xml:space="preserve"> that a </w:t>
      </w:r>
      <w:r w:rsidR="009B32B1" w:rsidRPr="00695A45">
        <w:t>“</w:t>
      </w:r>
      <w:r w:rsidR="001C6256" w:rsidRPr="00695A45">
        <w:t>significant straight price reduction would be</w:t>
      </w:r>
      <w:r w:rsidR="007A78A0" w:rsidRPr="00695A45">
        <w:t xml:space="preserve"> unacceptable and proposed an alternative arrangement</w:t>
      </w:r>
      <w:r w:rsidR="009B32B1" w:rsidRPr="00695A45">
        <w:t>”</w:t>
      </w:r>
      <w:r w:rsidR="007A78A0" w:rsidRPr="00695A45">
        <w:t xml:space="preserve"> comprising</w:t>
      </w:r>
      <w:r w:rsidR="00821792" w:rsidRPr="00695A45">
        <w:t xml:space="preserve"> both a lower effective price and an “episode of care (</w:t>
      </w:r>
      <w:proofErr w:type="spellStart"/>
      <w:r w:rsidR="00821792" w:rsidRPr="00695A45">
        <w:t>EoC</w:t>
      </w:r>
      <w:proofErr w:type="spellEnd"/>
      <w:r w:rsidR="00821792" w:rsidRPr="00695A45">
        <w:t>) cap”. These are discussed below.</w:t>
      </w:r>
    </w:p>
    <w:p w:rsidR="007A78A0" w:rsidRPr="00695A45" w:rsidRDefault="00821792" w:rsidP="000B0403">
      <w:pPr>
        <w:pStyle w:val="3Bodytext"/>
        <w:rPr>
          <w:color w:val="222222"/>
          <w:szCs w:val="24"/>
        </w:rPr>
      </w:pPr>
      <w:r w:rsidRPr="00695A45">
        <w:rPr>
          <w:color w:val="222222"/>
          <w:szCs w:val="24"/>
        </w:rPr>
        <w:t>Firstly, the minor resubmission proposed a</w:t>
      </w:r>
      <w:r w:rsidR="007A78A0" w:rsidRPr="00695A45">
        <w:rPr>
          <w:color w:val="222222"/>
          <w:szCs w:val="24"/>
        </w:rPr>
        <w:t>n effective</w:t>
      </w:r>
      <w:r w:rsidR="00B61E0E" w:rsidRPr="00695A45">
        <w:rPr>
          <w:color w:val="222222"/>
          <w:szCs w:val="24"/>
        </w:rPr>
        <w:t xml:space="preserve"> approved ex-manufacturer price</w:t>
      </w:r>
      <w:r w:rsidR="007A78A0" w:rsidRPr="00695A45">
        <w:rPr>
          <w:color w:val="222222"/>
          <w:szCs w:val="24"/>
        </w:rPr>
        <w:t xml:space="preserve"> </w:t>
      </w:r>
      <w:r w:rsidR="00B61E0E" w:rsidRPr="00695A45">
        <w:rPr>
          <w:color w:val="222222"/>
          <w:szCs w:val="24"/>
        </w:rPr>
        <w:t>(</w:t>
      </w:r>
      <w:r w:rsidR="00CE7E14" w:rsidRPr="00695A45">
        <w:rPr>
          <w:color w:val="222222"/>
          <w:szCs w:val="24"/>
        </w:rPr>
        <w:t>AEMP</w:t>
      </w:r>
      <w:r w:rsidR="00B61E0E" w:rsidRPr="00695A45">
        <w:rPr>
          <w:color w:val="222222"/>
          <w:szCs w:val="24"/>
        </w:rPr>
        <w:t>)</w:t>
      </w:r>
      <w:r w:rsidR="007A78A0" w:rsidRPr="00695A45">
        <w:rPr>
          <w:color w:val="222222"/>
          <w:szCs w:val="24"/>
        </w:rPr>
        <w:t xml:space="preserve"> of $</w:t>
      </w:r>
      <w:r w:rsidR="00B905EC">
        <w:rPr>
          <w:noProof/>
          <w:color w:val="000000"/>
          <w:szCs w:val="24"/>
          <w:highlight w:val="black"/>
        </w:rPr>
        <w:t>''''''''''''''''</w:t>
      </w:r>
      <w:r w:rsidR="007A78A0" w:rsidRPr="00695A45">
        <w:rPr>
          <w:color w:val="222222"/>
          <w:szCs w:val="24"/>
        </w:rPr>
        <w:t xml:space="preserve"> per 1,200 mg vial, representing a </w:t>
      </w:r>
      <w:r w:rsidR="00B905EC">
        <w:rPr>
          <w:noProof/>
          <w:color w:val="000000"/>
          <w:szCs w:val="24"/>
          <w:highlight w:val="black"/>
        </w:rPr>
        <w:t>'''''</w:t>
      </w:r>
      <w:r w:rsidR="007A78A0" w:rsidRPr="00695A45">
        <w:rPr>
          <w:color w:val="222222"/>
          <w:szCs w:val="24"/>
        </w:rPr>
        <w:t>%</w:t>
      </w:r>
      <w:r w:rsidR="00CE7E14" w:rsidRPr="00695A45">
        <w:rPr>
          <w:color w:val="222222"/>
          <w:szCs w:val="24"/>
        </w:rPr>
        <w:t xml:space="preserve"> reduction </w:t>
      </w:r>
      <w:r w:rsidR="009B32B1" w:rsidRPr="00695A45">
        <w:rPr>
          <w:color w:val="222222"/>
          <w:szCs w:val="24"/>
        </w:rPr>
        <w:t>versus</w:t>
      </w:r>
      <w:r w:rsidR="006C1A96" w:rsidRPr="00695A45">
        <w:rPr>
          <w:color w:val="222222"/>
          <w:szCs w:val="24"/>
        </w:rPr>
        <w:t xml:space="preserve"> the </w:t>
      </w:r>
      <w:r w:rsidR="00831E66" w:rsidRPr="00695A45">
        <w:rPr>
          <w:color w:val="222222"/>
          <w:szCs w:val="24"/>
        </w:rPr>
        <w:t xml:space="preserve">price proposed in the </w:t>
      </w:r>
      <w:r w:rsidR="00E9238D" w:rsidRPr="00695A45">
        <w:rPr>
          <w:color w:val="222222"/>
          <w:szCs w:val="24"/>
        </w:rPr>
        <w:t>previous</w:t>
      </w:r>
      <w:r w:rsidR="00CE7E14" w:rsidRPr="00695A45">
        <w:rPr>
          <w:color w:val="222222"/>
          <w:szCs w:val="24"/>
        </w:rPr>
        <w:t xml:space="preserve"> submission</w:t>
      </w:r>
      <w:r w:rsidR="00831E66" w:rsidRPr="00695A45">
        <w:rPr>
          <w:color w:val="222222"/>
          <w:szCs w:val="24"/>
        </w:rPr>
        <w:t xml:space="preserve"> </w:t>
      </w:r>
      <w:r w:rsidR="006C1A96" w:rsidRPr="00695A45">
        <w:rPr>
          <w:color w:val="222222"/>
          <w:szCs w:val="24"/>
        </w:rPr>
        <w:t>(</w:t>
      </w:r>
      <w:r w:rsidR="00831E66" w:rsidRPr="00695A45">
        <w:rPr>
          <w:color w:val="222222"/>
          <w:szCs w:val="24"/>
        </w:rPr>
        <w:t xml:space="preserve">AEMP of </w:t>
      </w:r>
      <w:r w:rsidR="006C1A96" w:rsidRPr="00695A45">
        <w:rPr>
          <w:color w:val="222222"/>
          <w:szCs w:val="24"/>
        </w:rPr>
        <w:t>$</w:t>
      </w:r>
      <w:r w:rsidR="00B905EC">
        <w:rPr>
          <w:noProof/>
          <w:color w:val="000000"/>
          <w:szCs w:val="24"/>
          <w:highlight w:val="black"/>
        </w:rPr>
        <w:t>''''''''''''''''</w:t>
      </w:r>
      <w:r w:rsidR="006C1A96" w:rsidRPr="00695A45">
        <w:rPr>
          <w:color w:val="222222"/>
          <w:szCs w:val="24"/>
        </w:rPr>
        <w:t xml:space="preserve"> per vial)</w:t>
      </w:r>
      <w:r w:rsidRPr="00695A45">
        <w:rPr>
          <w:color w:val="222222"/>
          <w:szCs w:val="24"/>
        </w:rPr>
        <w:t>.</w:t>
      </w:r>
    </w:p>
    <w:p w:rsidR="00804BC9" w:rsidRPr="003C44D5" w:rsidRDefault="00821792" w:rsidP="007E69EC">
      <w:pPr>
        <w:pStyle w:val="3Bodytext"/>
      </w:pPr>
      <w:r w:rsidRPr="00695A45">
        <w:t>Secondly</w:t>
      </w:r>
      <w:r w:rsidRPr="003C44D5">
        <w:t>, the minor resubmission proposed a</w:t>
      </w:r>
      <w:r w:rsidR="006C1A96" w:rsidRPr="003C44D5">
        <w:t xml:space="preserve">n </w:t>
      </w:r>
      <w:r w:rsidR="00E9238D" w:rsidRPr="003C44D5">
        <w:t>“</w:t>
      </w:r>
      <w:r w:rsidR="006C1A96" w:rsidRPr="003C44D5">
        <w:t>episode of care (</w:t>
      </w:r>
      <w:proofErr w:type="spellStart"/>
      <w:r w:rsidR="006C1A96" w:rsidRPr="003C44D5">
        <w:t>EoC</w:t>
      </w:r>
      <w:proofErr w:type="spellEnd"/>
      <w:r w:rsidR="006C1A96" w:rsidRPr="003C44D5">
        <w:t>) cap</w:t>
      </w:r>
      <w:r w:rsidR="00E9238D" w:rsidRPr="003C44D5">
        <w:t>”</w:t>
      </w:r>
      <w:r w:rsidR="006C1A96" w:rsidRPr="003C44D5">
        <w:t xml:space="preserve"> </w:t>
      </w:r>
      <w:r w:rsidRPr="003C44D5">
        <w:t xml:space="preserve">(hereafter referred to as a </w:t>
      </w:r>
      <w:r w:rsidR="00804BC9" w:rsidRPr="003C44D5">
        <w:t>Risk Sharing Arrangement (RSA)</w:t>
      </w:r>
      <w:r w:rsidRPr="003C44D5">
        <w:t>)</w:t>
      </w:r>
      <w:r w:rsidR="00804BC9" w:rsidRPr="003C44D5">
        <w:t xml:space="preserve">. The resubmission stated that the intention of the RSA was to rebate PBS expenditure for </w:t>
      </w:r>
      <w:proofErr w:type="spellStart"/>
      <w:r w:rsidR="00804BC9" w:rsidRPr="003C44D5">
        <w:t>atezolizumab</w:t>
      </w:r>
      <w:proofErr w:type="spellEnd"/>
      <w:r w:rsidR="00804BC9" w:rsidRPr="003C44D5">
        <w:t xml:space="preserve"> beyond </w:t>
      </w:r>
      <w:r w:rsidR="00B905EC">
        <w:rPr>
          <w:noProof/>
          <w:color w:val="000000"/>
          <w:highlight w:val="black"/>
        </w:rPr>
        <w:t>''</w:t>
      </w:r>
      <w:r w:rsidR="00804BC9" w:rsidRPr="003C44D5">
        <w:t xml:space="preserve"> doses per patient. As such, the subsidisation caps for the RSA were based on an average of </w:t>
      </w:r>
      <w:r w:rsidR="00B905EC">
        <w:rPr>
          <w:noProof/>
          <w:color w:val="000000"/>
          <w:highlight w:val="black"/>
        </w:rPr>
        <w:t>'''</w:t>
      </w:r>
      <w:r w:rsidR="00804BC9" w:rsidRPr="003C44D5">
        <w:t xml:space="preserve"> doses per patient (</w:t>
      </w:r>
      <w:r w:rsidR="00FC0E03" w:rsidRPr="003C44D5">
        <w:t>equivalent to</w:t>
      </w:r>
      <w:r w:rsidR="00804BC9" w:rsidRPr="003C44D5">
        <w:t xml:space="preserve"> </w:t>
      </w:r>
      <w:r w:rsidR="00B905EC">
        <w:rPr>
          <w:noProof/>
          <w:color w:val="000000"/>
          <w:highlight w:val="black"/>
        </w:rPr>
        <w:t>''''''</w:t>
      </w:r>
      <w:r w:rsidR="00804BC9" w:rsidRPr="003C44D5">
        <w:t xml:space="preserve"> months</w:t>
      </w:r>
      <w:r w:rsidR="00FC0E03" w:rsidRPr="003C44D5">
        <w:t xml:space="preserve"> of treatment</w:t>
      </w:r>
      <w:r w:rsidR="00804BC9" w:rsidRPr="003C44D5">
        <w:t xml:space="preserve">), which the minor resubmission </w:t>
      </w:r>
      <w:r w:rsidR="00327AE3" w:rsidRPr="003C44D5">
        <w:t>stat</w:t>
      </w:r>
      <w:r w:rsidR="00804BC9" w:rsidRPr="003C44D5">
        <w:t xml:space="preserve">ed was </w:t>
      </w:r>
      <w:r w:rsidR="00B905EC">
        <w:rPr>
          <w:noProof/>
          <w:color w:val="000000"/>
          <w:highlight w:val="black"/>
        </w:rPr>
        <w:t>'''''</w:t>
      </w:r>
      <w:r w:rsidR="00804BC9" w:rsidRPr="003C44D5">
        <w:t xml:space="preserve">% shorter than the average treatment duration estimated in the previous submission (of </w:t>
      </w:r>
      <w:r w:rsidR="00B905EC">
        <w:rPr>
          <w:noProof/>
          <w:color w:val="000000"/>
          <w:highlight w:val="black"/>
        </w:rPr>
        <w:t xml:space="preserve">'''''' </w:t>
      </w:r>
      <w:r w:rsidR="00FC0E03" w:rsidRPr="003C44D5">
        <w:t xml:space="preserve">doses, or </w:t>
      </w:r>
      <w:r w:rsidR="00B905EC">
        <w:rPr>
          <w:noProof/>
          <w:color w:val="000000"/>
          <w:highlight w:val="black"/>
        </w:rPr>
        <w:t>'''''''</w:t>
      </w:r>
      <w:r w:rsidR="00804BC9" w:rsidRPr="003C44D5">
        <w:t xml:space="preserve"> months). </w:t>
      </w:r>
      <w:r w:rsidR="00122ACB" w:rsidRPr="003C44D5">
        <w:rPr>
          <w:color w:val="222222"/>
          <w:szCs w:val="24"/>
        </w:rPr>
        <w:t xml:space="preserve">The resubmission did not provide treatment duration information from the more recent (January 2019) data </w:t>
      </w:r>
      <w:proofErr w:type="spellStart"/>
      <w:r w:rsidR="00122ACB" w:rsidRPr="003C44D5">
        <w:rPr>
          <w:color w:val="222222"/>
          <w:szCs w:val="24"/>
        </w:rPr>
        <w:t>cutoff</w:t>
      </w:r>
      <w:proofErr w:type="spellEnd"/>
      <w:r w:rsidR="00122ACB" w:rsidRPr="003C44D5">
        <w:rPr>
          <w:color w:val="222222"/>
          <w:szCs w:val="24"/>
        </w:rPr>
        <w:t>.</w:t>
      </w:r>
    </w:p>
    <w:p w:rsidR="00CE7E14" w:rsidRPr="00695A45" w:rsidRDefault="00804BC9" w:rsidP="007E69EC">
      <w:pPr>
        <w:pStyle w:val="3Bodytext"/>
        <w:rPr>
          <w:color w:val="222222"/>
          <w:szCs w:val="24"/>
        </w:rPr>
      </w:pPr>
      <w:r w:rsidRPr="003C44D5">
        <w:rPr>
          <w:color w:val="222222"/>
          <w:szCs w:val="24"/>
        </w:rPr>
        <w:t xml:space="preserve">The </w:t>
      </w:r>
      <w:r w:rsidR="00E00455" w:rsidRPr="003C44D5">
        <w:rPr>
          <w:color w:val="222222"/>
          <w:szCs w:val="24"/>
        </w:rPr>
        <w:t xml:space="preserve">minor </w:t>
      </w:r>
      <w:r w:rsidRPr="003C44D5">
        <w:rPr>
          <w:color w:val="222222"/>
          <w:szCs w:val="24"/>
        </w:rPr>
        <w:t>resubmission assumed the RSA would reduce the average cost per patient from $</w:t>
      </w:r>
      <w:r w:rsidR="00B905EC">
        <w:rPr>
          <w:noProof/>
          <w:color w:val="000000"/>
          <w:szCs w:val="24"/>
          <w:highlight w:val="black"/>
        </w:rPr>
        <w:t>''''''''''''''</w:t>
      </w:r>
      <w:r w:rsidRPr="003C44D5">
        <w:rPr>
          <w:color w:val="222222"/>
          <w:szCs w:val="24"/>
        </w:rPr>
        <w:t xml:space="preserve"> (based on an average of </w:t>
      </w:r>
      <w:r w:rsidR="00B905EC">
        <w:rPr>
          <w:noProof/>
          <w:color w:val="000000"/>
          <w:szCs w:val="24"/>
          <w:highlight w:val="black"/>
        </w:rPr>
        <w:t>''''''</w:t>
      </w:r>
      <w:r w:rsidRPr="003C44D5">
        <w:rPr>
          <w:color w:val="222222"/>
          <w:szCs w:val="24"/>
        </w:rPr>
        <w:t xml:space="preserve"> doses) to </w:t>
      </w:r>
      <w:r w:rsidR="002F4270" w:rsidRPr="003C44D5">
        <w:rPr>
          <w:color w:val="222222"/>
          <w:szCs w:val="24"/>
        </w:rPr>
        <w:t xml:space="preserve">a fixed cost </w:t>
      </w:r>
      <w:r w:rsidR="00FB13C5" w:rsidRPr="003C44D5">
        <w:rPr>
          <w:color w:val="222222"/>
          <w:szCs w:val="24"/>
        </w:rPr>
        <w:t xml:space="preserve">per patient </w:t>
      </w:r>
      <w:r w:rsidR="002F4270" w:rsidRPr="003C44D5">
        <w:rPr>
          <w:color w:val="222222"/>
          <w:szCs w:val="24"/>
        </w:rPr>
        <w:t xml:space="preserve">of </w:t>
      </w:r>
      <w:r w:rsidRPr="003C44D5">
        <w:rPr>
          <w:color w:val="222222"/>
          <w:szCs w:val="24"/>
        </w:rPr>
        <w:t>$</w:t>
      </w:r>
      <w:r w:rsidR="00B905EC">
        <w:rPr>
          <w:noProof/>
          <w:color w:val="000000"/>
          <w:szCs w:val="24"/>
          <w:highlight w:val="black"/>
        </w:rPr>
        <w:t>''''''''''''''</w:t>
      </w:r>
      <w:r w:rsidRPr="003C44D5">
        <w:rPr>
          <w:color w:val="222222"/>
          <w:szCs w:val="24"/>
        </w:rPr>
        <w:t xml:space="preserve"> (based on </w:t>
      </w:r>
      <w:r w:rsidR="00B905EC">
        <w:rPr>
          <w:noProof/>
          <w:color w:val="000000"/>
          <w:szCs w:val="24"/>
          <w:highlight w:val="black"/>
        </w:rPr>
        <w:t>''</w:t>
      </w:r>
      <w:r w:rsidRPr="003C44D5">
        <w:rPr>
          <w:color w:val="222222"/>
          <w:szCs w:val="24"/>
        </w:rPr>
        <w:t xml:space="preserve"> doses per patient), with the difference ($</w:t>
      </w:r>
      <w:r w:rsidR="00B905EC">
        <w:rPr>
          <w:noProof/>
          <w:color w:val="000000"/>
          <w:szCs w:val="24"/>
          <w:highlight w:val="black"/>
        </w:rPr>
        <w:t>''''''''''</w:t>
      </w:r>
      <w:r w:rsidRPr="003C44D5">
        <w:rPr>
          <w:color w:val="222222"/>
          <w:szCs w:val="24"/>
        </w:rPr>
        <w:t xml:space="preserve">) assumed to be </w:t>
      </w:r>
      <w:proofErr w:type="spellStart"/>
      <w:r w:rsidRPr="003C44D5">
        <w:rPr>
          <w:color w:val="222222"/>
          <w:szCs w:val="24"/>
        </w:rPr>
        <w:t>rebated</w:t>
      </w:r>
      <w:proofErr w:type="spellEnd"/>
      <w:r w:rsidRPr="00695A45">
        <w:rPr>
          <w:color w:val="222222"/>
          <w:szCs w:val="24"/>
        </w:rPr>
        <w:t xml:space="preserve"> to the Commonwealth. This level of rebate would only be achieved if </w:t>
      </w:r>
      <w:r w:rsidRPr="00695A45">
        <w:rPr>
          <w:color w:val="222222"/>
          <w:szCs w:val="24"/>
        </w:rPr>
        <w:lastRenderedPageBreak/>
        <w:t xml:space="preserve">utilisation of </w:t>
      </w:r>
      <w:proofErr w:type="spellStart"/>
      <w:r w:rsidRPr="00695A45">
        <w:rPr>
          <w:color w:val="222222"/>
          <w:szCs w:val="24"/>
        </w:rPr>
        <w:t>atezolizumab</w:t>
      </w:r>
      <w:proofErr w:type="spellEnd"/>
      <w:r w:rsidRPr="00695A45">
        <w:rPr>
          <w:color w:val="222222"/>
          <w:szCs w:val="24"/>
        </w:rPr>
        <w:t xml:space="preserve"> were at least at the level estimated by the </w:t>
      </w:r>
      <w:r w:rsidR="00FC0E03" w:rsidRPr="00695A45">
        <w:rPr>
          <w:color w:val="222222"/>
          <w:szCs w:val="24"/>
        </w:rPr>
        <w:t>minor re</w:t>
      </w:r>
      <w:r w:rsidRPr="00695A45">
        <w:rPr>
          <w:color w:val="222222"/>
          <w:szCs w:val="24"/>
        </w:rPr>
        <w:t xml:space="preserve">submission. </w:t>
      </w:r>
      <w:r w:rsidR="005648F8" w:rsidRPr="00695A45">
        <w:rPr>
          <w:color w:val="222222"/>
          <w:szCs w:val="24"/>
        </w:rPr>
        <w:t>The PBAC noted that a</w:t>
      </w:r>
      <w:r w:rsidRPr="00695A45">
        <w:rPr>
          <w:color w:val="222222"/>
          <w:szCs w:val="24"/>
        </w:rPr>
        <w:t xml:space="preserve">n alternative way to achieve the assumed level of price reduction would be through a further </w:t>
      </w:r>
      <w:r w:rsidR="00B905EC">
        <w:rPr>
          <w:noProof/>
          <w:color w:val="000000"/>
          <w:szCs w:val="24"/>
          <w:highlight w:val="black"/>
        </w:rPr>
        <w:t>'''''</w:t>
      </w:r>
      <w:r w:rsidRPr="00695A45">
        <w:rPr>
          <w:color w:val="222222"/>
          <w:szCs w:val="24"/>
        </w:rPr>
        <w:t>% reduction to the effective price</w:t>
      </w:r>
      <w:r w:rsidR="00821792" w:rsidRPr="00695A45">
        <w:rPr>
          <w:color w:val="222222"/>
          <w:szCs w:val="24"/>
        </w:rPr>
        <w:t xml:space="preserve"> </w:t>
      </w:r>
      <w:r w:rsidR="006C1A96" w:rsidRPr="00695A45">
        <w:rPr>
          <w:color w:val="222222"/>
          <w:szCs w:val="24"/>
        </w:rPr>
        <w:t xml:space="preserve">of </w:t>
      </w:r>
      <w:proofErr w:type="spellStart"/>
      <w:r w:rsidR="006C1A96" w:rsidRPr="00695A45">
        <w:rPr>
          <w:color w:val="222222"/>
          <w:szCs w:val="24"/>
        </w:rPr>
        <w:t>atezolizumab</w:t>
      </w:r>
      <w:proofErr w:type="spellEnd"/>
      <w:r w:rsidR="00FC0E03" w:rsidRPr="00695A45">
        <w:rPr>
          <w:color w:val="222222"/>
          <w:szCs w:val="24"/>
        </w:rPr>
        <w:t>.</w:t>
      </w:r>
      <w:r w:rsidR="00FC0E03" w:rsidRPr="00695A45" w:rsidDel="00FC0E03">
        <w:rPr>
          <w:color w:val="222222"/>
          <w:szCs w:val="24"/>
        </w:rPr>
        <w:t xml:space="preserve"> </w:t>
      </w:r>
      <w:r w:rsidR="00B61E0E" w:rsidRPr="00695A45">
        <w:rPr>
          <w:color w:val="222222"/>
          <w:szCs w:val="24"/>
        </w:rPr>
        <w:t xml:space="preserve">The pre-PBAC response </w:t>
      </w:r>
      <w:r w:rsidR="005648F8" w:rsidRPr="00695A45">
        <w:rPr>
          <w:color w:val="222222"/>
          <w:szCs w:val="24"/>
        </w:rPr>
        <w:t xml:space="preserve">stated </w:t>
      </w:r>
      <w:r w:rsidR="00B61E0E" w:rsidRPr="00695A45">
        <w:rPr>
          <w:color w:val="222222"/>
          <w:szCs w:val="24"/>
        </w:rPr>
        <w:t>that “such a significant straight price reduction would be unacceptable”</w:t>
      </w:r>
      <w:r w:rsidR="004C6C02" w:rsidRPr="00695A45">
        <w:rPr>
          <w:color w:val="222222"/>
          <w:szCs w:val="24"/>
        </w:rPr>
        <w:t>.</w:t>
      </w:r>
      <w:r w:rsidR="00B61E0E" w:rsidRPr="00695A45">
        <w:rPr>
          <w:color w:val="222222"/>
          <w:szCs w:val="24"/>
        </w:rPr>
        <w:t xml:space="preserve"> </w:t>
      </w:r>
    </w:p>
    <w:p w:rsidR="00DA233C" w:rsidRPr="00695A45" w:rsidRDefault="00E7444D" w:rsidP="007E69EC">
      <w:pPr>
        <w:pStyle w:val="3Bodytext"/>
      </w:pPr>
      <w:r w:rsidRPr="00695A45">
        <w:t xml:space="preserve">Table </w:t>
      </w:r>
      <w:r w:rsidR="005912FC" w:rsidRPr="00695A45">
        <w:t>2</w:t>
      </w:r>
      <w:r w:rsidRPr="00695A45">
        <w:t xml:space="preserve"> shows a summary of key results from the economic evaluation, reproduced from the minor resubmission.</w:t>
      </w:r>
    </w:p>
    <w:p w:rsidR="00DA233C" w:rsidRPr="00695A45" w:rsidRDefault="00DA233C" w:rsidP="00B61E0E">
      <w:pPr>
        <w:pStyle w:val="Caption"/>
        <w:keepNext w:val="0"/>
        <w:rPr>
          <w:rFonts w:ascii="Arial Narrow" w:hAnsi="Arial Narrow"/>
          <w:sz w:val="20"/>
          <w:szCs w:val="20"/>
        </w:rPr>
      </w:pPr>
      <w:bookmarkStart w:id="0" w:name="_Ref17385125"/>
      <w:bookmarkStart w:id="1" w:name="_Toc17714787"/>
      <w:r w:rsidRPr="00695A45">
        <w:rPr>
          <w:rFonts w:ascii="Arial Narrow" w:hAnsi="Arial Narrow"/>
          <w:sz w:val="20"/>
          <w:szCs w:val="20"/>
        </w:rPr>
        <w:t>Table</w:t>
      </w:r>
      <w:bookmarkEnd w:id="0"/>
      <w:r w:rsidRPr="00695A45">
        <w:rPr>
          <w:rFonts w:ascii="Arial Narrow" w:hAnsi="Arial Narrow"/>
          <w:sz w:val="20"/>
          <w:szCs w:val="20"/>
        </w:rPr>
        <w:t xml:space="preserve"> </w:t>
      </w:r>
      <w:r w:rsidR="005912FC" w:rsidRPr="00695A45">
        <w:rPr>
          <w:rFonts w:ascii="Arial Narrow" w:hAnsi="Arial Narrow"/>
          <w:sz w:val="20"/>
          <w:szCs w:val="20"/>
        </w:rPr>
        <w:t>2</w:t>
      </w:r>
      <w:r w:rsidR="00316636" w:rsidRPr="00695A45">
        <w:rPr>
          <w:rFonts w:ascii="Arial Narrow" w:hAnsi="Arial Narrow"/>
          <w:sz w:val="20"/>
          <w:szCs w:val="20"/>
        </w:rPr>
        <w:t xml:space="preserve">: </w:t>
      </w:r>
      <w:r w:rsidRPr="00695A45">
        <w:rPr>
          <w:rFonts w:ascii="Arial Narrow" w:hAnsi="Arial Narrow"/>
          <w:sz w:val="20"/>
          <w:szCs w:val="20"/>
        </w:rPr>
        <w:t>Summary of key results from the economic evaluation</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39"/>
        <w:gridCol w:w="1682"/>
        <w:gridCol w:w="2465"/>
        <w:gridCol w:w="2530"/>
      </w:tblGrid>
      <w:tr w:rsidR="00DA233C" w:rsidRPr="00695A45" w:rsidTr="002C2C12">
        <w:trPr>
          <w:cantSplit/>
          <w:tblHeader/>
        </w:trPr>
        <w:tc>
          <w:tcPr>
            <w:tcW w:w="1297" w:type="pct"/>
            <w:vAlign w:val="center"/>
          </w:tcPr>
          <w:p w:rsidR="00DA233C" w:rsidRPr="00695A45" w:rsidRDefault="00DA233C" w:rsidP="00B61E0E">
            <w:pPr>
              <w:pStyle w:val="ESTableText"/>
              <w:jc w:val="center"/>
              <w:rPr>
                <w:rFonts w:ascii="Arial Narrow" w:hAnsi="Arial Narrow"/>
                <w:b/>
              </w:rPr>
            </w:pPr>
            <w:proofErr w:type="spellStart"/>
            <w:r w:rsidRPr="00695A45">
              <w:rPr>
                <w:rFonts w:ascii="Arial Narrow" w:hAnsi="Arial Narrow"/>
                <w:b/>
              </w:rPr>
              <w:t>Atezo+CE</w:t>
            </w:r>
            <w:proofErr w:type="spellEnd"/>
            <w:r w:rsidRPr="00695A45">
              <w:rPr>
                <w:rFonts w:ascii="Arial Narrow" w:hAnsi="Arial Narrow"/>
                <w:b/>
              </w:rPr>
              <w:t xml:space="preserve"> vs CE</w:t>
            </w:r>
          </w:p>
        </w:tc>
        <w:tc>
          <w:tcPr>
            <w:tcW w:w="933" w:type="pct"/>
            <w:vAlign w:val="center"/>
          </w:tcPr>
          <w:p w:rsidR="00DA233C" w:rsidRPr="00695A45" w:rsidRDefault="00DA233C" w:rsidP="00B61E0E">
            <w:pPr>
              <w:pStyle w:val="ESTableText"/>
              <w:jc w:val="center"/>
              <w:rPr>
                <w:rFonts w:ascii="Arial Narrow" w:hAnsi="Arial Narrow"/>
                <w:b/>
              </w:rPr>
            </w:pPr>
            <w:r w:rsidRPr="00695A45">
              <w:rPr>
                <w:rFonts w:ascii="Arial Narrow" w:hAnsi="Arial Narrow"/>
                <w:b/>
              </w:rPr>
              <w:t>Incremental cost</w:t>
            </w:r>
          </w:p>
        </w:tc>
        <w:tc>
          <w:tcPr>
            <w:tcW w:w="1367" w:type="pct"/>
            <w:vAlign w:val="center"/>
          </w:tcPr>
          <w:p w:rsidR="00DA233C" w:rsidRPr="00695A45" w:rsidRDefault="00DA233C" w:rsidP="00B61E0E">
            <w:pPr>
              <w:pStyle w:val="ESTableText"/>
              <w:jc w:val="center"/>
              <w:rPr>
                <w:rFonts w:ascii="Arial Narrow" w:hAnsi="Arial Narrow"/>
                <w:b/>
              </w:rPr>
            </w:pPr>
            <w:r w:rsidRPr="00695A45">
              <w:rPr>
                <w:rFonts w:ascii="Arial Narrow" w:hAnsi="Arial Narrow"/>
                <w:b/>
              </w:rPr>
              <w:t xml:space="preserve">Incremental effectiveness </w:t>
            </w:r>
          </w:p>
        </w:tc>
        <w:tc>
          <w:tcPr>
            <w:tcW w:w="1403" w:type="pct"/>
            <w:vAlign w:val="center"/>
          </w:tcPr>
          <w:p w:rsidR="00DA233C" w:rsidRPr="00695A45" w:rsidRDefault="00DA233C" w:rsidP="00B61E0E">
            <w:pPr>
              <w:pStyle w:val="ESTableText"/>
              <w:jc w:val="center"/>
              <w:rPr>
                <w:rFonts w:ascii="Arial Narrow" w:hAnsi="Arial Narrow"/>
                <w:b/>
              </w:rPr>
            </w:pPr>
            <w:r w:rsidRPr="00695A45">
              <w:rPr>
                <w:rFonts w:ascii="Arial Narrow" w:hAnsi="Arial Narrow"/>
                <w:b/>
              </w:rPr>
              <w:t>Incremental cost per QALY</w:t>
            </w:r>
          </w:p>
        </w:tc>
      </w:tr>
      <w:tr w:rsidR="00DA233C" w:rsidRPr="00695A45" w:rsidTr="002C2C12">
        <w:trPr>
          <w:cantSplit/>
        </w:trPr>
        <w:tc>
          <w:tcPr>
            <w:tcW w:w="1297" w:type="pct"/>
          </w:tcPr>
          <w:p w:rsidR="00DA233C" w:rsidRPr="00695A45" w:rsidRDefault="00DA233C" w:rsidP="00B61E0E">
            <w:pPr>
              <w:pStyle w:val="ESTableText"/>
              <w:rPr>
                <w:rFonts w:ascii="Arial Narrow" w:hAnsi="Arial Narrow"/>
              </w:rPr>
            </w:pPr>
            <w:r w:rsidRPr="00695A45">
              <w:rPr>
                <w:rFonts w:ascii="Arial Narrow" w:hAnsi="Arial Narrow"/>
              </w:rPr>
              <w:t xml:space="preserve">Without </w:t>
            </w:r>
            <w:r w:rsidR="00D24EE5" w:rsidRPr="00695A45">
              <w:rPr>
                <w:rFonts w:ascii="Arial Narrow" w:hAnsi="Arial Narrow"/>
              </w:rPr>
              <w:t>RSA</w:t>
            </w:r>
          </w:p>
        </w:tc>
        <w:tc>
          <w:tcPr>
            <w:tcW w:w="933" w:type="pct"/>
          </w:tcPr>
          <w:p w:rsidR="00DA233C" w:rsidRPr="00695A45" w:rsidRDefault="00DA233C" w:rsidP="00B61E0E">
            <w:pPr>
              <w:pStyle w:val="ESTableText"/>
              <w:jc w:val="center"/>
              <w:rPr>
                <w:rFonts w:ascii="Arial Narrow" w:hAnsi="Arial Narrow"/>
              </w:rPr>
            </w:pPr>
            <w:r w:rsidRPr="00695A45">
              <w:rPr>
                <w:rFonts w:ascii="Arial Narrow" w:hAnsi="Arial Narrow"/>
              </w:rPr>
              <w:t>$</w:t>
            </w:r>
            <w:r w:rsidR="00B905EC">
              <w:rPr>
                <w:rFonts w:ascii="Arial Narrow" w:hAnsi="Arial Narrow"/>
                <w:noProof/>
                <w:color w:val="000000"/>
                <w:highlight w:val="black"/>
              </w:rPr>
              <w:t>'''''''''''''''</w:t>
            </w:r>
          </w:p>
        </w:tc>
        <w:tc>
          <w:tcPr>
            <w:tcW w:w="1367" w:type="pct"/>
          </w:tcPr>
          <w:p w:rsidR="00DA233C" w:rsidRPr="00695A45" w:rsidRDefault="00B905EC" w:rsidP="00B61E0E">
            <w:pPr>
              <w:pStyle w:val="ESTableText"/>
              <w:jc w:val="center"/>
              <w:rPr>
                <w:rFonts w:ascii="Arial Narrow" w:hAnsi="Arial Narrow"/>
              </w:rPr>
            </w:pPr>
            <w:r>
              <w:rPr>
                <w:rFonts w:ascii="Arial Narrow" w:hAnsi="Arial Narrow"/>
                <w:noProof/>
                <w:color w:val="000000"/>
                <w:highlight w:val="black"/>
              </w:rPr>
              <w:t>'''''''''''</w:t>
            </w:r>
            <w:r w:rsidR="00DA233C" w:rsidRPr="00695A45">
              <w:rPr>
                <w:rFonts w:ascii="Arial Narrow" w:hAnsi="Arial Narrow"/>
              </w:rPr>
              <w:t xml:space="preserve"> QALYs</w:t>
            </w:r>
          </w:p>
        </w:tc>
        <w:tc>
          <w:tcPr>
            <w:tcW w:w="1403" w:type="pct"/>
          </w:tcPr>
          <w:p w:rsidR="00DA233C" w:rsidRPr="00695A45" w:rsidRDefault="00DA233C" w:rsidP="00B61E0E">
            <w:pPr>
              <w:pStyle w:val="ESTableText"/>
              <w:jc w:val="center"/>
              <w:rPr>
                <w:rFonts w:ascii="Arial Narrow" w:hAnsi="Arial Narrow"/>
              </w:rPr>
            </w:pPr>
            <w:r w:rsidRPr="00695A45">
              <w:rPr>
                <w:rFonts w:ascii="Arial Narrow" w:hAnsi="Arial Narrow"/>
              </w:rPr>
              <w:t>$</w:t>
            </w:r>
            <w:r w:rsidR="00B905EC">
              <w:rPr>
                <w:rFonts w:ascii="Arial Narrow" w:hAnsi="Arial Narrow"/>
                <w:noProof/>
                <w:color w:val="000000"/>
                <w:highlight w:val="black"/>
              </w:rPr>
              <w:t>'''''''''''''''</w:t>
            </w:r>
          </w:p>
        </w:tc>
      </w:tr>
      <w:tr w:rsidR="00DA233C" w:rsidRPr="00695A45" w:rsidTr="002C2C12">
        <w:trPr>
          <w:cantSplit/>
        </w:trPr>
        <w:tc>
          <w:tcPr>
            <w:tcW w:w="1297" w:type="pct"/>
          </w:tcPr>
          <w:p w:rsidR="00DA233C" w:rsidRPr="00695A45" w:rsidRDefault="00DA233C" w:rsidP="00B61E0E">
            <w:pPr>
              <w:pStyle w:val="ESTableText"/>
              <w:rPr>
                <w:rFonts w:ascii="Arial Narrow" w:hAnsi="Arial Narrow"/>
                <w:vertAlign w:val="superscript"/>
              </w:rPr>
            </w:pPr>
            <w:r w:rsidRPr="00695A45">
              <w:rPr>
                <w:rFonts w:ascii="Arial Narrow" w:hAnsi="Arial Narrow"/>
              </w:rPr>
              <w:t xml:space="preserve">With </w:t>
            </w:r>
            <w:r w:rsidR="00D24EE5" w:rsidRPr="00695A45">
              <w:rPr>
                <w:rFonts w:ascii="Arial Narrow" w:hAnsi="Arial Narrow"/>
              </w:rPr>
              <w:t xml:space="preserve">RSA </w:t>
            </w:r>
            <w:r w:rsidR="00D24EE5" w:rsidRPr="00695A45">
              <w:rPr>
                <w:rFonts w:ascii="Arial Narrow" w:hAnsi="Arial Narrow"/>
                <w:vertAlign w:val="superscript"/>
              </w:rPr>
              <w:t>a</w:t>
            </w:r>
          </w:p>
        </w:tc>
        <w:tc>
          <w:tcPr>
            <w:tcW w:w="933" w:type="pct"/>
          </w:tcPr>
          <w:p w:rsidR="00DA233C" w:rsidRPr="00695A45" w:rsidRDefault="00DA233C" w:rsidP="00B61E0E">
            <w:pPr>
              <w:pStyle w:val="ESTableText"/>
              <w:jc w:val="center"/>
              <w:rPr>
                <w:rFonts w:ascii="Arial Narrow" w:hAnsi="Arial Narrow"/>
              </w:rPr>
            </w:pPr>
            <w:r w:rsidRPr="00695A45">
              <w:rPr>
                <w:rFonts w:ascii="Arial Narrow" w:hAnsi="Arial Narrow"/>
              </w:rPr>
              <w:t>$</w:t>
            </w:r>
            <w:r w:rsidR="00B905EC">
              <w:rPr>
                <w:rFonts w:ascii="Arial Narrow" w:hAnsi="Arial Narrow"/>
                <w:noProof/>
                <w:color w:val="000000"/>
                <w:highlight w:val="black"/>
              </w:rPr>
              <w:t>''''''''''''''''</w:t>
            </w:r>
          </w:p>
        </w:tc>
        <w:tc>
          <w:tcPr>
            <w:tcW w:w="1367" w:type="pct"/>
          </w:tcPr>
          <w:p w:rsidR="00DA233C" w:rsidRPr="003C44D5" w:rsidRDefault="00B905EC" w:rsidP="00B61E0E">
            <w:pPr>
              <w:pStyle w:val="ESTableText"/>
              <w:jc w:val="center"/>
              <w:rPr>
                <w:rFonts w:ascii="Arial Narrow" w:hAnsi="Arial Narrow"/>
              </w:rPr>
            </w:pPr>
            <w:r>
              <w:rPr>
                <w:rFonts w:ascii="Arial Narrow" w:hAnsi="Arial Narrow"/>
                <w:noProof/>
                <w:color w:val="000000"/>
                <w:highlight w:val="black"/>
              </w:rPr>
              <w:t>'''''''''''</w:t>
            </w:r>
            <w:r w:rsidR="00DA233C" w:rsidRPr="003C44D5">
              <w:rPr>
                <w:rFonts w:ascii="Arial Narrow" w:hAnsi="Arial Narrow"/>
              </w:rPr>
              <w:t xml:space="preserve"> QALYs</w:t>
            </w:r>
          </w:p>
        </w:tc>
        <w:tc>
          <w:tcPr>
            <w:tcW w:w="1403" w:type="pct"/>
          </w:tcPr>
          <w:p w:rsidR="00DA233C" w:rsidRPr="00695A45" w:rsidRDefault="00DA233C" w:rsidP="00B61E0E">
            <w:pPr>
              <w:pStyle w:val="ESTableText"/>
              <w:jc w:val="center"/>
              <w:rPr>
                <w:rFonts w:ascii="Arial Narrow" w:hAnsi="Arial Narrow"/>
              </w:rPr>
            </w:pPr>
            <w:r w:rsidRPr="00695A45">
              <w:rPr>
                <w:rFonts w:ascii="Arial Narrow" w:hAnsi="Arial Narrow"/>
              </w:rPr>
              <w:t>$</w:t>
            </w:r>
            <w:r w:rsidR="00B905EC">
              <w:rPr>
                <w:rFonts w:ascii="Arial Narrow" w:hAnsi="Arial Narrow"/>
                <w:noProof/>
                <w:color w:val="000000"/>
                <w:highlight w:val="black"/>
              </w:rPr>
              <w:t>''''''''''''''''</w:t>
            </w:r>
          </w:p>
        </w:tc>
      </w:tr>
      <w:tr w:rsidR="00FC0E03" w:rsidRPr="00695A45" w:rsidTr="00F16AE8">
        <w:trPr>
          <w:cantSplit/>
        </w:trPr>
        <w:tc>
          <w:tcPr>
            <w:tcW w:w="1297" w:type="pct"/>
            <w:shd w:val="clear" w:color="auto" w:fill="D9D9D9" w:themeFill="background1" w:themeFillShade="D9"/>
          </w:tcPr>
          <w:p w:rsidR="00FC0E03" w:rsidRPr="00695A45" w:rsidDel="00E9238D" w:rsidRDefault="00FC0E03" w:rsidP="00B61E0E">
            <w:pPr>
              <w:pStyle w:val="ESTableText"/>
              <w:rPr>
                <w:rFonts w:ascii="Arial Narrow" w:hAnsi="Arial Narrow"/>
                <w:vertAlign w:val="superscript"/>
              </w:rPr>
            </w:pPr>
            <w:r w:rsidRPr="00695A45">
              <w:rPr>
                <w:rFonts w:ascii="Arial Narrow" w:hAnsi="Arial Narrow"/>
              </w:rPr>
              <w:t>Previous submission</w:t>
            </w:r>
            <w:r w:rsidR="00FF269E" w:rsidRPr="00695A45">
              <w:rPr>
                <w:rFonts w:ascii="Arial Narrow" w:hAnsi="Arial Narrow"/>
              </w:rPr>
              <w:t xml:space="preserve"> </w:t>
            </w:r>
            <w:r w:rsidR="00FF269E" w:rsidRPr="00695A45">
              <w:rPr>
                <w:rFonts w:ascii="Arial Narrow" w:hAnsi="Arial Narrow"/>
                <w:vertAlign w:val="superscript"/>
              </w:rPr>
              <w:t>b</w:t>
            </w:r>
          </w:p>
        </w:tc>
        <w:tc>
          <w:tcPr>
            <w:tcW w:w="933" w:type="pct"/>
            <w:shd w:val="clear" w:color="auto" w:fill="D9D9D9" w:themeFill="background1" w:themeFillShade="D9"/>
            <w:vAlign w:val="center"/>
          </w:tcPr>
          <w:p w:rsidR="00FC0E03" w:rsidRPr="00695A45" w:rsidRDefault="00FC0E03" w:rsidP="00B61E0E">
            <w:pPr>
              <w:pStyle w:val="ESTableText"/>
              <w:jc w:val="center"/>
              <w:rPr>
                <w:rFonts w:ascii="Arial Narrow" w:hAnsi="Arial Narrow"/>
              </w:rPr>
            </w:pPr>
            <w:r w:rsidRPr="00695A45">
              <w:rPr>
                <w:rFonts w:ascii="Arial Narrow" w:hAnsi="Arial Narrow" w:cs="Arial"/>
                <w:snapToGrid w:val="0"/>
              </w:rPr>
              <w:t>$</w:t>
            </w:r>
            <w:r w:rsidR="00B905EC">
              <w:rPr>
                <w:rFonts w:ascii="Arial Narrow" w:hAnsi="Arial Narrow" w:cs="Arial"/>
                <w:noProof/>
                <w:snapToGrid w:val="0"/>
                <w:color w:val="000000"/>
                <w:highlight w:val="black"/>
              </w:rPr>
              <w:t>''''''''''''''''</w:t>
            </w:r>
          </w:p>
        </w:tc>
        <w:tc>
          <w:tcPr>
            <w:tcW w:w="1367" w:type="pct"/>
            <w:shd w:val="clear" w:color="auto" w:fill="D9D9D9" w:themeFill="background1" w:themeFillShade="D9"/>
            <w:vAlign w:val="center"/>
          </w:tcPr>
          <w:p w:rsidR="00FC0E03" w:rsidRPr="003C44D5" w:rsidRDefault="00B905EC" w:rsidP="00B61E0E">
            <w:pPr>
              <w:pStyle w:val="ESTableText"/>
              <w:jc w:val="center"/>
              <w:rPr>
                <w:rFonts w:ascii="Arial Narrow" w:hAnsi="Arial Narrow"/>
              </w:rPr>
            </w:pPr>
            <w:r>
              <w:rPr>
                <w:rFonts w:ascii="Arial Narrow" w:hAnsi="Arial Narrow" w:cs="Arial"/>
                <w:noProof/>
                <w:snapToGrid w:val="0"/>
                <w:color w:val="000000"/>
                <w:highlight w:val="black"/>
              </w:rPr>
              <w:t>'''''''''''</w:t>
            </w:r>
            <w:r w:rsidR="00FC0E03" w:rsidRPr="003C44D5">
              <w:rPr>
                <w:rFonts w:ascii="Arial Narrow" w:hAnsi="Arial Narrow" w:cs="Arial"/>
                <w:snapToGrid w:val="0"/>
              </w:rPr>
              <w:t xml:space="preserve"> QALYs</w:t>
            </w:r>
          </w:p>
        </w:tc>
        <w:tc>
          <w:tcPr>
            <w:tcW w:w="1403" w:type="pct"/>
            <w:tcBorders>
              <w:right w:val="double" w:sz="4" w:space="0" w:color="auto"/>
            </w:tcBorders>
            <w:shd w:val="clear" w:color="auto" w:fill="D9D9D9" w:themeFill="background1" w:themeFillShade="D9"/>
            <w:vAlign w:val="center"/>
          </w:tcPr>
          <w:p w:rsidR="00FC0E03" w:rsidRPr="00695A45" w:rsidRDefault="00FC0E03" w:rsidP="00B61E0E">
            <w:pPr>
              <w:pStyle w:val="ESTableText"/>
              <w:jc w:val="center"/>
              <w:rPr>
                <w:rFonts w:ascii="Arial Narrow" w:hAnsi="Arial Narrow"/>
              </w:rPr>
            </w:pPr>
            <w:r w:rsidRPr="00695A45">
              <w:rPr>
                <w:rFonts w:ascii="Arial Narrow" w:hAnsi="Arial Narrow" w:cs="Arial"/>
                <w:snapToGrid w:val="0"/>
              </w:rPr>
              <w:t>$</w:t>
            </w:r>
            <w:r w:rsidR="00B905EC">
              <w:rPr>
                <w:rFonts w:ascii="Arial Narrow" w:hAnsi="Arial Narrow" w:cs="Arial"/>
                <w:noProof/>
                <w:snapToGrid w:val="0"/>
                <w:color w:val="000000"/>
                <w:highlight w:val="black"/>
              </w:rPr>
              <w:t>'''''''''''''''''</w:t>
            </w:r>
          </w:p>
        </w:tc>
      </w:tr>
    </w:tbl>
    <w:p w:rsidR="00A46818" w:rsidRPr="00695A45" w:rsidRDefault="00A46818" w:rsidP="00CA6AE6">
      <w:pPr>
        <w:pStyle w:val="TableNotes0"/>
        <w:tabs>
          <w:tab w:val="clear" w:pos="1134"/>
        </w:tabs>
        <w:ind w:left="0" w:firstLine="0"/>
        <w:contextualSpacing/>
        <w:rPr>
          <w:rFonts w:ascii="Arial Narrow" w:hAnsi="Arial Narrow"/>
        </w:rPr>
      </w:pPr>
      <w:proofErr w:type="spellStart"/>
      <w:r w:rsidRPr="00695A45">
        <w:rPr>
          <w:rFonts w:ascii="Arial Narrow" w:hAnsi="Arial Narrow"/>
        </w:rPr>
        <w:t>Atezo</w:t>
      </w:r>
      <w:proofErr w:type="spellEnd"/>
      <w:r w:rsidRPr="00695A45">
        <w:rPr>
          <w:rFonts w:ascii="Arial Narrow" w:hAnsi="Arial Narrow"/>
        </w:rPr>
        <w:t xml:space="preserve"> = </w:t>
      </w:r>
      <w:proofErr w:type="spellStart"/>
      <w:r w:rsidRPr="00695A45">
        <w:rPr>
          <w:rFonts w:ascii="Arial Narrow" w:hAnsi="Arial Narrow"/>
        </w:rPr>
        <w:t>atezolizumab</w:t>
      </w:r>
      <w:proofErr w:type="spellEnd"/>
      <w:r w:rsidRPr="00695A45">
        <w:rPr>
          <w:rFonts w:ascii="Arial Narrow" w:hAnsi="Arial Narrow"/>
        </w:rPr>
        <w:t>; CE = carboplatin and etoposide; QALY = quality adjusted life year; RSA = Risk Sharing Arrangement.</w:t>
      </w:r>
    </w:p>
    <w:p w:rsidR="00DA233C" w:rsidRPr="00695A45" w:rsidRDefault="00DA233C" w:rsidP="00CA6AE6">
      <w:pPr>
        <w:pStyle w:val="TableNotes0"/>
        <w:tabs>
          <w:tab w:val="clear" w:pos="1134"/>
        </w:tabs>
        <w:ind w:left="0" w:firstLine="0"/>
        <w:contextualSpacing/>
        <w:rPr>
          <w:rFonts w:ascii="Arial Narrow" w:hAnsi="Arial Narrow"/>
        </w:rPr>
      </w:pPr>
      <w:r w:rsidRPr="00695A45">
        <w:rPr>
          <w:rFonts w:ascii="Arial Narrow" w:hAnsi="Arial Narrow"/>
        </w:rPr>
        <w:t xml:space="preserve">Source: Table 3-1 </w:t>
      </w:r>
      <w:proofErr w:type="spellStart"/>
      <w:r w:rsidRPr="00695A45">
        <w:rPr>
          <w:rFonts w:ascii="Arial Narrow" w:hAnsi="Arial Narrow"/>
        </w:rPr>
        <w:t>Atezolizumab</w:t>
      </w:r>
      <w:proofErr w:type="spellEnd"/>
      <w:r w:rsidRPr="00695A45">
        <w:rPr>
          <w:rFonts w:ascii="Arial Narrow" w:hAnsi="Arial Narrow"/>
        </w:rPr>
        <w:t xml:space="preserve"> minor resubmission and Economic Evaluation_Jan19 </w:t>
      </w:r>
      <w:proofErr w:type="spellStart"/>
      <w:r w:rsidRPr="00695A45">
        <w:rPr>
          <w:rFonts w:ascii="Arial Narrow" w:hAnsi="Arial Narrow"/>
        </w:rPr>
        <w:t>cut_minor</w:t>
      </w:r>
      <w:proofErr w:type="spellEnd"/>
      <w:r w:rsidRPr="00695A45">
        <w:rPr>
          <w:rFonts w:ascii="Arial Narrow" w:hAnsi="Arial Narrow"/>
        </w:rPr>
        <w:t xml:space="preserve"> resubmission.xlsx, worksheet ‘Results tables’</w:t>
      </w:r>
    </w:p>
    <w:p w:rsidR="00D24EE5" w:rsidRPr="00695A45" w:rsidRDefault="00D24EE5" w:rsidP="00CA6AE6">
      <w:pPr>
        <w:pStyle w:val="TableFooter"/>
        <w:spacing w:after="240"/>
        <w:contextualSpacing/>
      </w:pPr>
      <w:proofErr w:type="spellStart"/>
      <w:proofErr w:type="gramStart"/>
      <w:r w:rsidRPr="00695A45">
        <w:rPr>
          <w:vertAlign w:val="superscript"/>
        </w:rPr>
        <w:t>a</w:t>
      </w:r>
      <w:proofErr w:type="spellEnd"/>
      <w:proofErr w:type="gramEnd"/>
      <w:r w:rsidRPr="00695A45">
        <w:t xml:space="preserve"> Assuming the minor resubmission’s estimate</w:t>
      </w:r>
      <w:r w:rsidR="00671451" w:rsidRPr="00695A45">
        <w:t>d</w:t>
      </w:r>
      <w:r w:rsidRPr="00695A45">
        <w:t xml:space="preserve"> rebates are achieved</w:t>
      </w:r>
    </w:p>
    <w:p w:rsidR="00FF269E" w:rsidRPr="00695A45" w:rsidRDefault="00FF269E" w:rsidP="004E55C3">
      <w:pPr>
        <w:pStyle w:val="TableFooter"/>
        <w:spacing w:after="240"/>
        <w:contextualSpacing/>
      </w:pPr>
      <w:proofErr w:type="gramStart"/>
      <w:r w:rsidRPr="00695A45">
        <w:rPr>
          <w:vertAlign w:val="superscript"/>
        </w:rPr>
        <w:t>b</w:t>
      </w:r>
      <w:proofErr w:type="gramEnd"/>
      <w:r w:rsidRPr="00695A45">
        <w:t xml:space="preserve"> Base case presented in previous submission (without convergence</w:t>
      </w:r>
      <w:r w:rsidR="00FB13C5" w:rsidRPr="00695A45">
        <w:t xml:space="preserve"> and with older OS data</w:t>
      </w:r>
      <w:r w:rsidRPr="00695A45">
        <w:t>)</w:t>
      </w:r>
    </w:p>
    <w:p w:rsidR="00FC5472" w:rsidRPr="00695A45" w:rsidRDefault="00FC0E03" w:rsidP="00DD7272">
      <w:pPr>
        <w:pStyle w:val="3Bodytext"/>
      </w:pPr>
      <w:r w:rsidRPr="00695A45">
        <w:t>Without the proposed RSA (but with the reduced effective price), the ICER was estimated to be $</w:t>
      </w:r>
      <w:r w:rsidR="00C400E8">
        <w:t>75,000 - $105,000</w:t>
      </w:r>
      <w:r w:rsidRPr="00695A45">
        <w:t xml:space="preserve"> per QALY. Including </w:t>
      </w:r>
      <w:r w:rsidR="00671451" w:rsidRPr="00695A45">
        <w:t>the proposed RSA</w:t>
      </w:r>
      <w:r w:rsidR="00E7444D" w:rsidRPr="00695A45">
        <w:t xml:space="preserve"> </w:t>
      </w:r>
      <w:r w:rsidR="00671451" w:rsidRPr="00695A45">
        <w:t>(</w:t>
      </w:r>
      <w:r w:rsidRPr="00695A45">
        <w:t xml:space="preserve">and </w:t>
      </w:r>
      <w:r w:rsidR="00671451" w:rsidRPr="00695A45">
        <w:t xml:space="preserve">assuming the minor resubmission’s estimated rebates are achieved) </w:t>
      </w:r>
      <w:r w:rsidR="00E7444D" w:rsidRPr="00695A45">
        <w:t>result</w:t>
      </w:r>
      <w:r w:rsidR="00675939" w:rsidRPr="00695A45">
        <w:t>ed</w:t>
      </w:r>
      <w:r w:rsidR="00E7444D" w:rsidRPr="00695A45">
        <w:t xml:space="preserve"> in an ICER of $</w:t>
      </w:r>
      <w:r w:rsidR="00C400E8">
        <w:t>45,000 - $75,000</w:t>
      </w:r>
      <w:r w:rsidR="00E7444D" w:rsidRPr="00695A45">
        <w:t xml:space="preserve"> per QALY.</w:t>
      </w:r>
    </w:p>
    <w:p w:rsidR="001C6256" w:rsidRPr="00695A45" w:rsidRDefault="00F316C4" w:rsidP="00B94417">
      <w:pPr>
        <w:pStyle w:val="3Bodytext"/>
      </w:pPr>
      <w:r w:rsidRPr="00695A45">
        <w:t>As the additional</w:t>
      </w:r>
      <w:r w:rsidR="001C6256" w:rsidRPr="00695A45">
        <w:t xml:space="preserve"> discount is proposed to be achieved through an RSA (rather than</w:t>
      </w:r>
      <w:r w:rsidR="00C3401E" w:rsidRPr="00695A45">
        <w:t xml:space="preserve"> </w:t>
      </w:r>
      <w:r w:rsidR="00E4343A" w:rsidRPr="00695A45">
        <w:t>solely through</w:t>
      </w:r>
      <w:r w:rsidR="001C6256" w:rsidRPr="00695A45">
        <w:t xml:space="preserve"> a reduction to the effective price)</w:t>
      </w:r>
      <w:r w:rsidRPr="00695A45">
        <w:t>,</w:t>
      </w:r>
      <w:r w:rsidR="009B6C6C" w:rsidRPr="00695A45">
        <w:t xml:space="preserve"> </w:t>
      </w:r>
      <w:r w:rsidR="009B6C6C" w:rsidRPr="00695A45">
        <w:rPr>
          <w:iCs/>
          <w:color w:val="212121"/>
        </w:rPr>
        <w:t xml:space="preserve">the </w:t>
      </w:r>
      <w:r w:rsidR="00BB550A" w:rsidRPr="00695A45">
        <w:rPr>
          <w:iCs/>
          <w:color w:val="212121"/>
        </w:rPr>
        <w:t xml:space="preserve">PBAC noted that the </w:t>
      </w:r>
      <w:r w:rsidR="009B6C6C" w:rsidRPr="00695A45">
        <w:rPr>
          <w:iCs/>
          <w:color w:val="212121"/>
        </w:rPr>
        <w:t>estimated ICER of $</w:t>
      </w:r>
      <w:r w:rsidR="00C400E8">
        <w:rPr>
          <w:iCs/>
          <w:color w:val="212121"/>
        </w:rPr>
        <w:t>45,000/QALY – $75,000</w:t>
      </w:r>
      <w:r w:rsidR="009B6C6C" w:rsidRPr="00695A45">
        <w:rPr>
          <w:iCs/>
          <w:color w:val="212121"/>
        </w:rPr>
        <w:t>/QALY gained relies on the</w:t>
      </w:r>
      <w:r w:rsidR="004C6C02" w:rsidRPr="00695A45">
        <w:rPr>
          <w:iCs/>
          <w:color w:val="212121"/>
        </w:rPr>
        <w:t xml:space="preserve"> actual</w:t>
      </w:r>
      <w:r w:rsidR="009B6C6C" w:rsidRPr="00695A45">
        <w:rPr>
          <w:iCs/>
          <w:color w:val="212121"/>
        </w:rPr>
        <w:t xml:space="preserve"> utilisation of </w:t>
      </w:r>
      <w:proofErr w:type="spellStart"/>
      <w:r w:rsidR="009B6C6C" w:rsidRPr="00695A45">
        <w:rPr>
          <w:iCs/>
          <w:color w:val="212121"/>
        </w:rPr>
        <w:t>atezolizumab</w:t>
      </w:r>
      <w:proofErr w:type="spellEnd"/>
      <w:r w:rsidR="009B6C6C" w:rsidRPr="00695A45">
        <w:rPr>
          <w:iCs/>
          <w:color w:val="212121"/>
        </w:rPr>
        <w:t xml:space="preserve"> being at least at the level estimated by the </w:t>
      </w:r>
      <w:r w:rsidR="00AC5908" w:rsidRPr="00695A45">
        <w:rPr>
          <w:iCs/>
          <w:color w:val="212121"/>
        </w:rPr>
        <w:t>minor resubmission</w:t>
      </w:r>
      <w:r w:rsidR="004C6C02" w:rsidRPr="00695A45">
        <w:t xml:space="preserve">, </w:t>
      </w:r>
      <w:r w:rsidR="00EF7C2C" w:rsidRPr="00695A45">
        <w:t xml:space="preserve">so that the </w:t>
      </w:r>
      <w:r w:rsidR="009671DC" w:rsidRPr="00695A45">
        <w:rPr>
          <w:color w:val="000000"/>
        </w:rPr>
        <w:t>estimated rebate</w:t>
      </w:r>
      <w:r w:rsidR="00EF7C2C" w:rsidRPr="00695A45">
        <w:rPr>
          <w:color w:val="000000"/>
        </w:rPr>
        <w:t>s are</w:t>
      </w:r>
      <w:r w:rsidR="009671DC" w:rsidRPr="00695A45">
        <w:rPr>
          <w:color w:val="000000"/>
        </w:rPr>
        <w:t xml:space="preserve"> </w:t>
      </w:r>
      <w:r w:rsidR="00EF7C2C" w:rsidRPr="00695A45">
        <w:rPr>
          <w:color w:val="000000"/>
        </w:rPr>
        <w:t>achieved</w:t>
      </w:r>
      <w:r w:rsidR="00B94417" w:rsidRPr="00695A45">
        <w:rPr>
          <w:color w:val="000000"/>
        </w:rPr>
        <w:t>.</w:t>
      </w:r>
      <w:r w:rsidR="004C6C02" w:rsidRPr="00695A45">
        <w:rPr>
          <w:color w:val="000000"/>
        </w:rPr>
        <w:t xml:space="preserve"> </w:t>
      </w:r>
      <w:r w:rsidR="00B94417" w:rsidRPr="00695A45">
        <w:rPr>
          <w:color w:val="000000"/>
        </w:rPr>
        <w:t>The PBAC noted that for assessments of cost-effectiveness to rely on RSA rebates being realised, there would need to be a high level of confidence in the utilisation estimates underpinning the RSA in order to minimise the risk of the ICER not being achieved.</w:t>
      </w:r>
    </w:p>
    <w:p w:rsidR="00EA41E5" w:rsidRPr="00695A45" w:rsidRDefault="0082217E" w:rsidP="004C6C02">
      <w:pPr>
        <w:pStyle w:val="ListParagraph"/>
        <w:widowControl/>
        <w:spacing w:after="120"/>
        <w:ind w:hanging="720"/>
        <w:contextualSpacing w:val="0"/>
        <w:rPr>
          <w:rFonts w:asciiTheme="minorHAnsi" w:hAnsiTheme="minorHAnsi"/>
          <w:b/>
          <w:i/>
          <w:color w:val="222222"/>
          <w:sz w:val="24"/>
          <w:szCs w:val="24"/>
          <w:u w:val="single"/>
        </w:rPr>
      </w:pPr>
      <w:r w:rsidRPr="00695A45">
        <w:rPr>
          <w:rFonts w:asciiTheme="minorHAnsi" w:hAnsiTheme="minorHAnsi"/>
          <w:b/>
          <w:i/>
          <w:color w:val="222222"/>
          <w:sz w:val="24"/>
          <w:szCs w:val="24"/>
          <w:u w:val="single"/>
        </w:rPr>
        <w:t xml:space="preserve">Extrapolation </w:t>
      </w:r>
    </w:p>
    <w:p w:rsidR="00E607F3" w:rsidRPr="00695A45" w:rsidRDefault="00E607F3" w:rsidP="004C6C02">
      <w:pPr>
        <w:pStyle w:val="3Bodytext"/>
      </w:pPr>
      <w:r w:rsidRPr="00695A45">
        <w:t>In its July 2019 consideration, the PBAC “noted and agreed with the other issues regarding the economic model that were identified by the evaluation and the ESC</w:t>
      </w:r>
      <w:r w:rsidR="003A2525" w:rsidRPr="00695A45">
        <w:t>,</w:t>
      </w:r>
      <w:r w:rsidRPr="00695A45">
        <w:t xml:space="preserve"> particularly the issues regarding</w:t>
      </w:r>
      <w:r w:rsidR="005648F8" w:rsidRPr="00695A45">
        <w:t>:</w:t>
      </w:r>
      <w:r w:rsidRPr="00695A45">
        <w:t xml:space="preserve"> the choice of parametric function for OS extrapolation; and the proximity to death utilities presented. In light of these uncertainties, along with the small OS benefit and unclear PFS benefit, the PBAC considered that an ICER less than $</w:t>
      </w:r>
      <w:r w:rsidR="00C400E8">
        <w:t>45,000 - $75,000</w:t>
      </w:r>
      <w:r w:rsidRPr="00695A45">
        <w:t xml:space="preserve"> per QALY (using the base case outlined above) would be required for </w:t>
      </w:r>
      <w:proofErr w:type="spellStart"/>
      <w:r w:rsidRPr="00695A45">
        <w:t>atezolizumab</w:t>
      </w:r>
      <w:proofErr w:type="spellEnd"/>
      <w:r w:rsidRPr="00695A45">
        <w:t xml:space="preserve"> to be considered suitably cost-effective.” (</w:t>
      </w:r>
      <w:proofErr w:type="gramStart"/>
      <w:r w:rsidRPr="00695A45">
        <w:t>paragraph</w:t>
      </w:r>
      <w:proofErr w:type="gramEnd"/>
      <w:r w:rsidRPr="00695A45">
        <w:t xml:space="preserve"> 7.13, </w:t>
      </w:r>
      <w:proofErr w:type="spellStart"/>
      <w:r w:rsidRPr="00695A45">
        <w:t>atezolizumab</w:t>
      </w:r>
      <w:proofErr w:type="spellEnd"/>
      <w:r w:rsidRPr="00695A45">
        <w:t xml:space="preserve"> </w:t>
      </w:r>
      <w:r w:rsidR="00F96E08" w:rsidRPr="00695A45">
        <w:t>PSD</w:t>
      </w:r>
      <w:r w:rsidRPr="00695A45">
        <w:t>, July 2019).</w:t>
      </w:r>
    </w:p>
    <w:p w:rsidR="00454056" w:rsidRPr="00695A45" w:rsidRDefault="008A5864" w:rsidP="008A5864">
      <w:pPr>
        <w:pStyle w:val="3Bodytext"/>
      </w:pPr>
      <w:r w:rsidRPr="00695A45">
        <w:t xml:space="preserve">As new longer-term data have been applied, the OS extrapolation is also affected. </w:t>
      </w:r>
      <w:r w:rsidR="00E607F3" w:rsidRPr="00695A45">
        <w:t>Figures 2</w:t>
      </w:r>
      <w:r w:rsidRPr="00695A45">
        <w:t xml:space="preserve"> and </w:t>
      </w:r>
      <w:r w:rsidR="00E607F3" w:rsidRPr="00695A45">
        <w:t>3</w:t>
      </w:r>
      <w:r w:rsidRPr="00695A45">
        <w:t xml:space="preserve"> below show the </w:t>
      </w:r>
      <w:r w:rsidR="00454056" w:rsidRPr="00695A45">
        <w:t>OS and PF</w:t>
      </w:r>
      <w:r w:rsidRPr="00695A45">
        <w:t xml:space="preserve">S data applied in the July 2019 and current economic models, respectively. </w:t>
      </w:r>
    </w:p>
    <w:p w:rsidR="00454056" w:rsidRPr="00695A45" w:rsidRDefault="00454056" w:rsidP="00EC06F9">
      <w:pPr>
        <w:pStyle w:val="3Bodytext"/>
        <w:numPr>
          <w:ilvl w:val="0"/>
          <w:numId w:val="0"/>
        </w:numPr>
      </w:pPr>
      <w:r w:rsidRPr="00695A45">
        <w:rPr>
          <w:rStyle w:val="CommentReference"/>
          <w:rFonts w:ascii="Arial Narrow" w:hAnsi="Arial Narrow"/>
          <w:b/>
          <w:sz w:val="20"/>
          <w:szCs w:val="20"/>
        </w:rPr>
        <w:t xml:space="preserve">Figure 2: OS and PFS as applied in the </w:t>
      </w:r>
      <w:r w:rsidR="009363A2" w:rsidRPr="00695A45">
        <w:rPr>
          <w:rStyle w:val="CommentReference"/>
          <w:rFonts w:ascii="Arial Narrow" w:hAnsi="Arial Narrow"/>
          <w:b/>
          <w:sz w:val="20"/>
          <w:szCs w:val="20"/>
        </w:rPr>
        <w:t xml:space="preserve">previous </w:t>
      </w:r>
      <w:r w:rsidRPr="00695A45">
        <w:rPr>
          <w:rStyle w:val="CommentReference"/>
          <w:rFonts w:ascii="Arial Narrow" w:hAnsi="Arial Narrow"/>
          <w:b/>
          <w:sz w:val="20"/>
          <w:szCs w:val="20"/>
        </w:rPr>
        <w:t>economic model (April 2018 data-cut)</w:t>
      </w:r>
    </w:p>
    <w:p w:rsidR="00454056" w:rsidRPr="00695A45" w:rsidRDefault="007B5062" w:rsidP="00EC06F9">
      <w:pPr>
        <w:pStyle w:val="3Bodytext"/>
        <w:numPr>
          <w:ilvl w:val="0"/>
          <w:numId w:val="0"/>
        </w:numPr>
        <w:spacing w:after="0"/>
      </w:pPr>
      <w:r w:rsidRPr="00695A45">
        <w:rPr>
          <w:noProof/>
          <w:lang w:eastAsia="en-AU"/>
        </w:rPr>
        <w:lastRenderedPageBreak/>
        <w:drawing>
          <wp:inline distT="0" distB="0" distL="0" distR="0" wp14:anchorId="25B1E57C" wp14:editId="3DB70121">
            <wp:extent cx="4390845" cy="2710499"/>
            <wp:effectExtent l="0" t="0" r="0" b="0"/>
            <wp:docPr id="1" name="Picture 1" title="Figure 2: OS and PFS as applied in the previous economic model (April 2018 dat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0514" cy="2734987"/>
                    </a:xfrm>
                    <a:prstGeom prst="rect">
                      <a:avLst/>
                    </a:prstGeom>
                  </pic:spPr>
                </pic:pic>
              </a:graphicData>
            </a:graphic>
          </wp:inline>
        </w:drawing>
      </w:r>
    </w:p>
    <w:p w:rsidR="008A5864" w:rsidRPr="00695A45" w:rsidRDefault="008A5864" w:rsidP="00EC06F9">
      <w:pPr>
        <w:pStyle w:val="3Bodytext"/>
        <w:numPr>
          <w:ilvl w:val="0"/>
          <w:numId w:val="0"/>
        </w:numPr>
        <w:spacing w:after="240"/>
      </w:pPr>
      <w:r w:rsidRPr="00695A45">
        <w:rPr>
          <w:rFonts w:ascii="Arial Narrow" w:hAnsi="Arial Narrow"/>
          <w:sz w:val="18"/>
          <w:szCs w:val="18"/>
        </w:rPr>
        <w:t>Source: Figure 2-</w:t>
      </w:r>
      <w:r w:rsidR="00E607F3" w:rsidRPr="00695A45">
        <w:rPr>
          <w:rFonts w:ascii="Arial Narrow" w:hAnsi="Arial Narrow"/>
          <w:sz w:val="18"/>
          <w:szCs w:val="18"/>
        </w:rPr>
        <w:t>1</w:t>
      </w:r>
      <w:r w:rsidRPr="00695A45">
        <w:rPr>
          <w:rFonts w:ascii="Arial Narrow" w:hAnsi="Arial Narrow"/>
          <w:sz w:val="18"/>
          <w:szCs w:val="18"/>
        </w:rPr>
        <w:t>, p4 of the minor resubmission</w:t>
      </w:r>
      <w:r w:rsidRPr="00695A45">
        <w:t xml:space="preserve"> </w:t>
      </w:r>
    </w:p>
    <w:p w:rsidR="00E4343A" w:rsidRPr="00695A45" w:rsidRDefault="00454056" w:rsidP="00EC06F9">
      <w:pPr>
        <w:pStyle w:val="3Bodytext"/>
        <w:keepNext/>
        <w:keepLines/>
        <w:numPr>
          <w:ilvl w:val="0"/>
          <w:numId w:val="0"/>
        </w:numPr>
        <w:rPr>
          <w:rStyle w:val="CommentReference"/>
          <w:rFonts w:ascii="Arial Narrow" w:hAnsi="Arial Narrow"/>
          <w:b/>
          <w:sz w:val="20"/>
          <w:szCs w:val="20"/>
        </w:rPr>
      </w:pPr>
      <w:r w:rsidRPr="00695A45">
        <w:rPr>
          <w:rStyle w:val="CommentReference"/>
          <w:rFonts w:ascii="Arial Narrow" w:hAnsi="Arial Narrow"/>
          <w:b/>
          <w:sz w:val="20"/>
          <w:szCs w:val="20"/>
        </w:rPr>
        <w:t>Figure 3</w:t>
      </w:r>
      <w:r w:rsidR="00E4343A" w:rsidRPr="00695A45">
        <w:rPr>
          <w:rStyle w:val="CommentReference"/>
          <w:rFonts w:ascii="Arial Narrow" w:hAnsi="Arial Narrow"/>
          <w:b/>
          <w:sz w:val="20"/>
          <w:szCs w:val="20"/>
        </w:rPr>
        <w:t>: OS and PFS as applied in the</w:t>
      </w:r>
      <w:r w:rsidR="00B94417" w:rsidRPr="00695A45">
        <w:rPr>
          <w:rStyle w:val="CommentReference"/>
          <w:rFonts w:ascii="Arial Narrow" w:hAnsi="Arial Narrow"/>
          <w:b/>
          <w:sz w:val="20"/>
          <w:szCs w:val="20"/>
        </w:rPr>
        <w:t xml:space="preserve"> minor resubmission’s</w:t>
      </w:r>
      <w:r w:rsidR="00E4343A" w:rsidRPr="00695A45">
        <w:rPr>
          <w:rStyle w:val="CommentReference"/>
          <w:rFonts w:ascii="Arial Narrow" w:hAnsi="Arial Narrow"/>
          <w:b/>
          <w:sz w:val="20"/>
          <w:szCs w:val="20"/>
        </w:rPr>
        <w:t xml:space="preserve"> economic model</w:t>
      </w:r>
      <w:r w:rsidR="00DD6C7F" w:rsidRPr="00695A45">
        <w:rPr>
          <w:rStyle w:val="CommentReference"/>
          <w:rFonts w:ascii="Arial Narrow" w:hAnsi="Arial Narrow"/>
          <w:b/>
          <w:sz w:val="20"/>
          <w:szCs w:val="20"/>
        </w:rPr>
        <w:t xml:space="preserve"> </w:t>
      </w:r>
      <w:r w:rsidR="00E4343A" w:rsidRPr="00695A45">
        <w:rPr>
          <w:rStyle w:val="CommentReference"/>
          <w:rFonts w:ascii="Arial Narrow" w:hAnsi="Arial Narrow"/>
          <w:b/>
          <w:sz w:val="20"/>
          <w:szCs w:val="20"/>
        </w:rPr>
        <w:t>(January 2019 data-cut and with convergence applied)</w:t>
      </w:r>
    </w:p>
    <w:p w:rsidR="00E4343A" w:rsidRPr="00695A45" w:rsidRDefault="00E4343A" w:rsidP="00EC06F9">
      <w:pPr>
        <w:pStyle w:val="3Bodytext"/>
        <w:keepNext/>
        <w:keepLines/>
        <w:numPr>
          <w:ilvl w:val="0"/>
          <w:numId w:val="0"/>
        </w:numPr>
        <w:spacing w:after="0"/>
      </w:pPr>
      <w:r w:rsidRPr="00695A45">
        <w:rPr>
          <w:noProof/>
          <w:lang w:eastAsia="en-AU"/>
        </w:rPr>
        <w:drawing>
          <wp:inline distT="0" distB="0" distL="0" distR="0" wp14:anchorId="54266A3F" wp14:editId="079CC321">
            <wp:extent cx="4371581" cy="2540000"/>
            <wp:effectExtent l="0" t="0" r="0" b="0"/>
            <wp:docPr id="2" name="Picture 2" title="Figure 3: OS and PFS as applied in the minor resubmission’s economic model (January 2019 data-cut and with convergence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4389098" cy="2550178"/>
                    </a:xfrm>
                    <a:prstGeom prst="rect">
                      <a:avLst/>
                    </a:prstGeom>
                    <a:noFill/>
                    <a:ln>
                      <a:noFill/>
                    </a:ln>
                    <a:extLst>
                      <a:ext uri="{53640926-AAD7-44D8-BBD7-CCE9431645EC}">
                        <a14:shadowObscured xmlns:a14="http://schemas.microsoft.com/office/drawing/2010/main"/>
                      </a:ext>
                    </a:extLst>
                  </pic:spPr>
                </pic:pic>
              </a:graphicData>
            </a:graphic>
          </wp:inline>
        </w:drawing>
      </w:r>
    </w:p>
    <w:p w:rsidR="00E4343A" w:rsidRPr="00695A45" w:rsidRDefault="00E4343A" w:rsidP="00EC06F9">
      <w:pPr>
        <w:pStyle w:val="3Bodytext"/>
        <w:keepNext/>
        <w:keepLines/>
        <w:numPr>
          <w:ilvl w:val="0"/>
          <w:numId w:val="0"/>
        </w:numPr>
        <w:spacing w:after="240"/>
      </w:pPr>
      <w:r w:rsidRPr="00695A45">
        <w:rPr>
          <w:rFonts w:ascii="Arial Narrow" w:hAnsi="Arial Narrow"/>
          <w:sz w:val="18"/>
          <w:szCs w:val="18"/>
        </w:rPr>
        <w:t>Source: Figure 2-2, p4 of the minor resubmission</w:t>
      </w:r>
      <w:r w:rsidRPr="00695A45">
        <w:t xml:space="preserve"> </w:t>
      </w:r>
    </w:p>
    <w:p w:rsidR="00671451" w:rsidRPr="00695A45" w:rsidRDefault="00213B91" w:rsidP="00F16AE8">
      <w:pPr>
        <w:pStyle w:val="Heading2"/>
        <w:keepLines/>
        <w:spacing w:before="240" w:after="120"/>
        <w:contextualSpacing/>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 xml:space="preserve">Drug cost/patient: </w:t>
      </w:r>
      <w:r w:rsidR="00671451" w:rsidRPr="00695A45">
        <w:rPr>
          <w:rFonts w:asciiTheme="minorHAnsi" w:eastAsiaTheme="majorEastAsia" w:hAnsiTheme="minorHAnsi" w:cstheme="majorBidi"/>
          <w:sz w:val="28"/>
          <w:szCs w:val="28"/>
          <w:lang w:eastAsia="en-US"/>
        </w:rPr>
        <w:t>$</w:t>
      </w:r>
      <w:r w:rsidR="00B905EC">
        <w:rPr>
          <w:rFonts w:asciiTheme="minorHAnsi" w:eastAsiaTheme="majorEastAsia" w:hAnsiTheme="minorHAnsi" w:cstheme="majorBidi"/>
          <w:noProof/>
          <w:color w:val="000000"/>
          <w:sz w:val="28"/>
          <w:szCs w:val="28"/>
          <w:highlight w:val="black"/>
          <w:lang w:eastAsia="en-US"/>
        </w:rPr>
        <w:t>'''''''''''''</w:t>
      </w:r>
      <w:r w:rsidR="00671451" w:rsidRPr="00695A45">
        <w:rPr>
          <w:rFonts w:asciiTheme="minorHAnsi" w:eastAsiaTheme="majorEastAsia" w:hAnsiTheme="minorHAnsi" w:cstheme="majorBidi"/>
          <w:sz w:val="28"/>
          <w:szCs w:val="28"/>
          <w:lang w:eastAsia="en-US"/>
        </w:rPr>
        <w:t xml:space="preserve"> without RSA </w:t>
      </w:r>
    </w:p>
    <w:p w:rsidR="00213B91" w:rsidRPr="00695A45" w:rsidRDefault="00213B91" w:rsidP="00F16AE8">
      <w:pPr>
        <w:pStyle w:val="Heading2"/>
        <w:keepLines/>
        <w:spacing w:before="240" w:after="120"/>
        <w:ind w:left="1440" w:firstLine="720"/>
        <w:contextualSpacing/>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w:t>
      </w:r>
      <w:r w:rsidR="00B905EC">
        <w:rPr>
          <w:rFonts w:asciiTheme="minorHAnsi" w:eastAsiaTheme="majorEastAsia" w:hAnsiTheme="minorHAnsi" w:cstheme="majorBidi"/>
          <w:noProof/>
          <w:color w:val="000000"/>
          <w:sz w:val="28"/>
          <w:szCs w:val="28"/>
          <w:highlight w:val="black"/>
          <w:lang w:eastAsia="en-US"/>
        </w:rPr>
        <w:t>''''''''''''</w:t>
      </w:r>
      <w:r w:rsidR="00EA41E5" w:rsidRPr="00695A45">
        <w:rPr>
          <w:rFonts w:asciiTheme="minorHAnsi" w:eastAsiaTheme="majorEastAsia" w:hAnsiTheme="minorHAnsi" w:cstheme="majorBidi"/>
          <w:sz w:val="28"/>
          <w:szCs w:val="28"/>
          <w:lang w:eastAsia="en-US"/>
        </w:rPr>
        <w:t xml:space="preserve"> with </w:t>
      </w:r>
      <w:r w:rsidR="00671451" w:rsidRPr="00695A45">
        <w:rPr>
          <w:rFonts w:asciiTheme="minorHAnsi" w:eastAsiaTheme="majorEastAsia" w:hAnsiTheme="minorHAnsi" w:cstheme="majorBidi"/>
          <w:sz w:val="28"/>
          <w:szCs w:val="28"/>
          <w:lang w:eastAsia="en-US"/>
        </w:rPr>
        <w:t>RSA (and with estimated rebates achieved)</w:t>
      </w:r>
    </w:p>
    <w:p w:rsidR="00CE2831" w:rsidRPr="00695A45" w:rsidRDefault="00C0735D" w:rsidP="008626CB">
      <w:pPr>
        <w:pStyle w:val="3Bodytext"/>
      </w:pPr>
      <w:r w:rsidRPr="00695A45">
        <w:t>In the minor resubmission, t</w:t>
      </w:r>
      <w:r w:rsidR="00213B91" w:rsidRPr="00695A45">
        <w:t xml:space="preserve">he </w:t>
      </w:r>
      <w:r w:rsidR="00821792" w:rsidRPr="00695A45">
        <w:t>proposed</w:t>
      </w:r>
      <w:r w:rsidR="001157B0" w:rsidRPr="00695A45">
        <w:t xml:space="preserve"> dispensed price for maximum amount</w:t>
      </w:r>
      <w:r w:rsidR="00821792" w:rsidRPr="00695A45">
        <w:t xml:space="preserve"> </w:t>
      </w:r>
      <w:r w:rsidR="001157B0" w:rsidRPr="00695A45">
        <w:t>(</w:t>
      </w:r>
      <w:r w:rsidR="00821792" w:rsidRPr="00695A45">
        <w:t>DPMA</w:t>
      </w:r>
      <w:r w:rsidR="001157B0" w:rsidRPr="00695A45">
        <w:t>)</w:t>
      </w:r>
      <w:r w:rsidR="00821792" w:rsidRPr="00695A45">
        <w:t xml:space="preserve"> of </w:t>
      </w:r>
      <w:proofErr w:type="spellStart"/>
      <w:r w:rsidR="00D22140" w:rsidRPr="00695A45">
        <w:t>atezolizumab</w:t>
      </w:r>
      <w:proofErr w:type="spellEnd"/>
      <w:r w:rsidR="00213B91" w:rsidRPr="00695A45">
        <w:t xml:space="preserve"> 1</w:t>
      </w:r>
      <w:r w:rsidR="00D22140" w:rsidRPr="00695A45">
        <w:t>,</w:t>
      </w:r>
      <w:r w:rsidR="00213B91" w:rsidRPr="00695A45">
        <w:t>20</w:t>
      </w:r>
      <w:r w:rsidR="00D22140" w:rsidRPr="00695A45">
        <w:t>0</w:t>
      </w:r>
      <w:r w:rsidR="00213B91" w:rsidRPr="00695A45">
        <w:t xml:space="preserve"> mg</w:t>
      </w:r>
      <w:r w:rsidR="00D22140" w:rsidRPr="00695A45">
        <w:t xml:space="preserve"> vial</w:t>
      </w:r>
      <w:r w:rsidR="00213B91" w:rsidRPr="00695A45">
        <w:t xml:space="preserve"> was </w:t>
      </w:r>
      <w:r w:rsidR="004E30B5" w:rsidRPr="00695A45">
        <w:rPr>
          <w:color w:val="222222"/>
          <w:szCs w:val="24"/>
        </w:rPr>
        <w:t>$</w:t>
      </w:r>
      <w:r w:rsidR="00B905EC">
        <w:rPr>
          <w:noProof/>
          <w:color w:val="000000"/>
          <w:szCs w:val="24"/>
          <w:highlight w:val="black"/>
        </w:rPr>
        <w:t>'''''''''''''''''</w:t>
      </w:r>
      <w:r w:rsidR="003711FE" w:rsidRPr="00695A45">
        <w:rPr>
          <w:color w:val="222222"/>
          <w:szCs w:val="24"/>
        </w:rPr>
        <w:t xml:space="preserve"> (based on 65.7% of prescriptions being dispensed in private hospitals and 34.3% in public hospitals)</w:t>
      </w:r>
      <w:r w:rsidR="00821792" w:rsidRPr="00695A45">
        <w:t xml:space="preserve"> and it was estimated that p</w:t>
      </w:r>
      <w:r w:rsidR="00CE2831" w:rsidRPr="00695A45">
        <w:t xml:space="preserve">atients </w:t>
      </w:r>
      <w:r w:rsidR="00821792" w:rsidRPr="00695A45">
        <w:t xml:space="preserve">would </w:t>
      </w:r>
      <w:r w:rsidR="00CE2831" w:rsidRPr="00695A45">
        <w:t xml:space="preserve">use an average </w:t>
      </w:r>
      <w:r w:rsidR="00CE2831" w:rsidRPr="003C44D5">
        <w:t xml:space="preserve">of </w:t>
      </w:r>
      <w:r w:rsidR="00B905EC">
        <w:rPr>
          <w:noProof/>
          <w:color w:val="000000"/>
          <w:highlight w:val="black"/>
        </w:rPr>
        <w:t>''''''</w:t>
      </w:r>
      <w:r w:rsidR="00CE2831" w:rsidRPr="003C44D5">
        <w:t xml:space="preserve"> doses</w:t>
      </w:r>
      <w:r w:rsidR="00CE2831" w:rsidRPr="00695A45">
        <w:t xml:space="preserve"> of </w:t>
      </w:r>
      <w:proofErr w:type="spellStart"/>
      <w:r w:rsidR="00CE2831" w:rsidRPr="00695A45">
        <w:t>atezolizumab</w:t>
      </w:r>
      <w:proofErr w:type="spellEnd"/>
      <w:r w:rsidR="00CE2831" w:rsidRPr="00695A45">
        <w:t>. Without the proposed RSA, the average drug cost per patient was estimated to be $</w:t>
      </w:r>
      <w:r w:rsidR="00B905EC">
        <w:rPr>
          <w:noProof/>
          <w:color w:val="000000"/>
          <w:highlight w:val="black"/>
        </w:rPr>
        <w:t>''''''''''''''</w:t>
      </w:r>
      <w:r w:rsidR="00CE2831" w:rsidRPr="00695A45">
        <w:t xml:space="preserve">. With the proposed RSA, the minor resubmission </w:t>
      </w:r>
      <w:r w:rsidR="00122ACB" w:rsidRPr="00695A45">
        <w:t>assum</w:t>
      </w:r>
      <w:r w:rsidR="00CE2831" w:rsidRPr="00695A45">
        <w:t xml:space="preserve">ed that </w:t>
      </w:r>
      <w:r w:rsidR="00821792" w:rsidRPr="00695A45">
        <w:t xml:space="preserve">the cost </w:t>
      </w:r>
      <w:r w:rsidR="00821792" w:rsidRPr="003C44D5">
        <w:t>of</w:t>
      </w:r>
      <w:r w:rsidR="00CE2831" w:rsidRPr="003C44D5">
        <w:t xml:space="preserve"> </w:t>
      </w:r>
      <w:r w:rsidR="00B905EC">
        <w:rPr>
          <w:noProof/>
          <w:color w:val="000000"/>
          <w:highlight w:val="black"/>
        </w:rPr>
        <w:t>''''''</w:t>
      </w:r>
      <w:r w:rsidR="00CE2831" w:rsidRPr="003C44D5">
        <w:t xml:space="preserve"> doses</w:t>
      </w:r>
      <w:r w:rsidR="00CE2831" w:rsidRPr="00695A45">
        <w:t xml:space="preserve"> per patient would be rebated, resulting in a drug cost per patient of $</w:t>
      </w:r>
      <w:r w:rsidR="00B905EC">
        <w:rPr>
          <w:noProof/>
          <w:color w:val="000000"/>
          <w:highlight w:val="black"/>
        </w:rPr>
        <w:t>'''''''''''''</w:t>
      </w:r>
      <w:r w:rsidR="00CE2831" w:rsidRPr="00695A45">
        <w:t xml:space="preserve"> </w:t>
      </w:r>
      <w:r w:rsidR="00CE2831" w:rsidRPr="00695A45">
        <w:lastRenderedPageBreak/>
        <w:t xml:space="preserve">(i.e. based </w:t>
      </w:r>
      <w:r w:rsidR="00CE2831" w:rsidRPr="003C44D5">
        <w:t xml:space="preserve">on </w:t>
      </w:r>
      <w:r w:rsidR="00B905EC">
        <w:rPr>
          <w:noProof/>
          <w:color w:val="000000"/>
          <w:highlight w:val="black"/>
        </w:rPr>
        <w:t>''</w:t>
      </w:r>
      <w:r w:rsidR="00821792" w:rsidRPr="003C44D5">
        <w:t xml:space="preserve"> dose</w:t>
      </w:r>
      <w:r w:rsidR="0061247C" w:rsidRPr="003C44D5">
        <w:t>s</w:t>
      </w:r>
      <w:r w:rsidR="00821792" w:rsidRPr="003C44D5">
        <w:t xml:space="preserve"> per</w:t>
      </w:r>
      <w:r w:rsidR="00821792" w:rsidRPr="00695A45">
        <w:t xml:space="preserve"> patient</w:t>
      </w:r>
      <w:r w:rsidR="00CE2831" w:rsidRPr="00695A45">
        <w:t xml:space="preserve">). </w:t>
      </w:r>
      <w:r w:rsidRPr="00695A45">
        <w:t xml:space="preserve">The drug cost per patient for </w:t>
      </w:r>
      <w:proofErr w:type="spellStart"/>
      <w:r w:rsidRPr="00695A45">
        <w:t>atezolizumab</w:t>
      </w:r>
      <w:proofErr w:type="spellEnd"/>
      <w:r w:rsidRPr="00695A45">
        <w:t>, with and without the RSA, is shown in Table 3.</w:t>
      </w:r>
    </w:p>
    <w:p w:rsidR="00C0735D" w:rsidRPr="00695A45" w:rsidRDefault="00C0735D" w:rsidP="002B68BA">
      <w:pPr>
        <w:jc w:val="both"/>
        <w:rPr>
          <w:rStyle w:val="CommentReference"/>
          <w:rFonts w:ascii="Arial Narrow" w:hAnsi="Arial Narrow"/>
          <w:b/>
          <w:bCs/>
          <w:sz w:val="20"/>
          <w:szCs w:val="20"/>
        </w:rPr>
      </w:pPr>
      <w:r w:rsidRPr="00695A45">
        <w:rPr>
          <w:rStyle w:val="CommentReference"/>
          <w:rFonts w:ascii="Arial Narrow" w:hAnsi="Arial Narrow"/>
          <w:b/>
          <w:bCs/>
          <w:sz w:val="20"/>
          <w:szCs w:val="20"/>
        </w:rPr>
        <w:t xml:space="preserve">Table 3: Drug cost per patient for </w:t>
      </w:r>
      <w:proofErr w:type="spellStart"/>
      <w:r w:rsidRPr="00695A45">
        <w:rPr>
          <w:rStyle w:val="CommentReference"/>
          <w:rFonts w:ascii="Arial Narrow" w:hAnsi="Arial Narrow"/>
          <w:b/>
          <w:bCs/>
          <w:sz w:val="20"/>
          <w:szCs w:val="20"/>
        </w:rPr>
        <w:t>atezolizumab</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0"/>
        <w:gridCol w:w="1295"/>
        <w:gridCol w:w="1295"/>
        <w:gridCol w:w="1298"/>
        <w:gridCol w:w="1605"/>
        <w:gridCol w:w="1603"/>
      </w:tblGrid>
      <w:tr w:rsidR="001157B0" w:rsidRPr="00695A45" w:rsidTr="00B94417">
        <w:trPr>
          <w:jc w:val="center"/>
        </w:trPr>
        <w:tc>
          <w:tcPr>
            <w:tcW w:w="1065" w:type="pct"/>
            <w:vMerge w:val="restart"/>
            <w:shd w:val="clear" w:color="auto" w:fill="auto"/>
            <w:vAlign w:val="center"/>
          </w:tcPr>
          <w:p w:rsidR="001157B0" w:rsidRPr="00695A45" w:rsidRDefault="001157B0" w:rsidP="009671DC">
            <w:pPr>
              <w:keepNext/>
              <w:rPr>
                <w:rFonts w:ascii="Arial Narrow" w:hAnsi="Arial Narrow"/>
                <w:b/>
                <w:sz w:val="20"/>
              </w:rPr>
            </w:pPr>
          </w:p>
        </w:tc>
        <w:tc>
          <w:tcPr>
            <w:tcW w:w="2156" w:type="pct"/>
            <w:gridSpan w:val="3"/>
            <w:shd w:val="clear" w:color="auto" w:fill="auto"/>
            <w:vAlign w:val="center"/>
          </w:tcPr>
          <w:p w:rsidR="001157B0" w:rsidRPr="00695A45" w:rsidRDefault="001157B0" w:rsidP="009671DC">
            <w:pPr>
              <w:keepNext/>
              <w:jc w:val="center"/>
              <w:rPr>
                <w:rFonts w:ascii="Arial Narrow" w:hAnsi="Arial Narrow"/>
                <w:b/>
                <w:sz w:val="20"/>
              </w:rPr>
            </w:pPr>
            <w:r w:rsidRPr="00695A45">
              <w:rPr>
                <w:rFonts w:ascii="Arial Narrow" w:hAnsi="Arial Narrow"/>
                <w:b/>
                <w:sz w:val="20"/>
              </w:rPr>
              <w:t>July 2019 major submission</w:t>
            </w:r>
          </w:p>
        </w:tc>
        <w:tc>
          <w:tcPr>
            <w:tcW w:w="1779" w:type="pct"/>
            <w:gridSpan w:val="2"/>
          </w:tcPr>
          <w:p w:rsidR="001157B0" w:rsidRPr="00695A45" w:rsidRDefault="001157B0" w:rsidP="009671DC">
            <w:pPr>
              <w:keepNext/>
              <w:jc w:val="center"/>
              <w:rPr>
                <w:rFonts w:ascii="Arial Narrow" w:hAnsi="Arial Narrow"/>
                <w:b/>
                <w:sz w:val="20"/>
              </w:rPr>
            </w:pPr>
            <w:r w:rsidRPr="00695A45">
              <w:rPr>
                <w:rFonts w:ascii="Arial Narrow" w:hAnsi="Arial Narrow"/>
                <w:b/>
                <w:sz w:val="20"/>
              </w:rPr>
              <w:t>November 2019 minor resubmission</w:t>
            </w:r>
          </w:p>
        </w:tc>
      </w:tr>
      <w:tr w:rsidR="001157B0" w:rsidRPr="00695A45" w:rsidTr="00B94417">
        <w:trPr>
          <w:jc w:val="center"/>
        </w:trPr>
        <w:tc>
          <w:tcPr>
            <w:tcW w:w="1065" w:type="pct"/>
            <w:vMerge/>
            <w:shd w:val="clear" w:color="auto" w:fill="auto"/>
            <w:vAlign w:val="center"/>
          </w:tcPr>
          <w:p w:rsidR="001157B0" w:rsidRPr="00695A45" w:rsidRDefault="001157B0" w:rsidP="009671DC">
            <w:pPr>
              <w:keepNext/>
              <w:rPr>
                <w:rFonts w:ascii="Arial Narrow" w:hAnsi="Arial Narrow"/>
                <w:b/>
                <w:sz w:val="20"/>
              </w:rPr>
            </w:pPr>
          </w:p>
        </w:tc>
        <w:tc>
          <w:tcPr>
            <w:tcW w:w="718" w:type="pct"/>
            <w:shd w:val="clear" w:color="auto" w:fill="auto"/>
            <w:vAlign w:val="center"/>
          </w:tcPr>
          <w:p w:rsidR="001157B0" w:rsidRPr="00695A45" w:rsidRDefault="001157B0" w:rsidP="009671DC">
            <w:pPr>
              <w:keepNext/>
              <w:jc w:val="center"/>
              <w:rPr>
                <w:rFonts w:ascii="Arial Narrow" w:hAnsi="Arial Narrow"/>
                <w:b/>
                <w:sz w:val="20"/>
              </w:rPr>
            </w:pPr>
            <w:r w:rsidRPr="00695A45">
              <w:rPr>
                <w:rFonts w:ascii="Arial Narrow" w:hAnsi="Arial Narrow"/>
                <w:b/>
                <w:sz w:val="20"/>
              </w:rPr>
              <w:t>Trial dose and duration</w:t>
            </w:r>
          </w:p>
        </w:tc>
        <w:tc>
          <w:tcPr>
            <w:tcW w:w="718" w:type="pct"/>
            <w:shd w:val="clear" w:color="auto" w:fill="auto"/>
            <w:vAlign w:val="center"/>
          </w:tcPr>
          <w:p w:rsidR="001157B0" w:rsidRPr="00695A45" w:rsidRDefault="001157B0" w:rsidP="009671DC">
            <w:pPr>
              <w:keepNext/>
              <w:jc w:val="center"/>
              <w:rPr>
                <w:rFonts w:ascii="Arial Narrow" w:hAnsi="Arial Narrow"/>
                <w:b/>
                <w:sz w:val="20"/>
                <w:vertAlign w:val="superscript"/>
              </w:rPr>
            </w:pPr>
            <w:r w:rsidRPr="00695A45">
              <w:rPr>
                <w:rFonts w:ascii="Arial Narrow" w:hAnsi="Arial Narrow"/>
                <w:b/>
                <w:sz w:val="20"/>
              </w:rPr>
              <w:t>Model</w:t>
            </w:r>
          </w:p>
        </w:tc>
        <w:tc>
          <w:tcPr>
            <w:tcW w:w="719" w:type="pct"/>
            <w:shd w:val="clear" w:color="auto" w:fill="auto"/>
            <w:vAlign w:val="center"/>
          </w:tcPr>
          <w:p w:rsidR="001157B0" w:rsidRPr="00695A45" w:rsidRDefault="001157B0" w:rsidP="009671DC">
            <w:pPr>
              <w:keepNext/>
              <w:jc w:val="center"/>
              <w:rPr>
                <w:rFonts w:ascii="Arial Narrow" w:hAnsi="Arial Narrow"/>
                <w:b/>
                <w:sz w:val="20"/>
              </w:rPr>
            </w:pPr>
            <w:r w:rsidRPr="00695A45">
              <w:rPr>
                <w:rFonts w:ascii="Arial Narrow" w:hAnsi="Arial Narrow"/>
                <w:b/>
                <w:sz w:val="20"/>
              </w:rPr>
              <w:t>Financial estimates</w:t>
            </w:r>
          </w:p>
        </w:tc>
        <w:tc>
          <w:tcPr>
            <w:tcW w:w="890" w:type="pct"/>
          </w:tcPr>
          <w:p w:rsidR="001157B0" w:rsidRPr="00695A45" w:rsidRDefault="001157B0" w:rsidP="009671DC">
            <w:pPr>
              <w:keepNext/>
              <w:jc w:val="center"/>
              <w:rPr>
                <w:rFonts w:ascii="Arial Narrow" w:hAnsi="Arial Narrow"/>
                <w:b/>
                <w:sz w:val="20"/>
              </w:rPr>
            </w:pPr>
            <w:r w:rsidRPr="00695A45">
              <w:rPr>
                <w:rFonts w:ascii="Arial Narrow" w:hAnsi="Arial Narrow"/>
                <w:b/>
                <w:sz w:val="20"/>
              </w:rPr>
              <w:t>Without RSA</w:t>
            </w:r>
          </w:p>
        </w:tc>
        <w:tc>
          <w:tcPr>
            <w:tcW w:w="890" w:type="pct"/>
          </w:tcPr>
          <w:p w:rsidR="001157B0" w:rsidRPr="00695A45" w:rsidRDefault="001157B0" w:rsidP="009671DC">
            <w:pPr>
              <w:keepNext/>
              <w:jc w:val="center"/>
              <w:rPr>
                <w:rFonts w:ascii="Arial Narrow" w:hAnsi="Arial Narrow"/>
                <w:b/>
                <w:sz w:val="20"/>
              </w:rPr>
            </w:pPr>
            <w:r w:rsidRPr="00695A45">
              <w:rPr>
                <w:rFonts w:ascii="Arial Narrow" w:hAnsi="Arial Narrow"/>
                <w:b/>
                <w:sz w:val="20"/>
              </w:rPr>
              <w:t>With RSA</w:t>
            </w:r>
          </w:p>
        </w:tc>
      </w:tr>
      <w:tr w:rsidR="00C0735D" w:rsidRPr="00695A45" w:rsidTr="00B94417">
        <w:trPr>
          <w:jc w:val="center"/>
        </w:trPr>
        <w:tc>
          <w:tcPr>
            <w:tcW w:w="1065" w:type="pct"/>
            <w:shd w:val="clear" w:color="auto" w:fill="auto"/>
            <w:vAlign w:val="center"/>
          </w:tcPr>
          <w:p w:rsidR="00C0735D" w:rsidRPr="00695A45" w:rsidRDefault="00C0735D" w:rsidP="009671DC">
            <w:pPr>
              <w:keepNext/>
              <w:rPr>
                <w:rFonts w:ascii="Arial Narrow" w:hAnsi="Arial Narrow"/>
                <w:sz w:val="20"/>
              </w:rPr>
            </w:pPr>
            <w:r w:rsidRPr="00695A45">
              <w:rPr>
                <w:rFonts w:ascii="Arial Narrow" w:hAnsi="Arial Narrow"/>
                <w:sz w:val="20"/>
              </w:rPr>
              <w:t>Mean dose</w:t>
            </w:r>
          </w:p>
        </w:tc>
        <w:tc>
          <w:tcPr>
            <w:tcW w:w="718"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1,200mg</w:t>
            </w:r>
          </w:p>
        </w:tc>
        <w:tc>
          <w:tcPr>
            <w:tcW w:w="718"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1,200mg</w:t>
            </w:r>
          </w:p>
        </w:tc>
        <w:tc>
          <w:tcPr>
            <w:tcW w:w="719"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1,200mg</w:t>
            </w:r>
          </w:p>
        </w:tc>
        <w:tc>
          <w:tcPr>
            <w:tcW w:w="890" w:type="pct"/>
          </w:tcPr>
          <w:p w:rsidR="00C0735D" w:rsidRPr="00695A45" w:rsidRDefault="00B4793E" w:rsidP="009671DC">
            <w:pPr>
              <w:keepNext/>
              <w:jc w:val="center"/>
              <w:rPr>
                <w:rFonts w:ascii="Arial Narrow" w:hAnsi="Arial Narrow"/>
                <w:sz w:val="20"/>
              </w:rPr>
            </w:pPr>
            <w:r w:rsidRPr="00695A45">
              <w:rPr>
                <w:rFonts w:ascii="Arial Narrow" w:hAnsi="Arial Narrow"/>
                <w:sz w:val="20"/>
              </w:rPr>
              <w:t>1,200mg</w:t>
            </w:r>
          </w:p>
        </w:tc>
        <w:tc>
          <w:tcPr>
            <w:tcW w:w="890" w:type="pct"/>
          </w:tcPr>
          <w:p w:rsidR="00C0735D" w:rsidRPr="00695A45" w:rsidRDefault="00B4793E" w:rsidP="009671DC">
            <w:pPr>
              <w:keepNext/>
              <w:jc w:val="center"/>
              <w:rPr>
                <w:rFonts w:ascii="Arial Narrow" w:hAnsi="Arial Narrow"/>
                <w:sz w:val="20"/>
              </w:rPr>
            </w:pPr>
            <w:r w:rsidRPr="00695A45">
              <w:rPr>
                <w:rFonts w:ascii="Arial Narrow" w:hAnsi="Arial Narrow"/>
                <w:sz w:val="20"/>
              </w:rPr>
              <w:t>1,200mg</w:t>
            </w:r>
          </w:p>
        </w:tc>
      </w:tr>
      <w:tr w:rsidR="00C0735D" w:rsidRPr="00695A45" w:rsidTr="00B94417">
        <w:trPr>
          <w:jc w:val="center"/>
        </w:trPr>
        <w:tc>
          <w:tcPr>
            <w:tcW w:w="1065" w:type="pct"/>
            <w:shd w:val="clear" w:color="auto" w:fill="auto"/>
            <w:vAlign w:val="center"/>
          </w:tcPr>
          <w:p w:rsidR="00C0735D" w:rsidRPr="00695A45" w:rsidRDefault="00C0735D" w:rsidP="009671DC">
            <w:pPr>
              <w:keepNext/>
              <w:rPr>
                <w:rFonts w:ascii="Arial Narrow" w:hAnsi="Arial Narrow"/>
                <w:sz w:val="20"/>
              </w:rPr>
            </w:pPr>
            <w:r w:rsidRPr="00695A45">
              <w:rPr>
                <w:rFonts w:ascii="Arial Narrow" w:hAnsi="Arial Narrow"/>
                <w:sz w:val="20"/>
              </w:rPr>
              <w:t>Mean duration</w:t>
            </w:r>
          </w:p>
        </w:tc>
        <w:tc>
          <w:tcPr>
            <w:tcW w:w="718" w:type="pct"/>
            <w:shd w:val="clear" w:color="auto" w:fill="auto"/>
            <w:vAlign w:val="center"/>
          </w:tcPr>
          <w:p w:rsidR="00C0735D" w:rsidRPr="000B1112" w:rsidRDefault="00B905EC" w:rsidP="009671DC">
            <w:pPr>
              <w:keepNext/>
              <w:jc w:val="center"/>
              <w:rPr>
                <w:rFonts w:ascii="Arial Narrow" w:hAnsi="Arial Narrow"/>
                <w:sz w:val="20"/>
              </w:rPr>
            </w:pPr>
            <w:r>
              <w:rPr>
                <w:rFonts w:ascii="Arial Narrow" w:hAnsi="Arial Narrow"/>
                <w:noProof/>
                <w:color w:val="000000"/>
                <w:sz w:val="20"/>
                <w:highlight w:val="black"/>
              </w:rPr>
              <w:t>'''''''</w:t>
            </w:r>
            <w:r w:rsidR="00C0735D" w:rsidRPr="000B1112">
              <w:rPr>
                <w:rFonts w:ascii="Arial Narrow" w:hAnsi="Arial Narrow"/>
                <w:sz w:val="20"/>
              </w:rPr>
              <w:t xml:space="preserve"> months</w:t>
            </w:r>
          </w:p>
        </w:tc>
        <w:tc>
          <w:tcPr>
            <w:tcW w:w="718" w:type="pct"/>
            <w:shd w:val="clear" w:color="auto" w:fill="auto"/>
            <w:vAlign w:val="center"/>
          </w:tcPr>
          <w:p w:rsidR="00C0735D" w:rsidRPr="000B1112" w:rsidRDefault="00B905EC" w:rsidP="009671DC">
            <w:pPr>
              <w:keepNext/>
              <w:jc w:val="center"/>
              <w:rPr>
                <w:rFonts w:ascii="Arial Narrow" w:hAnsi="Arial Narrow"/>
                <w:sz w:val="20"/>
              </w:rPr>
            </w:pPr>
            <w:r>
              <w:rPr>
                <w:rFonts w:ascii="Arial Narrow" w:hAnsi="Arial Narrow"/>
                <w:noProof/>
                <w:color w:val="000000"/>
                <w:sz w:val="20"/>
                <w:highlight w:val="black"/>
              </w:rPr>
              <w:t>''''''''</w:t>
            </w:r>
            <w:r w:rsidR="00C0735D" w:rsidRPr="000B1112">
              <w:rPr>
                <w:rFonts w:ascii="Arial Narrow" w:hAnsi="Arial Narrow"/>
                <w:sz w:val="20"/>
              </w:rPr>
              <w:t xml:space="preserve"> months</w:t>
            </w:r>
          </w:p>
        </w:tc>
        <w:tc>
          <w:tcPr>
            <w:tcW w:w="719" w:type="pct"/>
            <w:shd w:val="clear" w:color="auto" w:fill="auto"/>
            <w:vAlign w:val="center"/>
          </w:tcPr>
          <w:p w:rsidR="00C0735D" w:rsidRPr="000B1112" w:rsidRDefault="00B905EC" w:rsidP="009671DC">
            <w:pPr>
              <w:keepNext/>
              <w:jc w:val="center"/>
              <w:rPr>
                <w:rFonts w:ascii="Arial Narrow" w:hAnsi="Arial Narrow"/>
                <w:sz w:val="20"/>
              </w:rPr>
            </w:pPr>
            <w:r>
              <w:rPr>
                <w:rFonts w:ascii="Arial Narrow" w:hAnsi="Arial Narrow"/>
                <w:noProof/>
                <w:color w:val="000000"/>
                <w:sz w:val="20"/>
                <w:highlight w:val="black"/>
              </w:rPr>
              <w:t>''''''''</w:t>
            </w:r>
            <w:r w:rsidR="00C0735D" w:rsidRPr="000B1112">
              <w:rPr>
                <w:rFonts w:ascii="Arial Narrow" w:hAnsi="Arial Narrow"/>
                <w:sz w:val="20"/>
              </w:rPr>
              <w:t xml:space="preserve"> months</w:t>
            </w:r>
          </w:p>
        </w:tc>
        <w:tc>
          <w:tcPr>
            <w:tcW w:w="890" w:type="pct"/>
          </w:tcPr>
          <w:p w:rsidR="00C0735D" w:rsidRPr="000B1112" w:rsidRDefault="00B905EC" w:rsidP="009671DC">
            <w:pPr>
              <w:keepNext/>
              <w:jc w:val="center"/>
              <w:rPr>
                <w:rFonts w:ascii="Arial Narrow" w:hAnsi="Arial Narrow"/>
                <w:sz w:val="20"/>
              </w:rPr>
            </w:pPr>
            <w:r>
              <w:rPr>
                <w:rFonts w:ascii="Arial Narrow" w:hAnsi="Arial Narrow"/>
                <w:noProof/>
                <w:color w:val="000000"/>
                <w:sz w:val="20"/>
                <w:highlight w:val="black"/>
              </w:rPr>
              <w:t>'''''''''</w:t>
            </w:r>
            <w:r w:rsidR="000B0403" w:rsidRPr="000B1112">
              <w:rPr>
                <w:rFonts w:ascii="Arial Narrow" w:hAnsi="Arial Narrow"/>
                <w:sz w:val="20"/>
              </w:rPr>
              <w:t xml:space="preserve"> months</w:t>
            </w:r>
          </w:p>
        </w:tc>
        <w:tc>
          <w:tcPr>
            <w:tcW w:w="890" w:type="pct"/>
          </w:tcPr>
          <w:p w:rsidR="00C0735D" w:rsidRPr="000B1112" w:rsidRDefault="00B905EC" w:rsidP="009671DC">
            <w:pPr>
              <w:keepNext/>
              <w:jc w:val="center"/>
              <w:rPr>
                <w:rFonts w:ascii="Arial Narrow" w:hAnsi="Arial Narrow"/>
                <w:sz w:val="20"/>
              </w:rPr>
            </w:pPr>
            <w:r>
              <w:rPr>
                <w:rFonts w:ascii="Arial Narrow" w:hAnsi="Arial Narrow"/>
                <w:noProof/>
                <w:color w:val="000000"/>
                <w:sz w:val="20"/>
                <w:highlight w:val="black"/>
              </w:rPr>
              <w:t>'''''''</w:t>
            </w:r>
            <w:r w:rsidR="000B0403" w:rsidRPr="000B1112">
              <w:rPr>
                <w:rFonts w:ascii="Arial Narrow" w:hAnsi="Arial Narrow"/>
                <w:sz w:val="20"/>
              </w:rPr>
              <w:t xml:space="preserve"> months</w:t>
            </w:r>
          </w:p>
        </w:tc>
      </w:tr>
      <w:tr w:rsidR="00C0735D" w:rsidRPr="00695A45" w:rsidTr="00B94417">
        <w:trPr>
          <w:jc w:val="center"/>
        </w:trPr>
        <w:tc>
          <w:tcPr>
            <w:tcW w:w="1065" w:type="pct"/>
            <w:shd w:val="clear" w:color="auto" w:fill="auto"/>
            <w:vAlign w:val="center"/>
          </w:tcPr>
          <w:p w:rsidR="00C0735D" w:rsidRPr="00695A45" w:rsidRDefault="00C0735D" w:rsidP="009671DC">
            <w:pPr>
              <w:keepNext/>
              <w:rPr>
                <w:rFonts w:ascii="Arial Narrow" w:hAnsi="Arial Narrow"/>
                <w:sz w:val="20"/>
                <w:vertAlign w:val="superscript"/>
              </w:rPr>
            </w:pPr>
            <w:r w:rsidRPr="00695A45">
              <w:rPr>
                <w:rFonts w:ascii="Arial Narrow" w:hAnsi="Arial Narrow"/>
                <w:sz w:val="20"/>
              </w:rPr>
              <w:t xml:space="preserve">Mean number of </w:t>
            </w:r>
            <w:proofErr w:type="spellStart"/>
            <w:r w:rsidRPr="00695A45">
              <w:rPr>
                <w:rFonts w:ascii="Arial Narrow" w:hAnsi="Arial Narrow"/>
                <w:sz w:val="20"/>
              </w:rPr>
              <w:t>doses</w:t>
            </w:r>
            <w:r w:rsidRPr="00695A45">
              <w:rPr>
                <w:rFonts w:ascii="Arial Narrow" w:hAnsi="Arial Narrow"/>
                <w:sz w:val="20"/>
                <w:vertAlign w:val="superscript"/>
              </w:rPr>
              <w:t>a</w:t>
            </w:r>
            <w:proofErr w:type="spellEnd"/>
          </w:p>
        </w:tc>
        <w:tc>
          <w:tcPr>
            <w:tcW w:w="718" w:type="pct"/>
            <w:shd w:val="clear" w:color="auto" w:fill="auto"/>
            <w:vAlign w:val="center"/>
          </w:tcPr>
          <w:p w:rsidR="00C0735D" w:rsidRPr="00B905EC" w:rsidRDefault="00B905EC" w:rsidP="009671DC">
            <w:pPr>
              <w:keepNext/>
              <w:jc w:val="center"/>
              <w:rPr>
                <w:rFonts w:ascii="Arial Narrow" w:hAnsi="Arial Narrow"/>
                <w:sz w:val="20"/>
                <w:highlight w:val="black"/>
              </w:rPr>
            </w:pPr>
            <w:r>
              <w:rPr>
                <w:rFonts w:ascii="Arial Narrow" w:hAnsi="Arial Narrow"/>
                <w:noProof/>
                <w:color w:val="000000"/>
                <w:sz w:val="20"/>
                <w:highlight w:val="black"/>
              </w:rPr>
              <w:t>'''''''</w:t>
            </w:r>
          </w:p>
        </w:tc>
        <w:tc>
          <w:tcPr>
            <w:tcW w:w="718" w:type="pct"/>
            <w:shd w:val="clear" w:color="auto" w:fill="auto"/>
            <w:vAlign w:val="center"/>
          </w:tcPr>
          <w:p w:rsidR="00C0735D" w:rsidRPr="00B905EC" w:rsidRDefault="00B905EC" w:rsidP="009671DC">
            <w:pPr>
              <w:keepNext/>
              <w:jc w:val="center"/>
              <w:rPr>
                <w:rFonts w:ascii="Arial Narrow" w:hAnsi="Arial Narrow"/>
                <w:sz w:val="20"/>
                <w:highlight w:val="black"/>
              </w:rPr>
            </w:pPr>
            <w:r>
              <w:rPr>
                <w:rFonts w:ascii="Arial Narrow" w:hAnsi="Arial Narrow"/>
                <w:noProof/>
                <w:color w:val="000000"/>
                <w:sz w:val="20"/>
                <w:highlight w:val="black"/>
              </w:rPr>
              <w:t>''''''''</w:t>
            </w:r>
          </w:p>
        </w:tc>
        <w:tc>
          <w:tcPr>
            <w:tcW w:w="719" w:type="pct"/>
            <w:shd w:val="clear" w:color="auto" w:fill="auto"/>
            <w:vAlign w:val="center"/>
          </w:tcPr>
          <w:p w:rsidR="00C0735D" w:rsidRPr="00B905EC" w:rsidRDefault="00B905EC" w:rsidP="009671DC">
            <w:pPr>
              <w:keepNext/>
              <w:jc w:val="center"/>
              <w:rPr>
                <w:rFonts w:ascii="Arial Narrow" w:hAnsi="Arial Narrow"/>
                <w:sz w:val="20"/>
                <w:highlight w:val="black"/>
              </w:rPr>
            </w:pPr>
            <w:r>
              <w:rPr>
                <w:rFonts w:ascii="Arial Narrow" w:hAnsi="Arial Narrow"/>
                <w:noProof/>
                <w:color w:val="000000"/>
                <w:sz w:val="20"/>
                <w:highlight w:val="black"/>
              </w:rPr>
              <w:t>''''''''</w:t>
            </w:r>
          </w:p>
        </w:tc>
        <w:tc>
          <w:tcPr>
            <w:tcW w:w="890" w:type="pct"/>
          </w:tcPr>
          <w:p w:rsidR="00C0735D" w:rsidRPr="00B905EC" w:rsidRDefault="00B905EC" w:rsidP="009671DC">
            <w:pPr>
              <w:keepNext/>
              <w:jc w:val="center"/>
              <w:rPr>
                <w:rFonts w:ascii="Arial Narrow" w:hAnsi="Arial Narrow"/>
                <w:sz w:val="20"/>
                <w:highlight w:val="black"/>
              </w:rPr>
            </w:pPr>
            <w:r>
              <w:rPr>
                <w:rFonts w:ascii="Arial Narrow" w:hAnsi="Arial Narrow"/>
                <w:noProof/>
                <w:color w:val="000000"/>
                <w:sz w:val="20"/>
                <w:highlight w:val="black"/>
              </w:rPr>
              <w:t>'''''''</w:t>
            </w:r>
          </w:p>
        </w:tc>
        <w:tc>
          <w:tcPr>
            <w:tcW w:w="890" w:type="pct"/>
          </w:tcPr>
          <w:p w:rsidR="00C0735D" w:rsidRPr="00B905EC" w:rsidRDefault="00B905EC" w:rsidP="009671DC">
            <w:pPr>
              <w:keepNext/>
              <w:jc w:val="center"/>
              <w:rPr>
                <w:rFonts w:ascii="Arial Narrow" w:hAnsi="Arial Narrow"/>
                <w:sz w:val="20"/>
                <w:highlight w:val="black"/>
              </w:rPr>
            </w:pPr>
            <w:r>
              <w:rPr>
                <w:rFonts w:ascii="Arial Narrow" w:hAnsi="Arial Narrow"/>
                <w:noProof/>
                <w:color w:val="000000"/>
                <w:sz w:val="20"/>
                <w:highlight w:val="black"/>
              </w:rPr>
              <w:t>'''''''''</w:t>
            </w:r>
          </w:p>
        </w:tc>
      </w:tr>
      <w:tr w:rsidR="00B4793E" w:rsidRPr="00695A45" w:rsidTr="00B94417">
        <w:trPr>
          <w:jc w:val="center"/>
        </w:trPr>
        <w:tc>
          <w:tcPr>
            <w:tcW w:w="1065" w:type="pct"/>
            <w:shd w:val="clear" w:color="auto" w:fill="auto"/>
            <w:vAlign w:val="center"/>
          </w:tcPr>
          <w:p w:rsidR="00B4793E" w:rsidRPr="00695A45" w:rsidRDefault="00B4793E" w:rsidP="009671DC">
            <w:pPr>
              <w:keepNext/>
              <w:rPr>
                <w:rFonts w:ascii="Arial Narrow" w:hAnsi="Arial Narrow"/>
                <w:sz w:val="20"/>
              </w:rPr>
            </w:pPr>
            <w:r w:rsidRPr="00695A45">
              <w:rPr>
                <w:rFonts w:ascii="Arial Narrow" w:hAnsi="Arial Narrow"/>
                <w:sz w:val="20"/>
              </w:rPr>
              <w:t>Cost/patient/dose</w:t>
            </w:r>
          </w:p>
        </w:tc>
        <w:tc>
          <w:tcPr>
            <w:tcW w:w="2156" w:type="pct"/>
            <w:gridSpan w:val="3"/>
            <w:shd w:val="clear" w:color="auto" w:fill="auto"/>
            <w:vAlign w:val="center"/>
          </w:tcPr>
          <w:p w:rsidR="00B4793E" w:rsidRPr="00695A45" w:rsidRDefault="00B4793E"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c>
          <w:tcPr>
            <w:tcW w:w="1779" w:type="pct"/>
            <w:gridSpan w:val="2"/>
          </w:tcPr>
          <w:p w:rsidR="00B4793E" w:rsidRPr="00695A45" w:rsidRDefault="00B4793E"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r>
      <w:tr w:rsidR="00C0735D" w:rsidRPr="00695A45" w:rsidTr="00B94417">
        <w:trPr>
          <w:jc w:val="center"/>
        </w:trPr>
        <w:tc>
          <w:tcPr>
            <w:tcW w:w="1065" w:type="pct"/>
            <w:shd w:val="clear" w:color="auto" w:fill="auto"/>
            <w:vAlign w:val="center"/>
          </w:tcPr>
          <w:p w:rsidR="00C0735D" w:rsidRPr="00695A45" w:rsidRDefault="00C0735D" w:rsidP="009671DC">
            <w:pPr>
              <w:keepNext/>
              <w:rPr>
                <w:rFonts w:ascii="Arial Narrow" w:hAnsi="Arial Narrow"/>
                <w:sz w:val="20"/>
              </w:rPr>
            </w:pPr>
            <w:r w:rsidRPr="00695A45">
              <w:rPr>
                <w:rFonts w:ascii="Arial Narrow" w:hAnsi="Arial Narrow"/>
                <w:sz w:val="20"/>
              </w:rPr>
              <w:t>Cost/patient</w:t>
            </w:r>
          </w:p>
        </w:tc>
        <w:tc>
          <w:tcPr>
            <w:tcW w:w="718"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c>
          <w:tcPr>
            <w:tcW w:w="718"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c>
          <w:tcPr>
            <w:tcW w:w="719" w:type="pct"/>
            <w:shd w:val="clear" w:color="auto" w:fill="auto"/>
            <w:vAlign w:val="center"/>
          </w:tcPr>
          <w:p w:rsidR="00C0735D" w:rsidRPr="00695A45" w:rsidRDefault="00C0735D"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c>
          <w:tcPr>
            <w:tcW w:w="890" w:type="pct"/>
          </w:tcPr>
          <w:p w:rsidR="00C0735D" w:rsidRPr="00695A45" w:rsidRDefault="00B4793E"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c>
          <w:tcPr>
            <w:tcW w:w="890" w:type="pct"/>
          </w:tcPr>
          <w:p w:rsidR="00C0735D" w:rsidRPr="00695A45" w:rsidRDefault="00B4793E" w:rsidP="009671DC">
            <w:pPr>
              <w:keepNext/>
              <w:jc w:val="center"/>
              <w:rPr>
                <w:rFonts w:ascii="Arial Narrow" w:hAnsi="Arial Narrow"/>
                <w:sz w:val="20"/>
              </w:rPr>
            </w:pPr>
            <w:r w:rsidRPr="00695A45">
              <w:rPr>
                <w:rFonts w:ascii="Arial Narrow" w:hAnsi="Arial Narrow"/>
                <w:sz w:val="20"/>
              </w:rPr>
              <w:t>$</w:t>
            </w:r>
            <w:r w:rsidR="00B905EC">
              <w:rPr>
                <w:rFonts w:ascii="Arial Narrow" w:hAnsi="Arial Narrow"/>
                <w:noProof/>
                <w:color w:val="000000"/>
                <w:sz w:val="20"/>
                <w:highlight w:val="black"/>
              </w:rPr>
              <w:t>'''''''''''''''</w:t>
            </w:r>
          </w:p>
        </w:tc>
      </w:tr>
    </w:tbl>
    <w:p w:rsidR="000B0403" w:rsidRPr="00695A45" w:rsidRDefault="000B0403" w:rsidP="000B0403">
      <w:pPr>
        <w:pStyle w:val="3Bodytext"/>
        <w:numPr>
          <w:ilvl w:val="0"/>
          <w:numId w:val="0"/>
        </w:numPr>
        <w:spacing w:after="0"/>
        <w:ind w:left="720" w:hanging="720"/>
        <w:rPr>
          <w:rFonts w:ascii="Arial Narrow" w:hAnsi="Arial Narrow"/>
          <w:sz w:val="18"/>
        </w:rPr>
      </w:pPr>
      <w:r w:rsidRPr="00695A45">
        <w:rPr>
          <w:rFonts w:ascii="Arial Narrow" w:hAnsi="Arial Narrow"/>
          <w:sz w:val="18"/>
        </w:rPr>
        <w:t>RSA</w:t>
      </w:r>
      <w:r w:rsidR="00A46818" w:rsidRPr="00695A45">
        <w:rPr>
          <w:rFonts w:ascii="Arial Narrow" w:hAnsi="Arial Narrow"/>
          <w:sz w:val="18"/>
        </w:rPr>
        <w:t xml:space="preserve"> </w:t>
      </w:r>
      <w:r w:rsidRPr="00695A45">
        <w:rPr>
          <w:rFonts w:ascii="Arial Narrow" w:hAnsi="Arial Narrow"/>
          <w:sz w:val="18"/>
        </w:rPr>
        <w:t>=</w:t>
      </w:r>
      <w:r w:rsidR="00A46818" w:rsidRPr="00695A45">
        <w:rPr>
          <w:rFonts w:ascii="Arial Narrow" w:hAnsi="Arial Narrow"/>
          <w:sz w:val="18"/>
        </w:rPr>
        <w:t xml:space="preserve"> Risk Sharing</w:t>
      </w:r>
      <w:r w:rsidRPr="00695A45">
        <w:rPr>
          <w:rFonts w:ascii="Arial Narrow" w:hAnsi="Arial Narrow"/>
          <w:sz w:val="18"/>
        </w:rPr>
        <w:t xml:space="preserve"> </w:t>
      </w:r>
      <w:r w:rsidR="00A46818" w:rsidRPr="00695A45">
        <w:rPr>
          <w:rFonts w:ascii="Arial Narrow" w:hAnsi="Arial Narrow"/>
          <w:sz w:val="18"/>
        </w:rPr>
        <w:t>Arrangement</w:t>
      </w:r>
      <w:r w:rsidRPr="00695A45">
        <w:rPr>
          <w:rFonts w:ascii="Arial Narrow" w:hAnsi="Arial Narrow"/>
          <w:sz w:val="18"/>
        </w:rPr>
        <w:t>.</w:t>
      </w:r>
    </w:p>
    <w:p w:rsidR="00C0735D" w:rsidRPr="00695A45" w:rsidRDefault="00C0735D" w:rsidP="000B0403">
      <w:pPr>
        <w:pStyle w:val="3Bodytext"/>
        <w:numPr>
          <w:ilvl w:val="0"/>
          <w:numId w:val="0"/>
        </w:numPr>
        <w:spacing w:after="0"/>
        <w:ind w:left="720" w:hanging="720"/>
        <w:rPr>
          <w:rFonts w:ascii="Arial Narrow" w:hAnsi="Arial Narrow"/>
          <w:sz w:val="18"/>
        </w:rPr>
      </w:pPr>
      <w:proofErr w:type="spellStart"/>
      <w:proofErr w:type="gramStart"/>
      <w:r w:rsidRPr="00695A45">
        <w:rPr>
          <w:rFonts w:ascii="Arial Narrow" w:hAnsi="Arial Narrow"/>
          <w:sz w:val="18"/>
          <w:vertAlign w:val="superscript"/>
        </w:rPr>
        <w:t>a</w:t>
      </w:r>
      <w:proofErr w:type="spellEnd"/>
      <w:proofErr w:type="gramEnd"/>
      <w:r w:rsidR="000B0403" w:rsidRPr="00695A45">
        <w:rPr>
          <w:rFonts w:ascii="Arial Narrow" w:hAnsi="Arial Narrow"/>
          <w:sz w:val="18"/>
        </w:rPr>
        <w:t xml:space="preserve"> A</w:t>
      </w:r>
      <w:r w:rsidRPr="00695A45">
        <w:rPr>
          <w:rFonts w:ascii="Arial Narrow" w:hAnsi="Arial Narrow"/>
          <w:sz w:val="18"/>
        </w:rPr>
        <w:t>ssumed 1 dose every 3 weeks.</w:t>
      </w:r>
    </w:p>
    <w:p w:rsidR="00C0735D" w:rsidRPr="00695A45" w:rsidRDefault="00C0735D" w:rsidP="000B0403">
      <w:pPr>
        <w:pStyle w:val="3Bodytext"/>
        <w:numPr>
          <w:ilvl w:val="0"/>
          <w:numId w:val="0"/>
        </w:numPr>
        <w:rPr>
          <w:rFonts w:ascii="Arial Narrow" w:hAnsi="Arial Narrow"/>
          <w:sz w:val="18"/>
        </w:rPr>
      </w:pPr>
      <w:r w:rsidRPr="00695A45">
        <w:rPr>
          <w:rFonts w:ascii="Arial Narrow" w:hAnsi="Arial Narrow"/>
          <w:sz w:val="18"/>
        </w:rPr>
        <w:t xml:space="preserve">Source: </w:t>
      </w:r>
      <w:r w:rsidR="000B0403" w:rsidRPr="00695A45">
        <w:rPr>
          <w:rFonts w:ascii="Arial Narrow" w:hAnsi="Arial Narrow"/>
          <w:sz w:val="18"/>
        </w:rPr>
        <w:t xml:space="preserve">Amended from Table 14, 6.02 </w:t>
      </w:r>
      <w:proofErr w:type="spellStart"/>
      <w:r w:rsidR="000B0403" w:rsidRPr="00695A45">
        <w:rPr>
          <w:rFonts w:ascii="Arial Narrow" w:hAnsi="Arial Narrow"/>
          <w:sz w:val="18"/>
        </w:rPr>
        <w:t>atezolizumab</w:t>
      </w:r>
      <w:proofErr w:type="spellEnd"/>
      <w:r w:rsidR="000B0403" w:rsidRPr="00695A45">
        <w:rPr>
          <w:rFonts w:ascii="Arial Narrow" w:hAnsi="Arial Narrow"/>
          <w:sz w:val="18"/>
        </w:rPr>
        <w:t xml:space="preserve"> minutes, July 2019 PBAC meeting; originally from </w:t>
      </w:r>
      <w:r w:rsidRPr="00695A45">
        <w:rPr>
          <w:rFonts w:ascii="Arial Narrow" w:hAnsi="Arial Narrow"/>
          <w:sz w:val="18"/>
        </w:rPr>
        <w:t xml:space="preserve">Table 35, p141 </w:t>
      </w:r>
      <w:proofErr w:type="spellStart"/>
      <w:r w:rsidR="000B0403" w:rsidRPr="00695A45">
        <w:rPr>
          <w:rFonts w:ascii="Arial Narrow" w:hAnsi="Arial Narrow"/>
          <w:sz w:val="18"/>
        </w:rPr>
        <w:t>IMpower</w:t>
      </w:r>
      <w:proofErr w:type="spellEnd"/>
      <w:r w:rsidR="000B0403" w:rsidRPr="00695A45">
        <w:rPr>
          <w:rFonts w:ascii="Arial Narrow" w:hAnsi="Arial Narrow"/>
          <w:sz w:val="18"/>
        </w:rPr>
        <w:t xml:space="preserve"> CSR, p43 Section 3A and </w:t>
      </w:r>
      <w:r w:rsidRPr="00695A45">
        <w:rPr>
          <w:rFonts w:ascii="Arial Narrow" w:hAnsi="Arial Narrow"/>
          <w:sz w:val="18"/>
        </w:rPr>
        <w:t xml:space="preserve">Table 4.2.8, p13 and Table 4.2.11, p15 Section 4 of the </w:t>
      </w:r>
      <w:r w:rsidR="000B0403" w:rsidRPr="00695A45">
        <w:rPr>
          <w:rFonts w:ascii="Arial Narrow" w:hAnsi="Arial Narrow"/>
          <w:sz w:val="18"/>
        </w:rPr>
        <w:t xml:space="preserve">July 2019 </w:t>
      </w:r>
      <w:r w:rsidRPr="00695A45">
        <w:rPr>
          <w:rFonts w:ascii="Arial Narrow" w:hAnsi="Arial Narrow"/>
          <w:sz w:val="18"/>
        </w:rPr>
        <w:t>submission.</w:t>
      </w:r>
    </w:p>
    <w:p w:rsidR="00FC3647" w:rsidRPr="00695A45" w:rsidRDefault="00FC3647" w:rsidP="00FC3647">
      <w:pPr>
        <w:pStyle w:val="Heading2"/>
        <w:keepLines/>
        <w:spacing w:before="240" w:after="120"/>
        <w:rPr>
          <w:rFonts w:asciiTheme="minorHAnsi" w:eastAsiaTheme="majorEastAsia" w:hAnsiTheme="minorHAnsi" w:cstheme="majorBidi"/>
          <w:sz w:val="28"/>
          <w:szCs w:val="28"/>
          <w:lang w:eastAsia="en-US"/>
        </w:rPr>
      </w:pPr>
      <w:r w:rsidRPr="00695A45">
        <w:rPr>
          <w:rFonts w:asciiTheme="minorHAnsi" w:eastAsiaTheme="majorEastAsia" w:hAnsiTheme="minorHAnsi" w:cstheme="majorBidi"/>
          <w:sz w:val="28"/>
          <w:szCs w:val="28"/>
          <w:lang w:eastAsia="en-US"/>
        </w:rPr>
        <w:t>Estimated PBS usage &amp; financial implications</w:t>
      </w:r>
    </w:p>
    <w:p w:rsidR="00C15E84" w:rsidRPr="00695A45" w:rsidRDefault="009F18DC" w:rsidP="00CC7BDA">
      <w:pPr>
        <w:pStyle w:val="3Bodytext"/>
      </w:pPr>
      <w:r w:rsidRPr="00695A45">
        <w:rPr>
          <w:snapToGrid w:val="0"/>
        </w:rPr>
        <w:t>In July 2019, the PBAC “considered the changes to the financial estimates that were proposed by DUSC, and accepted by the pre-PBAC response, were reasonable including reducing the proportion of patients who progress from</w:t>
      </w:r>
      <w:r w:rsidR="000109BA" w:rsidRPr="00695A45">
        <w:rPr>
          <w:snapToGrid w:val="0"/>
        </w:rPr>
        <w:t xml:space="preserve"> limited stage</w:t>
      </w:r>
      <w:r w:rsidRPr="00695A45">
        <w:rPr>
          <w:snapToGrid w:val="0"/>
        </w:rPr>
        <w:t xml:space="preserve"> </w:t>
      </w:r>
      <w:r w:rsidR="000109BA" w:rsidRPr="00695A45">
        <w:rPr>
          <w:snapToGrid w:val="0"/>
        </w:rPr>
        <w:t>(</w:t>
      </w:r>
      <w:r w:rsidRPr="00695A45">
        <w:rPr>
          <w:snapToGrid w:val="0"/>
        </w:rPr>
        <w:t>LS</w:t>
      </w:r>
      <w:r w:rsidR="000109BA" w:rsidRPr="00695A45">
        <w:rPr>
          <w:snapToGrid w:val="0"/>
        </w:rPr>
        <w:t>)</w:t>
      </w:r>
      <w:r w:rsidRPr="00695A45">
        <w:rPr>
          <w:snapToGrid w:val="0"/>
        </w:rPr>
        <w:t xml:space="preserve">-SCLC to ES-SCLC and who have a ECOG 0-1 to </w:t>
      </w:r>
      <w:r w:rsidR="00B905EC">
        <w:rPr>
          <w:noProof/>
          <w:snapToGrid w:val="0"/>
          <w:color w:val="000000"/>
          <w:highlight w:val="black"/>
        </w:rPr>
        <w:t>'''''</w:t>
      </w:r>
      <w:r w:rsidRPr="00695A45">
        <w:rPr>
          <w:snapToGrid w:val="0"/>
        </w:rPr>
        <w:t xml:space="preserve">%; and reducing the estimated uptake rate in incident and prevalent patients to </w:t>
      </w:r>
      <w:r w:rsidR="00B905EC">
        <w:rPr>
          <w:noProof/>
          <w:snapToGrid w:val="0"/>
          <w:color w:val="000000"/>
          <w:highlight w:val="black"/>
        </w:rPr>
        <w:t>'''''</w:t>
      </w:r>
      <w:r w:rsidRPr="00695A45">
        <w:rPr>
          <w:snapToGrid w:val="0"/>
        </w:rPr>
        <w:t xml:space="preserve">% (due to contraindications)” </w:t>
      </w:r>
      <w:r w:rsidR="00CC7BDA" w:rsidRPr="00695A45">
        <w:rPr>
          <w:rFonts w:eastAsia="Batang" w:cs="Arial"/>
          <w:snapToGrid w:val="0"/>
          <w:szCs w:val="24"/>
        </w:rPr>
        <w:t xml:space="preserve">(paragraph 7.14, </w:t>
      </w:r>
      <w:proofErr w:type="spellStart"/>
      <w:r w:rsidR="00CC7BDA" w:rsidRPr="00695A45">
        <w:rPr>
          <w:rFonts w:eastAsia="Batang" w:cs="Arial"/>
          <w:snapToGrid w:val="0"/>
          <w:szCs w:val="24"/>
        </w:rPr>
        <w:t>atezolizumab</w:t>
      </w:r>
      <w:proofErr w:type="spellEnd"/>
      <w:r w:rsidR="00CC7BDA" w:rsidRPr="00695A45">
        <w:rPr>
          <w:rFonts w:eastAsia="Batang" w:cs="Arial"/>
          <w:snapToGrid w:val="0"/>
          <w:szCs w:val="24"/>
        </w:rPr>
        <w:t xml:space="preserve"> PBAC Minutes, July 2019). </w:t>
      </w:r>
      <w:r w:rsidRPr="00695A45">
        <w:t xml:space="preserve">As such, the total number of treated patients and scripts were unchanged from those estimated in the previous pre-PBAC response. The financial estimates were only updated for the lower effective price </w:t>
      </w:r>
      <w:r w:rsidR="00917B0D" w:rsidRPr="00695A45">
        <w:t>(and updates to dispensing fees)</w:t>
      </w:r>
      <w:r w:rsidRPr="00695A45">
        <w:t>.</w:t>
      </w:r>
    </w:p>
    <w:p w:rsidR="00B10854" w:rsidRPr="00695A45" w:rsidRDefault="00C15E84" w:rsidP="00D752C2">
      <w:pPr>
        <w:pStyle w:val="ListParagraph"/>
        <w:widowControl/>
        <w:numPr>
          <w:ilvl w:val="1"/>
          <w:numId w:val="1"/>
        </w:numPr>
        <w:contextualSpacing w:val="0"/>
        <w:rPr>
          <w:rFonts w:asciiTheme="minorHAnsi" w:eastAsia="Batang" w:hAnsiTheme="minorHAnsi"/>
          <w:i/>
          <w:iCs/>
          <w:sz w:val="24"/>
          <w:szCs w:val="24"/>
        </w:rPr>
      </w:pPr>
      <w:r w:rsidRPr="00695A45">
        <w:rPr>
          <w:rFonts w:asciiTheme="minorHAnsi" w:eastAsia="Batang" w:hAnsiTheme="minorHAnsi"/>
          <w:sz w:val="24"/>
          <w:szCs w:val="24"/>
        </w:rPr>
        <w:t>Based on the updated</w:t>
      </w:r>
      <w:r w:rsidR="00B46587" w:rsidRPr="00695A45">
        <w:rPr>
          <w:rFonts w:asciiTheme="minorHAnsi" w:eastAsia="Batang" w:hAnsiTheme="minorHAnsi"/>
          <w:sz w:val="24"/>
          <w:szCs w:val="24"/>
        </w:rPr>
        <w:t xml:space="preserve"> price proposed in this minor resubmission, </w:t>
      </w:r>
      <w:r w:rsidR="00B10854" w:rsidRPr="00695A45">
        <w:rPr>
          <w:rFonts w:asciiTheme="minorHAnsi" w:eastAsia="Batang" w:hAnsiTheme="minorHAnsi"/>
          <w:sz w:val="24"/>
          <w:szCs w:val="24"/>
        </w:rPr>
        <w:t xml:space="preserve">Table </w:t>
      </w:r>
      <w:r w:rsidR="005912FC" w:rsidRPr="00695A45">
        <w:rPr>
          <w:rFonts w:asciiTheme="minorHAnsi" w:eastAsia="Batang" w:hAnsiTheme="minorHAnsi"/>
          <w:sz w:val="24"/>
          <w:szCs w:val="24"/>
        </w:rPr>
        <w:t>4</w:t>
      </w:r>
      <w:r w:rsidR="00B10854" w:rsidRPr="00695A45">
        <w:rPr>
          <w:rFonts w:asciiTheme="minorHAnsi" w:eastAsia="Batang" w:hAnsiTheme="minorHAnsi"/>
          <w:sz w:val="24"/>
          <w:szCs w:val="24"/>
        </w:rPr>
        <w:t xml:space="preserve"> presents the estimated total use and costs of </w:t>
      </w:r>
      <w:proofErr w:type="spellStart"/>
      <w:r w:rsidR="00B46587" w:rsidRPr="00695A45">
        <w:rPr>
          <w:rFonts w:asciiTheme="minorHAnsi" w:eastAsia="Batang" w:hAnsiTheme="minorHAnsi"/>
          <w:sz w:val="24"/>
          <w:szCs w:val="24"/>
        </w:rPr>
        <w:t>atezolizumab</w:t>
      </w:r>
      <w:proofErr w:type="spellEnd"/>
      <w:r w:rsidR="00B10854" w:rsidRPr="00695A45">
        <w:rPr>
          <w:rFonts w:asciiTheme="minorHAnsi" w:eastAsia="Batang" w:hAnsiTheme="minorHAnsi"/>
          <w:sz w:val="24"/>
          <w:szCs w:val="24"/>
        </w:rPr>
        <w:t xml:space="preserve"> in the first 6 years of listing.</w:t>
      </w:r>
      <w:r w:rsidR="009C25FE" w:rsidRPr="00695A45">
        <w:rPr>
          <w:rFonts w:asciiTheme="minorHAnsi" w:eastAsia="Batang" w:hAnsiTheme="minorHAnsi"/>
          <w:sz w:val="24"/>
          <w:szCs w:val="24"/>
        </w:rPr>
        <w:t xml:space="preserve"> </w:t>
      </w:r>
    </w:p>
    <w:p w:rsidR="00B10854" w:rsidRPr="00695A45" w:rsidRDefault="00B10854" w:rsidP="00122ACB">
      <w:pPr>
        <w:keepNext/>
        <w:keepLines/>
        <w:spacing w:before="240"/>
        <w:jc w:val="both"/>
        <w:rPr>
          <w:rFonts w:ascii="Arial Narrow" w:hAnsi="Arial Narrow" w:cs="Arial"/>
          <w:b/>
          <w:snapToGrid w:val="0"/>
          <w:sz w:val="20"/>
          <w:szCs w:val="16"/>
          <w:lang w:eastAsia="en-US"/>
        </w:rPr>
      </w:pPr>
      <w:bookmarkStart w:id="2" w:name="_Ref448937679"/>
      <w:r w:rsidRPr="00695A45">
        <w:rPr>
          <w:rStyle w:val="CommentReference"/>
          <w:rFonts w:ascii="Arial Narrow" w:hAnsi="Arial Narrow" w:cs="Arial"/>
          <w:b/>
          <w:snapToGrid w:val="0"/>
          <w:sz w:val="20"/>
          <w:lang w:eastAsia="en-US"/>
        </w:rPr>
        <w:lastRenderedPageBreak/>
        <w:t>Table</w:t>
      </w:r>
      <w:bookmarkEnd w:id="2"/>
      <w:r w:rsidRPr="00695A45">
        <w:rPr>
          <w:rStyle w:val="CommentReference"/>
          <w:rFonts w:ascii="Arial Narrow" w:hAnsi="Arial Narrow" w:cs="Arial"/>
          <w:b/>
          <w:snapToGrid w:val="0"/>
          <w:sz w:val="20"/>
          <w:lang w:eastAsia="en-US"/>
        </w:rPr>
        <w:t xml:space="preserve"> </w:t>
      </w:r>
      <w:r w:rsidR="005912FC" w:rsidRPr="00695A45">
        <w:rPr>
          <w:rStyle w:val="CommentReference"/>
          <w:rFonts w:ascii="Arial Narrow" w:hAnsi="Arial Narrow" w:cs="Arial"/>
          <w:b/>
          <w:snapToGrid w:val="0"/>
          <w:sz w:val="20"/>
          <w:lang w:eastAsia="en-US"/>
        </w:rPr>
        <w:t>4</w:t>
      </w:r>
      <w:r w:rsidRPr="00695A45">
        <w:rPr>
          <w:rStyle w:val="CommentReference"/>
          <w:rFonts w:ascii="Arial Narrow" w:hAnsi="Arial Narrow" w:cs="Arial"/>
          <w:b/>
          <w:snapToGrid w:val="0"/>
          <w:sz w:val="20"/>
          <w:lang w:eastAsia="en-US"/>
        </w:rPr>
        <w:t>:</w:t>
      </w:r>
      <w:r w:rsidRPr="00695A45">
        <w:rPr>
          <w:rStyle w:val="CommentReference"/>
          <w:rFonts w:ascii="Arial Narrow" w:hAnsi="Arial Narrow" w:cs="Arial"/>
          <w:b/>
          <w:snapToGrid w:val="0"/>
          <w:sz w:val="20"/>
          <w:lang w:eastAsia="en-US"/>
        </w:rPr>
        <w:tab/>
      </w:r>
      <w:r w:rsidRPr="00695A45">
        <w:rPr>
          <w:rFonts w:ascii="Arial Narrow" w:hAnsi="Arial Narrow" w:cs="Arial"/>
          <w:b/>
          <w:snapToGrid w:val="0"/>
          <w:sz w:val="20"/>
          <w:szCs w:val="16"/>
          <w:lang w:eastAsia="en-US"/>
        </w:rPr>
        <w:t xml:space="preserve">Estimated use and total cost of </w:t>
      </w:r>
      <w:proofErr w:type="spellStart"/>
      <w:r w:rsidR="00B46587" w:rsidRPr="00695A45">
        <w:rPr>
          <w:rFonts w:ascii="Arial Narrow" w:hAnsi="Arial Narrow" w:cs="Arial"/>
          <w:b/>
          <w:snapToGrid w:val="0"/>
          <w:sz w:val="20"/>
          <w:szCs w:val="16"/>
          <w:lang w:eastAsia="en-US"/>
        </w:rPr>
        <w:t>atezolizumab</w:t>
      </w:r>
      <w:proofErr w:type="spellEnd"/>
      <w:r w:rsidRPr="00695A45">
        <w:rPr>
          <w:rFonts w:ascii="Arial Narrow" w:hAnsi="Arial Narrow" w:cs="Arial"/>
          <w:b/>
          <w:snapToGrid w:val="0"/>
          <w:sz w:val="20"/>
          <w:szCs w:val="16"/>
          <w:lang w:eastAsia="en-US"/>
        </w:rPr>
        <w:t xml:space="preserve">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079"/>
        <w:gridCol w:w="1078"/>
        <w:gridCol w:w="1078"/>
        <w:gridCol w:w="1078"/>
        <w:gridCol w:w="1078"/>
        <w:gridCol w:w="1071"/>
      </w:tblGrid>
      <w:tr w:rsidR="00B10854" w:rsidRPr="00695A45" w:rsidTr="007B6088">
        <w:trPr>
          <w:trHeight w:val="37"/>
        </w:trPr>
        <w:tc>
          <w:tcPr>
            <w:tcW w:w="1416" w:type="pct"/>
            <w:shd w:val="clear" w:color="auto" w:fill="FFFFFF" w:themeFill="background1"/>
            <w:noWrap/>
            <w:vAlign w:val="bottom"/>
            <w:hideMark/>
          </w:tcPr>
          <w:p w:rsidR="00B10854" w:rsidRPr="00695A45" w:rsidRDefault="00B10854" w:rsidP="00F16AE8">
            <w:pPr>
              <w:keepNext/>
              <w:keepLines/>
              <w:jc w:val="both"/>
              <w:rPr>
                <w:rFonts w:ascii="Arial Narrow" w:hAnsi="Arial Narrow"/>
                <w:sz w:val="20"/>
                <w:szCs w:val="20"/>
                <w:highlight w:val="lightGray"/>
              </w:rPr>
            </w:pPr>
          </w:p>
        </w:tc>
        <w:tc>
          <w:tcPr>
            <w:tcW w:w="598" w:type="pct"/>
            <w:shd w:val="clear" w:color="auto" w:fill="FFFFFF" w:themeFill="background1"/>
            <w:vAlign w:val="bottom"/>
            <w:hideMark/>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1</w:t>
            </w:r>
          </w:p>
        </w:tc>
        <w:tc>
          <w:tcPr>
            <w:tcW w:w="598" w:type="pct"/>
            <w:shd w:val="clear" w:color="auto" w:fill="FFFFFF" w:themeFill="background1"/>
            <w:vAlign w:val="bottom"/>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2</w:t>
            </w:r>
          </w:p>
        </w:tc>
        <w:tc>
          <w:tcPr>
            <w:tcW w:w="598" w:type="pct"/>
            <w:shd w:val="clear" w:color="auto" w:fill="FFFFFF" w:themeFill="background1"/>
            <w:vAlign w:val="bottom"/>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3</w:t>
            </w:r>
          </w:p>
        </w:tc>
        <w:tc>
          <w:tcPr>
            <w:tcW w:w="598" w:type="pct"/>
            <w:shd w:val="clear" w:color="auto" w:fill="FFFFFF" w:themeFill="background1"/>
            <w:vAlign w:val="bottom"/>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4</w:t>
            </w:r>
          </w:p>
        </w:tc>
        <w:tc>
          <w:tcPr>
            <w:tcW w:w="598" w:type="pct"/>
            <w:shd w:val="clear" w:color="auto" w:fill="FFFFFF" w:themeFill="background1"/>
            <w:vAlign w:val="bottom"/>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5</w:t>
            </w:r>
          </w:p>
        </w:tc>
        <w:tc>
          <w:tcPr>
            <w:tcW w:w="594" w:type="pct"/>
            <w:shd w:val="clear" w:color="auto" w:fill="FFFFFF" w:themeFill="background1"/>
            <w:vAlign w:val="bottom"/>
          </w:tcPr>
          <w:p w:rsidR="00B10854" w:rsidRPr="00695A45" w:rsidRDefault="00B10854" w:rsidP="00F16AE8">
            <w:pPr>
              <w:keepNext/>
              <w:keepLines/>
              <w:ind w:left="-61" w:right="-41"/>
              <w:jc w:val="center"/>
              <w:rPr>
                <w:rFonts w:ascii="Arial Narrow" w:hAnsi="Arial Narrow"/>
                <w:b/>
                <w:sz w:val="20"/>
                <w:szCs w:val="20"/>
              </w:rPr>
            </w:pPr>
            <w:r w:rsidRPr="00695A45">
              <w:rPr>
                <w:rFonts w:ascii="Arial Narrow" w:hAnsi="Arial Narrow"/>
                <w:b/>
                <w:sz w:val="20"/>
                <w:szCs w:val="20"/>
              </w:rPr>
              <w:t>Year 6</w:t>
            </w:r>
          </w:p>
        </w:tc>
      </w:tr>
      <w:tr w:rsidR="00EE5A10" w:rsidRPr="00695A45" w:rsidTr="007B6088">
        <w:trPr>
          <w:trHeight w:val="37"/>
        </w:trPr>
        <w:tc>
          <w:tcPr>
            <w:tcW w:w="5000" w:type="pct"/>
            <w:gridSpan w:val="7"/>
            <w:shd w:val="clear" w:color="auto" w:fill="auto"/>
            <w:vAlign w:val="bottom"/>
          </w:tcPr>
          <w:p w:rsidR="00EE5A10" w:rsidRPr="00695A45" w:rsidRDefault="00EE5A10" w:rsidP="00F16AE8">
            <w:pPr>
              <w:keepNext/>
              <w:keepLines/>
              <w:ind w:left="-61" w:right="-41"/>
              <w:rPr>
                <w:rFonts w:ascii="Arial Narrow" w:hAnsi="Arial Narrow"/>
                <w:sz w:val="20"/>
                <w:szCs w:val="20"/>
                <w:highlight w:val="lightGray"/>
              </w:rPr>
            </w:pPr>
            <w:r w:rsidRPr="00695A45">
              <w:rPr>
                <w:rFonts w:ascii="Arial Narrow" w:hAnsi="Arial Narrow"/>
                <w:b/>
                <w:bCs/>
                <w:sz w:val="20"/>
                <w:szCs w:val="20"/>
              </w:rPr>
              <w:t>Estimated extent of use</w:t>
            </w:r>
          </w:p>
        </w:tc>
      </w:tr>
      <w:tr w:rsidR="00EE5A10" w:rsidRPr="00695A45" w:rsidTr="007B6088">
        <w:trPr>
          <w:trHeight w:val="37"/>
        </w:trPr>
        <w:tc>
          <w:tcPr>
            <w:tcW w:w="1416" w:type="pct"/>
            <w:shd w:val="clear" w:color="auto" w:fill="auto"/>
            <w:vAlign w:val="bottom"/>
          </w:tcPr>
          <w:p w:rsidR="00EE5A10" w:rsidRPr="00695A45" w:rsidRDefault="00EE5A10" w:rsidP="00F16AE8">
            <w:pPr>
              <w:keepNext/>
              <w:keepLines/>
              <w:rPr>
                <w:rFonts w:ascii="Arial Narrow" w:hAnsi="Arial Narrow"/>
                <w:sz w:val="20"/>
                <w:szCs w:val="20"/>
              </w:rPr>
            </w:pPr>
            <w:r w:rsidRPr="00695A45">
              <w:rPr>
                <w:rFonts w:ascii="Arial Narrow" w:hAnsi="Arial Narrow"/>
                <w:sz w:val="20"/>
                <w:szCs w:val="20"/>
              </w:rPr>
              <w:t xml:space="preserve">Number of </w:t>
            </w:r>
            <w:r w:rsidR="009F18DC" w:rsidRPr="00695A45">
              <w:rPr>
                <w:rFonts w:ascii="Arial Narrow" w:hAnsi="Arial Narrow"/>
                <w:sz w:val="20"/>
                <w:szCs w:val="20"/>
              </w:rPr>
              <w:t xml:space="preserve">treated </w:t>
            </w:r>
            <w:r w:rsidRPr="00695A45">
              <w:rPr>
                <w:rFonts w:ascii="Arial Narrow" w:hAnsi="Arial Narrow"/>
                <w:sz w:val="20"/>
                <w:szCs w:val="20"/>
              </w:rPr>
              <w:t>patients</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94" w:type="pct"/>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EE5A10" w:rsidRPr="00695A45" w:rsidTr="007B6088">
        <w:trPr>
          <w:trHeight w:val="37"/>
        </w:trPr>
        <w:tc>
          <w:tcPr>
            <w:tcW w:w="1416" w:type="pct"/>
            <w:shd w:val="clear" w:color="auto" w:fill="auto"/>
            <w:vAlign w:val="bottom"/>
          </w:tcPr>
          <w:p w:rsidR="00EE5A10" w:rsidRPr="00695A45" w:rsidRDefault="00EE5A10" w:rsidP="00F16AE8">
            <w:pPr>
              <w:keepNext/>
              <w:keepLines/>
              <w:rPr>
                <w:rFonts w:ascii="Arial Narrow" w:hAnsi="Arial Narrow"/>
                <w:sz w:val="20"/>
                <w:szCs w:val="20"/>
              </w:rPr>
            </w:pPr>
            <w:r w:rsidRPr="00695A45">
              <w:rPr>
                <w:rFonts w:ascii="Arial Narrow" w:hAnsi="Arial Narrow"/>
                <w:sz w:val="20"/>
                <w:szCs w:val="20"/>
              </w:rPr>
              <w:t xml:space="preserve">Number of </w:t>
            </w:r>
            <w:r w:rsidR="009F18DC" w:rsidRPr="00695A45">
              <w:rPr>
                <w:rFonts w:ascii="Arial Narrow" w:hAnsi="Arial Narrow"/>
                <w:sz w:val="20"/>
                <w:szCs w:val="20"/>
              </w:rPr>
              <w:t>scripts</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598" w:type="pct"/>
            <w:shd w:val="clear" w:color="auto" w:fill="auto"/>
            <w:noWrap/>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594" w:type="pct"/>
            <w:vAlign w:val="bottom"/>
          </w:tcPr>
          <w:p w:rsidR="00EE5A10" w:rsidRPr="00B905EC" w:rsidRDefault="00B905EC" w:rsidP="00F16AE8">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EE5A10" w:rsidRPr="00695A45" w:rsidTr="007B6088">
        <w:trPr>
          <w:trHeight w:val="148"/>
        </w:trPr>
        <w:tc>
          <w:tcPr>
            <w:tcW w:w="5000" w:type="pct"/>
            <w:gridSpan w:val="7"/>
            <w:shd w:val="clear" w:color="auto" w:fill="auto"/>
            <w:vAlign w:val="bottom"/>
          </w:tcPr>
          <w:p w:rsidR="00EE5A10" w:rsidRPr="00695A45" w:rsidRDefault="00EE5A10" w:rsidP="00F16AE8">
            <w:pPr>
              <w:keepNext/>
              <w:keepLines/>
              <w:ind w:left="-61" w:right="-41"/>
              <w:rPr>
                <w:rFonts w:ascii="Arial Narrow" w:hAnsi="Arial Narrow"/>
                <w:b/>
                <w:bCs/>
                <w:sz w:val="20"/>
                <w:szCs w:val="20"/>
                <w:highlight w:val="lightGray"/>
              </w:rPr>
            </w:pPr>
            <w:r w:rsidRPr="00695A45">
              <w:rPr>
                <w:rFonts w:ascii="Arial Narrow" w:hAnsi="Arial Narrow"/>
                <w:b/>
                <w:bCs/>
                <w:sz w:val="20"/>
                <w:szCs w:val="20"/>
              </w:rPr>
              <w:t xml:space="preserve">Estimated financial implications of </w:t>
            </w:r>
            <w:proofErr w:type="spellStart"/>
            <w:r w:rsidRPr="00695A45">
              <w:rPr>
                <w:rFonts w:ascii="Arial Narrow" w:hAnsi="Arial Narrow"/>
                <w:b/>
                <w:bCs/>
                <w:sz w:val="20"/>
                <w:szCs w:val="20"/>
              </w:rPr>
              <w:t>atezolizumab</w:t>
            </w:r>
            <w:proofErr w:type="spellEnd"/>
            <w:r w:rsidR="00E02FDF" w:rsidRPr="00695A45">
              <w:rPr>
                <w:rFonts w:ascii="Arial Narrow" w:hAnsi="Arial Narrow"/>
                <w:b/>
                <w:bCs/>
                <w:sz w:val="20"/>
                <w:szCs w:val="20"/>
              </w:rPr>
              <w:t xml:space="preserve"> (without proposed RSA)</w:t>
            </w:r>
          </w:p>
        </w:tc>
      </w:tr>
      <w:tr w:rsidR="007C13CF" w:rsidRPr="00695A45" w:rsidTr="007B6088">
        <w:trPr>
          <w:trHeight w:val="148"/>
        </w:trPr>
        <w:tc>
          <w:tcPr>
            <w:tcW w:w="1416" w:type="pct"/>
            <w:shd w:val="clear" w:color="auto" w:fill="auto"/>
            <w:vAlign w:val="bottom"/>
            <w:hideMark/>
          </w:tcPr>
          <w:p w:rsidR="007C13CF" w:rsidRPr="00695A45" w:rsidRDefault="008626CB" w:rsidP="00F16AE8">
            <w:pPr>
              <w:keepNext/>
              <w:keepLines/>
              <w:rPr>
                <w:rFonts w:ascii="Arial Narrow" w:hAnsi="Arial Narrow"/>
                <w:b/>
                <w:bCs/>
                <w:sz w:val="20"/>
                <w:szCs w:val="20"/>
                <w:highlight w:val="lightGray"/>
              </w:rPr>
            </w:pPr>
            <w:r w:rsidRPr="00695A45">
              <w:rPr>
                <w:rFonts w:ascii="Arial Narrow" w:hAnsi="Arial Narrow"/>
                <w:b/>
                <w:bCs/>
                <w:sz w:val="20"/>
                <w:szCs w:val="20"/>
              </w:rPr>
              <w:t>Net</w:t>
            </w:r>
            <w:r w:rsidR="007C13CF" w:rsidRPr="00695A45">
              <w:rPr>
                <w:rFonts w:ascii="Arial Narrow" w:hAnsi="Arial Narrow"/>
                <w:b/>
                <w:bCs/>
                <w:sz w:val="20"/>
                <w:szCs w:val="20"/>
              </w:rPr>
              <w:t xml:space="preserve"> cost to PBS/</w:t>
            </w:r>
            <w:proofErr w:type="spellStart"/>
            <w:r w:rsidR="007C13CF" w:rsidRPr="00695A45">
              <w:rPr>
                <w:rFonts w:ascii="Arial Narrow" w:hAnsi="Arial Narrow"/>
                <w:b/>
                <w:bCs/>
                <w:sz w:val="20"/>
                <w:szCs w:val="20"/>
              </w:rPr>
              <w:t>RPBS</w:t>
            </w:r>
            <w:r w:rsidR="007C13CF" w:rsidRPr="00695A45">
              <w:rPr>
                <w:rFonts w:ascii="Arial Narrow" w:hAnsi="Arial Narrow"/>
                <w:b/>
                <w:bCs/>
                <w:sz w:val="20"/>
                <w:szCs w:val="20"/>
                <w:vertAlign w:val="superscript"/>
              </w:rPr>
              <w:t>a</w:t>
            </w:r>
            <w:proofErr w:type="spellEnd"/>
          </w:p>
        </w:tc>
        <w:tc>
          <w:tcPr>
            <w:tcW w:w="598" w:type="pct"/>
            <w:shd w:val="clear" w:color="auto" w:fill="auto"/>
            <w:noWrap/>
            <w:vAlign w:val="bottom"/>
          </w:tcPr>
          <w:p w:rsidR="007C13CF" w:rsidRPr="00B905EC" w:rsidRDefault="00B905EC" w:rsidP="00F16AE8">
            <w:pPr>
              <w:keepNext/>
              <w:keepLines/>
              <w:ind w:left="-61" w:right="-41"/>
              <w:jc w:val="right"/>
              <w:rPr>
                <w:rFonts w:ascii="Arial Narrow" w:hAnsi="Arial Narrow"/>
                <w:b/>
                <w:bCs/>
                <w:sz w:val="20"/>
                <w:szCs w:val="20"/>
                <w:highlight w:val="black"/>
              </w:rPr>
            </w:pPr>
            <w:r>
              <w:rPr>
                <w:rFonts w:ascii="Arial Narrow" w:hAnsi="Arial Narrow"/>
                <w:b/>
                <w:bCs/>
                <w:noProof/>
                <w:color w:val="000000"/>
                <w:sz w:val="20"/>
                <w:szCs w:val="20"/>
                <w:highlight w:val="black"/>
              </w:rPr>
              <w:t>'''''''''''''''''''''''''</w:t>
            </w:r>
          </w:p>
        </w:tc>
        <w:tc>
          <w:tcPr>
            <w:tcW w:w="598" w:type="pct"/>
            <w:shd w:val="clear" w:color="auto" w:fill="auto"/>
            <w:noWrap/>
            <w:vAlign w:val="bottom"/>
          </w:tcPr>
          <w:p w:rsidR="007C13CF" w:rsidRPr="00695A45" w:rsidRDefault="007C13CF" w:rsidP="00F16AE8">
            <w:pPr>
              <w:keepNext/>
              <w:keepLines/>
              <w:ind w:left="-61" w:right="-41"/>
              <w:jc w:val="right"/>
              <w:rPr>
                <w:rFonts w:ascii="Arial Narrow" w:hAnsi="Arial Narrow"/>
                <w:b/>
                <w:bCs/>
                <w:sz w:val="20"/>
                <w:szCs w:val="20"/>
                <w:highlight w:val="lightGray"/>
              </w:rPr>
            </w:pPr>
            <w:r w:rsidRPr="00695A45">
              <w:rPr>
                <w:rFonts w:ascii="Arial Narrow" w:hAnsi="Arial Narrow"/>
                <w:b/>
                <w:bCs/>
                <w:sz w:val="20"/>
                <w:szCs w:val="20"/>
              </w:rPr>
              <w:t>$</w:t>
            </w:r>
            <w:r w:rsidR="00B905EC">
              <w:rPr>
                <w:rFonts w:ascii="Arial Narrow" w:hAnsi="Arial Narrow"/>
                <w:b/>
                <w:bCs/>
                <w:noProof/>
                <w:color w:val="000000"/>
                <w:sz w:val="20"/>
                <w:szCs w:val="20"/>
                <w:highlight w:val="black"/>
              </w:rPr>
              <w:t>''''''''''''''''''''</w:t>
            </w:r>
          </w:p>
        </w:tc>
        <w:tc>
          <w:tcPr>
            <w:tcW w:w="598" w:type="pct"/>
            <w:shd w:val="clear" w:color="auto" w:fill="auto"/>
            <w:noWrap/>
            <w:vAlign w:val="bottom"/>
          </w:tcPr>
          <w:p w:rsidR="007C13CF" w:rsidRPr="00695A45" w:rsidRDefault="007C13CF" w:rsidP="00F16AE8">
            <w:pPr>
              <w:keepNext/>
              <w:keepLines/>
              <w:ind w:left="-61" w:right="-41"/>
              <w:jc w:val="right"/>
              <w:rPr>
                <w:rFonts w:ascii="Arial Narrow" w:hAnsi="Arial Narrow"/>
                <w:b/>
                <w:bCs/>
                <w:sz w:val="20"/>
                <w:szCs w:val="20"/>
                <w:highlight w:val="lightGray"/>
              </w:rPr>
            </w:pPr>
            <w:r w:rsidRPr="00695A45">
              <w:rPr>
                <w:rFonts w:ascii="Arial Narrow" w:hAnsi="Arial Narrow"/>
                <w:b/>
                <w:bCs/>
                <w:sz w:val="20"/>
                <w:szCs w:val="20"/>
              </w:rPr>
              <w:t>$</w:t>
            </w:r>
            <w:r w:rsidR="00B905EC">
              <w:rPr>
                <w:rFonts w:ascii="Arial Narrow" w:hAnsi="Arial Narrow"/>
                <w:b/>
                <w:bCs/>
                <w:noProof/>
                <w:color w:val="000000"/>
                <w:sz w:val="20"/>
                <w:szCs w:val="20"/>
                <w:highlight w:val="black"/>
              </w:rPr>
              <w:t>''''''''''''''''''''</w:t>
            </w:r>
          </w:p>
        </w:tc>
        <w:tc>
          <w:tcPr>
            <w:tcW w:w="598" w:type="pct"/>
            <w:shd w:val="clear" w:color="auto" w:fill="auto"/>
            <w:noWrap/>
            <w:vAlign w:val="bottom"/>
          </w:tcPr>
          <w:p w:rsidR="007C13CF" w:rsidRPr="00695A45" w:rsidRDefault="007C13CF" w:rsidP="00F16AE8">
            <w:pPr>
              <w:keepNext/>
              <w:keepLines/>
              <w:ind w:left="-61" w:right="-41"/>
              <w:jc w:val="right"/>
              <w:rPr>
                <w:rFonts w:ascii="Arial Narrow" w:hAnsi="Arial Narrow"/>
                <w:b/>
                <w:bCs/>
                <w:sz w:val="20"/>
                <w:szCs w:val="20"/>
                <w:highlight w:val="lightGray"/>
              </w:rPr>
            </w:pPr>
            <w:r w:rsidRPr="00695A45">
              <w:rPr>
                <w:rFonts w:ascii="Arial Narrow" w:hAnsi="Arial Narrow"/>
                <w:b/>
                <w:bCs/>
                <w:sz w:val="20"/>
                <w:szCs w:val="20"/>
              </w:rPr>
              <w:t>$</w:t>
            </w:r>
            <w:r w:rsidR="00B905EC">
              <w:rPr>
                <w:rFonts w:ascii="Arial Narrow" w:hAnsi="Arial Narrow"/>
                <w:b/>
                <w:bCs/>
                <w:noProof/>
                <w:color w:val="000000"/>
                <w:sz w:val="20"/>
                <w:szCs w:val="20"/>
                <w:highlight w:val="black"/>
              </w:rPr>
              <w:t>''''''''''''''''''''</w:t>
            </w:r>
          </w:p>
        </w:tc>
        <w:tc>
          <w:tcPr>
            <w:tcW w:w="598" w:type="pct"/>
            <w:shd w:val="clear" w:color="auto" w:fill="auto"/>
            <w:noWrap/>
            <w:vAlign w:val="bottom"/>
          </w:tcPr>
          <w:p w:rsidR="007C13CF" w:rsidRPr="00695A45" w:rsidRDefault="007C13CF" w:rsidP="00F16AE8">
            <w:pPr>
              <w:keepNext/>
              <w:keepLines/>
              <w:ind w:left="-61" w:right="-41"/>
              <w:jc w:val="right"/>
              <w:rPr>
                <w:rFonts w:ascii="Arial Narrow" w:hAnsi="Arial Narrow"/>
                <w:b/>
                <w:bCs/>
                <w:sz w:val="20"/>
                <w:szCs w:val="20"/>
                <w:highlight w:val="lightGray"/>
              </w:rPr>
            </w:pPr>
            <w:r w:rsidRPr="00695A45">
              <w:rPr>
                <w:rFonts w:ascii="Arial Narrow" w:hAnsi="Arial Narrow"/>
                <w:b/>
                <w:bCs/>
                <w:sz w:val="20"/>
                <w:szCs w:val="20"/>
              </w:rPr>
              <w:t>$</w:t>
            </w:r>
            <w:r w:rsidR="00B905EC">
              <w:rPr>
                <w:rFonts w:ascii="Arial Narrow" w:hAnsi="Arial Narrow"/>
                <w:b/>
                <w:bCs/>
                <w:noProof/>
                <w:color w:val="000000"/>
                <w:sz w:val="20"/>
                <w:szCs w:val="20"/>
                <w:highlight w:val="black"/>
              </w:rPr>
              <w:t>'''''''''''''''''''''''</w:t>
            </w:r>
          </w:p>
        </w:tc>
        <w:tc>
          <w:tcPr>
            <w:tcW w:w="594" w:type="pct"/>
            <w:vAlign w:val="bottom"/>
          </w:tcPr>
          <w:p w:rsidR="007C13CF" w:rsidRPr="00695A45" w:rsidRDefault="007C13CF" w:rsidP="00F16AE8">
            <w:pPr>
              <w:keepNext/>
              <w:keepLines/>
              <w:ind w:left="-61" w:right="-41"/>
              <w:jc w:val="right"/>
              <w:rPr>
                <w:rFonts w:ascii="Arial Narrow" w:hAnsi="Arial Narrow"/>
                <w:b/>
                <w:bCs/>
                <w:sz w:val="20"/>
                <w:szCs w:val="20"/>
                <w:highlight w:val="lightGray"/>
              </w:rPr>
            </w:pPr>
            <w:r w:rsidRPr="00695A45">
              <w:rPr>
                <w:rFonts w:ascii="Arial Narrow" w:hAnsi="Arial Narrow"/>
                <w:b/>
                <w:bCs/>
                <w:sz w:val="20"/>
                <w:szCs w:val="20"/>
              </w:rPr>
              <w:t>$</w:t>
            </w:r>
            <w:r w:rsidR="00B905EC">
              <w:rPr>
                <w:rFonts w:ascii="Arial Narrow" w:hAnsi="Arial Narrow"/>
                <w:b/>
                <w:bCs/>
                <w:noProof/>
                <w:color w:val="000000"/>
                <w:sz w:val="20"/>
                <w:szCs w:val="20"/>
                <w:highlight w:val="black"/>
              </w:rPr>
              <w:t>'''''''''''''''''''''</w:t>
            </w:r>
          </w:p>
        </w:tc>
      </w:tr>
      <w:tr w:rsidR="00657976" w:rsidRPr="00695A45" w:rsidTr="007B6088">
        <w:trPr>
          <w:trHeight w:val="148"/>
        </w:trPr>
        <w:tc>
          <w:tcPr>
            <w:tcW w:w="1416" w:type="pct"/>
            <w:shd w:val="clear" w:color="auto" w:fill="auto"/>
            <w:vAlign w:val="bottom"/>
          </w:tcPr>
          <w:p w:rsidR="00657976" w:rsidRPr="00695A45" w:rsidRDefault="00657976" w:rsidP="00F16AE8">
            <w:pPr>
              <w:keepNext/>
              <w:keepLines/>
              <w:rPr>
                <w:rFonts w:ascii="Arial Narrow" w:hAnsi="Arial Narrow"/>
                <w:sz w:val="20"/>
                <w:szCs w:val="20"/>
                <w:highlight w:val="lightGray"/>
                <w:vertAlign w:val="superscript"/>
              </w:rPr>
            </w:pPr>
            <w:r w:rsidRPr="00695A45">
              <w:rPr>
                <w:rFonts w:ascii="Arial Narrow" w:hAnsi="Arial Narrow"/>
                <w:sz w:val="20"/>
                <w:szCs w:val="20"/>
              </w:rPr>
              <w:t>MBS net cost</w:t>
            </w:r>
            <w:r w:rsidR="002236D1" w:rsidRPr="00695A45">
              <w:rPr>
                <w:rFonts w:ascii="Arial Narrow" w:hAnsi="Arial Narrow"/>
                <w:sz w:val="20"/>
                <w:szCs w:val="20"/>
              </w:rPr>
              <w:t xml:space="preserve"> </w:t>
            </w:r>
            <w:r w:rsidR="002236D1" w:rsidRPr="00695A45">
              <w:rPr>
                <w:rFonts w:ascii="Arial Narrow" w:hAnsi="Arial Narrow"/>
                <w:sz w:val="20"/>
                <w:szCs w:val="20"/>
                <w:vertAlign w:val="superscript"/>
              </w:rPr>
              <w:t>b</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4" w:type="pct"/>
            <w:vAlign w:val="bottom"/>
          </w:tcPr>
          <w:p w:rsidR="00657976" w:rsidRPr="00695A45" w:rsidRDefault="00657976" w:rsidP="00F16AE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r>
      <w:tr w:rsidR="00657976" w:rsidRPr="00695A45" w:rsidTr="007B6088">
        <w:trPr>
          <w:trHeight w:val="148"/>
        </w:trPr>
        <w:tc>
          <w:tcPr>
            <w:tcW w:w="1416" w:type="pct"/>
            <w:shd w:val="clear" w:color="auto" w:fill="auto"/>
            <w:vAlign w:val="bottom"/>
          </w:tcPr>
          <w:p w:rsidR="00657976" w:rsidRPr="00695A45" w:rsidRDefault="008626CB" w:rsidP="00F16AE8">
            <w:pPr>
              <w:keepNext/>
              <w:keepLines/>
              <w:rPr>
                <w:rFonts w:ascii="Arial Narrow" w:hAnsi="Arial Narrow"/>
                <w:sz w:val="20"/>
                <w:szCs w:val="20"/>
                <w:highlight w:val="lightGray"/>
              </w:rPr>
            </w:pPr>
            <w:r w:rsidRPr="00695A45">
              <w:rPr>
                <w:rFonts w:ascii="Arial Narrow" w:hAnsi="Arial Narrow"/>
                <w:sz w:val="20"/>
                <w:szCs w:val="20"/>
              </w:rPr>
              <w:t>Net cost to PBS/RPBS/MBS</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c>
          <w:tcPr>
            <w:tcW w:w="598" w:type="pct"/>
            <w:shd w:val="clear" w:color="auto" w:fill="auto"/>
            <w:noWrap/>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c>
          <w:tcPr>
            <w:tcW w:w="594" w:type="pct"/>
            <w:vAlign w:val="bottom"/>
          </w:tcPr>
          <w:p w:rsidR="00657976" w:rsidRPr="00695A45" w:rsidRDefault="00657976" w:rsidP="00F16AE8">
            <w:pPr>
              <w:keepNext/>
              <w:keepLines/>
              <w:ind w:left="-61" w:right="-41"/>
              <w:jc w:val="right"/>
              <w:rPr>
                <w:rFonts w:ascii="Arial Narrow" w:hAnsi="Arial Narrow"/>
                <w:b/>
                <w:sz w:val="20"/>
                <w:szCs w:val="20"/>
                <w:highlight w:val="lightGray"/>
              </w:rPr>
            </w:pPr>
            <w:r w:rsidRPr="00695A45">
              <w:rPr>
                <w:rFonts w:ascii="Arial Narrow" w:hAnsi="Arial Narrow"/>
                <w:b/>
                <w:sz w:val="20"/>
                <w:szCs w:val="20"/>
              </w:rPr>
              <w:t>$</w:t>
            </w:r>
            <w:r w:rsidR="00B905EC">
              <w:rPr>
                <w:rFonts w:ascii="Arial Narrow" w:hAnsi="Arial Narrow"/>
                <w:b/>
                <w:noProof/>
                <w:color w:val="000000"/>
                <w:sz w:val="20"/>
                <w:szCs w:val="20"/>
                <w:highlight w:val="black"/>
              </w:rPr>
              <w:t>''''''''''''''''''''''</w:t>
            </w:r>
          </w:p>
        </w:tc>
      </w:tr>
      <w:tr w:rsidR="008626CB" w:rsidRPr="00695A45" w:rsidTr="00CC7BDA">
        <w:trPr>
          <w:trHeight w:val="148"/>
        </w:trPr>
        <w:tc>
          <w:tcPr>
            <w:tcW w:w="1416" w:type="pct"/>
            <w:shd w:val="clear" w:color="auto" w:fill="D9D9D9" w:themeFill="background1" w:themeFillShade="D9"/>
            <w:vAlign w:val="bottom"/>
          </w:tcPr>
          <w:p w:rsidR="008626CB" w:rsidRPr="00695A45" w:rsidDel="008626CB" w:rsidRDefault="002B68BA" w:rsidP="002B68BA">
            <w:pPr>
              <w:keepNext/>
              <w:keepLines/>
              <w:rPr>
                <w:rFonts w:ascii="Arial Narrow" w:hAnsi="Arial Narrow"/>
                <w:sz w:val="20"/>
                <w:szCs w:val="20"/>
                <w:vertAlign w:val="superscript"/>
              </w:rPr>
            </w:pPr>
            <w:r w:rsidRPr="00695A45">
              <w:rPr>
                <w:rFonts w:ascii="Arial Narrow" w:hAnsi="Arial Narrow"/>
                <w:b/>
                <w:bCs/>
                <w:sz w:val="20"/>
                <w:szCs w:val="20"/>
              </w:rPr>
              <w:t>Net cost to PBS/RPBS -</w:t>
            </w:r>
            <w:r w:rsidRPr="00695A45">
              <w:rPr>
                <w:rFonts w:ascii="Arial Narrow" w:hAnsi="Arial Narrow"/>
                <w:sz w:val="20"/>
                <w:szCs w:val="20"/>
              </w:rPr>
              <w:t xml:space="preserve"> </w:t>
            </w:r>
            <w:r w:rsidR="008626CB" w:rsidRPr="00695A45">
              <w:rPr>
                <w:rFonts w:ascii="Arial Narrow" w:hAnsi="Arial Narrow"/>
                <w:sz w:val="20"/>
                <w:szCs w:val="20"/>
              </w:rPr>
              <w:t xml:space="preserve">Previous submission </w:t>
            </w:r>
            <w:r w:rsidR="008626CB" w:rsidRPr="00695A45">
              <w:rPr>
                <w:rFonts w:ascii="Arial Narrow" w:hAnsi="Arial Narrow"/>
                <w:sz w:val="20"/>
                <w:szCs w:val="20"/>
                <w:vertAlign w:val="superscript"/>
              </w:rPr>
              <w:t>c</w:t>
            </w:r>
          </w:p>
        </w:tc>
        <w:tc>
          <w:tcPr>
            <w:tcW w:w="598" w:type="pct"/>
            <w:shd w:val="clear" w:color="auto" w:fill="D9D9D9" w:themeFill="background1" w:themeFillShade="D9"/>
            <w:noWrap/>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c>
          <w:tcPr>
            <w:tcW w:w="598" w:type="pct"/>
            <w:shd w:val="clear" w:color="auto" w:fill="D9D9D9" w:themeFill="background1" w:themeFillShade="D9"/>
            <w:noWrap/>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c>
          <w:tcPr>
            <w:tcW w:w="598" w:type="pct"/>
            <w:shd w:val="clear" w:color="auto" w:fill="D9D9D9" w:themeFill="background1" w:themeFillShade="D9"/>
            <w:noWrap/>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c>
          <w:tcPr>
            <w:tcW w:w="598" w:type="pct"/>
            <w:shd w:val="clear" w:color="auto" w:fill="D9D9D9" w:themeFill="background1" w:themeFillShade="D9"/>
            <w:noWrap/>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c>
          <w:tcPr>
            <w:tcW w:w="598" w:type="pct"/>
            <w:shd w:val="clear" w:color="auto" w:fill="D9D9D9" w:themeFill="background1" w:themeFillShade="D9"/>
            <w:noWrap/>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c>
          <w:tcPr>
            <w:tcW w:w="594" w:type="pct"/>
            <w:shd w:val="clear" w:color="auto" w:fill="D9D9D9" w:themeFill="background1" w:themeFillShade="D9"/>
            <w:vAlign w:val="center"/>
          </w:tcPr>
          <w:p w:rsidR="008626CB" w:rsidRPr="00695A45" w:rsidRDefault="008626CB" w:rsidP="00F16AE8">
            <w:pPr>
              <w:keepNext/>
              <w:keepLines/>
              <w:ind w:left="-61" w:right="-41"/>
              <w:jc w:val="right"/>
              <w:rPr>
                <w:rFonts w:ascii="Arial Narrow" w:hAnsi="Arial Narrow"/>
                <w:sz w:val="20"/>
                <w:szCs w:val="20"/>
              </w:rPr>
            </w:pPr>
            <w:r w:rsidRPr="00695A45">
              <w:rPr>
                <w:rFonts w:ascii="Arial Narrow" w:hAnsi="Arial Narrow" w:cs="Calibri"/>
                <w:bCs/>
                <w:iCs/>
                <w:color w:val="000000"/>
                <w:sz w:val="20"/>
                <w:szCs w:val="20"/>
              </w:rPr>
              <w:t>$</w:t>
            </w:r>
            <w:r w:rsidR="00B905EC">
              <w:rPr>
                <w:rFonts w:ascii="Arial Narrow" w:hAnsi="Arial Narrow" w:cs="Calibri"/>
                <w:bCs/>
                <w:iCs/>
                <w:noProof/>
                <w:color w:val="000000"/>
                <w:sz w:val="20"/>
                <w:szCs w:val="20"/>
                <w:highlight w:val="black"/>
              </w:rPr>
              <w:t>''''''''''''''''''''''''''''</w:t>
            </w:r>
          </w:p>
        </w:tc>
      </w:tr>
    </w:tbl>
    <w:p w:rsidR="00B10854" w:rsidRPr="00695A45" w:rsidRDefault="00657976" w:rsidP="00F16AE8">
      <w:pPr>
        <w:keepNext/>
        <w:keepLines/>
        <w:jc w:val="both"/>
        <w:rPr>
          <w:rFonts w:ascii="Arial Narrow" w:hAnsi="Arial Narrow"/>
          <w:sz w:val="18"/>
          <w:szCs w:val="18"/>
        </w:rPr>
      </w:pPr>
      <w:r w:rsidRPr="00695A45">
        <w:rPr>
          <w:rFonts w:ascii="Arial Narrow" w:hAnsi="Arial Narrow"/>
          <w:sz w:val="18"/>
          <w:szCs w:val="18"/>
        </w:rPr>
        <w:t xml:space="preserve">DPMA = dispensed price for maximum amount; </w:t>
      </w:r>
      <w:r w:rsidR="007C13CF" w:rsidRPr="00695A45">
        <w:rPr>
          <w:rFonts w:ascii="Arial Narrow" w:hAnsi="Arial Narrow"/>
          <w:sz w:val="18"/>
          <w:szCs w:val="18"/>
        </w:rPr>
        <w:t xml:space="preserve">MBS = Medicare Benefits </w:t>
      </w:r>
      <w:r w:rsidR="00B10854" w:rsidRPr="00695A45">
        <w:rPr>
          <w:rFonts w:ascii="Arial Narrow" w:hAnsi="Arial Narrow"/>
          <w:sz w:val="18"/>
          <w:szCs w:val="18"/>
        </w:rPr>
        <w:t>PBS = Pharmaceutical Benefits Scheme; RPBS = Repatriation Pharmaceutical Benefits Scheme.</w:t>
      </w:r>
    </w:p>
    <w:p w:rsidR="009C25FE" w:rsidRPr="00695A45" w:rsidRDefault="009C25FE" w:rsidP="00F16AE8">
      <w:pPr>
        <w:keepNext/>
        <w:keepLines/>
        <w:jc w:val="both"/>
        <w:rPr>
          <w:rFonts w:ascii="Arial Narrow" w:hAnsi="Arial Narrow"/>
          <w:sz w:val="18"/>
          <w:szCs w:val="18"/>
        </w:rPr>
      </w:pPr>
      <w:r w:rsidRPr="00695A45">
        <w:rPr>
          <w:rFonts w:ascii="Arial Narrow" w:hAnsi="Arial Narrow"/>
          <w:sz w:val="18"/>
          <w:szCs w:val="18"/>
        </w:rPr>
        <w:t xml:space="preserve">Source: Section 4 </w:t>
      </w:r>
      <w:proofErr w:type="spellStart"/>
      <w:r w:rsidRPr="00695A45">
        <w:rPr>
          <w:rFonts w:ascii="Arial Narrow" w:hAnsi="Arial Narrow"/>
          <w:sz w:val="18"/>
          <w:szCs w:val="18"/>
        </w:rPr>
        <w:t>Workbook_DUSC</w:t>
      </w:r>
      <w:proofErr w:type="spellEnd"/>
      <w:r w:rsidRPr="00695A45">
        <w:rPr>
          <w:rFonts w:ascii="Arial Narrow" w:hAnsi="Arial Narrow"/>
          <w:sz w:val="18"/>
          <w:szCs w:val="18"/>
        </w:rPr>
        <w:t xml:space="preserve"> </w:t>
      </w:r>
      <w:proofErr w:type="spellStart"/>
      <w:r w:rsidRPr="00695A45">
        <w:rPr>
          <w:rFonts w:ascii="Arial Narrow" w:hAnsi="Arial Narrow"/>
          <w:sz w:val="18"/>
          <w:szCs w:val="18"/>
        </w:rPr>
        <w:t>revisions_minor</w:t>
      </w:r>
      <w:proofErr w:type="spellEnd"/>
      <w:r w:rsidRPr="00695A45">
        <w:rPr>
          <w:rFonts w:ascii="Arial Narrow" w:hAnsi="Arial Narrow"/>
          <w:sz w:val="18"/>
          <w:szCs w:val="18"/>
        </w:rPr>
        <w:t xml:space="preserve"> resubmission.xls</w:t>
      </w:r>
      <w:r w:rsidR="008626CB" w:rsidRPr="00695A45">
        <w:rPr>
          <w:rFonts w:ascii="Arial Narrow" w:hAnsi="Arial Narrow"/>
          <w:sz w:val="18"/>
          <w:szCs w:val="18"/>
        </w:rPr>
        <w:t xml:space="preserve">, Table 4-1, p7 of the minor resubmission </w:t>
      </w:r>
    </w:p>
    <w:p w:rsidR="00B10854" w:rsidRPr="00695A45" w:rsidRDefault="00B10854" w:rsidP="00F16AE8">
      <w:pPr>
        <w:keepNext/>
        <w:keepLines/>
        <w:rPr>
          <w:rFonts w:ascii="Arial Narrow" w:hAnsi="Arial Narrow"/>
          <w:sz w:val="18"/>
          <w:szCs w:val="18"/>
        </w:rPr>
      </w:pPr>
      <w:r w:rsidRPr="00695A45">
        <w:rPr>
          <w:rFonts w:ascii="Arial Narrow" w:hAnsi="Arial Narrow"/>
          <w:sz w:val="18"/>
          <w:szCs w:val="18"/>
        </w:rPr>
        <w:t>Analysis assumes listing from 1 January 20</w:t>
      </w:r>
      <w:r w:rsidR="00EE5A10" w:rsidRPr="00695A45">
        <w:rPr>
          <w:rFonts w:ascii="Arial Narrow" w:hAnsi="Arial Narrow"/>
          <w:sz w:val="18"/>
          <w:szCs w:val="18"/>
        </w:rPr>
        <w:t>20</w:t>
      </w:r>
      <w:r w:rsidRPr="00695A45">
        <w:rPr>
          <w:rFonts w:ascii="Arial Narrow" w:hAnsi="Arial Narrow"/>
          <w:sz w:val="18"/>
          <w:szCs w:val="18"/>
        </w:rPr>
        <w:t>.</w:t>
      </w:r>
    </w:p>
    <w:p w:rsidR="00B10854" w:rsidRPr="00695A45" w:rsidRDefault="00B10854" w:rsidP="00F16AE8">
      <w:pPr>
        <w:keepNext/>
        <w:keepLines/>
        <w:rPr>
          <w:rFonts w:ascii="Arial Narrow" w:hAnsi="Arial Narrow"/>
          <w:sz w:val="18"/>
          <w:szCs w:val="18"/>
        </w:rPr>
      </w:pPr>
      <w:proofErr w:type="gramStart"/>
      <w:r w:rsidRPr="00695A45">
        <w:rPr>
          <w:rFonts w:ascii="Arial Narrow" w:hAnsi="Arial Narrow"/>
          <w:sz w:val="18"/>
          <w:szCs w:val="18"/>
          <w:vertAlign w:val="superscript"/>
        </w:rPr>
        <w:t>a</w:t>
      </w:r>
      <w:proofErr w:type="gramEnd"/>
      <w:r w:rsidRPr="00695A45">
        <w:rPr>
          <w:rFonts w:ascii="Arial Narrow" w:hAnsi="Arial Narrow"/>
          <w:sz w:val="18"/>
          <w:szCs w:val="18"/>
        </w:rPr>
        <w:t xml:space="preserve"> Costs represent DPM</w:t>
      </w:r>
      <w:r w:rsidR="00657976" w:rsidRPr="00695A45">
        <w:rPr>
          <w:rFonts w:ascii="Arial Narrow" w:hAnsi="Arial Narrow"/>
          <w:sz w:val="18"/>
          <w:szCs w:val="18"/>
        </w:rPr>
        <w:t>A</w:t>
      </w:r>
      <w:r w:rsidRPr="00695A45">
        <w:rPr>
          <w:rFonts w:ascii="Arial Narrow" w:hAnsi="Arial Narrow"/>
          <w:sz w:val="18"/>
          <w:szCs w:val="18"/>
        </w:rPr>
        <w:t xml:space="preserve"> </w:t>
      </w:r>
      <w:r w:rsidR="002236D1" w:rsidRPr="00695A45">
        <w:rPr>
          <w:rFonts w:ascii="Arial Narrow" w:hAnsi="Arial Narrow"/>
          <w:sz w:val="18"/>
          <w:szCs w:val="18"/>
        </w:rPr>
        <w:t>minus</w:t>
      </w:r>
      <w:r w:rsidRPr="00695A45">
        <w:rPr>
          <w:rFonts w:ascii="Arial Narrow" w:hAnsi="Arial Narrow"/>
          <w:sz w:val="18"/>
          <w:szCs w:val="18"/>
        </w:rPr>
        <w:t xml:space="preserve"> </w:t>
      </w:r>
      <w:proofErr w:type="spellStart"/>
      <w:r w:rsidRPr="00695A45">
        <w:rPr>
          <w:rFonts w:ascii="Arial Narrow" w:hAnsi="Arial Narrow"/>
          <w:sz w:val="18"/>
          <w:szCs w:val="18"/>
        </w:rPr>
        <w:t>copayment</w:t>
      </w:r>
      <w:proofErr w:type="spellEnd"/>
      <w:r w:rsidRPr="00695A45">
        <w:rPr>
          <w:rFonts w:ascii="Arial Narrow" w:hAnsi="Arial Narrow"/>
          <w:sz w:val="18"/>
          <w:szCs w:val="18"/>
        </w:rPr>
        <w:t>.</w:t>
      </w:r>
    </w:p>
    <w:p w:rsidR="002236D1" w:rsidRPr="00695A45" w:rsidRDefault="002236D1" w:rsidP="00F16AE8">
      <w:pPr>
        <w:keepNext/>
        <w:keepLines/>
        <w:rPr>
          <w:rFonts w:ascii="Arial Narrow" w:hAnsi="Arial Narrow"/>
          <w:sz w:val="18"/>
          <w:szCs w:val="18"/>
        </w:rPr>
      </w:pPr>
      <w:proofErr w:type="gramStart"/>
      <w:r w:rsidRPr="00695A45">
        <w:rPr>
          <w:rFonts w:ascii="Arial Narrow" w:hAnsi="Arial Narrow"/>
          <w:sz w:val="18"/>
          <w:szCs w:val="18"/>
          <w:vertAlign w:val="superscript"/>
        </w:rPr>
        <w:t>b</w:t>
      </w:r>
      <w:proofErr w:type="gramEnd"/>
      <w:r w:rsidRPr="00695A45">
        <w:rPr>
          <w:rFonts w:ascii="Arial Narrow" w:hAnsi="Arial Narrow"/>
          <w:sz w:val="18"/>
          <w:szCs w:val="18"/>
        </w:rPr>
        <w:t xml:space="preserve"> </w:t>
      </w:r>
      <w:r w:rsidR="00E02FDF" w:rsidRPr="00695A45">
        <w:rPr>
          <w:rFonts w:ascii="Arial Narrow" w:hAnsi="Arial Narrow"/>
          <w:sz w:val="18"/>
          <w:szCs w:val="18"/>
        </w:rPr>
        <w:t>Based on MBS item 13915 ‘Administration of cytotoxic chemotherapy (1 hour or less duration)</w:t>
      </w:r>
    </w:p>
    <w:p w:rsidR="008626CB" w:rsidRDefault="008626CB" w:rsidP="00F16AE8">
      <w:pPr>
        <w:keepNext/>
        <w:keepLines/>
        <w:rPr>
          <w:rFonts w:ascii="Arial Narrow" w:hAnsi="Arial Narrow"/>
          <w:sz w:val="18"/>
          <w:szCs w:val="18"/>
        </w:rPr>
      </w:pPr>
      <w:proofErr w:type="gramStart"/>
      <w:r w:rsidRPr="00695A45">
        <w:rPr>
          <w:rFonts w:ascii="Arial Narrow" w:hAnsi="Arial Narrow"/>
          <w:sz w:val="18"/>
          <w:szCs w:val="18"/>
          <w:vertAlign w:val="superscript"/>
        </w:rPr>
        <w:t>c</w:t>
      </w:r>
      <w:proofErr w:type="gramEnd"/>
      <w:r w:rsidRPr="00695A45">
        <w:rPr>
          <w:rFonts w:ascii="Arial Narrow" w:hAnsi="Arial Narrow"/>
          <w:sz w:val="18"/>
          <w:szCs w:val="18"/>
        </w:rPr>
        <w:t xml:space="preserve"> As suggested by DUSC and accepted in the </w:t>
      </w:r>
      <w:r w:rsidR="008C7974" w:rsidRPr="00695A45">
        <w:rPr>
          <w:rFonts w:ascii="Arial Narrow" w:hAnsi="Arial Narrow"/>
          <w:sz w:val="18"/>
          <w:szCs w:val="18"/>
        </w:rPr>
        <w:t>P</w:t>
      </w:r>
      <w:r w:rsidRPr="00695A45">
        <w:rPr>
          <w:rFonts w:ascii="Arial Narrow" w:hAnsi="Arial Narrow"/>
          <w:sz w:val="18"/>
          <w:szCs w:val="18"/>
        </w:rPr>
        <w:t>re-PBAC response. Per Table 16 of July 2019 Minutes</w:t>
      </w:r>
      <w:r w:rsidR="003033F4" w:rsidRPr="00695A45">
        <w:rPr>
          <w:rFonts w:ascii="Arial Narrow" w:hAnsi="Arial Narrow"/>
          <w:sz w:val="18"/>
          <w:szCs w:val="18"/>
        </w:rPr>
        <w:t>, net cost to PBS/RPBS/MBS</w:t>
      </w:r>
      <w:r w:rsidRPr="00695A45">
        <w:rPr>
          <w:rFonts w:ascii="Arial Narrow" w:hAnsi="Arial Narrow"/>
          <w:sz w:val="18"/>
          <w:szCs w:val="18"/>
        </w:rPr>
        <w:t xml:space="preserve">. </w:t>
      </w:r>
    </w:p>
    <w:p w:rsidR="002E7EEC" w:rsidRPr="00695A45" w:rsidRDefault="002E7EEC" w:rsidP="00F16AE8">
      <w:pPr>
        <w:keepNext/>
        <w:keepLines/>
        <w:rPr>
          <w:rFonts w:ascii="Arial Narrow" w:hAnsi="Arial Narrow"/>
          <w:sz w:val="18"/>
          <w:szCs w:val="18"/>
        </w:rPr>
      </w:pPr>
    </w:p>
    <w:p w:rsidR="00B10854" w:rsidRPr="002E7EEC" w:rsidRDefault="002E7EEC" w:rsidP="00EE5A10">
      <w:pPr>
        <w:spacing w:line="276" w:lineRule="auto"/>
        <w:rPr>
          <w:rFonts w:asciiTheme="minorHAnsi" w:eastAsia="Batang" w:hAnsiTheme="minorHAnsi" w:cstheme="minorBidi"/>
          <w:lang w:eastAsia="en-US"/>
        </w:rPr>
      </w:pPr>
      <w:r>
        <w:rPr>
          <w:rFonts w:asciiTheme="minorHAnsi" w:eastAsia="Batang" w:hAnsiTheme="minorHAnsi" w:cstheme="minorBidi"/>
          <w:lang w:eastAsia="en-US"/>
        </w:rPr>
        <w:t xml:space="preserve">The redacted table shows that at Year 6, the estimated number of patients was less than 10,000. </w:t>
      </w:r>
    </w:p>
    <w:p w:rsidR="00B10854" w:rsidRPr="00695A45" w:rsidRDefault="00B10854" w:rsidP="00D91869">
      <w:pPr>
        <w:pStyle w:val="3Bodytext"/>
      </w:pPr>
      <w:r w:rsidRPr="00695A45">
        <w:t xml:space="preserve">The estimated net cost to the PBS/RPBS for </w:t>
      </w:r>
      <w:proofErr w:type="spellStart"/>
      <w:r w:rsidR="00EC6AB9" w:rsidRPr="00695A45">
        <w:t>atezolizumab</w:t>
      </w:r>
      <w:proofErr w:type="spellEnd"/>
      <w:r w:rsidRPr="00695A45">
        <w:t xml:space="preserve"> was</w:t>
      </w:r>
      <w:r w:rsidR="00EC6AB9" w:rsidRPr="00695A45">
        <w:rPr>
          <w:rFonts w:eastAsia="Batang"/>
          <w:szCs w:val="24"/>
        </w:rPr>
        <w:t xml:space="preserve"> reduced to $</w:t>
      </w:r>
      <w:r w:rsidR="002E7EEC">
        <w:rPr>
          <w:rFonts w:eastAsia="Batang"/>
          <w:szCs w:val="24"/>
        </w:rPr>
        <w:t>10 – 20</w:t>
      </w:r>
      <w:r w:rsidR="00917B0D" w:rsidRPr="00695A45">
        <w:rPr>
          <w:rFonts w:eastAsia="Batang"/>
          <w:szCs w:val="24"/>
        </w:rPr>
        <w:t xml:space="preserve"> million</w:t>
      </w:r>
      <w:r w:rsidR="00EC6AB9" w:rsidRPr="00695A45">
        <w:rPr>
          <w:rFonts w:eastAsia="Batang"/>
          <w:szCs w:val="24"/>
        </w:rPr>
        <w:t xml:space="preserve"> in Year 6 of PBS listing</w:t>
      </w:r>
      <w:r w:rsidRPr="00695A45">
        <w:t xml:space="preserve">, with a total cost of </w:t>
      </w:r>
      <w:r w:rsidR="00C400E8">
        <w:t xml:space="preserve">more than </w:t>
      </w:r>
      <w:r w:rsidRPr="00695A45">
        <w:t>$</w:t>
      </w:r>
      <w:r w:rsidR="00C400E8">
        <w:t>100</w:t>
      </w:r>
      <w:r w:rsidRPr="00695A45">
        <w:t xml:space="preserve"> million in the first 6 years of listing</w:t>
      </w:r>
      <w:r w:rsidR="00917B0D" w:rsidRPr="00695A45">
        <w:t xml:space="preserve"> (without the proposed RSA)</w:t>
      </w:r>
      <w:r w:rsidRPr="00695A45">
        <w:t>. This compares with</w:t>
      </w:r>
      <w:r w:rsidR="00C400E8">
        <w:t xml:space="preserve"> more than</w:t>
      </w:r>
      <w:r w:rsidR="00EB25DB" w:rsidRPr="00695A45">
        <w:t xml:space="preserve"> $</w:t>
      </w:r>
      <w:r w:rsidR="00C400E8">
        <w:t>100</w:t>
      </w:r>
      <w:r w:rsidRPr="00695A45">
        <w:t xml:space="preserve"> million in the first 6 years of listing in the July 201</w:t>
      </w:r>
      <w:r w:rsidR="00153DEF" w:rsidRPr="00695A45">
        <w:t>9</w:t>
      </w:r>
      <w:r w:rsidRPr="00695A45">
        <w:t xml:space="preserve"> submission</w:t>
      </w:r>
      <w:r w:rsidR="00770B12" w:rsidRPr="00695A45">
        <w:t xml:space="preserve">, </w:t>
      </w:r>
      <w:r w:rsidR="004165DD" w:rsidRPr="00695A45">
        <w:t>including</w:t>
      </w:r>
      <w:r w:rsidR="00770B12" w:rsidRPr="00695A45">
        <w:t xml:space="preserve"> </w:t>
      </w:r>
      <w:r w:rsidR="002B68BA" w:rsidRPr="00695A45">
        <w:t xml:space="preserve">the </w:t>
      </w:r>
      <w:r w:rsidR="00770B12" w:rsidRPr="00695A45">
        <w:t xml:space="preserve">changes suggested by DUSC and accepted in the </w:t>
      </w:r>
      <w:r w:rsidR="002B68BA" w:rsidRPr="00695A45">
        <w:t>July 2019 p</w:t>
      </w:r>
      <w:r w:rsidR="00770B12" w:rsidRPr="00695A45">
        <w:t>re-PBAC response</w:t>
      </w:r>
      <w:r w:rsidRPr="00695A45">
        <w:t>.</w:t>
      </w:r>
    </w:p>
    <w:p w:rsidR="00B10854" w:rsidRPr="00695A45" w:rsidRDefault="00954FAC" w:rsidP="009C25FE">
      <w:pPr>
        <w:pStyle w:val="3Bodytext"/>
        <w:spacing w:after="0"/>
      </w:pPr>
      <w:r w:rsidRPr="00695A45">
        <w:t>The minor resubmission proposed a</w:t>
      </w:r>
      <w:r w:rsidR="00B16B1C" w:rsidRPr="00695A45">
        <w:t xml:space="preserve">n RSA </w:t>
      </w:r>
      <w:r w:rsidR="00E02FDF" w:rsidRPr="00695A45">
        <w:t xml:space="preserve">in which the expenditure cap was based on an </w:t>
      </w:r>
      <w:r w:rsidR="00E02FDF" w:rsidRPr="000B1112">
        <w:t>average</w:t>
      </w:r>
      <w:r w:rsidR="00C44643" w:rsidRPr="000B1112">
        <w:t xml:space="preserve"> of </w:t>
      </w:r>
      <w:r w:rsidR="00B905EC">
        <w:rPr>
          <w:noProof/>
          <w:color w:val="000000"/>
          <w:highlight w:val="black"/>
        </w:rPr>
        <w:t>'''</w:t>
      </w:r>
      <w:r w:rsidR="00C44643" w:rsidRPr="000B1112">
        <w:t xml:space="preserve"> doses per patient </w:t>
      </w:r>
      <w:r w:rsidR="00E607F3" w:rsidRPr="000B1112">
        <w:t xml:space="preserve">(an average of </w:t>
      </w:r>
      <w:r w:rsidR="00B905EC">
        <w:rPr>
          <w:noProof/>
          <w:color w:val="000000"/>
          <w:highlight w:val="black"/>
        </w:rPr>
        <w:t>''''''</w:t>
      </w:r>
      <w:r w:rsidR="00C44643" w:rsidRPr="000B1112">
        <w:t xml:space="preserve"> doses</w:t>
      </w:r>
      <w:r w:rsidR="00E607F3" w:rsidRPr="000B1112">
        <w:t xml:space="preserve"> per patient </w:t>
      </w:r>
      <w:r w:rsidR="000406E7" w:rsidRPr="000B1112">
        <w:t xml:space="preserve">was </w:t>
      </w:r>
      <w:r w:rsidR="00E607F3" w:rsidRPr="000B1112">
        <w:t>estimated</w:t>
      </w:r>
      <w:r w:rsidR="00C44643" w:rsidRPr="000B1112">
        <w:t xml:space="preserve"> in the previous submission</w:t>
      </w:r>
      <w:r w:rsidR="00E607F3" w:rsidRPr="000B1112">
        <w:t>)</w:t>
      </w:r>
      <w:r w:rsidR="00C44643" w:rsidRPr="000B1112">
        <w:t>.</w:t>
      </w:r>
      <w:r w:rsidRPr="000B1112">
        <w:t xml:space="preserve"> The </w:t>
      </w:r>
      <w:r w:rsidR="002B68BA" w:rsidRPr="000B1112">
        <w:t xml:space="preserve">minor resubmission </w:t>
      </w:r>
      <w:r w:rsidRPr="000B1112">
        <w:t>proposed</w:t>
      </w:r>
      <w:r w:rsidRPr="00695A45">
        <w:t xml:space="preserve"> that </w:t>
      </w:r>
      <w:r w:rsidR="00F16AE8" w:rsidRPr="00695A45">
        <w:t xml:space="preserve">100% of </w:t>
      </w:r>
      <w:r w:rsidRPr="00695A45">
        <w:t xml:space="preserve">any expenditure above this subsidisation cap </w:t>
      </w:r>
      <w:r w:rsidR="00F16AE8" w:rsidRPr="00695A45">
        <w:t xml:space="preserve">would be </w:t>
      </w:r>
      <w:proofErr w:type="spellStart"/>
      <w:r w:rsidRPr="00695A45">
        <w:t>rebate</w:t>
      </w:r>
      <w:r w:rsidR="00F16AE8" w:rsidRPr="00695A45">
        <w:t>d</w:t>
      </w:r>
      <w:proofErr w:type="spellEnd"/>
      <w:r w:rsidRPr="00695A45">
        <w:t xml:space="preserve"> to </w:t>
      </w:r>
      <w:r w:rsidR="00F16AE8" w:rsidRPr="00695A45">
        <w:t xml:space="preserve">the </w:t>
      </w:r>
      <w:r w:rsidR="00D91869" w:rsidRPr="00695A45">
        <w:t>Commonwealth</w:t>
      </w:r>
      <w:r w:rsidRPr="00695A45">
        <w:t>.</w:t>
      </w:r>
      <w:r w:rsidR="009C25FE" w:rsidRPr="00695A45">
        <w:t xml:space="preserve"> Table </w:t>
      </w:r>
      <w:r w:rsidR="005912FC" w:rsidRPr="00695A45">
        <w:t>5</w:t>
      </w:r>
      <w:r w:rsidR="009C25FE" w:rsidRPr="00695A45">
        <w:t xml:space="preserve"> shows the subsidisation caps for expenditure on </w:t>
      </w:r>
      <w:proofErr w:type="spellStart"/>
      <w:r w:rsidR="009C25FE" w:rsidRPr="00695A45">
        <w:t>atezolizumab</w:t>
      </w:r>
      <w:proofErr w:type="spellEnd"/>
      <w:r w:rsidR="009C25FE" w:rsidRPr="00695A45">
        <w:t xml:space="preserve">, </w:t>
      </w:r>
      <w:r w:rsidR="00327AE3" w:rsidRPr="00695A45">
        <w:t>as proposed in</w:t>
      </w:r>
      <w:r w:rsidR="009C25FE" w:rsidRPr="00695A45">
        <w:t xml:space="preserve"> the minor </w:t>
      </w:r>
      <w:r w:rsidR="00B16B1C" w:rsidRPr="00695A45">
        <w:t>re</w:t>
      </w:r>
      <w:r w:rsidR="009C25FE" w:rsidRPr="00695A45">
        <w:t>submission.</w:t>
      </w:r>
    </w:p>
    <w:p w:rsidR="009C25FE" w:rsidRPr="00695A45" w:rsidRDefault="009C25FE" w:rsidP="009C25FE">
      <w:pPr>
        <w:pStyle w:val="ListParagraph"/>
      </w:pPr>
    </w:p>
    <w:p w:rsidR="009C25FE" w:rsidRPr="00695A45" w:rsidRDefault="009C25FE" w:rsidP="00F15A78">
      <w:pPr>
        <w:pStyle w:val="3Bodytext"/>
        <w:keepNext/>
        <w:keepLines/>
        <w:numPr>
          <w:ilvl w:val="0"/>
          <w:numId w:val="0"/>
        </w:numPr>
        <w:spacing w:after="0"/>
        <w:ind w:left="720" w:hanging="720"/>
        <w:rPr>
          <w:rFonts w:ascii="Arial Narrow" w:hAnsi="Arial Narrow"/>
          <w:b/>
          <w:bCs/>
          <w:sz w:val="20"/>
          <w:szCs w:val="20"/>
        </w:rPr>
      </w:pPr>
      <w:r w:rsidRPr="00695A45">
        <w:rPr>
          <w:rFonts w:ascii="Arial Narrow" w:hAnsi="Arial Narrow"/>
          <w:b/>
          <w:bCs/>
          <w:sz w:val="20"/>
          <w:szCs w:val="20"/>
        </w:rPr>
        <w:t xml:space="preserve">Table </w:t>
      </w:r>
      <w:r w:rsidR="005912FC" w:rsidRPr="00695A45">
        <w:rPr>
          <w:rFonts w:ascii="Arial Narrow" w:hAnsi="Arial Narrow"/>
          <w:b/>
          <w:bCs/>
          <w:sz w:val="20"/>
          <w:szCs w:val="20"/>
        </w:rPr>
        <w:t>5</w:t>
      </w:r>
      <w:r w:rsidRPr="00695A45">
        <w:rPr>
          <w:rFonts w:ascii="Arial Narrow" w:hAnsi="Arial Narrow"/>
          <w:b/>
          <w:bCs/>
          <w:sz w:val="20"/>
          <w:szCs w:val="20"/>
        </w:rPr>
        <w:t xml:space="preserve">: Proposed subsidisation caps for expenditure on </w:t>
      </w:r>
      <w:proofErr w:type="spellStart"/>
      <w:r w:rsidRPr="00695A45">
        <w:rPr>
          <w:rFonts w:ascii="Arial Narrow" w:hAnsi="Arial Narrow"/>
          <w:b/>
          <w:bCs/>
          <w:sz w:val="20"/>
          <w:szCs w:val="20"/>
        </w:rPr>
        <w:t>atezolizumab</w:t>
      </w:r>
      <w:proofErr w:type="spellEnd"/>
      <w:r w:rsidR="00743AFB" w:rsidRPr="00695A45">
        <w:rPr>
          <w:rFonts w:ascii="Arial Narrow" w:hAnsi="Arial Narrow"/>
          <w:b/>
          <w:bCs/>
          <w:sz w:val="20"/>
          <w:szCs w:val="20"/>
        </w:rPr>
        <w:t xml:space="preserve"> (based on an average of 7 doses per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079"/>
        <w:gridCol w:w="1078"/>
        <w:gridCol w:w="1078"/>
        <w:gridCol w:w="1078"/>
        <w:gridCol w:w="1078"/>
        <w:gridCol w:w="1071"/>
      </w:tblGrid>
      <w:tr w:rsidR="009C25FE" w:rsidRPr="00695A45" w:rsidTr="00F15A78">
        <w:trPr>
          <w:trHeight w:val="37"/>
        </w:trPr>
        <w:tc>
          <w:tcPr>
            <w:tcW w:w="1416" w:type="pct"/>
            <w:shd w:val="clear" w:color="auto" w:fill="FFFFFF" w:themeFill="background1"/>
            <w:noWrap/>
            <w:vAlign w:val="bottom"/>
            <w:hideMark/>
          </w:tcPr>
          <w:p w:rsidR="009C25FE" w:rsidRPr="00695A45" w:rsidRDefault="009C25FE" w:rsidP="00F15A78">
            <w:pPr>
              <w:keepNext/>
              <w:keepLines/>
              <w:jc w:val="both"/>
              <w:rPr>
                <w:rFonts w:ascii="Arial Narrow" w:hAnsi="Arial Narrow"/>
                <w:sz w:val="20"/>
                <w:szCs w:val="20"/>
                <w:highlight w:val="lightGray"/>
              </w:rPr>
            </w:pPr>
          </w:p>
        </w:tc>
        <w:tc>
          <w:tcPr>
            <w:tcW w:w="598" w:type="pct"/>
            <w:shd w:val="clear" w:color="auto" w:fill="FFFFFF" w:themeFill="background1"/>
            <w:vAlign w:val="bottom"/>
            <w:hideMark/>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1</w:t>
            </w:r>
          </w:p>
        </w:tc>
        <w:tc>
          <w:tcPr>
            <w:tcW w:w="598" w:type="pct"/>
            <w:shd w:val="clear" w:color="auto" w:fill="FFFFFF" w:themeFill="background1"/>
            <w:vAlign w:val="bottom"/>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2</w:t>
            </w:r>
          </w:p>
        </w:tc>
        <w:tc>
          <w:tcPr>
            <w:tcW w:w="598" w:type="pct"/>
            <w:shd w:val="clear" w:color="auto" w:fill="FFFFFF" w:themeFill="background1"/>
            <w:vAlign w:val="bottom"/>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3</w:t>
            </w:r>
          </w:p>
        </w:tc>
        <w:tc>
          <w:tcPr>
            <w:tcW w:w="598" w:type="pct"/>
            <w:shd w:val="clear" w:color="auto" w:fill="FFFFFF" w:themeFill="background1"/>
            <w:vAlign w:val="bottom"/>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4</w:t>
            </w:r>
          </w:p>
        </w:tc>
        <w:tc>
          <w:tcPr>
            <w:tcW w:w="598" w:type="pct"/>
            <w:shd w:val="clear" w:color="auto" w:fill="FFFFFF" w:themeFill="background1"/>
            <w:vAlign w:val="bottom"/>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5</w:t>
            </w:r>
          </w:p>
        </w:tc>
        <w:tc>
          <w:tcPr>
            <w:tcW w:w="594" w:type="pct"/>
            <w:shd w:val="clear" w:color="auto" w:fill="FFFFFF" w:themeFill="background1"/>
            <w:vAlign w:val="bottom"/>
          </w:tcPr>
          <w:p w:rsidR="009C25FE" w:rsidRPr="00695A45" w:rsidRDefault="009C25FE" w:rsidP="00F15A78">
            <w:pPr>
              <w:keepNext/>
              <w:keepLines/>
              <w:ind w:left="-61" w:right="-41"/>
              <w:jc w:val="center"/>
              <w:rPr>
                <w:rFonts w:ascii="Arial Narrow" w:hAnsi="Arial Narrow"/>
                <w:b/>
                <w:sz w:val="20"/>
                <w:szCs w:val="20"/>
              </w:rPr>
            </w:pPr>
            <w:r w:rsidRPr="00695A45">
              <w:rPr>
                <w:rFonts w:ascii="Arial Narrow" w:hAnsi="Arial Narrow"/>
                <w:b/>
                <w:sz w:val="20"/>
                <w:szCs w:val="20"/>
              </w:rPr>
              <w:t>Year 6</w:t>
            </w:r>
          </w:p>
        </w:tc>
      </w:tr>
      <w:tr w:rsidR="00F15A78" w:rsidRPr="00695A45" w:rsidTr="00F15A78">
        <w:trPr>
          <w:trHeight w:val="37"/>
        </w:trPr>
        <w:tc>
          <w:tcPr>
            <w:tcW w:w="1416" w:type="pct"/>
            <w:shd w:val="clear" w:color="auto" w:fill="auto"/>
            <w:vAlign w:val="bottom"/>
          </w:tcPr>
          <w:p w:rsidR="00F15A78" w:rsidRPr="00695A45" w:rsidRDefault="00F15A78" w:rsidP="00F15A78">
            <w:pPr>
              <w:keepNext/>
              <w:keepLines/>
              <w:rPr>
                <w:rFonts w:ascii="Arial Narrow" w:hAnsi="Arial Narrow"/>
                <w:sz w:val="20"/>
                <w:szCs w:val="20"/>
              </w:rPr>
            </w:pPr>
            <w:r w:rsidRPr="00695A45">
              <w:rPr>
                <w:rFonts w:ascii="Arial Narrow" w:hAnsi="Arial Narrow"/>
                <w:sz w:val="20"/>
                <w:szCs w:val="20"/>
              </w:rPr>
              <w:t xml:space="preserve">Effective cost to PBS/RPBS – expenditure cap </w:t>
            </w:r>
          </w:p>
        </w:tc>
        <w:tc>
          <w:tcPr>
            <w:tcW w:w="598" w:type="pct"/>
            <w:shd w:val="clear" w:color="auto" w:fill="auto"/>
            <w:noWrap/>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8" w:type="pct"/>
            <w:shd w:val="clear" w:color="auto" w:fill="auto"/>
            <w:noWrap/>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c>
          <w:tcPr>
            <w:tcW w:w="594" w:type="pct"/>
            <w:vAlign w:val="bottom"/>
          </w:tcPr>
          <w:p w:rsidR="00F15A78" w:rsidRPr="00695A45" w:rsidRDefault="00F15A78" w:rsidP="00F15A78">
            <w:pPr>
              <w:keepNext/>
              <w:keepLines/>
              <w:ind w:left="-61" w:right="-41"/>
              <w:jc w:val="right"/>
              <w:rPr>
                <w:rFonts w:ascii="Arial Narrow" w:hAnsi="Arial Narrow"/>
                <w:sz w:val="20"/>
                <w:szCs w:val="20"/>
                <w:highlight w:val="lightGray"/>
              </w:rPr>
            </w:pPr>
            <w:r w:rsidRPr="00695A45">
              <w:rPr>
                <w:rFonts w:ascii="Arial Narrow" w:hAnsi="Arial Narrow"/>
                <w:sz w:val="20"/>
                <w:szCs w:val="20"/>
              </w:rPr>
              <w:t>$</w:t>
            </w:r>
            <w:r w:rsidR="00B905EC">
              <w:rPr>
                <w:rFonts w:ascii="Arial Narrow" w:hAnsi="Arial Narrow"/>
                <w:noProof/>
                <w:color w:val="000000"/>
                <w:sz w:val="20"/>
                <w:szCs w:val="20"/>
                <w:highlight w:val="black"/>
              </w:rPr>
              <w:t>'''''''''''''''''''''''''</w:t>
            </w:r>
          </w:p>
        </w:tc>
      </w:tr>
    </w:tbl>
    <w:p w:rsidR="00F15A78" w:rsidRPr="00695A45" w:rsidRDefault="00F15A78" w:rsidP="00F15A78">
      <w:pPr>
        <w:keepNext/>
        <w:keepLines/>
        <w:jc w:val="both"/>
        <w:rPr>
          <w:rFonts w:ascii="Arial Narrow" w:hAnsi="Arial Narrow"/>
          <w:sz w:val="18"/>
          <w:szCs w:val="18"/>
        </w:rPr>
      </w:pPr>
      <w:r w:rsidRPr="00695A45">
        <w:rPr>
          <w:rFonts w:ascii="Arial Narrow" w:hAnsi="Arial Narrow"/>
          <w:sz w:val="18"/>
          <w:szCs w:val="18"/>
        </w:rPr>
        <w:t>PBS = Pharmaceutical Benefits Scheme; RPBS = Repatriation Pharmaceutical Benefits Scheme.</w:t>
      </w:r>
    </w:p>
    <w:p w:rsidR="009C25FE" w:rsidRPr="00695A45" w:rsidRDefault="00F15A78" w:rsidP="00F15A78">
      <w:pPr>
        <w:pStyle w:val="3Bodytext"/>
        <w:keepNext/>
        <w:keepLines/>
        <w:numPr>
          <w:ilvl w:val="0"/>
          <w:numId w:val="0"/>
        </w:numPr>
        <w:spacing w:after="0"/>
        <w:ind w:left="720" w:hanging="720"/>
        <w:rPr>
          <w:rFonts w:ascii="Arial Narrow" w:hAnsi="Arial Narrow"/>
          <w:sz w:val="18"/>
          <w:szCs w:val="18"/>
        </w:rPr>
      </w:pPr>
      <w:r w:rsidRPr="00695A45">
        <w:rPr>
          <w:rFonts w:ascii="Arial Narrow" w:hAnsi="Arial Narrow"/>
          <w:sz w:val="18"/>
          <w:szCs w:val="18"/>
        </w:rPr>
        <w:t xml:space="preserve">Source: Section 4 </w:t>
      </w:r>
      <w:proofErr w:type="spellStart"/>
      <w:r w:rsidRPr="00695A45">
        <w:rPr>
          <w:rFonts w:ascii="Arial Narrow" w:hAnsi="Arial Narrow"/>
          <w:sz w:val="18"/>
          <w:szCs w:val="18"/>
        </w:rPr>
        <w:t>Workbook_DUSC</w:t>
      </w:r>
      <w:proofErr w:type="spellEnd"/>
      <w:r w:rsidRPr="00695A45">
        <w:rPr>
          <w:rFonts w:ascii="Arial Narrow" w:hAnsi="Arial Narrow"/>
          <w:sz w:val="18"/>
          <w:szCs w:val="18"/>
        </w:rPr>
        <w:t xml:space="preserve"> </w:t>
      </w:r>
      <w:proofErr w:type="spellStart"/>
      <w:r w:rsidRPr="00695A45">
        <w:rPr>
          <w:rFonts w:ascii="Arial Narrow" w:hAnsi="Arial Narrow"/>
          <w:sz w:val="18"/>
          <w:szCs w:val="18"/>
        </w:rPr>
        <w:t>revisions_minor</w:t>
      </w:r>
      <w:proofErr w:type="spellEnd"/>
      <w:r w:rsidRPr="00695A45">
        <w:rPr>
          <w:rFonts w:ascii="Arial Narrow" w:hAnsi="Arial Narrow"/>
          <w:sz w:val="18"/>
          <w:szCs w:val="18"/>
        </w:rPr>
        <w:t xml:space="preserve"> resubmission.xls</w:t>
      </w:r>
    </w:p>
    <w:p w:rsidR="00F15A78" w:rsidRPr="00695A45" w:rsidRDefault="00F15A78" w:rsidP="00F15A78">
      <w:pPr>
        <w:pStyle w:val="3Bodytext"/>
        <w:numPr>
          <w:ilvl w:val="0"/>
          <w:numId w:val="0"/>
        </w:numPr>
        <w:spacing w:after="0"/>
        <w:ind w:left="720" w:hanging="720"/>
        <w:rPr>
          <w:rFonts w:ascii="Arial Narrow" w:hAnsi="Arial Narrow"/>
          <w:b/>
          <w:bCs/>
          <w:szCs w:val="24"/>
        </w:rPr>
      </w:pPr>
    </w:p>
    <w:p w:rsidR="00160C2D" w:rsidRPr="00695A45" w:rsidRDefault="00C44643" w:rsidP="00765272">
      <w:pPr>
        <w:pStyle w:val="3Bodytext"/>
      </w:pPr>
      <w:r w:rsidRPr="00695A45">
        <w:t xml:space="preserve">The </w:t>
      </w:r>
      <w:r w:rsidR="00BB550A" w:rsidRPr="00695A45">
        <w:t xml:space="preserve">PBAC noted that the </w:t>
      </w:r>
      <w:r w:rsidRPr="00695A45">
        <w:t>rebates leading to the reduced price per patient applied in the economic model</w:t>
      </w:r>
      <w:r w:rsidR="002937BB" w:rsidRPr="00695A45">
        <w:t xml:space="preserve"> </w:t>
      </w:r>
      <w:r w:rsidR="00896B0A" w:rsidRPr="00695A45">
        <w:t>would only be achi</w:t>
      </w:r>
      <w:r w:rsidR="00F16AE8" w:rsidRPr="00695A45">
        <w:t>e</w:t>
      </w:r>
      <w:r w:rsidR="00896B0A" w:rsidRPr="00695A45">
        <w:t>v</w:t>
      </w:r>
      <w:r w:rsidRPr="00695A45">
        <w:t xml:space="preserve">ed if </w:t>
      </w:r>
      <w:proofErr w:type="spellStart"/>
      <w:r w:rsidRPr="00695A45">
        <w:t>atezolizumab</w:t>
      </w:r>
      <w:proofErr w:type="spellEnd"/>
      <w:r w:rsidRPr="00695A45">
        <w:t xml:space="preserve"> utilisation is at the level estimated in the</w:t>
      </w:r>
      <w:r w:rsidR="00E00455" w:rsidRPr="00695A45">
        <w:t xml:space="preserve"> minor</w:t>
      </w:r>
      <w:r w:rsidRPr="00695A45">
        <w:t xml:space="preserve"> resubmission. </w:t>
      </w:r>
    </w:p>
    <w:p w:rsidR="00F15A78" w:rsidRPr="00695A45" w:rsidRDefault="00045D80" w:rsidP="002D6354">
      <w:pPr>
        <w:pStyle w:val="3Bodytext"/>
      </w:pPr>
      <w:r w:rsidRPr="00695A45">
        <w:t xml:space="preserve">Given </w:t>
      </w:r>
      <w:r w:rsidR="00575F9C" w:rsidRPr="00695A45">
        <w:t xml:space="preserve">that </w:t>
      </w:r>
      <w:r w:rsidRPr="00695A45">
        <w:t xml:space="preserve">a high degree of </w:t>
      </w:r>
      <w:r w:rsidRPr="00695A45">
        <w:rPr>
          <w:snapToGrid w:val="0"/>
        </w:rPr>
        <w:t xml:space="preserve">confidence in the utilisation estimates is required in order to minimise the risk of the ICER not being achieved, the minor overview provided </w:t>
      </w:r>
      <w:r w:rsidR="00E607F3" w:rsidRPr="00695A45">
        <w:t xml:space="preserve">further information </w:t>
      </w:r>
      <w:r w:rsidRPr="00695A45">
        <w:t xml:space="preserve">(in the table below) </w:t>
      </w:r>
      <w:r w:rsidR="00E607F3" w:rsidRPr="00695A45">
        <w:t>regarding the method used to estimate the number of treated patients.</w:t>
      </w:r>
    </w:p>
    <w:p w:rsidR="00694437" w:rsidRPr="00695A45" w:rsidRDefault="00694437" w:rsidP="00CE173F">
      <w:pPr>
        <w:keepNext/>
        <w:keepLines/>
        <w:jc w:val="both"/>
        <w:rPr>
          <w:rFonts w:ascii="Arial Narrow" w:hAnsi="Arial Narrow" w:cs="Arial"/>
          <w:b/>
          <w:snapToGrid w:val="0"/>
          <w:sz w:val="20"/>
          <w:szCs w:val="20"/>
          <w:lang w:eastAsia="en-US"/>
        </w:rPr>
      </w:pPr>
      <w:r w:rsidRPr="00695A45">
        <w:rPr>
          <w:rFonts w:ascii="Arial Narrow" w:hAnsi="Arial Narrow" w:cs="Arial"/>
          <w:b/>
          <w:snapToGrid w:val="0"/>
          <w:sz w:val="20"/>
          <w:szCs w:val="20"/>
          <w:lang w:eastAsia="en-US"/>
        </w:rPr>
        <w:lastRenderedPageBreak/>
        <w:t>Table 6: Summary of patient number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33"/>
        <w:gridCol w:w="850"/>
        <w:gridCol w:w="6044"/>
      </w:tblGrid>
      <w:tr w:rsidR="00694437" w:rsidRPr="00695A45" w:rsidTr="00E607F3">
        <w:trPr>
          <w:trHeight w:val="20"/>
        </w:trPr>
        <w:tc>
          <w:tcPr>
            <w:tcW w:w="1389" w:type="dxa"/>
            <w:shd w:val="clear" w:color="auto" w:fill="auto"/>
            <w:vAlign w:val="center"/>
            <w:hideMark/>
          </w:tcPr>
          <w:p w:rsidR="00694437" w:rsidRPr="00695A45" w:rsidRDefault="0069443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 </w:t>
            </w:r>
          </w:p>
        </w:tc>
        <w:tc>
          <w:tcPr>
            <w:tcW w:w="733" w:type="dxa"/>
          </w:tcPr>
          <w:p w:rsidR="00694437" w:rsidRPr="00695A45" w:rsidRDefault="00694437" w:rsidP="00CE173F">
            <w:pPr>
              <w:keepNext/>
              <w:keepLines/>
              <w:jc w:val="center"/>
              <w:rPr>
                <w:rFonts w:ascii="Arial Narrow" w:hAnsi="Arial Narrow"/>
                <w:b/>
                <w:sz w:val="20"/>
                <w:szCs w:val="20"/>
              </w:rPr>
            </w:pPr>
            <w:r w:rsidRPr="00695A45">
              <w:rPr>
                <w:rFonts w:ascii="Arial Narrow" w:hAnsi="Arial Narrow"/>
                <w:b/>
                <w:sz w:val="20"/>
                <w:szCs w:val="20"/>
              </w:rPr>
              <w:t>Value</w:t>
            </w:r>
          </w:p>
        </w:tc>
        <w:tc>
          <w:tcPr>
            <w:tcW w:w="850" w:type="dxa"/>
            <w:shd w:val="clear" w:color="auto" w:fill="auto"/>
            <w:vAlign w:val="bottom"/>
            <w:hideMark/>
          </w:tcPr>
          <w:p w:rsidR="00694437" w:rsidRPr="00695A45" w:rsidRDefault="00694437" w:rsidP="00E607F3">
            <w:pPr>
              <w:keepNext/>
              <w:keepLines/>
              <w:jc w:val="center"/>
              <w:rPr>
                <w:rFonts w:ascii="Arial Narrow" w:hAnsi="Arial Narrow" w:cs="Calibri"/>
                <w:b/>
                <w:bCs/>
                <w:color w:val="000000"/>
                <w:sz w:val="20"/>
                <w:szCs w:val="20"/>
                <w:vertAlign w:val="superscript"/>
              </w:rPr>
            </w:pPr>
            <w:r w:rsidRPr="00695A45">
              <w:rPr>
                <w:rFonts w:ascii="Arial Narrow" w:hAnsi="Arial Narrow"/>
                <w:b/>
                <w:sz w:val="20"/>
                <w:szCs w:val="20"/>
              </w:rPr>
              <w:t>Year 1</w:t>
            </w:r>
            <w:r w:rsidR="00E607F3" w:rsidRPr="00695A45">
              <w:rPr>
                <w:rFonts w:ascii="Arial Narrow" w:hAnsi="Arial Narrow"/>
                <w:b/>
                <w:sz w:val="20"/>
                <w:szCs w:val="20"/>
                <w:vertAlign w:val="superscript"/>
              </w:rPr>
              <w:t>a</w:t>
            </w:r>
          </w:p>
        </w:tc>
        <w:tc>
          <w:tcPr>
            <w:tcW w:w="6044" w:type="dxa"/>
            <w:shd w:val="clear" w:color="auto" w:fill="auto"/>
            <w:vAlign w:val="bottom"/>
            <w:hideMark/>
          </w:tcPr>
          <w:p w:rsidR="00694437" w:rsidRPr="00695A45" w:rsidRDefault="00694437" w:rsidP="00CE173F">
            <w:pPr>
              <w:keepNext/>
              <w:keepLines/>
              <w:jc w:val="center"/>
              <w:rPr>
                <w:rFonts w:ascii="Arial Narrow" w:hAnsi="Arial Narrow" w:cs="Calibri"/>
                <w:b/>
                <w:bCs/>
                <w:color w:val="000000"/>
                <w:sz w:val="20"/>
                <w:szCs w:val="20"/>
              </w:rPr>
            </w:pPr>
            <w:r w:rsidRPr="00695A45">
              <w:rPr>
                <w:rFonts w:ascii="Arial Narrow" w:hAnsi="Arial Narrow" w:cs="Calibri"/>
                <w:b/>
                <w:bCs/>
                <w:color w:val="000000"/>
                <w:sz w:val="20"/>
                <w:szCs w:val="20"/>
              </w:rPr>
              <w:t xml:space="preserve">Source and comment from </w:t>
            </w:r>
            <w:r w:rsidR="00CE173F" w:rsidRPr="00695A45">
              <w:rPr>
                <w:rFonts w:ascii="Arial Narrow" w:hAnsi="Arial Narrow" w:cs="Calibri"/>
                <w:b/>
                <w:bCs/>
                <w:color w:val="000000"/>
                <w:sz w:val="20"/>
                <w:szCs w:val="20"/>
              </w:rPr>
              <w:t xml:space="preserve">July 2019 </w:t>
            </w:r>
            <w:r w:rsidRPr="00695A45">
              <w:rPr>
                <w:rFonts w:ascii="Arial Narrow" w:hAnsi="Arial Narrow" w:cs="Calibri"/>
                <w:b/>
                <w:bCs/>
                <w:color w:val="000000"/>
                <w:sz w:val="20"/>
                <w:szCs w:val="20"/>
              </w:rPr>
              <w:t>DUSC Advice</w:t>
            </w:r>
          </w:p>
        </w:tc>
      </w:tr>
      <w:tr w:rsidR="00694437" w:rsidRPr="00695A45" w:rsidTr="00E607F3">
        <w:trPr>
          <w:trHeight w:val="20"/>
        </w:trPr>
        <w:tc>
          <w:tcPr>
            <w:tcW w:w="1389" w:type="dxa"/>
            <w:shd w:val="clear" w:color="auto" w:fill="auto"/>
            <w:vAlign w:val="center"/>
            <w:hideMark/>
          </w:tcPr>
          <w:p w:rsidR="00694437" w:rsidRPr="00695A45" w:rsidRDefault="0069443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Lung cancer patients </w:t>
            </w:r>
          </w:p>
        </w:tc>
        <w:tc>
          <w:tcPr>
            <w:tcW w:w="733" w:type="dxa"/>
            <w:vAlign w:val="center"/>
          </w:tcPr>
          <w:p w:rsidR="00694437" w:rsidRPr="00695A45" w:rsidRDefault="00694437" w:rsidP="00CE173F">
            <w:pPr>
              <w:keepNext/>
              <w:keepLines/>
              <w:jc w:val="center"/>
              <w:rPr>
                <w:rFonts w:ascii="Arial Narrow" w:hAnsi="Arial Narrow" w:cs="Calibri"/>
                <w:color w:val="000000"/>
                <w:sz w:val="20"/>
                <w:szCs w:val="20"/>
              </w:rPr>
            </w:pPr>
          </w:p>
        </w:tc>
        <w:tc>
          <w:tcPr>
            <w:tcW w:w="850" w:type="dxa"/>
            <w:shd w:val="clear" w:color="auto" w:fill="auto"/>
            <w:vAlign w:val="center"/>
            <w:hideMark/>
          </w:tcPr>
          <w:p w:rsidR="00694437" w:rsidRPr="00695A45" w:rsidRDefault="00694437" w:rsidP="00CE173F">
            <w:pPr>
              <w:keepNext/>
              <w:keepLines/>
              <w:jc w:val="center"/>
              <w:rPr>
                <w:rFonts w:ascii="Arial Narrow" w:hAnsi="Arial Narrow" w:cs="Calibri"/>
                <w:color w:val="000000"/>
                <w:sz w:val="20"/>
                <w:szCs w:val="20"/>
              </w:rPr>
            </w:pPr>
            <w:r w:rsidRPr="00695A45">
              <w:rPr>
                <w:rFonts w:ascii="Arial Narrow" w:hAnsi="Arial Narrow" w:cs="Calibri"/>
                <w:color w:val="000000"/>
                <w:sz w:val="20"/>
                <w:szCs w:val="20"/>
              </w:rPr>
              <w:t>13,219</w:t>
            </w:r>
          </w:p>
        </w:tc>
        <w:tc>
          <w:tcPr>
            <w:tcW w:w="6044" w:type="dxa"/>
            <w:shd w:val="clear" w:color="auto" w:fill="auto"/>
            <w:vAlign w:val="center"/>
          </w:tcPr>
          <w:p w:rsidR="00694437" w:rsidRPr="00695A45" w:rsidRDefault="0069443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AIHW 2014 with around 2% annual growth</w:t>
            </w:r>
          </w:p>
        </w:tc>
      </w:tr>
      <w:tr w:rsidR="00694437" w:rsidRPr="00695A45" w:rsidTr="00E607F3">
        <w:trPr>
          <w:trHeight w:val="20"/>
        </w:trPr>
        <w:tc>
          <w:tcPr>
            <w:tcW w:w="1389" w:type="dxa"/>
            <w:shd w:val="clear" w:color="auto" w:fill="auto"/>
            <w:vAlign w:val="center"/>
            <w:hideMark/>
          </w:tcPr>
          <w:p w:rsidR="00694437" w:rsidRPr="00695A45" w:rsidRDefault="0069443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 of lung cancer that is SCLC </w:t>
            </w:r>
          </w:p>
        </w:tc>
        <w:tc>
          <w:tcPr>
            <w:tcW w:w="733" w:type="dxa"/>
            <w:vAlign w:val="center"/>
          </w:tcPr>
          <w:p w:rsidR="00694437" w:rsidRPr="00695A45" w:rsidRDefault="00694437" w:rsidP="00CE173F">
            <w:pPr>
              <w:keepNext/>
              <w:keepLines/>
              <w:jc w:val="center"/>
              <w:rPr>
                <w:rFonts w:ascii="Arial Narrow" w:hAnsi="Arial Narrow" w:cs="Calibri"/>
                <w:color w:val="000000"/>
                <w:sz w:val="20"/>
                <w:szCs w:val="20"/>
              </w:rPr>
            </w:pPr>
            <w:r w:rsidRPr="00695A45">
              <w:rPr>
                <w:rFonts w:ascii="Arial Narrow" w:hAnsi="Arial Narrow" w:cs="Calibri"/>
                <w:color w:val="000000"/>
                <w:sz w:val="20"/>
                <w:szCs w:val="20"/>
              </w:rPr>
              <w:t>11.</w:t>
            </w:r>
            <w:r w:rsidR="00CE173F" w:rsidRPr="00695A45">
              <w:rPr>
                <w:rFonts w:ascii="Arial Narrow" w:hAnsi="Arial Narrow" w:cs="Calibri"/>
                <w:color w:val="000000"/>
                <w:sz w:val="20"/>
                <w:szCs w:val="20"/>
              </w:rPr>
              <w:t>8</w:t>
            </w:r>
            <w:r w:rsidRPr="00695A45">
              <w:rPr>
                <w:rFonts w:ascii="Arial Narrow" w:hAnsi="Arial Narrow" w:cs="Calibri"/>
                <w:color w:val="000000"/>
                <w:sz w:val="20"/>
                <w:szCs w:val="20"/>
              </w:rPr>
              <w:t>%</w:t>
            </w:r>
          </w:p>
        </w:tc>
        <w:tc>
          <w:tcPr>
            <w:tcW w:w="850" w:type="dxa"/>
            <w:shd w:val="clear" w:color="auto" w:fill="auto"/>
            <w:vAlign w:val="center"/>
            <w:hideMark/>
          </w:tcPr>
          <w:p w:rsidR="00694437" w:rsidRPr="00695A45" w:rsidRDefault="00694437" w:rsidP="00CE173F">
            <w:pPr>
              <w:keepNext/>
              <w:keepLines/>
              <w:jc w:val="center"/>
              <w:rPr>
                <w:rFonts w:ascii="Arial Narrow" w:hAnsi="Arial Narrow" w:cs="Calibri"/>
                <w:color w:val="000000"/>
                <w:sz w:val="20"/>
                <w:szCs w:val="20"/>
              </w:rPr>
            </w:pPr>
            <w:r w:rsidRPr="00695A45">
              <w:rPr>
                <w:rFonts w:ascii="Arial Narrow" w:hAnsi="Arial Narrow" w:cs="Calibri"/>
                <w:color w:val="000000"/>
                <w:sz w:val="20"/>
                <w:szCs w:val="20"/>
              </w:rPr>
              <w:t>1,553</w:t>
            </w:r>
          </w:p>
        </w:tc>
        <w:tc>
          <w:tcPr>
            <w:tcW w:w="6044" w:type="dxa"/>
            <w:shd w:val="clear" w:color="auto" w:fill="auto"/>
            <w:vAlign w:val="center"/>
          </w:tcPr>
          <w:p w:rsidR="00694437" w:rsidRPr="00695A45" w:rsidRDefault="00694437" w:rsidP="00E607F3">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AIHW 2011 report. Assumed </w:t>
            </w:r>
            <w:r w:rsidR="00AE3AA7" w:rsidRPr="00695A45">
              <w:rPr>
                <w:rFonts w:ascii="Arial Narrow" w:hAnsi="Arial Narrow" w:cs="Calibri"/>
                <w:color w:val="000000"/>
                <w:sz w:val="20"/>
                <w:szCs w:val="20"/>
              </w:rPr>
              <w:t xml:space="preserve">a </w:t>
            </w:r>
            <w:r w:rsidRPr="00695A45">
              <w:rPr>
                <w:rFonts w:ascii="Arial Narrow" w:hAnsi="Arial Narrow" w:cs="Calibri"/>
                <w:color w:val="000000"/>
                <w:sz w:val="20"/>
                <w:szCs w:val="20"/>
              </w:rPr>
              <w:t xml:space="preserve">constant </w:t>
            </w:r>
            <w:r w:rsidR="00AE3AA7" w:rsidRPr="00695A45">
              <w:rPr>
                <w:rFonts w:ascii="Arial Narrow" w:hAnsi="Arial Narrow" w:cs="Calibri"/>
                <w:color w:val="000000"/>
                <w:sz w:val="20"/>
                <w:szCs w:val="20"/>
              </w:rPr>
              <w:t xml:space="preserve">proportion </w:t>
            </w:r>
            <w:r w:rsidRPr="00695A45">
              <w:rPr>
                <w:rFonts w:ascii="Arial Narrow" w:hAnsi="Arial Narrow" w:cs="Calibri"/>
                <w:color w:val="000000"/>
                <w:sz w:val="20"/>
                <w:szCs w:val="20"/>
              </w:rPr>
              <w:t>over time</w:t>
            </w:r>
            <w:r w:rsidR="00AE3AA7" w:rsidRPr="00695A45">
              <w:rPr>
                <w:rFonts w:ascii="Arial Narrow" w:hAnsi="Arial Narrow" w:cs="Calibri"/>
                <w:color w:val="000000"/>
                <w:sz w:val="20"/>
                <w:szCs w:val="20"/>
              </w:rPr>
              <w:t xml:space="preserve">. </w:t>
            </w:r>
            <w:r w:rsidR="00CE173F" w:rsidRPr="00695A45">
              <w:rPr>
                <w:rFonts w:ascii="Arial Narrow" w:hAnsi="Arial Narrow" w:cs="Calibri"/>
                <w:color w:val="000000"/>
                <w:sz w:val="20"/>
                <w:szCs w:val="20"/>
              </w:rPr>
              <w:t>While DUSC considered the estimate was reasonable</w:t>
            </w:r>
            <w:r w:rsidR="00AE3AA7" w:rsidRPr="00695A45">
              <w:rPr>
                <w:rFonts w:ascii="Arial Narrow" w:hAnsi="Arial Narrow" w:cs="Calibri"/>
                <w:color w:val="000000"/>
                <w:sz w:val="20"/>
                <w:szCs w:val="20"/>
              </w:rPr>
              <w:t xml:space="preserve">, DUSC </w:t>
            </w:r>
            <w:r w:rsidR="00CE173F" w:rsidRPr="00695A45">
              <w:rPr>
                <w:rFonts w:ascii="Arial Narrow" w:hAnsi="Arial Narrow" w:cs="Calibri"/>
                <w:color w:val="000000"/>
                <w:sz w:val="20"/>
                <w:szCs w:val="20"/>
              </w:rPr>
              <w:t xml:space="preserve">also </w:t>
            </w:r>
            <w:r w:rsidR="00AE3AA7" w:rsidRPr="00695A45">
              <w:rPr>
                <w:rFonts w:ascii="Arial Narrow" w:hAnsi="Arial Narrow" w:cs="Calibri"/>
                <w:color w:val="000000"/>
                <w:sz w:val="20"/>
                <w:szCs w:val="20"/>
              </w:rPr>
              <w:t xml:space="preserve">considered this was an area of uncertainty as SCLC is highly correlated with smoking </w:t>
            </w:r>
            <w:r w:rsidR="00E607F3" w:rsidRPr="00695A45">
              <w:rPr>
                <w:rFonts w:ascii="Arial Narrow" w:hAnsi="Arial Narrow" w:cs="Calibri"/>
                <w:color w:val="000000"/>
                <w:sz w:val="20"/>
                <w:szCs w:val="20"/>
              </w:rPr>
              <w:t>and the rate of smoking</w:t>
            </w:r>
            <w:r w:rsidR="00AE3AA7" w:rsidRPr="00695A45">
              <w:rPr>
                <w:rFonts w:ascii="Arial Narrow" w:hAnsi="Arial Narrow" w:cs="Calibri"/>
                <w:color w:val="000000"/>
                <w:sz w:val="20"/>
                <w:szCs w:val="20"/>
              </w:rPr>
              <w:t xml:space="preserve"> is declin</w:t>
            </w:r>
            <w:r w:rsidR="00817267" w:rsidRPr="00695A45">
              <w:rPr>
                <w:rFonts w:ascii="Arial Narrow" w:hAnsi="Arial Narrow" w:cs="Calibri"/>
                <w:color w:val="000000"/>
                <w:sz w:val="20"/>
                <w:szCs w:val="20"/>
              </w:rPr>
              <w:t>ing</w:t>
            </w:r>
            <w:r w:rsidR="00AE3AA7" w:rsidRPr="00695A45">
              <w:rPr>
                <w:rFonts w:ascii="Arial Narrow" w:hAnsi="Arial Narrow" w:cs="Calibri"/>
                <w:color w:val="000000"/>
                <w:sz w:val="20"/>
                <w:szCs w:val="20"/>
              </w:rPr>
              <w:t>.</w:t>
            </w:r>
          </w:p>
        </w:tc>
      </w:tr>
      <w:tr w:rsidR="00694437" w:rsidRPr="00695A45" w:rsidTr="00CE173F">
        <w:trPr>
          <w:trHeight w:val="20"/>
        </w:trPr>
        <w:tc>
          <w:tcPr>
            <w:tcW w:w="9016" w:type="dxa"/>
            <w:gridSpan w:val="4"/>
            <w:shd w:val="clear" w:color="auto" w:fill="auto"/>
            <w:vAlign w:val="center"/>
          </w:tcPr>
          <w:p w:rsidR="00694437" w:rsidRPr="00695A45" w:rsidRDefault="00694437" w:rsidP="00CE173F">
            <w:pPr>
              <w:keepNext/>
              <w:keepLines/>
              <w:rPr>
                <w:rFonts w:ascii="Arial Narrow" w:hAnsi="Arial Narrow" w:cs="Calibri"/>
                <w:b/>
                <w:color w:val="000000"/>
                <w:sz w:val="20"/>
                <w:szCs w:val="20"/>
              </w:rPr>
            </w:pPr>
            <w:r w:rsidRPr="00695A45">
              <w:rPr>
                <w:rFonts w:ascii="Arial Narrow" w:hAnsi="Arial Narrow" w:cs="Calibri"/>
                <w:b/>
                <w:color w:val="000000"/>
                <w:sz w:val="20"/>
                <w:szCs w:val="20"/>
              </w:rPr>
              <w:t>Incident patients</w:t>
            </w:r>
          </w:p>
        </w:tc>
      </w:tr>
      <w:tr w:rsidR="00694437" w:rsidRPr="00695A45" w:rsidTr="00E607F3">
        <w:trPr>
          <w:trHeight w:val="20"/>
        </w:trPr>
        <w:tc>
          <w:tcPr>
            <w:tcW w:w="1389" w:type="dxa"/>
            <w:shd w:val="clear" w:color="auto" w:fill="auto"/>
            <w:vAlign w:val="center"/>
            <w:hideMark/>
          </w:tcPr>
          <w:p w:rsidR="00694437" w:rsidRPr="00695A45" w:rsidRDefault="00694437" w:rsidP="00CE173F">
            <w:pPr>
              <w:keepNext/>
              <w:keepLines/>
              <w:ind w:left="31"/>
              <w:rPr>
                <w:rFonts w:ascii="Arial Narrow" w:hAnsi="Arial Narrow" w:cs="Calibri"/>
                <w:color w:val="000000"/>
                <w:sz w:val="20"/>
                <w:szCs w:val="20"/>
              </w:rPr>
            </w:pPr>
            <w:r w:rsidRPr="00695A45">
              <w:rPr>
                <w:rFonts w:ascii="Arial Narrow" w:hAnsi="Arial Narrow" w:cs="Calibri"/>
                <w:color w:val="000000"/>
                <w:sz w:val="20"/>
                <w:szCs w:val="20"/>
              </w:rPr>
              <w:t xml:space="preserve">% of SCLC that is ES SCLC </w:t>
            </w:r>
          </w:p>
        </w:tc>
        <w:tc>
          <w:tcPr>
            <w:tcW w:w="733" w:type="dxa"/>
            <w:vAlign w:val="center"/>
          </w:tcPr>
          <w:p w:rsidR="00694437" w:rsidRPr="00695A45" w:rsidRDefault="00694437" w:rsidP="00327AE3">
            <w:pPr>
              <w:keepNext/>
              <w:keepLines/>
              <w:jc w:val="center"/>
              <w:rPr>
                <w:rFonts w:ascii="Arial Narrow" w:hAnsi="Arial Narrow" w:cs="Calibri"/>
                <w:color w:val="000000"/>
                <w:sz w:val="20"/>
                <w:szCs w:val="20"/>
              </w:rPr>
            </w:pPr>
            <w:r w:rsidRPr="00695A45">
              <w:rPr>
                <w:rFonts w:ascii="Arial Narrow" w:hAnsi="Arial Narrow" w:cs="Calibri"/>
                <w:color w:val="000000"/>
                <w:sz w:val="20"/>
                <w:szCs w:val="20"/>
              </w:rPr>
              <w:t>71%</w:t>
            </w:r>
          </w:p>
        </w:tc>
        <w:tc>
          <w:tcPr>
            <w:tcW w:w="850" w:type="dxa"/>
            <w:shd w:val="clear" w:color="auto" w:fill="auto"/>
            <w:vAlign w:val="center"/>
            <w:hideMark/>
          </w:tcPr>
          <w:p w:rsidR="00694437" w:rsidRPr="00695A45" w:rsidRDefault="00694437" w:rsidP="00CE173F">
            <w:pPr>
              <w:keepNext/>
              <w:keepLines/>
              <w:jc w:val="center"/>
              <w:rPr>
                <w:rFonts w:ascii="Arial Narrow" w:hAnsi="Arial Narrow" w:cs="Calibri"/>
                <w:color w:val="000000"/>
                <w:sz w:val="20"/>
                <w:szCs w:val="20"/>
              </w:rPr>
            </w:pPr>
            <w:r w:rsidRPr="00695A45">
              <w:rPr>
                <w:rFonts w:ascii="Arial Narrow" w:hAnsi="Arial Narrow" w:cs="Calibri"/>
                <w:color w:val="000000"/>
                <w:sz w:val="20"/>
                <w:szCs w:val="20"/>
              </w:rPr>
              <w:t>1,108</w:t>
            </w:r>
          </w:p>
        </w:tc>
        <w:tc>
          <w:tcPr>
            <w:tcW w:w="6044" w:type="dxa"/>
            <w:shd w:val="clear" w:color="auto" w:fill="auto"/>
            <w:vAlign w:val="center"/>
          </w:tcPr>
          <w:p w:rsidR="00694437" w:rsidRPr="00695A45" w:rsidRDefault="00AE3AA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Four Australian sources (including the Victorian Cancer Registry)</w:t>
            </w:r>
          </w:p>
        </w:tc>
      </w:tr>
      <w:tr w:rsidR="00694437" w:rsidRPr="00695A45" w:rsidTr="00E607F3">
        <w:trPr>
          <w:trHeight w:val="20"/>
        </w:trPr>
        <w:tc>
          <w:tcPr>
            <w:tcW w:w="1389" w:type="dxa"/>
            <w:shd w:val="clear" w:color="auto" w:fill="auto"/>
            <w:vAlign w:val="center"/>
            <w:hideMark/>
          </w:tcPr>
          <w:p w:rsidR="00694437" w:rsidRPr="00695A45" w:rsidRDefault="00694437" w:rsidP="00523254">
            <w:pPr>
              <w:keepNext/>
              <w:keepLines/>
              <w:ind w:firstLineChars="16" w:firstLine="32"/>
              <w:rPr>
                <w:rFonts w:ascii="Arial Narrow" w:hAnsi="Arial Narrow" w:cs="Calibri"/>
                <w:color w:val="000000"/>
                <w:sz w:val="20"/>
                <w:szCs w:val="20"/>
              </w:rPr>
            </w:pPr>
            <w:r w:rsidRPr="00695A45">
              <w:rPr>
                <w:rFonts w:ascii="Arial Narrow" w:hAnsi="Arial Narrow" w:cs="Calibri"/>
                <w:color w:val="000000"/>
                <w:sz w:val="20"/>
                <w:szCs w:val="20"/>
              </w:rPr>
              <w:t xml:space="preserve">ECOG 0 -1 </w:t>
            </w:r>
          </w:p>
        </w:tc>
        <w:tc>
          <w:tcPr>
            <w:tcW w:w="733" w:type="dxa"/>
            <w:vAlign w:val="center"/>
          </w:tcPr>
          <w:p w:rsidR="00694437" w:rsidRPr="00695A45" w:rsidRDefault="00B905EC" w:rsidP="00CE173F">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94437" w:rsidRPr="00695A45">
              <w:rPr>
                <w:rFonts w:ascii="Arial Narrow" w:hAnsi="Arial Narrow" w:cs="Calibri"/>
                <w:color w:val="000000"/>
                <w:sz w:val="20"/>
                <w:szCs w:val="20"/>
              </w:rPr>
              <w:t>%</w:t>
            </w:r>
          </w:p>
        </w:tc>
        <w:tc>
          <w:tcPr>
            <w:tcW w:w="850" w:type="dxa"/>
            <w:shd w:val="clear" w:color="auto" w:fill="auto"/>
            <w:vAlign w:val="center"/>
            <w:hideMark/>
          </w:tcPr>
          <w:p w:rsidR="00694437" w:rsidRPr="00B905EC" w:rsidRDefault="00B905EC" w:rsidP="00CE173F">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44" w:type="dxa"/>
            <w:shd w:val="clear" w:color="auto" w:fill="auto"/>
            <w:vAlign w:val="center"/>
          </w:tcPr>
          <w:p w:rsidR="00694437" w:rsidRPr="00695A45" w:rsidRDefault="00AE3AA7" w:rsidP="00817267">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Victorian Cancer Registry and Sydney South West Area Health Service, which reported 67% and 57% of SCLC patients had ECOG ≤1 respectively. </w:t>
            </w:r>
            <w:r w:rsidR="00CE173F" w:rsidRPr="00695A45">
              <w:rPr>
                <w:rFonts w:ascii="Arial Narrow" w:hAnsi="Arial Narrow" w:cs="Calibri"/>
                <w:color w:val="000000"/>
                <w:sz w:val="20"/>
                <w:szCs w:val="20"/>
              </w:rPr>
              <w:t xml:space="preserve">While DUSC considered that </w:t>
            </w:r>
            <w:r w:rsidR="00B905EC">
              <w:rPr>
                <w:rFonts w:ascii="Arial Narrow" w:hAnsi="Arial Narrow" w:cs="Calibri"/>
                <w:noProof/>
                <w:color w:val="000000"/>
                <w:sz w:val="20"/>
                <w:szCs w:val="20"/>
                <w:highlight w:val="black"/>
              </w:rPr>
              <w:t>''''''</w:t>
            </w:r>
            <w:r w:rsidR="00CE173F" w:rsidRPr="00695A45">
              <w:rPr>
                <w:rFonts w:ascii="Arial Narrow" w:hAnsi="Arial Narrow" w:cs="Calibri"/>
                <w:color w:val="000000"/>
                <w:sz w:val="20"/>
                <w:szCs w:val="20"/>
              </w:rPr>
              <w:t>% was reasonable</w:t>
            </w:r>
            <w:r w:rsidRPr="00695A45">
              <w:rPr>
                <w:rFonts w:ascii="Arial Narrow" w:hAnsi="Arial Narrow" w:cs="Calibri"/>
                <w:color w:val="000000"/>
                <w:sz w:val="20"/>
                <w:szCs w:val="20"/>
              </w:rPr>
              <w:t xml:space="preserve">, DUSC </w:t>
            </w:r>
            <w:r w:rsidR="00CE173F" w:rsidRPr="00695A45">
              <w:rPr>
                <w:rFonts w:ascii="Arial Narrow" w:hAnsi="Arial Narrow" w:cs="Calibri"/>
                <w:color w:val="000000"/>
                <w:sz w:val="20"/>
                <w:szCs w:val="20"/>
              </w:rPr>
              <w:t xml:space="preserve">also </w:t>
            </w:r>
            <w:r w:rsidRPr="00695A45">
              <w:rPr>
                <w:rFonts w:ascii="Arial Narrow" w:hAnsi="Arial Narrow" w:cs="Calibri"/>
                <w:color w:val="000000"/>
                <w:sz w:val="20"/>
                <w:szCs w:val="20"/>
              </w:rPr>
              <w:t>considered this was an area of uncertainty as the submission use</w:t>
            </w:r>
            <w:r w:rsidR="00CE173F" w:rsidRPr="00695A45">
              <w:rPr>
                <w:rFonts w:ascii="Arial Narrow" w:hAnsi="Arial Narrow" w:cs="Calibri"/>
                <w:color w:val="000000"/>
                <w:sz w:val="20"/>
                <w:szCs w:val="20"/>
              </w:rPr>
              <w:t>d</w:t>
            </w:r>
            <w:r w:rsidRPr="00695A45">
              <w:rPr>
                <w:rFonts w:ascii="Arial Narrow" w:hAnsi="Arial Narrow" w:cs="Calibri"/>
                <w:color w:val="000000"/>
                <w:sz w:val="20"/>
                <w:szCs w:val="20"/>
              </w:rPr>
              <w:t xml:space="preserve"> </w:t>
            </w:r>
            <w:r w:rsidRPr="000B1112">
              <w:rPr>
                <w:rFonts w:ascii="Arial Narrow" w:hAnsi="Arial Narrow" w:cs="Calibri"/>
                <w:color w:val="000000"/>
                <w:sz w:val="20"/>
                <w:szCs w:val="20"/>
              </w:rPr>
              <w:t xml:space="preserve">the </w:t>
            </w:r>
            <w:r w:rsidR="00B905EC">
              <w:rPr>
                <w:rFonts w:ascii="Arial Narrow" w:hAnsi="Arial Narrow" w:cs="Calibri"/>
                <w:noProof/>
                <w:color w:val="000000"/>
                <w:sz w:val="20"/>
                <w:szCs w:val="20"/>
                <w:highlight w:val="black"/>
              </w:rPr>
              <w:t>''''''''''''''</w:t>
            </w:r>
            <w:r w:rsidRPr="000B1112">
              <w:rPr>
                <w:rFonts w:ascii="Arial Narrow" w:hAnsi="Arial Narrow" w:cs="Calibri"/>
                <w:color w:val="000000"/>
                <w:sz w:val="20"/>
                <w:szCs w:val="20"/>
              </w:rPr>
              <w:t xml:space="preserve"> estimate</w:t>
            </w:r>
            <w:r w:rsidR="00817267" w:rsidRPr="00695A45">
              <w:rPr>
                <w:rFonts w:ascii="Arial Narrow" w:hAnsi="Arial Narrow" w:cs="Calibri"/>
                <w:color w:val="000000"/>
                <w:sz w:val="20"/>
                <w:szCs w:val="20"/>
              </w:rPr>
              <w:t>.</w:t>
            </w:r>
            <w:r w:rsidR="00CE173F" w:rsidRPr="00695A45">
              <w:rPr>
                <w:rFonts w:ascii="Arial Narrow" w:hAnsi="Arial Narrow" w:cs="Calibri"/>
                <w:color w:val="000000"/>
                <w:sz w:val="20"/>
                <w:szCs w:val="20"/>
              </w:rPr>
              <w:t xml:space="preserve"> </w:t>
            </w:r>
          </w:p>
        </w:tc>
      </w:tr>
      <w:tr w:rsidR="00694437" w:rsidRPr="00695A45" w:rsidTr="00E607F3">
        <w:trPr>
          <w:trHeight w:val="20"/>
        </w:trPr>
        <w:tc>
          <w:tcPr>
            <w:tcW w:w="1389" w:type="dxa"/>
            <w:shd w:val="clear" w:color="auto" w:fill="auto"/>
            <w:vAlign w:val="center"/>
            <w:hideMark/>
          </w:tcPr>
          <w:p w:rsidR="00694437" w:rsidRPr="00695A45" w:rsidRDefault="00523254" w:rsidP="00523254">
            <w:pPr>
              <w:keepNext/>
              <w:keepLines/>
              <w:tabs>
                <w:tab w:val="left" w:pos="174"/>
              </w:tabs>
              <w:ind w:left="1" w:firstLineChars="15" w:firstLine="30"/>
              <w:rPr>
                <w:rFonts w:ascii="Arial Narrow" w:hAnsi="Arial Narrow" w:cs="Calibri"/>
                <w:iCs/>
                <w:color w:val="000000"/>
                <w:sz w:val="20"/>
                <w:szCs w:val="20"/>
                <w:vertAlign w:val="superscript"/>
              </w:rPr>
            </w:pPr>
            <w:r w:rsidRPr="00695A45">
              <w:rPr>
                <w:rFonts w:ascii="Arial Narrow" w:hAnsi="Arial Narrow" w:cs="Calibri"/>
                <w:iCs/>
                <w:color w:val="000000"/>
                <w:sz w:val="20"/>
                <w:szCs w:val="20"/>
              </w:rPr>
              <w:t>% treated</w:t>
            </w:r>
          </w:p>
        </w:tc>
        <w:tc>
          <w:tcPr>
            <w:tcW w:w="733" w:type="dxa"/>
            <w:vAlign w:val="center"/>
          </w:tcPr>
          <w:p w:rsidR="00694437" w:rsidRPr="00695A45" w:rsidRDefault="00B905EC" w:rsidP="00CE173F">
            <w:pPr>
              <w:keepNext/>
              <w:keepLines/>
              <w:jc w:val="center"/>
              <w:rPr>
                <w:rFonts w:ascii="Arial Narrow" w:hAnsi="Arial Narrow" w:cs="Calibri"/>
                <w:iCs/>
                <w:color w:val="000000"/>
                <w:sz w:val="20"/>
                <w:szCs w:val="20"/>
              </w:rPr>
            </w:pPr>
            <w:r>
              <w:rPr>
                <w:rFonts w:ascii="Arial Narrow" w:hAnsi="Arial Narrow" w:cs="Calibri"/>
                <w:iCs/>
                <w:noProof/>
                <w:color w:val="000000"/>
                <w:sz w:val="20"/>
                <w:szCs w:val="20"/>
                <w:highlight w:val="black"/>
              </w:rPr>
              <w:t>'''''</w:t>
            </w:r>
            <w:r w:rsidR="00694437" w:rsidRPr="00695A45">
              <w:rPr>
                <w:rFonts w:ascii="Arial Narrow" w:hAnsi="Arial Narrow" w:cs="Calibri"/>
                <w:iCs/>
                <w:color w:val="000000"/>
                <w:sz w:val="20"/>
                <w:szCs w:val="20"/>
              </w:rPr>
              <w:t>%</w:t>
            </w:r>
          </w:p>
        </w:tc>
        <w:tc>
          <w:tcPr>
            <w:tcW w:w="850" w:type="dxa"/>
            <w:shd w:val="clear" w:color="auto" w:fill="auto"/>
            <w:noWrap/>
            <w:vAlign w:val="center"/>
            <w:hideMark/>
          </w:tcPr>
          <w:p w:rsidR="00694437" w:rsidRPr="00B905EC" w:rsidRDefault="00B905EC" w:rsidP="00CE173F">
            <w:pPr>
              <w:keepNext/>
              <w:keepLines/>
              <w:jc w:val="center"/>
              <w:rPr>
                <w:rFonts w:ascii="Arial Narrow" w:hAnsi="Arial Narrow" w:cs="Calibri"/>
                <w:b/>
                <w:iCs/>
                <w:color w:val="000000"/>
                <w:sz w:val="20"/>
                <w:szCs w:val="20"/>
                <w:highlight w:val="black"/>
              </w:rPr>
            </w:pPr>
            <w:r>
              <w:rPr>
                <w:rFonts w:ascii="Arial Narrow" w:hAnsi="Arial Narrow" w:cs="Calibri"/>
                <w:b/>
                <w:iCs/>
                <w:noProof/>
                <w:color w:val="000000"/>
                <w:sz w:val="20"/>
                <w:szCs w:val="20"/>
                <w:highlight w:val="black"/>
              </w:rPr>
              <w:t>'''''''</w:t>
            </w:r>
          </w:p>
        </w:tc>
        <w:tc>
          <w:tcPr>
            <w:tcW w:w="6044" w:type="dxa"/>
            <w:shd w:val="clear" w:color="auto" w:fill="auto"/>
            <w:noWrap/>
            <w:vAlign w:val="center"/>
          </w:tcPr>
          <w:p w:rsidR="00694437" w:rsidRPr="00695A45" w:rsidRDefault="00AE3AA7" w:rsidP="00523254">
            <w:pPr>
              <w:keepNext/>
              <w:keepLines/>
              <w:rPr>
                <w:rFonts w:ascii="Arial Narrow" w:hAnsi="Arial Narrow" w:cs="Calibri"/>
                <w:b/>
                <w:iCs/>
                <w:color w:val="000000"/>
                <w:sz w:val="20"/>
                <w:szCs w:val="20"/>
              </w:rPr>
            </w:pPr>
            <w:r w:rsidRPr="00695A45">
              <w:rPr>
                <w:rFonts w:ascii="Arial Narrow" w:hAnsi="Arial Narrow" w:cs="Calibri"/>
                <w:color w:val="000000"/>
                <w:sz w:val="20"/>
                <w:szCs w:val="20"/>
              </w:rPr>
              <w:t xml:space="preserve">Changed from 100% in the original submission </w:t>
            </w:r>
            <w:r w:rsidR="00523254" w:rsidRPr="00695A45">
              <w:rPr>
                <w:rFonts w:ascii="Arial Narrow" w:hAnsi="Arial Narrow" w:cs="Calibri"/>
                <w:color w:val="000000"/>
                <w:sz w:val="20"/>
                <w:szCs w:val="20"/>
              </w:rPr>
              <w:t>based on</w:t>
            </w:r>
            <w:r w:rsidRPr="00695A45">
              <w:rPr>
                <w:rFonts w:ascii="Arial Narrow" w:hAnsi="Arial Narrow" w:cs="Calibri"/>
                <w:color w:val="000000"/>
                <w:sz w:val="20"/>
                <w:szCs w:val="20"/>
              </w:rPr>
              <w:t xml:space="preserve"> DUSC advice</w:t>
            </w:r>
          </w:p>
        </w:tc>
      </w:tr>
      <w:tr w:rsidR="00694437" w:rsidRPr="00695A45" w:rsidTr="00CE173F">
        <w:trPr>
          <w:trHeight w:val="20"/>
        </w:trPr>
        <w:tc>
          <w:tcPr>
            <w:tcW w:w="9016" w:type="dxa"/>
            <w:gridSpan w:val="4"/>
            <w:shd w:val="clear" w:color="auto" w:fill="auto"/>
            <w:vAlign w:val="center"/>
          </w:tcPr>
          <w:p w:rsidR="00694437" w:rsidRPr="00695A45" w:rsidRDefault="00694437" w:rsidP="00CE173F">
            <w:pPr>
              <w:keepNext/>
              <w:keepLines/>
              <w:rPr>
                <w:rFonts w:ascii="Arial Narrow" w:hAnsi="Arial Narrow" w:cs="Calibri"/>
                <w:b/>
                <w:iCs/>
                <w:color w:val="000000"/>
                <w:sz w:val="20"/>
                <w:szCs w:val="20"/>
              </w:rPr>
            </w:pPr>
            <w:r w:rsidRPr="00695A45">
              <w:rPr>
                <w:rFonts w:ascii="Arial Narrow" w:hAnsi="Arial Narrow" w:cs="Calibri"/>
                <w:b/>
                <w:color w:val="000000"/>
                <w:sz w:val="20"/>
                <w:szCs w:val="20"/>
              </w:rPr>
              <w:t>Prevalent patients</w:t>
            </w:r>
          </w:p>
        </w:tc>
      </w:tr>
      <w:tr w:rsidR="00694437" w:rsidRPr="00695A45" w:rsidTr="00E607F3">
        <w:trPr>
          <w:trHeight w:val="20"/>
        </w:trPr>
        <w:tc>
          <w:tcPr>
            <w:tcW w:w="1389" w:type="dxa"/>
            <w:shd w:val="clear" w:color="auto" w:fill="auto"/>
            <w:vAlign w:val="center"/>
          </w:tcPr>
          <w:p w:rsidR="00694437" w:rsidRPr="00695A45" w:rsidRDefault="00694437" w:rsidP="00CE173F">
            <w:pPr>
              <w:keepNext/>
              <w:keepLines/>
              <w:ind w:left="31"/>
              <w:rPr>
                <w:rFonts w:ascii="Arial Narrow" w:hAnsi="Arial Narrow" w:cs="Calibri"/>
                <w:color w:val="000000"/>
                <w:sz w:val="20"/>
                <w:szCs w:val="20"/>
              </w:rPr>
            </w:pPr>
            <w:r w:rsidRPr="00695A45">
              <w:rPr>
                <w:rFonts w:ascii="Arial Narrow" w:hAnsi="Arial Narrow" w:cs="Calibri"/>
                <w:color w:val="000000"/>
                <w:sz w:val="20"/>
                <w:szCs w:val="20"/>
              </w:rPr>
              <w:t>% of SCLC that is LS SCLC</w:t>
            </w:r>
          </w:p>
        </w:tc>
        <w:tc>
          <w:tcPr>
            <w:tcW w:w="733" w:type="dxa"/>
            <w:vAlign w:val="center"/>
          </w:tcPr>
          <w:p w:rsidR="00694437" w:rsidRPr="00695A45" w:rsidRDefault="00B905EC" w:rsidP="00CE173F">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94437" w:rsidRPr="00695A45">
              <w:rPr>
                <w:rFonts w:ascii="Arial Narrow" w:hAnsi="Arial Narrow" w:cs="Calibri"/>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437" w:rsidRPr="00B905EC" w:rsidRDefault="00B905EC" w:rsidP="00CE173F">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44" w:type="dxa"/>
            <w:tcBorders>
              <w:top w:val="single" w:sz="4" w:space="0" w:color="auto"/>
              <w:left w:val="nil"/>
              <w:bottom w:val="single" w:sz="4" w:space="0" w:color="auto"/>
              <w:right w:val="single" w:sz="4" w:space="0" w:color="auto"/>
            </w:tcBorders>
            <w:shd w:val="clear" w:color="auto" w:fill="FFFFFF" w:themeFill="background1"/>
            <w:vAlign w:val="center"/>
          </w:tcPr>
          <w:p w:rsidR="00694437" w:rsidRPr="00695A45" w:rsidRDefault="00AE3AA7"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(Inverse of ‘% of SCLC that is ES SCLC’ above)</w:t>
            </w:r>
          </w:p>
        </w:tc>
      </w:tr>
      <w:tr w:rsidR="00694437" w:rsidRPr="00695A45" w:rsidTr="00E607F3">
        <w:trPr>
          <w:trHeight w:val="20"/>
        </w:trPr>
        <w:tc>
          <w:tcPr>
            <w:tcW w:w="1389" w:type="dxa"/>
            <w:shd w:val="clear" w:color="auto" w:fill="auto"/>
            <w:vAlign w:val="center"/>
            <w:hideMark/>
          </w:tcPr>
          <w:p w:rsidR="00694437" w:rsidRPr="00695A45" w:rsidRDefault="00523254" w:rsidP="00CE173F">
            <w:pPr>
              <w:keepNext/>
              <w:keepLines/>
              <w:ind w:left="31"/>
              <w:rPr>
                <w:rFonts w:ascii="Arial Narrow" w:hAnsi="Arial Narrow" w:cs="Calibri"/>
                <w:color w:val="000000"/>
                <w:sz w:val="20"/>
                <w:szCs w:val="20"/>
              </w:rPr>
            </w:pPr>
            <w:r w:rsidRPr="00695A45">
              <w:rPr>
                <w:rFonts w:ascii="Arial Narrow" w:hAnsi="Arial Narrow" w:cs="Calibri"/>
                <w:color w:val="000000"/>
                <w:sz w:val="20"/>
                <w:szCs w:val="20"/>
              </w:rPr>
              <w:t>%</w:t>
            </w:r>
            <w:r w:rsidR="00694437" w:rsidRPr="00695A45">
              <w:rPr>
                <w:rFonts w:ascii="Arial Narrow" w:hAnsi="Arial Narrow" w:cs="Calibri"/>
                <w:color w:val="000000"/>
                <w:sz w:val="20"/>
                <w:szCs w:val="20"/>
              </w:rPr>
              <w:t xml:space="preserve"> developing into ES SCLC  </w:t>
            </w:r>
          </w:p>
        </w:tc>
        <w:tc>
          <w:tcPr>
            <w:tcW w:w="733" w:type="dxa"/>
            <w:vAlign w:val="center"/>
          </w:tcPr>
          <w:p w:rsidR="00694437" w:rsidRPr="00695A45" w:rsidRDefault="00B905EC" w:rsidP="00CE173F">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94437" w:rsidRPr="00695A45">
              <w:rPr>
                <w:rFonts w:ascii="Arial Narrow" w:hAnsi="Arial Narrow" w:cs="Calibri"/>
                <w:color w:val="000000"/>
                <w:sz w:val="20"/>
                <w:szCs w:val="20"/>
              </w:rPr>
              <w:t>%</w:t>
            </w:r>
          </w:p>
        </w:tc>
        <w:tc>
          <w:tcPr>
            <w:tcW w:w="850" w:type="dxa"/>
            <w:shd w:val="clear" w:color="auto" w:fill="auto"/>
            <w:vAlign w:val="center"/>
            <w:hideMark/>
          </w:tcPr>
          <w:p w:rsidR="00694437" w:rsidRPr="00B905EC" w:rsidRDefault="00B905EC" w:rsidP="00CE173F">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44" w:type="dxa"/>
            <w:shd w:val="clear" w:color="auto" w:fill="auto"/>
            <w:vAlign w:val="bottom"/>
          </w:tcPr>
          <w:p w:rsidR="00694437" w:rsidRPr="00695A45" w:rsidRDefault="00CE173F" w:rsidP="00CE173F">
            <w:pPr>
              <w:keepNext/>
              <w:keepLines/>
              <w:rPr>
                <w:rFonts w:ascii="Arial Narrow" w:hAnsi="Arial Narrow" w:cs="Calibri"/>
                <w:color w:val="000000"/>
                <w:sz w:val="20"/>
                <w:szCs w:val="20"/>
              </w:rPr>
            </w:pPr>
            <w:r w:rsidRPr="00695A45">
              <w:rPr>
                <w:rFonts w:ascii="Arial Narrow" w:hAnsi="Arial Narrow" w:cs="Calibri"/>
                <w:color w:val="000000"/>
                <w:sz w:val="20"/>
                <w:szCs w:val="20"/>
              </w:rPr>
              <w:t>-</w:t>
            </w:r>
          </w:p>
        </w:tc>
      </w:tr>
      <w:tr w:rsidR="00694437" w:rsidRPr="00695A45" w:rsidTr="00E607F3">
        <w:trPr>
          <w:trHeight w:val="20"/>
        </w:trPr>
        <w:tc>
          <w:tcPr>
            <w:tcW w:w="1389" w:type="dxa"/>
            <w:shd w:val="clear" w:color="auto" w:fill="auto"/>
            <w:vAlign w:val="center"/>
            <w:hideMark/>
          </w:tcPr>
          <w:p w:rsidR="00694437" w:rsidRPr="00695A45" w:rsidRDefault="00694437" w:rsidP="00523254">
            <w:pPr>
              <w:keepNext/>
              <w:keepLines/>
              <w:ind w:firstLineChars="16" w:firstLine="32"/>
              <w:rPr>
                <w:rFonts w:ascii="Arial Narrow" w:hAnsi="Arial Narrow" w:cs="Calibri"/>
                <w:color w:val="000000"/>
                <w:sz w:val="20"/>
                <w:szCs w:val="20"/>
              </w:rPr>
            </w:pPr>
            <w:r w:rsidRPr="00695A45">
              <w:rPr>
                <w:rFonts w:ascii="Arial Narrow" w:hAnsi="Arial Narrow" w:cs="Calibri"/>
                <w:color w:val="000000"/>
                <w:sz w:val="20"/>
                <w:szCs w:val="20"/>
              </w:rPr>
              <w:t>ECOG 0-1</w:t>
            </w:r>
          </w:p>
        </w:tc>
        <w:tc>
          <w:tcPr>
            <w:tcW w:w="733" w:type="dxa"/>
            <w:vAlign w:val="center"/>
          </w:tcPr>
          <w:p w:rsidR="00694437" w:rsidRPr="00695A45" w:rsidRDefault="00B905EC" w:rsidP="00CE173F">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94437" w:rsidRPr="00695A45">
              <w:rPr>
                <w:rFonts w:ascii="Arial Narrow" w:hAnsi="Arial Narrow" w:cs="Calibri"/>
                <w:color w:val="000000"/>
                <w:sz w:val="20"/>
                <w:szCs w:val="20"/>
              </w:rPr>
              <w:t>%</w:t>
            </w:r>
          </w:p>
        </w:tc>
        <w:tc>
          <w:tcPr>
            <w:tcW w:w="850" w:type="dxa"/>
            <w:shd w:val="clear" w:color="auto" w:fill="auto"/>
            <w:vAlign w:val="center"/>
            <w:hideMark/>
          </w:tcPr>
          <w:p w:rsidR="00694437" w:rsidRPr="00B905EC" w:rsidRDefault="00B905EC" w:rsidP="00CE173F">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44" w:type="dxa"/>
            <w:shd w:val="clear" w:color="auto" w:fill="auto"/>
            <w:vAlign w:val="bottom"/>
          </w:tcPr>
          <w:p w:rsidR="00694437" w:rsidRPr="00695A45" w:rsidRDefault="00AE3AA7" w:rsidP="00523254">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Changed from 100% in the original submission </w:t>
            </w:r>
            <w:r w:rsidR="00523254" w:rsidRPr="00695A45">
              <w:rPr>
                <w:rFonts w:ascii="Arial Narrow" w:hAnsi="Arial Narrow" w:cs="Calibri"/>
                <w:color w:val="000000"/>
                <w:sz w:val="20"/>
                <w:szCs w:val="20"/>
              </w:rPr>
              <w:t>based on</w:t>
            </w:r>
            <w:r w:rsidRPr="00695A45">
              <w:rPr>
                <w:rFonts w:ascii="Arial Narrow" w:hAnsi="Arial Narrow" w:cs="Calibri"/>
                <w:color w:val="000000"/>
                <w:sz w:val="20"/>
                <w:szCs w:val="20"/>
              </w:rPr>
              <w:t xml:space="preserve"> DUSC advice</w:t>
            </w:r>
          </w:p>
        </w:tc>
      </w:tr>
      <w:tr w:rsidR="00694437" w:rsidRPr="00695A45" w:rsidTr="00E607F3">
        <w:trPr>
          <w:trHeight w:val="20"/>
        </w:trPr>
        <w:tc>
          <w:tcPr>
            <w:tcW w:w="1389" w:type="dxa"/>
            <w:shd w:val="clear" w:color="auto" w:fill="auto"/>
            <w:vAlign w:val="center"/>
            <w:hideMark/>
          </w:tcPr>
          <w:p w:rsidR="00694437" w:rsidRPr="00695A45" w:rsidRDefault="00523254" w:rsidP="00523254">
            <w:pPr>
              <w:keepNext/>
              <w:keepLines/>
              <w:ind w:left="314" w:hanging="282"/>
              <w:rPr>
                <w:rFonts w:ascii="Arial Narrow" w:hAnsi="Arial Narrow" w:cs="Calibri"/>
                <w:iCs/>
                <w:color w:val="000000"/>
                <w:sz w:val="20"/>
                <w:szCs w:val="20"/>
              </w:rPr>
            </w:pPr>
            <w:r w:rsidRPr="00695A45">
              <w:rPr>
                <w:rFonts w:ascii="Arial Narrow" w:hAnsi="Arial Narrow" w:cs="Calibri"/>
                <w:iCs/>
                <w:color w:val="000000"/>
                <w:sz w:val="20"/>
                <w:szCs w:val="20"/>
              </w:rPr>
              <w:t>% treated</w:t>
            </w:r>
          </w:p>
        </w:tc>
        <w:tc>
          <w:tcPr>
            <w:tcW w:w="733" w:type="dxa"/>
            <w:vAlign w:val="center"/>
          </w:tcPr>
          <w:p w:rsidR="00694437" w:rsidRPr="00695A45" w:rsidRDefault="00B905EC" w:rsidP="00CE173F">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694437" w:rsidRPr="00695A45">
              <w:rPr>
                <w:rFonts w:ascii="Arial Narrow" w:hAnsi="Arial Narrow" w:cs="Calibri"/>
                <w:color w:val="000000"/>
                <w:sz w:val="20"/>
                <w:szCs w:val="20"/>
              </w:rPr>
              <w:t>%</w:t>
            </w:r>
          </w:p>
        </w:tc>
        <w:tc>
          <w:tcPr>
            <w:tcW w:w="850" w:type="dxa"/>
            <w:shd w:val="clear" w:color="auto" w:fill="auto"/>
            <w:noWrap/>
            <w:vAlign w:val="center"/>
            <w:hideMark/>
          </w:tcPr>
          <w:p w:rsidR="00694437" w:rsidRPr="00B905EC" w:rsidRDefault="00B905EC" w:rsidP="00CE173F">
            <w:pPr>
              <w:keepNext/>
              <w:keepLines/>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044" w:type="dxa"/>
            <w:shd w:val="clear" w:color="auto" w:fill="auto"/>
            <w:noWrap/>
            <w:vAlign w:val="bottom"/>
          </w:tcPr>
          <w:p w:rsidR="00694437" w:rsidRPr="00695A45" w:rsidRDefault="00AE3AA7" w:rsidP="00523254">
            <w:pPr>
              <w:keepNext/>
              <w:keepLines/>
              <w:rPr>
                <w:rFonts w:ascii="Arial Narrow" w:hAnsi="Arial Narrow" w:cs="Calibri"/>
                <w:color w:val="000000"/>
                <w:sz w:val="20"/>
                <w:szCs w:val="20"/>
              </w:rPr>
            </w:pPr>
            <w:r w:rsidRPr="00695A45">
              <w:rPr>
                <w:rFonts w:ascii="Arial Narrow" w:hAnsi="Arial Narrow" w:cs="Calibri"/>
                <w:color w:val="000000"/>
                <w:sz w:val="20"/>
                <w:szCs w:val="20"/>
              </w:rPr>
              <w:t xml:space="preserve">Changed from 100% in the original submission </w:t>
            </w:r>
            <w:r w:rsidR="00523254" w:rsidRPr="00695A45">
              <w:rPr>
                <w:rFonts w:ascii="Arial Narrow" w:hAnsi="Arial Narrow" w:cs="Calibri"/>
                <w:color w:val="000000"/>
                <w:sz w:val="20"/>
                <w:szCs w:val="20"/>
              </w:rPr>
              <w:t>based on</w:t>
            </w:r>
            <w:r w:rsidRPr="00695A45">
              <w:rPr>
                <w:rFonts w:ascii="Arial Narrow" w:hAnsi="Arial Narrow" w:cs="Calibri"/>
                <w:color w:val="000000"/>
                <w:sz w:val="20"/>
                <w:szCs w:val="20"/>
              </w:rPr>
              <w:t xml:space="preserve"> DUSC advice</w:t>
            </w:r>
          </w:p>
        </w:tc>
      </w:tr>
      <w:tr w:rsidR="00694437" w:rsidRPr="00695A45" w:rsidTr="00E607F3">
        <w:trPr>
          <w:trHeight w:val="20"/>
        </w:trPr>
        <w:tc>
          <w:tcPr>
            <w:tcW w:w="1389" w:type="dxa"/>
            <w:shd w:val="clear" w:color="auto" w:fill="auto"/>
            <w:vAlign w:val="center"/>
            <w:hideMark/>
          </w:tcPr>
          <w:p w:rsidR="00694437" w:rsidRPr="00695A45" w:rsidRDefault="00694437" w:rsidP="00CE173F">
            <w:pPr>
              <w:keepNext/>
              <w:keepLines/>
              <w:rPr>
                <w:rFonts w:ascii="Arial Narrow" w:hAnsi="Arial Narrow" w:cs="Calibri"/>
                <w:color w:val="000000"/>
                <w:sz w:val="20"/>
                <w:szCs w:val="20"/>
                <w:vertAlign w:val="superscript"/>
              </w:rPr>
            </w:pPr>
            <w:r w:rsidRPr="00695A45">
              <w:rPr>
                <w:rFonts w:ascii="Arial Narrow" w:hAnsi="Arial Narrow" w:cs="Calibri"/>
                <w:color w:val="000000"/>
                <w:sz w:val="20"/>
                <w:szCs w:val="20"/>
              </w:rPr>
              <w:t>Grandfathered patients</w:t>
            </w:r>
          </w:p>
        </w:tc>
        <w:tc>
          <w:tcPr>
            <w:tcW w:w="733" w:type="dxa"/>
            <w:vAlign w:val="center"/>
          </w:tcPr>
          <w:p w:rsidR="00694437" w:rsidRPr="00695A45" w:rsidRDefault="00694437" w:rsidP="00CE173F">
            <w:pPr>
              <w:keepNext/>
              <w:keepLines/>
              <w:jc w:val="center"/>
              <w:rPr>
                <w:rFonts w:ascii="Arial Narrow" w:hAnsi="Arial Narrow" w:cs="Calibri"/>
                <w:color w:val="000000"/>
                <w:sz w:val="20"/>
                <w:szCs w:val="20"/>
              </w:rPr>
            </w:pPr>
          </w:p>
        </w:tc>
        <w:tc>
          <w:tcPr>
            <w:tcW w:w="850" w:type="dxa"/>
            <w:shd w:val="clear" w:color="auto" w:fill="auto"/>
            <w:vAlign w:val="center"/>
            <w:hideMark/>
          </w:tcPr>
          <w:p w:rsidR="00694437" w:rsidRPr="00B905EC" w:rsidRDefault="00B905EC" w:rsidP="00CE173F">
            <w:pPr>
              <w:keepNext/>
              <w:keepLines/>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044" w:type="dxa"/>
            <w:shd w:val="clear" w:color="auto" w:fill="auto"/>
            <w:vAlign w:val="bottom"/>
          </w:tcPr>
          <w:p w:rsidR="00694437" w:rsidRPr="00695A45" w:rsidRDefault="00694437" w:rsidP="00CE173F">
            <w:pPr>
              <w:keepNext/>
              <w:keepLines/>
              <w:rPr>
                <w:rFonts w:ascii="Arial Narrow" w:hAnsi="Arial Narrow" w:cs="Calibri"/>
                <w:color w:val="000000"/>
                <w:sz w:val="20"/>
                <w:szCs w:val="20"/>
              </w:rPr>
            </w:pPr>
          </w:p>
        </w:tc>
      </w:tr>
      <w:tr w:rsidR="00694437" w:rsidRPr="00695A45" w:rsidTr="00E607F3">
        <w:trPr>
          <w:trHeight w:val="20"/>
        </w:trPr>
        <w:tc>
          <w:tcPr>
            <w:tcW w:w="1389" w:type="dxa"/>
            <w:shd w:val="clear" w:color="auto" w:fill="auto"/>
            <w:vAlign w:val="center"/>
            <w:hideMark/>
          </w:tcPr>
          <w:p w:rsidR="00694437" w:rsidRPr="00695A45" w:rsidRDefault="002937BB" w:rsidP="002937BB">
            <w:pPr>
              <w:keepNext/>
              <w:keepLines/>
              <w:rPr>
                <w:rFonts w:ascii="Arial Narrow" w:hAnsi="Arial Narrow" w:cs="Calibri"/>
                <w:b/>
                <w:bCs/>
                <w:color w:val="000000"/>
                <w:sz w:val="20"/>
                <w:szCs w:val="20"/>
              </w:rPr>
            </w:pPr>
            <w:r w:rsidRPr="00695A45">
              <w:rPr>
                <w:rFonts w:ascii="Arial Narrow" w:hAnsi="Arial Narrow" w:cs="Calibri"/>
                <w:b/>
                <w:bCs/>
                <w:color w:val="000000"/>
                <w:sz w:val="20"/>
                <w:szCs w:val="20"/>
              </w:rPr>
              <w:t xml:space="preserve">Total </w:t>
            </w:r>
            <w:r w:rsidR="00694437" w:rsidRPr="00695A45">
              <w:rPr>
                <w:rFonts w:ascii="Arial Narrow" w:hAnsi="Arial Narrow" w:cs="Calibri"/>
                <w:b/>
                <w:bCs/>
                <w:color w:val="000000"/>
                <w:sz w:val="20"/>
                <w:szCs w:val="20"/>
              </w:rPr>
              <w:t>patients</w:t>
            </w:r>
          </w:p>
        </w:tc>
        <w:tc>
          <w:tcPr>
            <w:tcW w:w="733" w:type="dxa"/>
            <w:vAlign w:val="center"/>
          </w:tcPr>
          <w:p w:rsidR="00694437" w:rsidRPr="00695A45" w:rsidRDefault="00694437" w:rsidP="00CE173F">
            <w:pPr>
              <w:keepNext/>
              <w:keepLines/>
              <w:jc w:val="center"/>
              <w:rPr>
                <w:rFonts w:ascii="Arial Narrow" w:hAnsi="Arial Narrow" w:cs="Calibri"/>
                <w:b/>
                <w:bCs/>
                <w:iCs/>
                <w:color w:val="000000"/>
                <w:sz w:val="20"/>
                <w:szCs w:val="20"/>
              </w:rPr>
            </w:pPr>
          </w:p>
        </w:tc>
        <w:tc>
          <w:tcPr>
            <w:tcW w:w="850" w:type="dxa"/>
            <w:shd w:val="clear" w:color="auto" w:fill="auto"/>
            <w:vAlign w:val="center"/>
            <w:hideMark/>
          </w:tcPr>
          <w:p w:rsidR="00694437" w:rsidRPr="00B905EC" w:rsidRDefault="00B905EC" w:rsidP="00CE173F">
            <w:pPr>
              <w:keepNext/>
              <w:keepLines/>
              <w:jc w:val="center"/>
              <w:rPr>
                <w:rFonts w:ascii="Arial Narrow" w:hAnsi="Arial Narrow" w:cs="Calibri"/>
                <w:b/>
                <w:bCs/>
                <w:iCs/>
                <w:color w:val="000000"/>
                <w:sz w:val="20"/>
                <w:szCs w:val="20"/>
                <w:highlight w:val="black"/>
              </w:rPr>
            </w:pPr>
            <w:r>
              <w:rPr>
                <w:rFonts w:ascii="Arial Narrow" w:hAnsi="Arial Narrow" w:cs="Calibri"/>
                <w:b/>
                <w:bCs/>
                <w:iCs/>
                <w:noProof/>
                <w:color w:val="000000"/>
                <w:sz w:val="20"/>
                <w:szCs w:val="20"/>
                <w:highlight w:val="black"/>
              </w:rPr>
              <w:t>''''''''''</w:t>
            </w:r>
          </w:p>
        </w:tc>
        <w:tc>
          <w:tcPr>
            <w:tcW w:w="6044" w:type="dxa"/>
            <w:shd w:val="clear" w:color="auto" w:fill="auto"/>
            <w:vAlign w:val="bottom"/>
          </w:tcPr>
          <w:p w:rsidR="00694437" w:rsidRPr="00695A45" w:rsidRDefault="00694437" w:rsidP="00CE173F">
            <w:pPr>
              <w:keepNext/>
              <w:keepLines/>
              <w:rPr>
                <w:rFonts w:ascii="Arial Narrow" w:hAnsi="Arial Narrow" w:cs="Calibri"/>
                <w:b/>
                <w:bCs/>
                <w:iCs/>
                <w:color w:val="000000"/>
                <w:sz w:val="20"/>
                <w:szCs w:val="20"/>
              </w:rPr>
            </w:pPr>
            <w:r w:rsidRPr="00695A45">
              <w:rPr>
                <w:rFonts w:ascii="Arial Narrow" w:hAnsi="Arial Narrow" w:cs="Calibri"/>
                <w:b/>
                <w:bCs/>
                <w:iCs/>
                <w:color w:val="000000"/>
                <w:sz w:val="20"/>
                <w:szCs w:val="20"/>
              </w:rPr>
              <w:t xml:space="preserve"> </w:t>
            </w:r>
          </w:p>
        </w:tc>
      </w:tr>
    </w:tbl>
    <w:p w:rsidR="00694437" w:rsidRPr="00695A45" w:rsidRDefault="00694437" w:rsidP="00CE173F">
      <w:pPr>
        <w:keepNext/>
        <w:keepLines/>
        <w:jc w:val="both"/>
        <w:rPr>
          <w:rFonts w:ascii="Arial Narrow" w:hAnsi="Arial Narrow" w:cs="Arial"/>
          <w:snapToGrid w:val="0"/>
          <w:sz w:val="18"/>
          <w:szCs w:val="18"/>
          <w:lang w:eastAsia="en-US"/>
        </w:rPr>
      </w:pPr>
      <w:r w:rsidRPr="00695A45">
        <w:rPr>
          <w:rFonts w:ascii="Arial Narrow" w:hAnsi="Arial Narrow" w:cs="Arial"/>
          <w:snapToGrid w:val="0"/>
          <w:sz w:val="18"/>
          <w:szCs w:val="18"/>
          <w:lang w:eastAsia="en-US"/>
        </w:rPr>
        <w:t xml:space="preserve">Source: Table 16, </w:t>
      </w:r>
      <w:proofErr w:type="spellStart"/>
      <w:r w:rsidRPr="00695A45">
        <w:rPr>
          <w:rFonts w:ascii="Arial Narrow" w:hAnsi="Arial Narrow" w:cs="Arial"/>
          <w:snapToGrid w:val="0"/>
          <w:sz w:val="18"/>
          <w:szCs w:val="18"/>
          <w:lang w:eastAsia="en-US"/>
        </w:rPr>
        <w:t>atezolizumab</w:t>
      </w:r>
      <w:proofErr w:type="spellEnd"/>
      <w:r w:rsidRPr="00695A45">
        <w:rPr>
          <w:rFonts w:ascii="Arial Narrow" w:hAnsi="Arial Narrow" w:cs="Arial"/>
          <w:snapToGrid w:val="0"/>
          <w:sz w:val="18"/>
          <w:szCs w:val="18"/>
          <w:lang w:eastAsia="en-US"/>
        </w:rPr>
        <w:t xml:space="preserve"> PBAC Minutes July 2019</w:t>
      </w:r>
    </w:p>
    <w:p w:rsidR="00694437" w:rsidRPr="00695A45" w:rsidRDefault="00694437" w:rsidP="00CE173F">
      <w:pPr>
        <w:keepNext/>
        <w:keepLines/>
        <w:jc w:val="both"/>
        <w:rPr>
          <w:rFonts w:ascii="Arial Narrow" w:hAnsi="Arial Narrow" w:cs="Arial"/>
          <w:snapToGrid w:val="0"/>
          <w:sz w:val="18"/>
          <w:szCs w:val="18"/>
          <w:lang w:eastAsia="en-US"/>
        </w:rPr>
      </w:pPr>
      <w:r w:rsidRPr="00695A45">
        <w:rPr>
          <w:rFonts w:ascii="Arial Narrow" w:hAnsi="Arial Narrow" w:cs="Arial"/>
          <w:snapToGrid w:val="0"/>
          <w:sz w:val="18"/>
          <w:szCs w:val="18"/>
          <w:lang w:eastAsia="en-US"/>
        </w:rPr>
        <w:t>SCLC = small cell lung cancer, ES = extensive stage, ECOG = Eastern Cooperative Oncology Group performance status, LS = localised stage</w:t>
      </w:r>
    </w:p>
    <w:p w:rsidR="00E607F3" w:rsidRPr="00695A45" w:rsidRDefault="00E607F3" w:rsidP="00E607F3">
      <w:pPr>
        <w:keepNext/>
        <w:keepLines/>
        <w:jc w:val="both"/>
        <w:rPr>
          <w:rFonts w:ascii="Arial Narrow" w:hAnsi="Arial Narrow" w:cs="Arial"/>
          <w:snapToGrid w:val="0"/>
          <w:sz w:val="18"/>
          <w:szCs w:val="18"/>
          <w:lang w:eastAsia="en-US"/>
        </w:rPr>
      </w:pPr>
      <w:proofErr w:type="gramStart"/>
      <w:r w:rsidRPr="00695A45">
        <w:rPr>
          <w:rFonts w:ascii="Arial Narrow" w:hAnsi="Arial Narrow" w:cs="Arial"/>
          <w:snapToGrid w:val="0"/>
          <w:sz w:val="18"/>
          <w:szCs w:val="18"/>
          <w:vertAlign w:val="superscript"/>
          <w:lang w:eastAsia="en-US"/>
        </w:rPr>
        <w:t>a</w:t>
      </w:r>
      <w:proofErr w:type="gramEnd"/>
      <w:r w:rsidRPr="00695A45">
        <w:rPr>
          <w:rFonts w:ascii="Arial Narrow" w:hAnsi="Arial Narrow" w:cs="Arial"/>
          <w:snapToGrid w:val="0"/>
          <w:sz w:val="18"/>
          <w:szCs w:val="18"/>
          <w:lang w:eastAsia="en-US"/>
        </w:rPr>
        <w:t xml:space="preserve"> Number of treated patients estimated at each step in Year 1 of the financial estimates</w:t>
      </w:r>
      <w:r w:rsidR="00695A45">
        <w:rPr>
          <w:rFonts w:ascii="Arial Narrow" w:hAnsi="Arial Narrow" w:cs="Arial"/>
          <w:snapToGrid w:val="0"/>
          <w:sz w:val="18"/>
          <w:szCs w:val="18"/>
          <w:lang w:eastAsia="en-US"/>
        </w:rPr>
        <w:t xml:space="preserve">. </w:t>
      </w:r>
    </w:p>
    <w:p w:rsidR="00694437" w:rsidRPr="00695A45" w:rsidRDefault="00694437" w:rsidP="00694437">
      <w:pPr>
        <w:tabs>
          <w:tab w:val="left" w:pos="284"/>
        </w:tabs>
        <w:jc w:val="both"/>
        <w:rPr>
          <w:rFonts w:ascii="Arial Narrow" w:hAnsi="Arial Narrow" w:cs="Arial"/>
          <w:snapToGrid w:val="0"/>
          <w:sz w:val="20"/>
          <w:szCs w:val="20"/>
          <w:lang w:eastAsia="en-US"/>
        </w:rPr>
      </w:pPr>
    </w:p>
    <w:p w:rsidR="00743AFB" w:rsidRPr="00695A45" w:rsidRDefault="00923A61" w:rsidP="00923A61">
      <w:pPr>
        <w:pStyle w:val="3Bodytext"/>
      </w:pPr>
      <w:r w:rsidRPr="00695A45">
        <w:t>The previous pre-PBAC response accepted the changes suggested by DUSC, which were to: reduce the proportion of patients who progress from LS-SCLC to ES-SCLC and who have a</w:t>
      </w:r>
      <w:r w:rsidR="00B61EE5" w:rsidRPr="00695A45">
        <w:t>n</w:t>
      </w:r>
      <w:r w:rsidRPr="00695A45">
        <w:t xml:space="preserve"> ECOG 0-1</w:t>
      </w:r>
      <w:r w:rsidR="00B61EE5" w:rsidRPr="00695A45">
        <w:t xml:space="preserve"> from 100%</w:t>
      </w:r>
      <w:r w:rsidRPr="00695A45">
        <w:t xml:space="preserve"> to </w:t>
      </w:r>
      <w:r w:rsidR="00B905EC">
        <w:rPr>
          <w:noProof/>
          <w:color w:val="000000"/>
          <w:highlight w:val="black"/>
        </w:rPr>
        <w:t>''''''</w:t>
      </w:r>
      <w:r w:rsidRPr="00695A45">
        <w:t>%; and reducing the estimated uptake rate in incident and prevalent patients</w:t>
      </w:r>
      <w:r w:rsidR="00B61EE5" w:rsidRPr="00695A45">
        <w:t xml:space="preserve"> from 100%</w:t>
      </w:r>
      <w:r w:rsidRPr="00695A45">
        <w:t xml:space="preserve"> to </w:t>
      </w:r>
      <w:r w:rsidR="00B905EC">
        <w:rPr>
          <w:noProof/>
          <w:color w:val="000000"/>
          <w:highlight w:val="black"/>
        </w:rPr>
        <w:t>''''''</w:t>
      </w:r>
      <w:r w:rsidRPr="00695A45">
        <w:t xml:space="preserve">%. </w:t>
      </w:r>
    </w:p>
    <w:p w:rsidR="00AC408F" w:rsidRPr="00695A45" w:rsidRDefault="00B61EE5" w:rsidP="00923A61">
      <w:pPr>
        <w:pStyle w:val="3Bodytext"/>
      </w:pPr>
      <w:r w:rsidRPr="00695A45">
        <w:t>However, there were two other assumptions that DUSC had considered were uncertain</w:t>
      </w:r>
      <w:r w:rsidR="00743AFB" w:rsidRPr="00695A45">
        <w:t xml:space="preserve"> which</w:t>
      </w:r>
      <w:r w:rsidR="00AB3B9F" w:rsidRPr="00695A45">
        <w:t xml:space="preserve"> were not addressed in the previous pre-PBAC response</w:t>
      </w:r>
      <w:r w:rsidR="00743AFB" w:rsidRPr="00695A45">
        <w:t>. These were</w:t>
      </w:r>
      <w:r w:rsidR="00AB3B9F" w:rsidRPr="00695A45">
        <w:t xml:space="preserve"> </w:t>
      </w:r>
      <w:r w:rsidRPr="00695A45">
        <w:t>that the estimates</w:t>
      </w:r>
      <w:r w:rsidR="00AC408F" w:rsidRPr="00695A45">
        <w:t>:</w:t>
      </w:r>
    </w:p>
    <w:p w:rsidR="00AC408F" w:rsidRPr="00695A45" w:rsidRDefault="00AC408F" w:rsidP="00D752C2">
      <w:pPr>
        <w:pStyle w:val="3Bodytext"/>
        <w:numPr>
          <w:ilvl w:val="0"/>
          <w:numId w:val="9"/>
        </w:numPr>
        <w:spacing w:after="0"/>
        <w:ind w:left="1077" w:hanging="357"/>
      </w:pPr>
      <w:r w:rsidRPr="00695A45">
        <w:t xml:space="preserve">assumed that the proportion of patients with SCLC will not change over time despite SCLC being highly correlated with smoking and the rate of smoking </w:t>
      </w:r>
      <w:r w:rsidR="00CF7D9B" w:rsidRPr="00695A45">
        <w:t xml:space="preserve">in Australia </w:t>
      </w:r>
      <w:r w:rsidRPr="00695A45">
        <w:t>is in decline; and</w:t>
      </w:r>
    </w:p>
    <w:p w:rsidR="00AC408F" w:rsidRPr="00695A45" w:rsidRDefault="00AC408F" w:rsidP="00D752C2">
      <w:pPr>
        <w:pStyle w:val="3Bodytext"/>
        <w:numPr>
          <w:ilvl w:val="0"/>
          <w:numId w:val="9"/>
        </w:numPr>
      </w:pPr>
      <w:proofErr w:type="gramStart"/>
      <w:r w:rsidRPr="00695A45">
        <w:t>used</w:t>
      </w:r>
      <w:proofErr w:type="gramEnd"/>
      <w:r w:rsidRPr="00695A45">
        <w:t xml:space="preserve"> the upper estimate to determine the proportion of patients with ES-SCLC who would be eligible for </w:t>
      </w:r>
      <w:proofErr w:type="spellStart"/>
      <w:r w:rsidRPr="00695A45">
        <w:t>atezolizumab</w:t>
      </w:r>
      <w:proofErr w:type="spellEnd"/>
      <w:r w:rsidR="00817267" w:rsidRPr="00695A45">
        <w:t xml:space="preserve"> (pages 1 and 6, </w:t>
      </w:r>
      <w:proofErr w:type="spellStart"/>
      <w:r w:rsidR="00817267" w:rsidRPr="00695A45">
        <w:t>atezolizumab</w:t>
      </w:r>
      <w:proofErr w:type="spellEnd"/>
      <w:r w:rsidR="00817267" w:rsidRPr="00695A45">
        <w:t xml:space="preserve"> DUSC Advice, July 2019). </w:t>
      </w:r>
    </w:p>
    <w:p w:rsidR="00F15A78" w:rsidRPr="00695A45" w:rsidRDefault="00F15A78" w:rsidP="00F15A78">
      <w:pPr>
        <w:pStyle w:val="3Bodytext"/>
      </w:pPr>
      <w:r w:rsidRPr="00695A45">
        <w:t>As a minor submission, the financial estimates have not been independently evaluated.</w:t>
      </w:r>
    </w:p>
    <w:p w:rsidR="00A1511B" w:rsidRPr="00695A45" w:rsidRDefault="00B66053" w:rsidP="00526E1C">
      <w:pPr>
        <w:pStyle w:val="3Bodytext"/>
        <w:numPr>
          <w:ilvl w:val="0"/>
          <w:numId w:val="0"/>
        </w:numPr>
      </w:pPr>
      <w:r w:rsidRPr="00695A45">
        <w:rPr>
          <w:i/>
        </w:rPr>
        <w:t xml:space="preserve">For more detail on PBAC’s view, see section </w:t>
      </w:r>
      <w:r w:rsidR="00526E1C" w:rsidRPr="00695A45">
        <w:rPr>
          <w:i/>
        </w:rPr>
        <w:t xml:space="preserve">6 </w:t>
      </w:r>
      <w:r w:rsidRPr="00695A45">
        <w:rPr>
          <w:i/>
        </w:rPr>
        <w:t>PBAC outcome.</w:t>
      </w:r>
    </w:p>
    <w:p w:rsidR="00D752C2" w:rsidRPr="00695A45" w:rsidRDefault="00D752C2" w:rsidP="00D752C2">
      <w:pPr>
        <w:pStyle w:val="2Sections"/>
      </w:pPr>
      <w:r w:rsidRPr="00695A45">
        <w:lastRenderedPageBreak/>
        <w:t>PBAC Outcome</w:t>
      </w:r>
    </w:p>
    <w:p w:rsidR="004F3AD4" w:rsidRPr="00695A45" w:rsidRDefault="004F3AD4" w:rsidP="0082217E">
      <w:pPr>
        <w:pStyle w:val="3Bodytext"/>
        <w:rPr>
          <w:rFonts w:cs="Arial"/>
          <w:bCs/>
          <w:snapToGrid w:val="0"/>
        </w:rPr>
      </w:pPr>
      <w:r w:rsidRPr="00695A45">
        <w:t>The PBAC recommen</w:t>
      </w:r>
      <w:r w:rsidR="00ED3263" w:rsidRPr="00695A45">
        <w:t xml:space="preserve">ded </w:t>
      </w:r>
      <w:r w:rsidR="00811A3B" w:rsidRPr="00695A45">
        <w:t>the</w:t>
      </w:r>
      <w:r w:rsidR="00811A3B" w:rsidRPr="00695A45">
        <w:rPr>
          <w:rFonts w:eastAsia="Times New Roman"/>
          <w:szCs w:val="24"/>
        </w:rPr>
        <w:t xml:space="preserve"> l</w:t>
      </w:r>
      <w:r w:rsidR="00ED3263" w:rsidRPr="00695A45">
        <w:t xml:space="preserve">isting of </w:t>
      </w:r>
      <w:proofErr w:type="spellStart"/>
      <w:r w:rsidR="00ED3263" w:rsidRPr="00695A45">
        <w:t>atezolizumab</w:t>
      </w:r>
      <w:proofErr w:type="spellEnd"/>
      <w:r w:rsidR="0014409B" w:rsidRPr="00695A45">
        <w:t xml:space="preserve">, </w:t>
      </w:r>
      <w:r w:rsidR="008D5D48" w:rsidRPr="00695A45">
        <w:t>for use</w:t>
      </w:r>
      <w:r w:rsidR="0014409B" w:rsidRPr="00695A45">
        <w:t xml:space="preserve"> in combination with</w:t>
      </w:r>
      <w:r w:rsidR="009D7620" w:rsidRPr="00695A45">
        <w:t xml:space="preserve"> </w:t>
      </w:r>
      <w:r w:rsidR="00310A12" w:rsidRPr="00695A45">
        <w:rPr>
          <w:rFonts w:cs="Calibri"/>
          <w:szCs w:val="24"/>
          <w:lang w:eastAsia="en-AU"/>
        </w:rPr>
        <w:t xml:space="preserve">platinum-based chemotherapy </w:t>
      </w:r>
      <w:r w:rsidR="00310A12">
        <w:rPr>
          <w:rFonts w:cs="Calibri"/>
          <w:szCs w:val="24"/>
          <w:lang w:eastAsia="en-AU"/>
        </w:rPr>
        <w:t>plus</w:t>
      </w:r>
      <w:r w:rsidR="00310A12" w:rsidRPr="00695A45">
        <w:rPr>
          <w:rFonts w:cs="Calibri"/>
          <w:szCs w:val="24"/>
          <w:lang w:eastAsia="en-AU"/>
        </w:rPr>
        <w:t xml:space="preserve"> etoposide</w:t>
      </w:r>
      <w:r w:rsidR="0014409B" w:rsidRPr="00695A45">
        <w:t>, on the basis that it should be available only under special arrangements under section 100 – Efficient Funding of Chemotherapy.</w:t>
      </w:r>
      <w:r w:rsidRPr="00695A45">
        <w:t xml:space="preserve"> </w:t>
      </w:r>
      <w:r w:rsidR="0014409B" w:rsidRPr="00695A45">
        <w:rPr>
          <w:color w:val="000000"/>
        </w:rPr>
        <w:t xml:space="preserve">The PBAC recommended the listing be made available </w:t>
      </w:r>
      <w:r w:rsidRPr="00695A45">
        <w:t xml:space="preserve">for </w:t>
      </w:r>
      <w:r w:rsidR="00816867" w:rsidRPr="00695A45">
        <w:t xml:space="preserve">previously untreated </w:t>
      </w:r>
      <w:r w:rsidR="0014409B" w:rsidRPr="00695A45">
        <w:rPr>
          <w:color w:val="000000"/>
        </w:rPr>
        <w:t xml:space="preserve">patients with </w:t>
      </w:r>
      <w:r w:rsidR="00ED3263" w:rsidRPr="00695A45">
        <w:t>ES-SCLC</w:t>
      </w:r>
      <w:r w:rsidRPr="00695A45">
        <w:t xml:space="preserve"> </w:t>
      </w:r>
      <w:r w:rsidR="008D5D48" w:rsidRPr="00695A45">
        <w:t>and an</w:t>
      </w:r>
      <w:r w:rsidRPr="00695A45">
        <w:t xml:space="preserve"> </w:t>
      </w:r>
      <w:r w:rsidR="00ED3263" w:rsidRPr="00695A45">
        <w:t>ECOG</w:t>
      </w:r>
      <w:r w:rsidRPr="00695A45">
        <w:t xml:space="preserve"> score 0–1.</w:t>
      </w:r>
      <w:r w:rsidR="00ED3263" w:rsidRPr="00695A45">
        <w:t xml:space="preserve"> </w:t>
      </w:r>
      <w:r w:rsidR="0082217E" w:rsidRPr="00695A45">
        <w:t xml:space="preserve">The PBAC’s recommendation for listing was based on, among other matters, its assessment that the cost-effectiveness of </w:t>
      </w:r>
      <w:proofErr w:type="spellStart"/>
      <w:r w:rsidR="0082217E" w:rsidRPr="00695A45">
        <w:t>atezolizumab</w:t>
      </w:r>
      <w:proofErr w:type="spellEnd"/>
      <w:r w:rsidR="0082217E" w:rsidRPr="00695A45">
        <w:t xml:space="preserve"> would be acceptable at the price </w:t>
      </w:r>
      <w:r w:rsidR="007A53FE" w:rsidRPr="00695A45">
        <w:t xml:space="preserve">applied in the economic model. </w:t>
      </w:r>
      <w:r w:rsidRPr="00695A45">
        <w:t xml:space="preserve">The PBAC </w:t>
      </w:r>
      <w:r w:rsidR="00A66142" w:rsidRPr="00695A45">
        <w:t xml:space="preserve">was satisfied </w:t>
      </w:r>
      <w:r w:rsidRPr="00695A45">
        <w:t xml:space="preserve">that the </w:t>
      </w:r>
      <w:r w:rsidR="008D5D48" w:rsidRPr="00695A45">
        <w:t>minor resubmission’s proposal to achieve</w:t>
      </w:r>
      <w:r w:rsidRPr="00695A45">
        <w:t xml:space="preserve"> cost</w:t>
      </w:r>
      <w:r w:rsidR="008D5D48" w:rsidRPr="00695A45">
        <w:t>-</w:t>
      </w:r>
      <w:r w:rsidRPr="00695A45">
        <w:t xml:space="preserve">effectiveness through </w:t>
      </w:r>
      <w:r w:rsidR="00ED3263" w:rsidRPr="00695A45">
        <w:t>RSA</w:t>
      </w:r>
      <w:r w:rsidR="00EB722F" w:rsidRPr="00695A45">
        <w:t xml:space="preserve"> rebates</w:t>
      </w:r>
      <w:r w:rsidR="0082217E" w:rsidRPr="00695A45">
        <w:t xml:space="preserve">, in addition to </w:t>
      </w:r>
      <w:r w:rsidR="008D5D48" w:rsidRPr="00695A45">
        <w:t>a</w:t>
      </w:r>
      <w:r w:rsidR="0082217E" w:rsidRPr="00695A45">
        <w:t xml:space="preserve"> proposed reduction in the effective price,</w:t>
      </w:r>
      <w:r w:rsidRPr="00695A45">
        <w:t xml:space="preserve"> </w:t>
      </w:r>
      <w:r w:rsidR="0082217E" w:rsidRPr="00695A45">
        <w:t xml:space="preserve">was reasonable in this case as the Committee had a high degree of confidence in the financial estimates. The recommendation </w:t>
      </w:r>
      <w:r w:rsidR="00EB722F" w:rsidRPr="00695A45">
        <w:t xml:space="preserve">also </w:t>
      </w:r>
      <w:r w:rsidR="0082217E" w:rsidRPr="00695A45">
        <w:t>reflected the high clinical need in this condition.</w:t>
      </w:r>
    </w:p>
    <w:p w:rsidR="00D752C2" w:rsidRPr="00695A45" w:rsidRDefault="00D752C2" w:rsidP="00693091">
      <w:pPr>
        <w:pStyle w:val="3Bodytext"/>
        <w:rPr>
          <w:rFonts w:cs="Arial"/>
          <w:bCs/>
          <w:snapToGrid w:val="0"/>
        </w:rPr>
      </w:pPr>
      <w:r w:rsidRPr="00695A45">
        <w:rPr>
          <w:snapToGrid w:val="0"/>
        </w:rPr>
        <w:t xml:space="preserve">The PBAC </w:t>
      </w:r>
      <w:r w:rsidR="00BA0F29" w:rsidRPr="00695A45">
        <w:rPr>
          <w:snapToGrid w:val="0"/>
        </w:rPr>
        <w:t xml:space="preserve">was satisfied </w:t>
      </w:r>
      <w:r w:rsidRPr="00695A45">
        <w:rPr>
          <w:snapToGrid w:val="0"/>
        </w:rPr>
        <w:t xml:space="preserve">that </w:t>
      </w:r>
      <w:proofErr w:type="spellStart"/>
      <w:r w:rsidR="00AA45A2" w:rsidRPr="00695A45">
        <w:rPr>
          <w:snapToGrid w:val="0"/>
        </w:rPr>
        <w:t>atezolizumab</w:t>
      </w:r>
      <w:proofErr w:type="spellEnd"/>
      <w:r w:rsidR="009D7620" w:rsidRPr="00695A45">
        <w:rPr>
          <w:snapToGrid w:val="0"/>
        </w:rPr>
        <w:t xml:space="preserve"> + CE</w:t>
      </w:r>
      <w:r w:rsidRPr="00695A45">
        <w:rPr>
          <w:snapToGrid w:val="0"/>
        </w:rPr>
        <w:t xml:space="preserve"> provides, for some patients, a significant improvement in efficacy over </w:t>
      </w:r>
      <w:r w:rsidR="009D7620" w:rsidRPr="00695A45">
        <w:rPr>
          <w:rFonts w:eastAsia="Times New Roman" w:cs="Arial"/>
          <w:bCs/>
          <w:snapToGrid w:val="0"/>
          <w:szCs w:val="24"/>
          <w:lang w:eastAsia="en-AU"/>
        </w:rPr>
        <w:t xml:space="preserve">CE </w:t>
      </w:r>
      <w:r w:rsidR="00BA0F29" w:rsidRPr="00695A45">
        <w:rPr>
          <w:rFonts w:eastAsia="Times New Roman" w:cs="Arial"/>
          <w:bCs/>
          <w:snapToGrid w:val="0"/>
          <w:szCs w:val="24"/>
          <w:lang w:eastAsia="en-AU"/>
        </w:rPr>
        <w:t>alone</w:t>
      </w:r>
      <w:r w:rsidRPr="00695A45">
        <w:rPr>
          <w:snapToGrid w:val="0"/>
        </w:rPr>
        <w:t>.</w:t>
      </w:r>
      <w:r w:rsidRPr="00695A45">
        <w:rPr>
          <w:rFonts w:cs="Arial"/>
          <w:bCs/>
          <w:snapToGrid w:val="0"/>
        </w:rPr>
        <w:t xml:space="preserve"> </w:t>
      </w:r>
    </w:p>
    <w:p w:rsidR="00D752C2" w:rsidRPr="00695A45" w:rsidRDefault="004770E2" w:rsidP="007E69EC">
      <w:pPr>
        <w:pStyle w:val="3Bodytext"/>
        <w:rPr>
          <w:snapToGrid w:val="0"/>
        </w:rPr>
      </w:pPr>
      <w:r w:rsidRPr="00695A45">
        <w:rPr>
          <w:snapToGrid w:val="0"/>
        </w:rPr>
        <w:t xml:space="preserve">The PBAC </w:t>
      </w:r>
      <w:r w:rsidR="00BA0F29" w:rsidRPr="00695A45">
        <w:rPr>
          <w:snapToGrid w:val="0"/>
        </w:rPr>
        <w:t>re-iterated</w:t>
      </w:r>
      <w:r w:rsidRPr="00695A45">
        <w:rPr>
          <w:snapToGrid w:val="0"/>
        </w:rPr>
        <w:t xml:space="preserve"> the</w:t>
      </w:r>
      <w:r w:rsidR="007E69EC" w:rsidRPr="00695A45">
        <w:rPr>
          <w:snapToGrid w:val="0"/>
        </w:rPr>
        <w:t xml:space="preserve"> high</w:t>
      </w:r>
      <w:r w:rsidRPr="00695A45">
        <w:rPr>
          <w:snapToGrid w:val="0"/>
        </w:rPr>
        <w:t xml:space="preserve"> clinical need for effective </w:t>
      </w:r>
      <w:r w:rsidR="007E69EC" w:rsidRPr="00695A45">
        <w:rPr>
          <w:snapToGrid w:val="0"/>
        </w:rPr>
        <w:t>treatment</w:t>
      </w:r>
      <w:r w:rsidR="00BA0F29" w:rsidRPr="00695A45">
        <w:rPr>
          <w:snapToGrid w:val="0"/>
        </w:rPr>
        <w:t>s</w:t>
      </w:r>
      <w:r w:rsidR="007E69EC" w:rsidRPr="00695A45">
        <w:rPr>
          <w:snapToGrid w:val="0"/>
        </w:rPr>
        <w:t xml:space="preserve"> for ES-SCLC, noting </w:t>
      </w:r>
      <w:r w:rsidR="007E69EC" w:rsidRPr="00695A45">
        <w:rPr>
          <w:rFonts w:eastAsia="Times New Roman" w:cs="Arial"/>
          <w:bCs/>
          <w:snapToGrid w:val="0"/>
          <w:szCs w:val="24"/>
          <w:lang w:eastAsia="en-AU"/>
        </w:rPr>
        <w:t>the poor prognosis</w:t>
      </w:r>
      <w:r w:rsidR="00CA32A1" w:rsidRPr="00695A45">
        <w:rPr>
          <w:rFonts w:eastAsia="Times New Roman" w:cs="Arial"/>
          <w:bCs/>
          <w:snapToGrid w:val="0"/>
          <w:szCs w:val="24"/>
          <w:lang w:eastAsia="en-AU"/>
        </w:rPr>
        <w:t xml:space="preserve"> for patients</w:t>
      </w:r>
      <w:r w:rsidR="007E69EC" w:rsidRPr="00695A45">
        <w:rPr>
          <w:rFonts w:eastAsia="Times New Roman" w:cs="Arial"/>
          <w:bCs/>
          <w:snapToGrid w:val="0"/>
          <w:szCs w:val="24"/>
          <w:lang w:eastAsia="en-AU"/>
        </w:rPr>
        <w:t xml:space="preserve"> and that there have been no new developments in the treatment of SCLC in 20 years.</w:t>
      </w:r>
    </w:p>
    <w:p w:rsidR="007E69EC" w:rsidRPr="00695A45" w:rsidRDefault="007E69EC" w:rsidP="001302F3">
      <w:pPr>
        <w:pStyle w:val="3Bodytext"/>
        <w:rPr>
          <w:snapToGrid w:val="0"/>
        </w:rPr>
      </w:pPr>
      <w:r w:rsidRPr="00695A45">
        <w:rPr>
          <w:bCs/>
        </w:rPr>
        <w:t xml:space="preserve">The PBAC considered that the requested restriction was reasonable. </w:t>
      </w:r>
      <w:r w:rsidRPr="00695A45">
        <w:t xml:space="preserve">The PBAC </w:t>
      </w:r>
      <w:r w:rsidR="00BA0F29" w:rsidRPr="00695A45">
        <w:t xml:space="preserve">considered that </w:t>
      </w:r>
      <w:r w:rsidR="0082217E" w:rsidRPr="00695A45">
        <w:t xml:space="preserve">use in combination </w:t>
      </w:r>
      <w:r w:rsidR="00BA0F29" w:rsidRPr="00695A45">
        <w:t xml:space="preserve">with </w:t>
      </w:r>
      <w:r w:rsidR="001302F3" w:rsidRPr="001302F3">
        <w:t xml:space="preserve">a platinum-based antineoplastic </w:t>
      </w:r>
      <w:r w:rsidR="001302F3">
        <w:t>(</w:t>
      </w:r>
      <w:r w:rsidRPr="00695A45">
        <w:t>cisplatin or carboplatin</w:t>
      </w:r>
      <w:r w:rsidR="001302F3">
        <w:t>)</w:t>
      </w:r>
      <w:r w:rsidRPr="00695A45">
        <w:t xml:space="preserve"> </w:t>
      </w:r>
      <w:r w:rsidR="001302F3">
        <w:t>and</w:t>
      </w:r>
      <w:r w:rsidR="00575F9C" w:rsidRPr="00695A45">
        <w:t xml:space="preserve"> etoposide </w:t>
      </w:r>
      <w:r w:rsidRPr="00695A45">
        <w:t xml:space="preserve">should be allowed under the initial </w:t>
      </w:r>
      <w:r w:rsidR="00743AFB" w:rsidRPr="00695A45">
        <w:t xml:space="preserve">and grandfathering </w:t>
      </w:r>
      <w:r w:rsidRPr="00695A45">
        <w:t>restriction</w:t>
      </w:r>
      <w:r w:rsidR="00743AFB" w:rsidRPr="00695A45">
        <w:t>s</w:t>
      </w:r>
      <w:r w:rsidRPr="00695A45">
        <w:t>.</w:t>
      </w:r>
    </w:p>
    <w:p w:rsidR="00D752C2" w:rsidRPr="00695A45" w:rsidRDefault="002B788E" w:rsidP="002B788E">
      <w:pPr>
        <w:pStyle w:val="3Bodytext"/>
        <w:rPr>
          <w:rFonts w:cs="Arial"/>
          <w:bCs/>
          <w:snapToGrid w:val="0"/>
        </w:rPr>
      </w:pPr>
      <w:r w:rsidRPr="00695A45">
        <w:t>The PBAC previously accepted the nominated comparator</w:t>
      </w:r>
      <w:r w:rsidRPr="00695A45">
        <w:rPr>
          <w:bCs/>
        </w:rPr>
        <w:t xml:space="preserve">, </w:t>
      </w:r>
      <w:r w:rsidRPr="00695A45">
        <w:rPr>
          <w:rFonts w:cs="Calibri"/>
          <w:szCs w:val="24"/>
          <w:lang w:eastAsia="en-AU"/>
        </w:rPr>
        <w:t>platinum</w:t>
      </w:r>
      <w:r w:rsidR="004F5D9E" w:rsidRPr="00695A45">
        <w:rPr>
          <w:rFonts w:cs="Calibri"/>
          <w:szCs w:val="24"/>
          <w:lang w:eastAsia="en-AU"/>
        </w:rPr>
        <w:t>-</w:t>
      </w:r>
      <w:r w:rsidRPr="00695A45">
        <w:rPr>
          <w:rFonts w:cs="Calibri"/>
          <w:szCs w:val="24"/>
          <w:lang w:eastAsia="en-AU"/>
        </w:rPr>
        <w:t>based chemotherapy (cisplatin or carboplatin) + etoposide.</w:t>
      </w:r>
    </w:p>
    <w:p w:rsidR="00667DAB" w:rsidRPr="00695A45" w:rsidRDefault="009F5076" w:rsidP="00F00EBB">
      <w:pPr>
        <w:pStyle w:val="3Bodytext"/>
      </w:pPr>
      <w:r w:rsidRPr="00695A45">
        <w:t xml:space="preserve">The minor resubmission did not present any new clinical evidence. The PBAC reiterated that the claim of superior comparative effectiveness of </w:t>
      </w:r>
      <w:proofErr w:type="spellStart"/>
      <w:r w:rsidRPr="00695A45">
        <w:t>atezolizumab</w:t>
      </w:r>
      <w:proofErr w:type="spellEnd"/>
      <w:r w:rsidRPr="00695A45">
        <w:t xml:space="preserve"> + CE compared with CE </w:t>
      </w:r>
      <w:r w:rsidR="00BA0F29" w:rsidRPr="00695A45">
        <w:t xml:space="preserve">alone </w:t>
      </w:r>
      <w:r w:rsidRPr="00695A45">
        <w:t>was reasonable with respect to OS. However, the PBAC considered that the magnitude and durability of the benefit was uncertain, especially given the short duration of follow-up in the trial (median follow-up of 22.9 months in the updated data-cut).</w:t>
      </w:r>
      <w:r w:rsidR="00E94011" w:rsidRPr="00695A45">
        <w:t xml:space="preserve"> The PBAC reiterated that the claim of inferior safety with manageable </w:t>
      </w:r>
      <w:r w:rsidR="00EB722F" w:rsidRPr="00695A45">
        <w:t xml:space="preserve">adverse events </w:t>
      </w:r>
      <w:r w:rsidR="00E94011" w:rsidRPr="00695A45">
        <w:t>was reasonable.</w:t>
      </w:r>
      <w:r w:rsidR="00AE67E1" w:rsidRPr="00695A45">
        <w:t xml:space="preserve"> </w:t>
      </w:r>
    </w:p>
    <w:p w:rsidR="00D54955" w:rsidRPr="00695A45" w:rsidRDefault="00B61EE5" w:rsidP="00D54955">
      <w:pPr>
        <w:pStyle w:val="3Bodytext"/>
      </w:pPr>
      <w:r w:rsidRPr="00695A45">
        <w:t>The PBAC noted that the minor resubmission proposed a</w:t>
      </w:r>
      <w:r w:rsidR="00045D80" w:rsidRPr="00695A45">
        <w:t xml:space="preserve"> significant reduction in the price and </w:t>
      </w:r>
      <w:r w:rsidR="008D5D48" w:rsidRPr="00695A45">
        <w:t xml:space="preserve">the total </w:t>
      </w:r>
      <w:r w:rsidR="00045D80" w:rsidRPr="00695A45">
        <w:t>financial impact compared with the previous submission. This comprised: a</w:t>
      </w:r>
      <w:r w:rsidR="00D54955" w:rsidRPr="00695A45">
        <w:t xml:space="preserve"> </w:t>
      </w:r>
      <w:r w:rsidR="00B905EC">
        <w:rPr>
          <w:noProof/>
          <w:color w:val="000000"/>
          <w:highlight w:val="black"/>
        </w:rPr>
        <w:t>'''''</w:t>
      </w:r>
      <w:r w:rsidR="00D54955" w:rsidRPr="00695A45">
        <w:t>% reduction to the proposed effective DPMA</w:t>
      </w:r>
      <w:r w:rsidR="00045D80" w:rsidRPr="00695A45">
        <w:t xml:space="preserve">; and </w:t>
      </w:r>
      <w:r w:rsidR="00D54955" w:rsidRPr="00695A45">
        <w:t xml:space="preserve">a RSA with expenditure thresholds </w:t>
      </w:r>
      <w:r w:rsidR="007E689B" w:rsidRPr="00695A45">
        <w:t xml:space="preserve">set </w:t>
      </w:r>
      <w:r w:rsidR="00B905EC">
        <w:rPr>
          <w:noProof/>
          <w:color w:val="000000"/>
          <w:highlight w:val="black"/>
        </w:rPr>
        <w:t>'''''</w:t>
      </w:r>
      <w:r w:rsidR="000E490D" w:rsidRPr="00695A45">
        <w:t xml:space="preserve">% </w:t>
      </w:r>
      <w:r w:rsidR="00D54955" w:rsidRPr="00695A45">
        <w:t>lower than</w:t>
      </w:r>
      <w:r w:rsidR="001D53AE" w:rsidRPr="00695A45">
        <w:t xml:space="preserve"> that</w:t>
      </w:r>
      <w:r w:rsidR="008D5D48" w:rsidRPr="00695A45">
        <w:t xml:space="preserve"> </w:t>
      </w:r>
      <w:r w:rsidR="001D53AE" w:rsidRPr="00695A45">
        <w:t xml:space="preserve">calculated based on the expected </w:t>
      </w:r>
      <w:r w:rsidR="00D54955" w:rsidRPr="00695A45">
        <w:t xml:space="preserve">utilisation </w:t>
      </w:r>
      <w:r w:rsidR="007E689B" w:rsidRPr="00695A45">
        <w:t>levels</w:t>
      </w:r>
      <w:r w:rsidR="000E490D" w:rsidRPr="00695A45">
        <w:t xml:space="preserve"> together with a rebate of 100% for expenditure above the thresholds</w:t>
      </w:r>
      <w:r w:rsidR="00D54955" w:rsidRPr="00695A45">
        <w:t>. Combined, these two measures meant that:</w:t>
      </w:r>
    </w:p>
    <w:p w:rsidR="00D54955" w:rsidRPr="00695A45" w:rsidRDefault="00D54955" w:rsidP="00C679BE">
      <w:pPr>
        <w:pStyle w:val="3Bodytext"/>
        <w:numPr>
          <w:ilvl w:val="0"/>
          <w:numId w:val="23"/>
        </w:numPr>
      </w:pPr>
      <w:r w:rsidRPr="00695A45">
        <w:t>t</w:t>
      </w:r>
      <w:r w:rsidR="00B61EE5" w:rsidRPr="00695A45">
        <w:t>he price per patient per course was reduced from $</w:t>
      </w:r>
      <w:r w:rsidR="00B905EC">
        <w:rPr>
          <w:noProof/>
          <w:color w:val="000000"/>
          <w:highlight w:val="black"/>
        </w:rPr>
        <w:t>''''''''''''</w:t>
      </w:r>
      <w:r w:rsidR="00B61EE5" w:rsidRPr="00695A45">
        <w:t xml:space="preserve"> in the previous submission to $</w:t>
      </w:r>
      <w:r w:rsidR="00B905EC">
        <w:rPr>
          <w:noProof/>
          <w:color w:val="000000"/>
          <w:highlight w:val="black"/>
        </w:rPr>
        <w:t>'''''''''''''</w:t>
      </w:r>
      <w:r w:rsidR="00B61EE5" w:rsidRPr="00695A45">
        <w:t xml:space="preserve"> </w:t>
      </w:r>
      <w:r w:rsidRPr="00695A45">
        <w:t>in the resubmission (assuming the</w:t>
      </w:r>
      <w:r w:rsidR="00B61EE5" w:rsidRPr="00695A45">
        <w:t xml:space="preserve"> RSA </w:t>
      </w:r>
      <w:r w:rsidR="000E490D" w:rsidRPr="00695A45">
        <w:t>results in</w:t>
      </w:r>
      <w:r w:rsidR="00B905EC">
        <w:rPr>
          <w:noProof/>
          <w:color w:val="000000"/>
          <w:highlight w:val="black"/>
        </w:rPr>
        <w:t xml:space="preserve"> '''''</w:t>
      </w:r>
      <w:r w:rsidR="000E490D" w:rsidRPr="00695A45">
        <w:t xml:space="preserve">% of expenditure on </w:t>
      </w:r>
      <w:proofErr w:type="spellStart"/>
      <w:r w:rsidR="000E490D" w:rsidRPr="00695A45">
        <w:t>atezolizumab</w:t>
      </w:r>
      <w:proofErr w:type="spellEnd"/>
      <w:r w:rsidR="000E490D" w:rsidRPr="00695A45">
        <w:t xml:space="preserve"> being rebated</w:t>
      </w:r>
      <w:r w:rsidRPr="00695A45">
        <w:t>); and</w:t>
      </w:r>
      <w:r w:rsidR="00F96E08" w:rsidRPr="00695A45">
        <w:t xml:space="preserve"> </w:t>
      </w:r>
    </w:p>
    <w:p w:rsidR="00F96E08" w:rsidRPr="00695A45" w:rsidRDefault="00D54955" w:rsidP="00C679BE">
      <w:pPr>
        <w:pStyle w:val="3Bodytext"/>
        <w:numPr>
          <w:ilvl w:val="0"/>
          <w:numId w:val="23"/>
        </w:numPr>
      </w:pPr>
      <w:proofErr w:type="gramStart"/>
      <w:r w:rsidRPr="00695A45">
        <w:lastRenderedPageBreak/>
        <w:t>t</w:t>
      </w:r>
      <w:r w:rsidR="00F96E08" w:rsidRPr="00695A45">
        <w:t>he</w:t>
      </w:r>
      <w:proofErr w:type="gramEnd"/>
      <w:r w:rsidR="00F96E08" w:rsidRPr="00695A45">
        <w:t xml:space="preserve"> total financial impact of </w:t>
      </w:r>
      <w:proofErr w:type="spellStart"/>
      <w:r w:rsidR="00F96E08" w:rsidRPr="00695A45">
        <w:t>atezolizumab</w:t>
      </w:r>
      <w:proofErr w:type="spellEnd"/>
      <w:r w:rsidR="00F96E08" w:rsidRPr="00695A45">
        <w:t xml:space="preserve"> (net cost to PBS/RPBS) was reduced from</w:t>
      </w:r>
      <w:r w:rsidR="00C400E8">
        <w:t xml:space="preserve"> more than</w:t>
      </w:r>
      <w:r w:rsidR="00F96E08" w:rsidRPr="00695A45">
        <w:t xml:space="preserve"> $</w:t>
      </w:r>
      <w:r w:rsidR="00C400E8">
        <w:t>100</w:t>
      </w:r>
      <w:r w:rsidR="008D5D48" w:rsidRPr="00695A45">
        <w:t xml:space="preserve"> million</w:t>
      </w:r>
      <w:r w:rsidR="00F96E08" w:rsidRPr="00695A45">
        <w:t xml:space="preserve"> over the first 6 years of listing in the previous pre-PBAC response to $</w:t>
      </w:r>
      <w:r w:rsidR="00C400E8">
        <w:t>60 - $100</w:t>
      </w:r>
      <w:r w:rsidR="008D5D48" w:rsidRPr="00695A45">
        <w:t xml:space="preserve"> million</w:t>
      </w:r>
      <w:r w:rsidR="00F96E08" w:rsidRPr="00695A45">
        <w:t xml:space="preserve"> </w:t>
      </w:r>
      <w:r w:rsidR="00EF7C2C" w:rsidRPr="00695A45">
        <w:t>(</w:t>
      </w:r>
      <w:r w:rsidR="00991F96" w:rsidRPr="00695A45">
        <w:t xml:space="preserve">as limited by </w:t>
      </w:r>
      <w:r w:rsidR="00EF7C2C" w:rsidRPr="00695A45">
        <w:t xml:space="preserve">the </w:t>
      </w:r>
      <w:r w:rsidR="00991F96" w:rsidRPr="00695A45">
        <w:t xml:space="preserve">proposed </w:t>
      </w:r>
      <w:r w:rsidR="00EF7C2C" w:rsidRPr="00695A45">
        <w:t>RSA)</w:t>
      </w:r>
      <w:r w:rsidR="00F96E08" w:rsidRPr="00695A45">
        <w:t>.</w:t>
      </w:r>
    </w:p>
    <w:p w:rsidR="00CF7183" w:rsidRPr="00695A45" w:rsidRDefault="0091244C" w:rsidP="00816867">
      <w:pPr>
        <w:pStyle w:val="3Bodytext"/>
      </w:pPr>
      <w:r w:rsidRPr="00695A45">
        <w:t xml:space="preserve">The PBAC noted the minor resubmission </w:t>
      </w:r>
      <w:r w:rsidR="002D47DB" w:rsidRPr="00695A45">
        <w:t xml:space="preserve">had </w:t>
      </w:r>
      <w:r w:rsidR="00CF7183" w:rsidRPr="00695A45">
        <w:t xml:space="preserve">amended the economic model </w:t>
      </w:r>
      <w:r w:rsidRPr="00695A45">
        <w:t xml:space="preserve">by: using the </w:t>
      </w:r>
      <w:r w:rsidR="00B01DC9" w:rsidRPr="00695A45">
        <w:t>updat</w:t>
      </w:r>
      <w:r w:rsidRPr="00695A45">
        <w:t>ed</w:t>
      </w:r>
      <w:r w:rsidR="00B01DC9" w:rsidRPr="00695A45">
        <w:t xml:space="preserve"> OS results from the most recent data-cut</w:t>
      </w:r>
      <w:r w:rsidR="00CF7183" w:rsidRPr="00695A45">
        <w:t>;</w:t>
      </w:r>
      <w:r w:rsidR="00B01DC9" w:rsidRPr="00695A45">
        <w:t xml:space="preserve"> </w:t>
      </w:r>
      <w:r w:rsidR="00FE7FC3" w:rsidRPr="00695A45">
        <w:t xml:space="preserve">and </w:t>
      </w:r>
      <w:r w:rsidR="00B01DC9" w:rsidRPr="00695A45">
        <w:t>assuming that the OS curves begin to converge at 24 months with convergence at 60 months</w:t>
      </w:r>
      <w:r w:rsidR="00521DD9" w:rsidRPr="00695A45">
        <w:t>.</w:t>
      </w:r>
      <w:r w:rsidR="0066083D" w:rsidRPr="00695A45">
        <w:t xml:space="preserve"> </w:t>
      </w:r>
      <w:r w:rsidR="00CF7183" w:rsidRPr="00695A45">
        <w:t xml:space="preserve">The PBAC considered that </w:t>
      </w:r>
      <w:r w:rsidR="00816867" w:rsidRPr="00695A45">
        <w:t xml:space="preserve">these changes adequately addressed </w:t>
      </w:r>
      <w:r w:rsidR="00E0192A" w:rsidRPr="00695A45">
        <w:t>its</w:t>
      </w:r>
      <w:r w:rsidR="00816867" w:rsidRPr="00695A45">
        <w:t xml:space="preserve"> previous concerns. The PBAC considered </w:t>
      </w:r>
      <w:r w:rsidR="00CF7183" w:rsidRPr="00695A45">
        <w:t xml:space="preserve">the cost-effectiveness of </w:t>
      </w:r>
      <w:proofErr w:type="spellStart"/>
      <w:r w:rsidR="00CF7183" w:rsidRPr="00695A45">
        <w:t>atezolizumab</w:t>
      </w:r>
      <w:proofErr w:type="spellEnd"/>
      <w:r w:rsidR="00CF7183" w:rsidRPr="00695A45">
        <w:t xml:space="preserve"> was acceptable at the price applied in the economic model, which resulted in an ICER of $</w:t>
      </w:r>
      <w:r w:rsidR="00864E3A">
        <w:t>45,000 /QALY - $75,000</w:t>
      </w:r>
      <w:r w:rsidR="00CF7183" w:rsidRPr="00695A45">
        <w:t>/QALY.</w:t>
      </w:r>
    </w:p>
    <w:p w:rsidR="00AC7562" w:rsidRPr="00695A45" w:rsidRDefault="00CF7183" w:rsidP="00AC7562">
      <w:pPr>
        <w:pStyle w:val="3Bodytext"/>
      </w:pPr>
      <w:r w:rsidRPr="00695A45">
        <w:t xml:space="preserve">The price </w:t>
      </w:r>
      <w:r w:rsidR="00B61EE5" w:rsidRPr="00695A45">
        <w:t xml:space="preserve">applied in the economic model </w:t>
      </w:r>
      <w:r w:rsidRPr="00695A45">
        <w:t>was lower than the requested effective DPM</w:t>
      </w:r>
      <w:r w:rsidR="00F96E08" w:rsidRPr="00695A45">
        <w:t>A</w:t>
      </w:r>
      <w:r w:rsidRPr="00695A45">
        <w:t xml:space="preserve"> on the basis that the difference would be rebated through the RSA</w:t>
      </w:r>
      <w:r w:rsidR="00045D80" w:rsidRPr="00695A45">
        <w:t xml:space="preserve"> (as outlined above). </w:t>
      </w:r>
      <w:r w:rsidR="00B16B1C" w:rsidRPr="00695A45">
        <w:t xml:space="preserve">The PBAC noted that for assessments of cost-effectiveness to rely on RSA rebates being realised, there would need to be a high level of confidence in the utilisation estimates underpinning the RSA in order to minimise the risk of the ICER not being achieved. </w:t>
      </w:r>
    </w:p>
    <w:p w:rsidR="00667DAB" w:rsidRPr="00695A45" w:rsidRDefault="00575F9C" w:rsidP="00AC7562">
      <w:pPr>
        <w:pStyle w:val="3Bodytext"/>
      </w:pPr>
      <w:r w:rsidRPr="00695A45">
        <w:t xml:space="preserve">The PBAC considered that the </w:t>
      </w:r>
      <w:r w:rsidR="002D47DB" w:rsidRPr="00695A45">
        <w:t xml:space="preserve">updated financial estimates provided in the </w:t>
      </w:r>
      <w:r w:rsidRPr="00695A45">
        <w:t>previous pre-PBAC response (from July 201</w:t>
      </w:r>
      <w:r w:rsidR="00B16B1C" w:rsidRPr="00695A45">
        <w:t>9) had adequately addressed the key uncertainties</w:t>
      </w:r>
      <w:r w:rsidRPr="00695A45">
        <w:t xml:space="preserve"> with the financial estimates. </w:t>
      </w:r>
      <w:r w:rsidR="008D5D48" w:rsidRPr="00695A45">
        <w:t xml:space="preserve">Further, the PBAC considered the population was well-defined and there were reliable sources for </w:t>
      </w:r>
      <w:r w:rsidR="00B16B1C" w:rsidRPr="00695A45">
        <w:t>the majority</w:t>
      </w:r>
      <w:r w:rsidR="008D5D48" w:rsidRPr="00695A45">
        <w:t xml:space="preserve"> of the assumptions </w:t>
      </w:r>
      <w:r w:rsidR="00816867" w:rsidRPr="00695A45">
        <w:t>applied</w:t>
      </w:r>
      <w:r w:rsidR="008D5D48" w:rsidRPr="00695A45">
        <w:t xml:space="preserve"> in the financial estimates. Overall, t</w:t>
      </w:r>
      <w:r w:rsidR="00D05FBB" w:rsidRPr="00695A45">
        <w:t xml:space="preserve">he </w:t>
      </w:r>
      <w:r w:rsidR="00667DAB" w:rsidRPr="00695A45">
        <w:t xml:space="preserve">PBAC considered that the financial estimates were sufficiently reliable </w:t>
      </w:r>
      <w:r w:rsidR="00B61EE5" w:rsidRPr="00695A45">
        <w:t>to form</w:t>
      </w:r>
      <w:r w:rsidR="00D05FBB" w:rsidRPr="00695A45">
        <w:t xml:space="preserve"> the</w:t>
      </w:r>
      <w:r w:rsidR="00667DAB" w:rsidRPr="00695A45">
        <w:t xml:space="preserve"> basis for the RSA and were reasonably confident th</w:t>
      </w:r>
      <w:r w:rsidR="00923A61" w:rsidRPr="00695A45">
        <w:t>at an</w:t>
      </w:r>
      <w:r w:rsidR="00667DAB" w:rsidRPr="00695A45">
        <w:t xml:space="preserve"> ICER </w:t>
      </w:r>
      <w:r w:rsidRPr="00695A45">
        <w:t>of less than $</w:t>
      </w:r>
      <w:r w:rsidR="00864E3A">
        <w:t>45,000/QALY - $</w:t>
      </w:r>
      <w:r w:rsidR="004816A5">
        <w:t>75,000</w:t>
      </w:r>
      <w:r w:rsidRPr="00695A45">
        <w:t xml:space="preserve">/QALY </w:t>
      </w:r>
      <w:r w:rsidR="00667DAB" w:rsidRPr="00695A45">
        <w:t xml:space="preserve">would be achieved. </w:t>
      </w:r>
    </w:p>
    <w:p w:rsidR="0091244C" w:rsidRPr="00695A45" w:rsidRDefault="0091244C" w:rsidP="002D6354">
      <w:pPr>
        <w:pStyle w:val="3Bodytext"/>
      </w:pPr>
      <w:r w:rsidRPr="00695A45">
        <w:t xml:space="preserve">The PBAC advised that an RSA </w:t>
      </w:r>
      <w:r w:rsidR="00A76CDF" w:rsidRPr="00695A45">
        <w:t xml:space="preserve">with a 100% rebate above the subsidy caps would be required </w:t>
      </w:r>
      <w:r w:rsidRPr="00695A45">
        <w:t xml:space="preserve">to achieve cost-effectiveness. The PBAC considered that the RSA should be based on </w:t>
      </w:r>
      <w:r w:rsidR="00106CE7" w:rsidRPr="00695A45">
        <w:t xml:space="preserve">the updated estimates and the assumed average </w:t>
      </w:r>
      <w:r w:rsidR="00106CE7" w:rsidRPr="000B1112">
        <w:t xml:space="preserve">of </w:t>
      </w:r>
      <w:r w:rsidR="00B905EC">
        <w:rPr>
          <w:noProof/>
          <w:color w:val="000000"/>
          <w:highlight w:val="black"/>
        </w:rPr>
        <w:t>'''</w:t>
      </w:r>
      <w:r w:rsidR="00106CE7" w:rsidRPr="000B1112">
        <w:t> doses per patient, as</w:t>
      </w:r>
      <w:r w:rsidR="00106CE7" w:rsidRPr="000B1112" w:rsidDel="00106CE7">
        <w:t xml:space="preserve"> </w:t>
      </w:r>
      <w:r w:rsidRPr="000B1112">
        <w:t>proposed in the minor resubmission</w:t>
      </w:r>
      <w:r w:rsidR="008D5D48" w:rsidRPr="000B1112">
        <w:t xml:space="preserve"> (as outlined in Table 5)</w:t>
      </w:r>
      <w:r w:rsidRPr="000B1112">
        <w:t>.</w:t>
      </w:r>
      <w:r w:rsidR="003A2F1A" w:rsidRPr="000B1112">
        <w:t xml:space="preserve"> The PBAC</w:t>
      </w:r>
      <w:r w:rsidR="003A2F1A" w:rsidRPr="00695A45">
        <w:t xml:space="preserve"> noted that if the use is lower than estimated in Table 4, then </w:t>
      </w:r>
      <w:proofErr w:type="spellStart"/>
      <w:r w:rsidR="003A2F1A" w:rsidRPr="00695A45">
        <w:t>atezolizumab</w:t>
      </w:r>
      <w:proofErr w:type="spellEnd"/>
      <w:r w:rsidR="003A2F1A" w:rsidRPr="00695A45">
        <w:t xml:space="preserve"> will not be acceptably cost-effective Thus</w:t>
      </w:r>
      <w:r w:rsidR="00935C68" w:rsidRPr="00695A45">
        <w:t xml:space="preserve">, the PBAC considered that actual utilisation for this indication </w:t>
      </w:r>
      <w:r w:rsidR="00CF7D9B" w:rsidRPr="00695A45">
        <w:t>s</w:t>
      </w:r>
      <w:r w:rsidR="00935C68" w:rsidRPr="00695A45">
        <w:t xml:space="preserve">hould be monitored to ensure that cost-effectiveness </w:t>
      </w:r>
      <w:r w:rsidR="008D5D48" w:rsidRPr="00695A45">
        <w:t>is</w:t>
      </w:r>
      <w:r w:rsidR="00935C68" w:rsidRPr="00695A45">
        <w:t xml:space="preserve"> reached</w:t>
      </w:r>
      <w:r w:rsidR="00106CE7" w:rsidRPr="00695A45">
        <w:t>, and that a method be agreed on to review utilisation</w:t>
      </w:r>
      <w:r w:rsidR="00232CC4">
        <w:t xml:space="preserve"> and the risk share agreement,</w:t>
      </w:r>
      <w:r w:rsidR="00106CE7" w:rsidRPr="00695A45">
        <w:t xml:space="preserve"> should expenditure not reach the levels expected in the submission</w:t>
      </w:r>
      <w:r w:rsidR="00935C68" w:rsidRPr="00695A45">
        <w:t>.</w:t>
      </w:r>
    </w:p>
    <w:p w:rsidR="00993A0B" w:rsidRPr="00695A45" w:rsidRDefault="0091244C" w:rsidP="0091244C">
      <w:pPr>
        <w:pStyle w:val="3Bodytext"/>
      </w:pPr>
      <w:r w:rsidRPr="00695A45">
        <w:t xml:space="preserve">The </w:t>
      </w:r>
      <w:r w:rsidR="00993A0B" w:rsidRPr="00695A45">
        <w:rPr>
          <w:rFonts w:eastAsia="Times New Roman" w:cs="Arial"/>
          <w:snapToGrid w:val="0"/>
          <w:szCs w:val="24"/>
        </w:rPr>
        <w:t xml:space="preserve">PBAC found that the criteria prescribed by the National Health (Pharmaceuticals and Vaccines – Cost Recovery) Regulations 2009 for Pricing Pathway A were not met. Specifically, the PBAC found that in the circumstances of its recommendation for </w:t>
      </w:r>
      <w:proofErr w:type="spellStart"/>
      <w:r w:rsidR="00993A0B" w:rsidRPr="00695A45">
        <w:rPr>
          <w:rFonts w:eastAsia="Times New Roman" w:cs="Arial"/>
          <w:snapToGrid w:val="0"/>
          <w:szCs w:val="24"/>
        </w:rPr>
        <w:t>atezolizumab</w:t>
      </w:r>
      <w:proofErr w:type="spellEnd"/>
      <w:r w:rsidR="00993A0B" w:rsidRPr="00695A45">
        <w:rPr>
          <w:rFonts w:eastAsia="Times New Roman" w:cs="Arial"/>
          <w:snapToGrid w:val="0"/>
          <w:szCs w:val="24"/>
        </w:rPr>
        <w:t>:</w:t>
      </w:r>
    </w:p>
    <w:p w:rsidR="00993A0B" w:rsidRPr="00695A45" w:rsidRDefault="00993A0B" w:rsidP="00243FAB">
      <w:pPr>
        <w:pStyle w:val="ListParagraph"/>
        <w:numPr>
          <w:ilvl w:val="0"/>
          <w:numId w:val="20"/>
        </w:numPr>
        <w:snapToGrid w:val="0"/>
        <w:rPr>
          <w:rFonts w:asciiTheme="minorHAnsi" w:hAnsiTheme="minorHAnsi"/>
          <w:snapToGrid/>
          <w:sz w:val="24"/>
          <w:szCs w:val="24"/>
        </w:rPr>
      </w:pPr>
      <w:r w:rsidRPr="00695A45">
        <w:rPr>
          <w:rFonts w:asciiTheme="minorHAnsi" w:hAnsiTheme="minorHAnsi"/>
          <w:sz w:val="24"/>
          <w:szCs w:val="24"/>
        </w:rPr>
        <w:t xml:space="preserve">The treatment is </w:t>
      </w:r>
      <w:r w:rsidR="00FE7FC3" w:rsidRPr="00695A45">
        <w:rPr>
          <w:rFonts w:asciiTheme="minorHAnsi" w:hAnsiTheme="minorHAnsi"/>
          <w:sz w:val="24"/>
          <w:szCs w:val="24"/>
        </w:rPr>
        <w:t xml:space="preserve">not </w:t>
      </w:r>
      <w:r w:rsidRPr="00695A45">
        <w:rPr>
          <w:rFonts w:asciiTheme="minorHAnsi" w:hAnsiTheme="minorHAnsi"/>
          <w:sz w:val="24"/>
          <w:szCs w:val="24"/>
        </w:rPr>
        <w:t>expected to provide a substantial and clinically relevant improvement in efficacy over alternative therapies</w:t>
      </w:r>
      <w:r w:rsidR="00A168A1" w:rsidRPr="00695A45">
        <w:rPr>
          <w:rFonts w:asciiTheme="minorHAnsi" w:hAnsiTheme="minorHAnsi"/>
          <w:sz w:val="24"/>
          <w:szCs w:val="24"/>
        </w:rPr>
        <w:t xml:space="preserve">. As outlined in Paragraph 6.6, </w:t>
      </w:r>
      <w:r w:rsidR="00243FAB" w:rsidRPr="00695A45">
        <w:rPr>
          <w:rFonts w:asciiTheme="minorHAnsi" w:hAnsiTheme="minorHAnsi"/>
          <w:sz w:val="24"/>
          <w:szCs w:val="24"/>
        </w:rPr>
        <w:t>the PBAC considered that the magnitude and durability of the benefit were uncertain</w:t>
      </w:r>
      <w:r w:rsidRPr="00695A45">
        <w:rPr>
          <w:rFonts w:asciiTheme="minorHAnsi" w:hAnsiTheme="minorHAnsi"/>
          <w:sz w:val="24"/>
          <w:szCs w:val="24"/>
        </w:rPr>
        <w:t xml:space="preserve">; </w:t>
      </w:r>
    </w:p>
    <w:p w:rsidR="00993A0B" w:rsidRPr="00695A45" w:rsidRDefault="00993A0B" w:rsidP="00993A0B">
      <w:pPr>
        <w:pStyle w:val="3Bodytext"/>
        <w:numPr>
          <w:ilvl w:val="0"/>
          <w:numId w:val="20"/>
        </w:numPr>
        <w:spacing w:after="0"/>
        <w:rPr>
          <w:rFonts w:eastAsia="Times New Roman" w:cs="Arial"/>
          <w:snapToGrid w:val="0"/>
          <w:szCs w:val="24"/>
        </w:rPr>
      </w:pPr>
      <w:r w:rsidRPr="00695A45">
        <w:rPr>
          <w:rFonts w:eastAsia="Times New Roman" w:cs="Arial"/>
          <w:snapToGrid w:val="0"/>
          <w:szCs w:val="24"/>
        </w:rPr>
        <w:t>The treatment is expected to address a high and urgent unmet clinical need;</w:t>
      </w:r>
    </w:p>
    <w:p w:rsidR="00993A0B" w:rsidRPr="00695A45" w:rsidRDefault="00993A0B" w:rsidP="00993A0B">
      <w:pPr>
        <w:pStyle w:val="3Bodytext"/>
        <w:numPr>
          <w:ilvl w:val="0"/>
          <w:numId w:val="20"/>
        </w:numPr>
        <w:rPr>
          <w:rFonts w:eastAsia="Times New Roman" w:cs="Arial"/>
          <w:snapToGrid w:val="0"/>
          <w:szCs w:val="24"/>
        </w:rPr>
      </w:pPr>
      <w:r w:rsidRPr="00695A45">
        <w:rPr>
          <w:rFonts w:eastAsia="Times New Roman" w:cs="Arial"/>
          <w:snapToGrid w:val="0"/>
          <w:szCs w:val="24"/>
        </w:rPr>
        <w:lastRenderedPageBreak/>
        <w:t>It was not necessary to make a finding in relation to whether it would be in the public interest for the subsequent pricing application to be progressed under Pricing Pathway A because one or more of the preceding tests had failed.</w:t>
      </w:r>
    </w:p>
    <w:p w:rsidR="00993A0B" w:rsidRPr="00695A45" w:rsidRDefault="00993A0B" w:rsidP="00993A0B">
      <w:pPr>
        <w:pStyle w:val="3Bodytext"/>
      </w:pPr>
      <w:proofErr w:type="spellStart"/>
      <w:r w:rsidRPr="00695A45">
        <w:rPr>
          <w:rFonts w:cs="Arial"/>
          <w:snapToGrid w:val="0"/>
        </w:rPr>
        <w:t>Atezolizumab</w:t>
      </w:r>
      <w:proofErr w:type="spellEnd"/>
      <w:r w:rsidRPr="00695A45">
        <w:rPr>
          <w:rFonts w:cs="Arial"/>
          <w:snapToGrid w:val="0"/>
        </w:rPr>
        <w:t xml:space="preserve"> is not suitable for prescribing by nurse practitioners as antineoplastic agents are currently considered to be out of scope for prescribing by nurse practitioners.</w:t>
      </w:r>
    </w:p>
    <w:p w:rsidR="0056139A" w:rsidRPr="00695A45" w:rsidRDefault="00D752C2" w:rsidP="00234F48">
      <w:pPr>
        <w:pStyle w:val="3Bodytext"/>
        <w:rPr>
          <w:rFonts w:cstheme="minorHAnsi"/>
          <w:bCs/>
          <w:snapToGrid w:val="0"/>
        </w:rPr>
      </w:pPr>
      <w:r w:rsidRPr="00695A45">
        <w:rPr>
          <w:rFonts w:cstheme="minorHAnsi"/>
          <w:bCs/>
          <w:snapToGrid w:val="0"/>
        </w:rPr>
        <w:t>The PBAC recommended that the Early Supply Rule should not apply</w:t>
      </w:r>
      <w:r w:rsidR="006D0091" w:rsidRPr="00695A45">
        <w:rPr>
          <w:rFonts w:cstheme="minorHAnsi"/>
          <w:bCs/>
          <w:snapToGrid w:val="0"/>
        </w:rPr>
        <w:t xml:space="preserve"> to </w:t>
      </w:r>
      <w:proofErr w:type="spellStart"/>
      <w:r w:rsidR="006D0091" w:rsidRPr="00695A45">
        <w:rPr>
          <w:rFonts w:cstheme="minorHAnsi"/>
          <w:bCs/>
          <w:snapToGrid w:val="0"/>
        </w:rPr>
        <w:t>atezolizumab</w:t>
      </w:r>
      <w:proofErr w:type="spellEnd"/>
      <w:r w:rsidRPr="00695A45">
        <w:rPr>
          <w:rFonts w:cstheme="minorHAnsi"/>
          <w:bCs/>
          <w:snapToGrid w:val="0"/>
        </w:rPr>
        <w:t>.</w:t>
      </w:r>
    </w:p>
    <w:p w:rsidR="00667DAB" w:rsidRPr="00695A45" w:rsidRDefault="0056139A" w:rsidP="008D5D48">
      <w:pPr>
        <w:pStyle w:val="3Bodytext"/>
        <w:rPr>
          <w:rFonts w:cstheme="minorHAnsi"/>
          <w:bCs/>
          <w:snapToGrid w:val="0"/>
        </w:rPr>
      </w:pPr>
      <w:r w:rsidRPr="00695A45">
        <w:rPr>
          <w:rFonts w:cstheme="minorHAnsi"/>
          <w:snapToGrid w:val="0"/>
        </w:rPr>
        <w:t xml:space="preserve">The PBAC </w:t>
      </w:r>
      <w:r w:rsidR="008D5D48" w:rsidRPr="00695A45">
        <w:rPr>
          <w:rFonts w:eastAsia="Times New Roman" w:cstheme="minorHAnsi"/>
          <w:snapToGrid w:val="0"/>
          <w:szCs w:val="24"/>
          <w:lang w:eastAsia="en-AU"/>
        </w:rPr>
        <w:t>did not recommend</w:t>
      </w:r>
      <w:r w:rsidRPr="00695A45">
        <w:rPr>
          <w:rFonts w:cstheme="minorHAnsi"/>
          <w:snapToGrid w:val="0"/>
        </w:rPr>
        <w:t xml:space="preserve"> that </w:t>
      </w:r>
      <w:proofErr w:type="spellStart"/>
      <w:r w:rsidRPr="00695A45">
        <w:rPr>
          <w:rFonts w:cstheme="minorHAnsi"/>
          <w:bCs/>
          <w:snapToGrid w:val="0"/>
        </w:rPr>
        <w:t>atezolizumab</w:t>
      </w:r>
      <w:proofErr w:type="spellEnd"/>
      <w:r w:rsidRPr="00695A45">
        <w:rPr>
          <w:rFonts w:cstheme="minorHAnsi"/>
          <w:snapToGrid w:val="0"/>
        </w:rPr>
        <w:t xml:space="preserve"> should be treated as interchangeable on an individual patient basis with any other drugs</w:t>
      </w:r>
      <w:r w:rsidRPr="00695A45">
        <w:rPr>
          <w:rFonts w:cstheme="minorHAnsi"/>
        </w:rPr>
        <w:t>.</w:t>
      </w:r>
    </w:p>
    <w:p w:rsidR="00D752C2" w:rsidRPr="00695A45" w:rsidRDefault="00D752C2" w:rsidP="00D752C2">
      <w:pPr>
        <w:spacing w:before="240"/>
        <w:jc w:val="both"/>
        <w:rPr>
          <w:rFonts w:asciiTheme="minorHAnsi" w:hAnsiTheme="minorHAnsi" w:cs="Arial"/>
          <w:b/>
          <w:bCs/>
          <w:snapToGrid w:val="0"/>
        </w:rPr>
      </w:pPr>
      <w:r w:rsidRPr="00695A45">
        <w:rPr>
          <w:rFonts w:asciiTheme="minorHAnsi" w:hAnsiTheme="minorHAnsi" w:cs="Arial"/>
          <w:b/>
          <w:bCs/>
          <w:snapToGrid w:val="0"/>
        </w:rPr>
        <w:t>Outcome:</w:t>
      </w:r>
    </w:p>
    <w:p w:rsidR="00D752C2" w:rsidRPr="00695A45" w:rsidRDefault="00D752C2" w:rsidP="009E378A">
      <w:pPr>
        <w:jc w:val="both"/>
        <w:rPr>
          <w:rFonts w:asciiTheme="minorHAnsi" w:hAnsiTheme="minorHAnsi" w:cs="Arial"/>
          <w:bCs/>
          <w:snapToGrid w:val="0"/>
        </w:rPr>
      </w:pPr>
      <w:r w:rsidRPr="00695A45">
        <w:rPr>
          <w:rFonts w:asciiTheme="minorHAnsi" w:hAnsiTheme="minorHAnsi" w:cs="Arial"/>
          <w:bCs/>
          <w:snapToGrid w:val="0"/>
        </w:rPr>
        <w:t xml:space="preserve">Recommended </w:t>
      </w:r>
    </w:p>
    <w:p w:rsidR="00A76CDF" w:rsidRPr="00695A45" w:rsidRDefault="00A76CDF" w:rsidP="00816867">
      <w:pPr>
        <w:spacing w:after="120"/>
        <w:jc w:val="both"/>
        <w:rPr>
          <w:rFonts w:asciiTheme="minorHAnsi" w:hAnsiTheme="minorHAnsi" w:cs="Arial"/>
          <w:bCs/>
          <w:snapToGrid w:val="0"/>
        </w:rPr>
      </w:pPr>
    </w:p>
    <w:p w:rsidR="0021308A" w:rsidRDefault="0021308A">
      <w:pPr>
        <w:rPr>
          <w:rFonts w:asciiTheme="minorHAnsi" w:hAnsiTheme="minorHAnsi" w:cs="Arial"/>
          <w:b/>
          <w:snapToGrid w:val="0"/>
          <w:sz w:val="32"/>
          <w:szCs w:val="32"/>
          <w:lang w:eastAsia="en-US"/>
        </w:rPr>
      </w:pPr>
      <w:r>
        <w:br w:type="page"/>
      </w:r>
    </w:p>
    <w:p w:rsidR="00D752C2" w:rsidRPr="00695A45" w:rsidRDefault="00D752C2" w:rsidP="00D752C2">
      <w:pPr>
        <w:pStyle w:val="2Sections"/>
      </w:pPr>
      <w:r w:rsidRPr="00695A45">
        <w:lastRenderedPageBreak/>
        <w:t>Recommended listing</w:t>
      </w:r>
    </w:p>
    <w:p w:rsidR="00D752C2" w:rsidRPr="00695A45" w:rsidRDefault="00D752C2" w:rsidP="005B28A5">
      <w:pPr>
        <w:widowControl w:val="0"/>
        <w:numPr>
          <w:ilvl w:val="1"/>
          <w:numId w:val="1"/>
        </w:numPr>
        <w:spacing w:after="120"/>
        <w:jc w:val="both"/>
        <w:rPr>
          <w:rFonts w:asciiTheme="minorHAnsi" w:hAnsiTheme="minorHAnsi" w:cs="Arial"/>
          <w:bCs/>
          <w:snapToGrid w:val="0"/>
        </w:rPr>
      </w:pPr>
      <w:r w:rsidRPr="00695A45">
        <w:rPr>
          <w:rFonts w:asciiTheme="minorHAnsi" w:hAnsiTheme="minorHAnsi" w:cs="Arial"/>
          <w:bCs/>
          <w:snapToGrid w:val="0"/>
        </w:rPr>
        <w:t>Add new item: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7"/>
        <w:gridCol w:w="130"/>
        <w:gridCol w:w="2127"/>
        <w:gridCol w:w="2257"/>
        <w:gridCol w:w="2257"/>
      </w:tblGrid>
      <w:tr w:rsidR="008330AB" w:rsidRPr="00695A45" w:rsidTr="000F5737">
        <w:trPr>
          <w:cantSplit/>
          <w:trHeight w:val="463"/>
        </w:trPr>
        <w:tc>
          <w:tcPr>
            <w:tcW w:w="1250" w:type="pct"/>
            <w:tcBorders>
              <w:top w:val="single" w:sz="4" w:space="0" w:color="auto"/>
              <w:left w:val="nil"/>
              <w:bottom w:val="single" w:sz="4" w:space="0" w:color="auto"/>
              <w:right w:val="nil"/>
            </w:tcBorders>
            <w:vAlign w:val="center"/>
          </w:tcPr>
          <w:p w:rsidR="008330AB" w:rsidRPr="00695A45" w:rsidRDefault="008330AB" w:rsidP="000F5737">
            <w:pPr>
              <w:keepNext/>
              <w:keepLines/>
              <w:rPr>
                <w:rFonts w:ascii="Arial Narrow" w:hAnsi="Arial Narrow"/>
                <w:b/>
                <w:bCs/>
                <w:sz w:val="20"/>
                <w:szCs w:val="20"/>
              </w:rPr>
            </w:pPr>
            <w:r w:rsidRPr="00695A45">
              <w:rPr>
                <w:rFonts w:ascii="Arial Narrow" w:hAnsi="Arial Narrow"/>
                <w:b/>
                <w:bCs/>
                <w:sz w:val="20"/>
                <w:szCs w:val="20"/>
              </w:rPr>
              <w:t>Name, Restriction,</w:t>
            </w:r>
          </w:p>
          <w:p w:rsidR="008330AB" w:rsidRPr="00695A45" w:rsidRDefault="008330AB" w:rsidP="000F5737">
            <w:pPr>
              <w:keepNext/>
              <w:keepLines/>
              <w:rPr>
                <w:rFonts w:ascii="Arial Narrow" w:hAnsi="Arial Narrow"/>
                <w:b/>
                <w:bCs/>
                <w:sz w:val="20"/>
                <w:szCs w:val="20"/>
              </w:rPr>
            </w:pPr>
            <w:r w:rsidRPr="00695A45">
              <w:rPr>
                <w:rFonts w:ascii="Arial Narrow" w:hAnsi="Arial Narrow"/>
                <w:b/>
                <w:bCs/>
                <w:sz w:val="20"/>
                <w:szCs w:val="20"/>
              </w:rPr>
              <w:t>Manner of administration and form</w:t>
            </w:r>
          </w:p>
        </w:tc>
        <w:tc>
          <w:tcPr>
            <w:tcW w:w="1250" w:type="pct"/>
            <w:gridSpan w:val="2"/>
            <w:tcBorders>
              <w:top w:val="single" w:sz="4" w:space="0" w:color="auto"/>
              <w:left w:val="nil"/>
              <w:bottom w:val="single" w:sz="4" w:space="0" w:color="auto"/>
              <w:right w:val="nil"/>
            </w:tcBorders>
            <w:vAlign w:val="center"/>
          </w:tcPr>
          <w:p w:rsidR="008330AB" w:rsidRPr="00695A45" w:rsidRDefault="008330AB" w:rsidP="000F5737">
            <w:pPr>
              <w:keepNext/>
              <w:keepLines/>
              <w:jc w:val="center"/>
              <w:rPr>
                <w:rFonts w:ascii="Arial Narrow" w:hAnsi="Arial Narrow"/>
                <w:b/>
                <w:bCs/>
                <w:sz w:val="20"/>
                <w:szCs w:val="20"/>
              </w:rPr>
            </w:pPr>
            <w:r w:rsidRPr="00695A45">
              <w:rPr>
                <w:rFonts w:ascii="Arial Narrow" w:hAnsi="Arial Narrow"/>
                <w:b/>
                <w:bCs/>
                <w:sz w:val="20"/>
                <w:szCs w:val="20"/>
              </w:rPr>
              <w:t xml:space="preserve">Max </w:t>
            </w:r>
            <w:proofErr w:type="spellStart"/>
            <w:r w:rsidRPr="00695A45">
              <w:rPr>
                <w:rFonts w:ascii="Arial Narrow" w:hAnsi="Arial Narrow"/>
                <w:b/>
                <w:bCs/>
                <w:sz w:val="20"/>
                <w:szCs w:val="20"/>
              </w:rPr>
              <w:t>Amt</w:t>
            </w:r>
            <w:proofErr w:type="spellEnd"/>
          </w:p>
        </w:tc>
        <w:tc>
          <w:tcPr>
            <w:tcW w:w="1250" w:type="pct"/>
            <w:tcBorders>
              <w:top w:val="single" w:sz="4" w:space="0" w:color="auto"/>
              <w:left w:val="nil"/>
              <w:bottom w:val="single" w:sz="4" w:space="0" w:color="auto"/>
              <w:right w:val="nil"/>
            </w:tcBorders>
            <w:vAlign w:val="center"/>
          </w:tcPr>
          <w:p w:rsidR="008330AB" w:rsidRPr="00695A45" w:rsidRDefault="008330AB" w:rsidP="000F5737">
            <w:pPr>
              <w:keepNext/>
              <w:keepLines/>
              <w:jc w:val="center"/>
              <w:rPr>
                <w:rFonts w:ascii="Arial Narrow" w:hAnsi="Arial Narrow"/>
                <w:b/>
                <w:bCs/>
                <w:sz w:val="20"/>
                <w:szCs w:val="20"/>
              </w:rPr>
            </w:pPr>
            <w:r w:rsidRPr="00695A45">
              <w:rPr>
                <w:rFonts w:ascii="Arial Narrow" w:hAnsi="Arial Narrow"/>
                <w:b/>
                <w:bCs/>
                <w:sz w:val="20"/>
                <w:szCs w:val="20"/>
              </w:rPr>
              <w:t>№.of</w:t>
            </w:r>
          </w:p>
          <w:p w:rsidR="008330AB" w:rsidRPr="00695A45" w:rsidRDefault="008330AB" w:rsidP="000F5737">
            <w:pPr>
              <w:keepNext/>
              <w:keepLines/>
              <w:jc w:val="center"/>
              <w:rPr>
                <w:rFonts w:ascii="Arial Narrow" w:hAnsi="Arial Narrow"/>
                <w:b/>
                <w:bCs/>
                <w:sz w:val="20"/>
                <w:szCs w:val="20"/>
              </w:rPr>
            </w:pPr>
            <w:proofErr w:type="spellStart"/>
            <w:r w:rsidRPr="00695A45">
              <w:rPr>
                <w:rFonts w:ascii="Arial Narrow" w:hAnsi="Arial Narrow"/>
                <w:b/>
                <w:bCs/>
                <w:sz w:val="20"/>
                <w:szCs w:val="20"/>
              </w:rPr>
              <w:t>Rpts</w:t>
            </w:r>
            <w:proofErr w:type="spellEnd"/>
          </w:p>
        </w:tc>
        <w:tc>
          <w:tcPr>
            <w:tcW w:w="1250" w:type="pct"/>
            <w:tcBorders>
              <w:top w:val="single" w:sz="4" w:space="0" w:color="auto"/>
              <w:left w:val="nil"/>
              <w:bottom w:val="single" w:sz="4" w:space="0" w:color="auto"/>
              <w:right w:val="nil"/>
            </w:tcBorders>
            <w:vAlign w:val="center"/>
          </w:tcPr>
          <w:p w:rsidR="008330AB" w:rsidRPr="00695A45" w:rsidRDefault="008330AB" w:rsidP="000F5737">
            <w:pPr>
              <w:keepNext/>
              <w:keepLines/>
              <w:rPr>
                <w:rFonts w:ascii="Arial Narrow" w:hAnsi="Arial Narrow"/>
                <w:b/>
                <w:bCs/>
                <w:sz w:val="20"/>
                <w:szCs w:val="20"/>
              </w:rPr>
            </w:pPr>
            <w:r w:rsidRPr="00695A45">
              <w:rPr>
                <w:rFonts w:ascii="Arial Narrow" w:hAnsi="Arial Narrow"/>
                <w:b/>
                <w:bCs/>
                <w:sz w:val="20"/>
                <w:szCs w:val="20"/>
              </w:rPr>
              <w:t>Proprietary Name and Manufacturer</w:t>
            </w:r>
          </w:p>
        </w:tc>
      </w:tr>
      <w:tr w:rsidR="008330AB" w:rsidRPr="00695A45" w:rsidTr="000F5737">
        <w:trPr>
          <w:cantSplit/>
          <w:trHeight w:val="567"/>
        </w:trPr>
        <w:tc>
          <w:tcPr>
            <w:tcW w:w="1250" w:type="pct"/>
            <w:tcBorders>
              <w:top w:val="single" w:sz="4" w:space="0" w:color="auto"/>
              <w:left w:val="nil"/>
              <w:bottom w:val="nil"/>
              <w:right w:val="nil"/>
            </w:tcBorders>
          </w:tcPr>
          <w:p w:rsidR="008330AB" w:rsidRPr="00695A45" w:rsidRDefault="008330AB" w:rsidP="000F5737">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1250" w:type="pct"/>
            <w:gridSpan w:val="2"/>
            <w:tcBorders>
              <w:top w:val="single" w:sz="4" w:space="0" w:color="auto"/>
              <w:left w:val="nil"/>
              <w:bottom w:val="nil"/>
              <w:right w:val="nil"/>
            </w:tcBorders>
          </w:tcPr>
          <w:p w:rsidR="008330AB" w:rsidRPr="00695A45" w:rsidRDefault="008330AB" w:rsidP="000F5737">
            <w:pPr>
              <w:keepNext/>
              <w:keepLines/>
              <w:jc w:val="center"/>
              <w:rPr>
                <w:rFonts w:ascii="Arial Narrow" w:hAnsi="Arial Narrow"/>
                <w:sz w:val="20"/>
                <w:szCs w:val="20"/>
              </w:rPr>
            </w:pPr>
            <w:r w:rsidRPr="00695A45">
              <w:rPr>
                <w:rFonts w:ascii="Arial Narrow" w:hAnsi="Arial Narrow"/>
                <w:sz w:val="20"/>
                <w:szCs w:val="20"/>
              </w:rPr>
              <w:t>1,200 mg</w:t>
            </w:r>
          </w:p>
        </w:tc>
        <w:tc>
          <w:tcPr>
            <w:tcW w:w="1250" w:type="pct"/>
            <w:tcBorders>
              <w:top w:val="single" w:sz="4" w:space="0" w:color="auto"/>
              <w:left w:val="nil"/>
              <w:bottom w:val="nil"/>
              <w:right w:val="nil"/>
            </w:tcBorders>
          </w:tcPr>
          <w:p w:rsidR="008330AB" w:rsidRPr="00695A45" w:rsidRDefault="008330AB" w:rsidP="000F5737">
            <w:pPr>
              <w:keepNext/>
              <w:keepLines/>
              <w:jc w:val="center"/>
              <w:rPr>
                <w:rFonts w:ascii="Arial Narrow" w:hAnsi="Arial Narrow"/>
                <w:sz w:val="20"/>
                <w:szCs w:val="20"/>
              </w:rPr>
            </w:pPr>
            <w:r w:rsidRPr="00695A45">
              <w:rPr>
                <w:rFonts w:ascii="Arial Narrow" w:hAnsi="Arial Narrow"/>
                <w:sz w:val="20"/>
                <w:szCs w:val="20"/>
              </w:rPr>
              <w:t>3</w:t>
            </w:r>
          </w:p>
        </w:tc>
        <w:tc>
          <w:tcPr>
            <w:tcW w:w="1250" w:type="pct"/>
            <w:tcBorders>
              <w:top w:val="single" w:sz="4" w:space="0" w:color="auto"/>
              <w:left w:val="nil"/>
              <w:bottom w:val="nil"/>
              <w:right w:val="nil"/>
            </w:tcBorders>
          </w:tcPr>
          <w:p w:rsidR="008330AB" w:rsidRPr="00695A45" w:rsidRDefault="008330AB" w:rsidP="000F5737">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Category / Program</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Section 100 – Efficient funding of Chemotherapy</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Private Hospital/Private Clinic Authority Required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Public Hospital Authority Required</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Prescriber type:</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Dental  </w:t>
            </w:r>
            <w:r w:rsidRPr="00695A45">
              <w:rPr>
                <w:rFonts w:ascii="Arial Narrow" w:hAnsi="Arial Narrow"/>
                <w:sz w:val="20"/>
                <w:szCs w:val="20"/>
              </w:rPr>
              <w:fldChar w:fldCharType="begin">
                <w:ffData>
                  <w:name w:val=""/>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Medical Practitioners  </w:t>
            </w: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Nurse practitioners  </w:t>
            </w: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Optometrists</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Midwives</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Episodicity:</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trike/>
                <w:sz w:val="20"/>
                <w:szCs w:val="20"/>
              </w:rPr>
            </w:pP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Severity:</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i/>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Condition:</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Small cell carcinoma of lung [24247 draft, preferred SNOMED term]</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PBS Indication:</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Treatment phase:</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Initial treatment</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Restriction:</w:t>
            </w:r>
          </w:p>
          <w:p w:rsidR="003C47AC" w:rsidRPr="00695A45" w:rsidRDefault="003C47AC" w:rsidP="00811A3B">
            <w:pPr>
              <w:keepNext/>
              <w:keepLines/>
              <w:rPr>
                <w:rFonts w:ascii="Arial Narrow" w:hAnsi="Arial Narrow"/>
                <w:sz w:val="20"/>
                <w:szCs w:val="20"/>
              </w:rPr>
            </w:pP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Clinical criteria:</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The condition must be previously untreated [8594],</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 xml:space="preserve">Patient must have </w:t>
            </w:r>
            <w:r w:rsidRPr="00695A45">
              <w:rPr>
                <w:rFonts w:ascii="Arial Narrow" w:hAnsi="Arial Narrow"/>
                <w:i/>
                <w:sz w:val="20"/>
                <w:szCs w:val="20"/>
              </w:rPr>
              <w:t>a</w:t>
            </w:r>
            <w:r w:rsidRPr="00695A45">
              <w:rPr>
                <w:rFonts w:ascii="Arial Narrow" w:hAnsi="Arial Narrow"/>
                <w:sz w:val="20"/>
                <w:szCs w:val="20"/>
              </w:rPr>
              <w:t xml:space="preserve"> WHO performance status of 0 or 1 [10859],</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strike/>
                <w:sz w:val="20"/>
                <w:szCs w:val="20"/>
              </w:rPr>
            </w:pPr>
            <w:r w:rsidRPr="00695A45">
              <w:rPr>
                <w:rFonts w:ascii="Arial Narrow" w:hAnsi="Arial Narrow"/>
                <w:sz w:val="20"/>
                <w:szCs w:val="20"/>
              </w:rPr>
              <w:t xml:space="preserve">The treatment must be in combination with </w:t>
            </w:r>
            <w:r w:rsidR="00310A12" w:rsidRPr="00310A12">
              <w:rPr>
                <w:rFonts w:ascii="Arial Narrow" w:hAnsi="Arial Narrow"/>
                <w:sz w:val="20"/>
                <w:szCs w:val="20"/>
              </w:rPr>
              <w:t>etoposide and a platinum-based antineoplastic</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64"/>
        </w:trPr>
        <w:tc>
          <w:tcPr>
            <w:tcW w:w="1322"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Administrative advice</w:t>
            </w:r>
          </w:p>
        </w:tc>
        <w:tc>
          <w:tcPr>
            <w:tcW w:w="3678"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 [7606].</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number of repeats may be authorised [7607].</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Special Pricing Arrangements apply [7608].</w:t>
            </w:r>
          </w:p>
        </w:tc>
      </w:tr>
    </w:tbl>
    <w:p w:rsidR="003C47AC" w:rsidRPr="00695A45" w:rsidRDefault="003C47AC" w:rsidP="003C47AC"/>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
        <w:gridCol w:w="2247"/>
        <w:gridCol w:w="418"/>
        <w:gridCol w:w="1828"/>
        <w:gridCol w:w="2247"/>
        <w:gridCol w:w="2247"/>
        <w:gridCol w:w="6"/>
      </w:tblGrid>
      <w:tr w:rsidR="0058155A" w:rsidRPr="00695A45" w:rsidTr="000F5737">
        <w:trPr>
          <w:gridBefore w:val="1"/>
          <w:gridAfter w:val="1"/>
          <w:wBefore w:w="13" w:type="pct"/>
          <w:wAfter w:w="4" w:type="pct"/>
          <w:cantSplit/>
          <w:trHeight w:val="463"/>
        </w:trPr>
        <w:tc>
          <w:tcPr>
            <w:tcW w:w="1245" w:type="pct"/>
            <w:tcBorders>
              <w:top w:val="single" w:sz="4" w:space="0" w:color="auto"/>
              <w:left w:val="nil"/>
              <w:bottom w:val="single" w:sz="4" w:space="0" w:color="auto"/>
              <w:right w:val="nil"/>
            </w:tcBorders>
            <w:vAlign w:val="center"/>
          </w:tcPr>
          <w:p w:rsidR="0058155A" w:rsidRPr="00695A45" w:rsidRDefault="0058155A" w:rsidP="00811A3B">
            <w:pPr>
              <w:keepNext/>
              <w:keepLines/>
              <w:rPr>
                <w:rFonts w:ascii="Arial Narrow" w:hAnsi="Arial Narrow"/>
                <w:b/>
                <w:sz w:val="20"/>
              </w:rPr>
            </w:pPr>
            <w:r w:rsidRPr="00695A45">
              <w:rPr>
                <w:rFonts w:ascii="Arial Narrow" w:hAnsi="Arial Narrow"/>
                <w:b/>
                <w:sz w:val="20"/>
              </w:rPr>
              <w:lastRenderedPageBreak/>
              <w:t>Name, Restriction,</w:t>
            </w:r>
          </w:p>
          <w:p w:rsidR="0058155A" w:rsidRPr="00695A45" w:rsidRDefault="0058155A" w:rsidP="00811A3B">
            <w:pPr>
              <w:keepNext/>
              <w:keepLines/>
              <w:rPr>
                <w:rFonts w:ascii="Arial Narrow" w:hAnsi="Arial Narrow"/>
                <w:b/>
                <w:sz w:val="20"/>
              </w:rPr>
            </w:pPr>
            <w:r w:rsidRPr="00695A45">
              <w:rPr>
                <w:rFonts w:ascii="Arial Narrow" w:hAnsi="Arial Narrow"/>
                <w:b/>
                <w:sz w:val="20"/>
              </w:rPr>
              <w:t>Manner of administration and form</w:t>
            </w:r>
          </w:p>
        </w:tc>
        <w:tc>
          <w:tcPr>
            <w:tcW w:w="1246" w:type="pct"/>
            <w:gridSpan w:val="2"/>
            <w:tcBorders>
              <w:top w:val="single" w:sz="4" w:space="0" w:color="auto"/>
              <w:left w:val="nil"/>
              <w:bottom w:val="single" w:sz="4" w:space="0" w:color="auto"/>
              <w:right w:val="nil"/>
            </w:tcBorders>
            <w:vAlign w:val="center"/>
          </w:tcPr>
          <w:p w:rsidR="0058155A" w:rsidRPr="00695A45" w:rsidRDefault="0058155A" w:rsidP="00811A3B">
            <w:pPr>
              <w:keepNext/>
              <w:keepLines/>
              <w:jc w:val="center"/>
              <w:rPr>
                <w:rFonts w:ascii="Arial Narrow" w:hAnsi="Arial Narrow"/>
                <w:b/>
                <w:sz w:val="20"/>
              </w:rPr>
            </w:pPr>
            <w:r w:rsidRPr="00695A45">
              <w:rPr>
                <w:rFonts w:ascii="Arial Narrow" w:hAnsi="Arial Narrow"/>
                <w:b/>
                <w:sz w:val="20"/>
              </w:rPr>
              <w:t xml:space="preserve">Max </w:t>
            </w:r>
            <w:proofErr w:type="spellStart"/>
            <w:r w:rsidRPr="00695A45">
              <w:rPr>
                <w:rFonts w:ascii="Arial Narrow" w:hAnsi="Arial Narrow"/>
                <w:b/>
                <w:sz w:val="20"/>
              </w:rPr>
              <w:t>Amt</w:t>
            </w:r>
            <w:proofErr w:type="spellEnd"/>
          </w:p>
        </w:tc>
        <w:tc>
          <w:tcPr>
            <w:tcW w:w="1246" w:type="pct"/>
            <w:tcBorders>
              <w:top w:val="single" w:sz="4" w:space="0" w:color="auto"/>
              <w:left w:val="nil"/>
              <w:bottom w:val="single" w:sz="4" w:space="0" w:color="auto"/>
              <w:right w:val="nil"/>
            </w:tcBorders>
            <w:vAlign w:val="center"/>
          </w:tcPr>
          <w:p w:rsidR="0058155A" w:rsidRPr="00695A45" w:rsidRDefault="0058155A" w:rsidP="00811A3B">
            <w:pPr>
              <w:keepNext/>
              <w:keepLines/>
              <w:jc w:val="center"/>
              <w:rPr>
                <w:rFonts w:ascii="Arial Narrow" w:hAnsi="Arial Narrow"/>
                <w:b/>
                <w:sz w:val="20"/>
              </w:rPr>
            </w:pPr>
            <w:r w:rsidRPr="00695A45">
              <w:rPr>
                <w:rFonts w:ascii="Arial Narrow" w:hAnsi="Arial Narrow"/>
                <w:b/>
                <w:sz w:val="20"/>
              </w:rPr>
              <w:t>№.of</w:t>
            </w:r>
          </w:p>
          <w:p w:rsidR="0058155A" w:rsidRPr="00695A45" w:rsidRDefault="0058155A" w:rsidP="00811A3B">
            <w:pPr>
              <w:keepNext/>
              <w:keepLines/>
              <w:jc w:val="center"/>
              <w:rPr>
                <w:rFonts w:ascii="Arial Narrow" w:hAnsi="Arial Narrow"/>
                <w:b/>
                <w:sz w:val="20"/>
              </w:rPr>
            </w:pPr>
            <w:proofErr w:type="spellStart"/>
            <w:r w:rsidRPr="00695A45">
              <w:rPr>
                <w:rFonts w:ascii="Arial Narrow" w:hAnsi="Arial Narrow"/>
                <w:b/>
                <w:sz w:val="20"/>
              </w:rPr>
              <w:t>Rpts</w:t>
            </w:r>
            <w:proofErr w:type="spellEnd"/>
          </w:p>
        </w:tc>
        <w:tc>
          <w:tcPr>
            <w:tcW w:w="1246" w:type="pct"/>
            <w:tcBorders>
              <w:top w:val="single" w:sz="4" w:space="0" w:color="auto"/>
              <w:left w:val="nil"/>
              <w:bottom w:val="single" w:sz="4" w:space="0" w:color="auto"/>
              <w:right w:val="nil"/>
            </w:tcBorders>
            <w:vAlign w:val="center"/>
          </w:tcPr>
          <w:p w:rsidR="0058155A" w:rsidRPr="00695A45" w:rsidRDefault="0058155A" w:rsidP="00811A3B">
            <w:pPr>
              <w:keepNext/>
              <w:keepLines/>
              <w:rPr>
                <w:rFonts w:ascii="Arial Narrow" w:hAnsi="Arial Narrow"/>
                <w:b/>
                <w:sz w:val="20"/>
              </w:rPr>
            </w:pPr>
            <w:r w:rsidRPr="00695A45">
              <w:rPr>
                <w:rFonts w:ascii="Arial Narrow" w:hAnsi="Arial Narrow"/>
                <w:b/>
                <w:sz w:val="20"/>
              </w:rPr>
              <w:t>Proprietary Name and Manufacturer</w:t>
            </w:r>
          </w:p>
        </w:tc>
      </w:tr>
      <w:tr w:rsidR="0058155A" w:rsidRPr="00695A45" w:rsidTr="000F5737">
        <w:trPr>
          <w:gridBefore w:val="1"/>
          <w:gridAfter w:val="1"/>
          <w:wBefore w:w="13" w:type="pct"/>
          <w:wAfter w:w="4" w:type="pct"/>
          <w:cantSplit/>
          <w:trHeight w:val="567"/>
        </w:trPr>
        <w:tc>
          <w:tcPr>
            <w:tcW w:w="1246" w:type="pct"/>
            <w:tcBorders>
              <w:top w:val="single" w:sz="4" w:space="0" w:color="auto"/>
              <w:left w:val="nil"/>
              <w:bottom w:val="nil"/>
              <w:right w:val="nil"/>
            </w:tcBorders>
          </w:tcPr>
          <w:p w:rsidR="0058155A" w:rsidRPr="00695A45" w:rsidRDefault="0058155A" w:rsidP="00811A3B">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1246" w:type="pct"/>
            <w:gridSpan w:val="2"/>
            <w:tcBorders>
              <w:top w:val="single" w:sz="4" w:space="0" w:color="auto"/>
              <w:left w:val="nil"/>
              <w:bottom w:val="nil"/>
              <w:right w:val="nil"/>
            </w:tcBorders>
          </w:tcPr>
          <w:p w:rsidR="0058155A" w:rsidRPr="00695A45" w:rsidRDefault="0058155A" w:rsidP="00811A3B">
            <w:pPr>
              <w:keepNext/>
              <w:keepLines/>
              <w:jc w:val="center"/>
              <w:rPr>
                <w:rFonts w:ascii="Arial Narrow" w:hAnsi="Arial Narrow"/>
                <w:sz w:val="20"/>
                <w:szCs w:val="20"/>
              </w:rPr>
            </w:pPr>
            <w:r w:rsidRPr="00695A45">
              <w:rPr>
                <w:rFonts w:ascii="Arial Narrow" w:hAnsi="Arial Narrow"/>
                <w:sz w:val="20"/>
                <w:szCs w:val="20"/>
              </w:rPr>
              <w:t>1,200 mg</w:t>
            </w:r>
          </w:p>
        </w:tc>
        <w:tc>
          <w:tcPr>
            <w:tcW w:w="1246" w:type="pct"/>
            <w:tcBorders>
              <w:top w:val="single" w:sz="4" w:space="0" w:color="auto"/>
              <w:left w:val="nil"/>
              <w:bottom w:val="nil"/>
              <w:right w:val="nil"/>
            </w:tcBorders>
          </w:tcPr>
          <w:p w:rsidR="0058155A" w:rsidRPr="00695A45" w:rsidRDefault="0058155A" w:rsidP="000F5737">
            <w:pPr>
              <w:keepNext/>
              <w:keepLines/>
              <w:jc w:val="center"/>
              <w:rPr>
                <w:rFonts w:ascii="Arial Narrow" w:hAnsi="Arial Narrow"/>
                <w:sz w:val="20"/>
                <w:szCs w:val="20"/>
              </w:rPr>
            </w:pPr>
            <w:r w:rsidRPr="00695A45">
              <w:rPr>
                <w:rFonts w:ascii="Arial Narrow" w:hAnsi="Arial Narrow"/>
                <w:sz w:val="20"/>
                <w:szCs w:val="20"/>
              </w:rPr>
              <w:t>4</w:t>
            </w:r>
          </w:p>
        </w:tc>
        <w:tc>
          <w:tcPr>
            <w:tcW w:w="1246" w:type="pct"/>
            <w:tcBorders>
              <w:top w:val="single" w:sz="4" w:space="0" w:color="auto"/>
              <w:left w:val="nil"/>
              <w:bottom w:val="nil"/>
              <w:right w:val="nil"/>
            </w:tcBorders>
          </w:tcPr>
          <w:p w:rsidR="0058155A" w:rsidRPr="00695A45" w:rsidRDefault="0058155A" w:rsidP="00811A3B">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Category /Program</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Section 100 – Efficient funding of Chemotherapy</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Private Hospital/Private Clinic Authority Required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 xml:space="preserve">Public Hospital Authority Required </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Prescriber type:</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Dental  </w:t>
            </w:r>
            <w:r w:rsidRPr="00695A45">
              <w:rPr>
                <w:rFonts w:ascii="Arial Narrow" w:hAnsi="Arial Narrow"/>
                <w:sz w:val="20"/>
                <w:szCs w:val="20"/>
              </w:rPr>
              <w:fldChar w:fldCharType="begin">
                <w:ffData>
                  <w:name w:val=""/>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Medical Practitioners  </w:t>
            </w: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 xml:space="preserve">Nurse practitioners  </w:t>
            </w: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Optometrists</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Midwives</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Episodicity:</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trike/>
                <w:sz w:val="20"/>
                <w:szCs w:val="20"/>
              </w:rPr>
            </w:pP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Severity:</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Condition:</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Small cell carcinoma of lung</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PBS Indication:</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Treatment phase:</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Continuing treatment</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Restriction:</w:t>
            </w:r>
          </w:p>
          <w:p w:rsidR="003C47AC" w:rsidRPr="00695A45" w:rsidRDefault="003C47AC" w:rsidP="00811A3B">
            <w:pPr>
              <w:keepNext/>
              <w:keepLines/>
              <w:rPr>
                <w:rFonts w:ascii="Arial Narrow" w:hAnsi="Arial Narrow"/>
                <w:sz w:val="20"/>
                <w:szCs w:val="20"/>
              </w:rPr>
            </w:pP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Clinical criteria:</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The treatment must be as monotherapy [7910],</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Patient must have previously received PBS-subsidised treatment with this drug for this condition [20717]</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Patient must not have developed disease progression while being treated with this drug for this condition [23679]</w:t>
            </w:r>
          </w:p>
        </w:tc>
      </w:tr>
      <w:tr w:rsidR="003C47AC" w:rsidRPr="00695A45" w:rsidTr="0081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trike/>
                <w:sz w:val="20"/>
                <w:szCs w:val="20"/>
              </w:rPr>
            </w:pPr>
            <w:r w:rsidRPr="00695A45">
              <w:rPr>
                <w:rFonts w:ascii="Arial Narrow" w:hAnsi="Arial Narrow"/>
                <w:b/>
                <w:sz w:val="20"/>
                <w:szCs w:val="20"/>
              </w:rPr>
              <w:t>Administrative advice</w:t>
            </w:r>
          </w:p>
        </w:tc>
        <w:tc>
          <w:tcPr>
            <w:tcW w:w="3509" w:type="pct"/>
            <w:gridSpan w:val="4"/>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 [7606].</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number of repeats may be authorised [7607].</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Special Pricing Arrangements apply [7608].</w:t>
            </w:r>
          </w:p>
        </w:tc>
      </w:tr>
    </w:tbl>
    <w:p w:rsidR="003C47AC" w:rsidRPr="00695A45" w:rsidRDefault="003C47AC" w:rsidP="003C47AC"/>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3"/>
        <w:gridCol w:w="433"/>
        <w:gridCol w:w="1821"/>
        <w:gridCol w:w="2254"/>
        <w:gridCol w:w="2254"/>
      </w:tblGrid>
      <w:tr w:rsidR="00677A51" w:rsidRPr="00695A45" w:rsidTr="000F5737">
        <w:trPr>
          <w:cantSplit/>
          <w:trHeight w:val="463"/>
        </w:trPr>
        <w:tc>
          <w:tcPr>
            <w:tcW w:w="1250" w:type="pct"/>
            <w:tcBorders>
              <w:top w:val="single" w:sz="4" w:space="0" w:color="auto"/>
              <w:left w:val="nil"/>
              <w:bottom w:val="single" w:sz="4" w:space="0" w:color="auto"/>
              <w:right w:val="nil"/>
            </w:tcBorders>
            <w:vAlign w:val="center"/>
          </w:tcPr>
          <w:p w:rsidR="00677A51" w:rsidRPr="00695A45" w:rsidRDefault="00677A51" w:rsidP="00811A3B">
            <w:pPr>
              <w:keepNext/>
              <w:keepLines/>
              <w:rPr>
                <w:rFonts w:ascii="Arial Narrow" w:hAnsi="Arial Narrow"/>
                <w:b/>
                <w:sz w:val="20"/>
              </w:rPr>
            </w:pPr>
            <w:r w:rsidRPr="00695A45">
              <w:rPr>
                <w:rFonts w:ascii="Arial Narrow" w:hAnsi="Arial Narrow"/>
                <w:b/>
                <w:sz w:val="20"/>
              </w:rPr>
              <w:lastRenderedPageBreak/>
              <w:t>Name, Restriction,</w:t>
            </w:r>
          </w:p>
          <w:p w:rsidR="00677A51" w:rsidRPr="00695A45" w:rsidRDefault="00677A51" w:rsidP="00811A3B">
            <w:pPr>
              <w:keepNext/>
              <w:keepLines/>
              <w:rPr>
                <w:rFonts w:ascii="Arial Narrow" w:hAnsi="Arial Narrow"/>
                <w:b/>
                <w:sz w:val="20"/>
              </w:rPr>
            </w:pPr>
            <w:r w:rsidRPr="00695A45">
              <w:rPr>
                <w:rFonts w:ascii="Arial Narrow" w:hAnsi="Arial Narrow"/>
                <w:b/>
                <w:sz w:val="20"/>
              </w:rPr>
              <w:t>Manner of administration and form</w:t>
            </w:r>
          </w:p>
        </w:tc>
        <w:tc>
          <w:tcPr>
            <w:tcW w:w="1250" w:type="pct"/>
            <w:gridSpan w:val="2"/>
            <w:tcBorders>
              <w:top w:val="single" w:sz="4" w:space="0" w:color="auto"/>
              <w:left w:val="nil"/>
              <w:bottom w:val="single" w:sz="4" w:space="0" w:color="auto"/>
              <w:right w:val="nil"/>
            </w:tcBorders>
            <w:vAlign w:val="center"/>
          </w:tcPr>
          <w:p w:rsidR="00677A51" w:rsidRPr="00695A45" w:rsidRDefault="00677A51" w:rsidP="00811A3B">
            <w:pPr>
              <w:keepNext/>
              <w:keepLines/>
              <w:jc w:val="center"/>
              <w:rPr>
                <w:rFonts w:ascii="Arial Narrow" w:hAnsi="Arial Narrow"/>
                <w:b/>
                <w:sz w:val="20"/>
              </w:rPr>
            </w:pPr>
            <w:r w:rsidRPr="00695A45">
              <w:rPr>
                <w:rFonts w:ascii="Arial Narrow" w:hAnsi="Arial Narrow"/>
                <w:b/>
                <w:sz w:val="20"/>
              </w:rPr>
              <w:t xml:space="preserve">Max </w:t>
            </w:r>
            <w:proofErr w:type="spellStart"/>
            <w:r w:rsidRPr="00695A45">
              <w:rPr>
                <w:rFonts w:ascii="Arial Narrow" w:hAnsi="Arial Narrow"/>
                <w:b/>
                <w:sz w:val="20"/>
              </w:rPr>
              <w:t>Amt</w:t>
            </w:r>
            <w:proofErr w:type="spellEnd"/>
          </w:p>
        </w:tc>
        <w:tc>
          <w:tcPr>
            <w:tcW w:w="1250" w:type="pct"/>
            <w:tcBorders>
              <w:top w:val="single" w:sz="4" w:space="0" w:color="auto"/>
              <w:left w:val="nil"/>
              <w:bottom w:val="single" w:sz="4" w:space="0" w:color="auto"/>
              <w:right w:val="nil"/>
            </w:tcBorders>
            <w:vAlign w:val="center"/>
          </w:tcPr>
          <w:p w:rsidR="00677A51" w:rsidRPr="00695A45" w:rsidRDefault="00677A51" w:rsidP="00811A3B">
            <w:pPr>
              <w:keepNext/>
              <w:keepLines/>
              <w:jc w:val="center"/>
              <w:rPr>
                <w:rFonts w:ascii="Arial Narrow" w:hAnsi="Arial Narrow"/>
                <w:b/>
                <w:sz w:val="20"/>
              </w:rPr>
            </w:pPr>
            <w:r w:rsidRPr="00695A45">
              <w:rPr>
                <w:rFonts w:ascii="Arial Narrow" w:hAnsi="Arial Narrow"/>
                <w:b/>
                <w:sz w:val="20"/>
              </w:rPr>
              <w:t>№.of</w:t>
            </w:r>
          </w:p>
          <w:p w:rsidR="00677A51" w:rsidRPr="00695A45" w:rsidRDefault="00677A51" w:rsidP="00811A3B">
            <w:pPr>
              <w:keepNext/>
              <w:keepLines/>
              <w:jc w:val="center"/>
              <w:rPr>
                <w:rFonts w:ascii="Arial Narrow" w:hAnsi="Arial Narrow"/>
                <w:b/>
                <w:sz w:val="20"/>
              </w:rPr>
            </w:pPr>
            <w:proofErr w:type="spellStart"/>
            <w:r w:rsidRPr="00695A45">
              <w:rPr>
                <w:rFonts w:ascii="Arial Narrow" w:hAnsi="Arial Narrow"/>
                <w:b/>
                <w:sz w:val="20"/>
              </w:rPr>
              <w:t>Rpts</w:t>
            </w:r>
            <w:proofErr w:type="spellEnd"/>
          </w:p>
        </w:tc>
        <w:tc>
          <w:tcPr>
            <w:tcW w:w="1250" w:type="pct"/>
            <w:tcBorders>
              <w:top w:val="single" w:sz="4" w:space="0" w:color="auto"/>
              <w:left w:val="nil"/>
              <w:bottom w:val="single" w:sz="4" w:space="0" w:color="auto"/>
              <w:right w:val="nil"/>
            </w:tcBorders>
            <w:vAlign w:val="center"/>
          </w:tcPr>
          <w:p w:rsidR="00677A51" w:rsidRPr="00695A45" w:rsidRDefault="00677A51" w:rsidP="00811A3B">
            <w:pPr>
              <w:keepNext/>
              <w:keepLines/>
              <w:rPr>
                <w:rFonts w:ascii="Arial Narrow" w:hAnsi="Arial Narrow"/>
                <w:b/>
                <w:sz w:val="20"/>
              </w:rPr>
            </w:pPr>
            <w:r w:rsidRPr="00695A45">
              <w:rPr>
                <w:rFonts w:ascii="Arial Narrow" w:hAnsi="Arial Narrow"/>
                <w:b/>
                <w:sz w:val="20"/>
              </w:rPr>
              <w:t>Proprietary Name and Manufacturer</w:t>
            </w:r>
          </w:p>
        </w:tc>
      </w:tr>
      <w:tr w:rsidR="00677A51" w:rsidRPr="00695A45" w:rsidTr="000F5737">
        <w:trPr>
          <w:cantSplit/>
          <w:trHeight w:val="567"/>
        </w:trPr>
        <w:tc>
          <w:tcPr>
            <w:tcW w:w="1250" w:type="pct"/>
            <w:tcBorders>
              <w:top w:val="single" w:sz="4" w:space="0" w:color="auto"/>
              <w:left w:val="nil"/>
              <w:bottom w:val="nil"/>
              <w:right w:val="nil"/>
            </w:tcBorders>
          </w:tcPr>
          <w:p w:rsidR="00677A51" w:rsidRPr="00695A45" w:rsidRDefault="00677A51" w:rsidP="00811A3B">
            <w:pPr>
              <w:keepNext/>
              <w:keepLines/>
              <w:rPr>
                <w:rFonts w:ascii="Arial Narrow" w:hAnsi="Arial Narrow"/>
                <w:sz w:val="20"/>
                <w:szCs w:val="20"/>
              </w:rPr>
            </w:pPr>
            <w:r w:rsidRPr="00695A45">
              <w:rPr>
                <w:rFonts w:ascii="Arial Narrow" w:hAnsi="Arial Narrow"/>
                <w:sz w:val="20"/>
                <w:szCs w:val="20"/>
              </w:rPr>
              <w:t>ATEZOLIZUMAB</w:t>
            </w:r>
            <w:r w:rsidRPr="00695A45">
              <w:rPr>
                <w:rFonts w:ascii="Arial Narrow" w:hAnsi="Arial Narrow"/>
                <w:sz w:val="20"/>
                <w:szCs w:val="20"/>
              </w:rPr>
              <w:br/>
              <w:t>Solution for IV infusion</w:t>
            </w:r>
            <w:r w:rsidRPr="00695A45">
              <w:rPr>
                <w:rFonts w:ascii="Arial Narrow" w:hAnsi="Arial Narrow"/>
                <w:sz w:val="20"/>
                <w:szCs w:val="20"/>
              </w:rPr>
              <w:br/>
              <w:t>1,200 mg in 20 mL vial</w:t>
            </w:r>
          </w:p>
        </w:tc>
        <w:tc>
          <w:tcPr>
            <w:tcW w:w="1250" w:type="pct"/>
            <w:gridSpan w:val="2"/>
            <w:tcBorders>
              <w:top w:val="single" w:sz="4" w:space="0" w:color="auto"/>
              <w:left w:val="nil"/>
              <w:bottom w:val="nil"/>
              <w:right w:val="nil"/>
            </w:tcBorders>
          </w:tcPr>
          <w:p w:rsidR="00677A51" w:rsidRPr="00695A45" w:rsidRDefault="00677A51" w:rsidP="00811A3B">
            <w:pPr>
              <w:keepNext/>
              <w:keepLines/>
              <w:jc w:val="center"/>
              <w:rPr>
                <w:rFonts w:ascii="Arial Narrow" w:hAnsi="Arial Narrow"/>
                <w:sz w:val="20"/>
                <w:szCs w:val="20"/>
              </w:rPr>
            </w:pPr>
            <w:r w:rsidRPr="00695A45">
              <w:rPr>
                <w:rFonts w:ascii="Arial Narrow" w:hAnsi="Arial Narrow"/>
                <w:sz w:val="20"/>
                <w:szCs w:val="20"/>
              </w:rPr>
              <w:t>1,200 mg</w:t>
            </w:r>
          </w:p>
        </w:tc>
        <w:tc>
          <w:tcPr>
            <w:tcW w:w="1250" w:type="pct"/>
            <w:tcBorders>
              <w:top w:val="single" w:sz="4" w:space="0" w:color="auto"/>
              <w:left w:val="nil"/>
              <w:bottom w:val="nil"/>
              <w:right w:val="nil"/>
            </w:tcBorders>
          </w:tcPr>
          <w:p w:rsidR="00677A51" w:rsidRPr="00695A45" w:rsidRDefault="00677A51" w:rsidP="000F5737">
            <w:pPr>
              <w:keepNext/>
              <w:keepLines/>
              <w:jc w:val="center"/>
              <w:rPr>
                <w:rFonts w:ascii="Arial Narrow" w:hAnsi="Arial Narrow"/>
                <w:sz w:val="20"/>
                <w:szCs w:val="20"/>
              </w:rPr>
            </w:pPr>
            <w:r w:rsidRPr="00695A45">
              <w:rPr>
                <w:rFonts w:ascii="Arial Narrow" w:hAnsi="Arial Narrow"/>
                <w:sz w:val="20"/>
                <w:szCs w:val="20"/>
              </w:rPr>
              <w:t>4</w:t>
            </w:r>
          </w:p>
        </w:tc>
        <w:tc>
          <w:tcPr>
            <w:tcW w:w="1250" w:type="pct"/>
            <w:tcBorders>
              <w:top w:val="single" w:sz="4" w:space="0" w:color="auto"/>
              <w:left w:val="nil"/>
              <w:bottom w:val="nil"/>
              <w:right w:val="nil"/>
            </w:tcBorders>
          </w:tcPr>
          <w:p w:rsidR="00677A51" w:rsidRPr="00695A45" w:rsidRDefault="00677A51" w:rsidP="00811A3B">
            <w:pPr>
              <w:keepNext/>
              <w:keepLines/>
              <w:rPr>
                <w:rFonts w:ascii="Arial Narrow" w:hAnsi="Arial Narrow"/>
                <w:sz w:val="20"/>
                <w:szCs w:val="20"/>
              </w:rPr>
            </w:pPr>
            <w:r w:rsidRPr="00695A45">
              <w:rPr>
                <w:rFonts w:ascii="Arial Narrow" w:hAnsi="Arial Narrow"/>
                <w:sz w:val="20"/>
                <w:szCs w:val="20"/>
              </w:rPr>
              <w:t>TECENTRIQ®</w:t>
            </w:r>
            <w:r w:rsidRPr="00695A45">
              <w:rPr>
                <w:rFonts w:ascii="Arial Narrow" w:hAnsi="Arial Narrow"/>
                <w:sz w:val="20"/>
                <w:szCs w:val="20"/>
              </w:rPr>
              <w:br/>
              <w:t>Roche Products Pty Ltd</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Category/Program:</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Section 100 – Efficient Funding of Chemotherapy</w:t>
            </w:r>
            <w:r w:rsidRPr="00695A45">
              <w:rPr>
                <w:rFonts w:ascii="Arial Narrow" w:hAnsi="Arial Narrow"/>
                <w:sz w:val="20"/>
                <w:szCs w:val="20"/>
              </w:rPr>
              <w:br/>
              <w:t>Private Hospital/Private Clinic Authority Required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 xml:space="preserve">Public Hospital Authority Required </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Episodicity:</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trike/>
                <w:sz w:val="20"/>
                <w:szCs w:val="20"/>
              </w:rPr>
            </w:pP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Severity:</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Condition:</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Small cell carcinoma of lung</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PBS Indication:</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Extensive</w:t>
            </w:r>
            <w:r w:rsidRPr="00695A45">
              <w:rPr>
                <w:rFonts w:ascii="Arial Narrow" w:hAnsi="Arial Narrow"/>
                <w:strike/>
                <w:sz w:val="20"/>
                <w:szCs w:val="20"/>
              </w:rPr>
              <w:t>-</w:t>
            </w:r>
            <w:r w:rsidRPr="00695A45">
              <w:rPr>
                <w:rFonts w:ascii="Arial Narrow" w:hAnsi="Arial Narrow"/>
                <w:sz w:val="20"/>
                <w:szCs w:val="20"/>
              </w:rPr>
              <w:t>stage primary small cell carcinoma of lung</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Treatment phase:</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Grandfathering treatment</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sz w:val="20"/>
                <w:szCs w:val="20"/>
              </w:rPr>
              <w:t>Restriction:</w:t>
            </w:r>
          </w:p>
          <w:p w:rsidR="003C47AC" w:rsidRPr="00695A45" w:rsidRDefault="003C47AC" w:rsidP="00811A3B">
            <w:pPr>
              <w:keepNext/>
              <w:keepLines/>
              <w:rPr>
                <w:rFonts w:ascii="Arial Narrow" w:hAnsi="Arial Narrow"/>
                <w:sz w:val="20"/>
                <w:szCs w:val="20"/>
              </w:rPr>
            </w:pP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1"/>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Restricted benefit</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In Writing</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3"/>
                  <w:enabled/>
                  <w:calcOnExit w:val="0"/>
                  <w:checkBox>
                    <w:sizeAuto/>
                    <w:default w:val="0"/>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Authority Required – Telephone/Electronic/Emergency</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fldChar w:fldCharType="begin">
                <w:ffData>
                  <w:name w:val="Check5"/>
                  <w:enabled/>
                  <w:calcOnExit w:val="0"/>
                  <w:checkBox>
                    <w:sizeAuto/>
                    <w:default w:val="1"/>
                  </w:checkBox>
                </w:ffData>
              </w:fldChar>
            </w:r>
            <w:r w:rsidRPr="00695A45">
              <w:rPr>
                <w:rFonts w:ascii="Arial Narrow" w:hAnsi="Arial Narrow"/>
                <w:sz w:val="20"/>
                <w:szCs w:val="20"/>
              </w:rPr>
              <w:instrText xml:space="preserve"> FORMCHECKBOX </w:instrText>
            </w:r>
            <w:r w:rsidR="00F22B68">
              <w:rPr>
                <w:rFonts w:ascii="Arial Narrow" w:hAnsi="Arial Narrow"/>
                <w:sz w:val="20"/>
                <w:szCs w:val="20"/>
              </w:rPr>
            </w:r>
            <w:r w:rsidR="00F22B68">
              <w:rPr>
                <w:rFonts w:ascii="Arial Narrow" w:hAnsi="Arial Narrow"/>
                <w:sz w:val="20"/>
                <w:szCs w:val="20"/>
              </w:rPr>
              <w:fldChar w:fldCharType="separate"/>
            </w:r>
            <w:r w:rsidRPr="00695A45">
              <w:rPr>
                <w:rFonts w:ascii="Arial Narrow" w:hAnsi="Arial Narrow"/>
                <w:sz w:val="20"/>
                <w:szCs w:val="20"/>
              </w:rPr>
              <w:fldChar w:fldCharType="end"/>
            </w:r>
            <w:r w:rsidRPr="00695A45">
              <w:rPr>
                <w:rFonts w:ascii="Arial Narrow" w:hAnsi="Arial Narrow"/>
                <w:sz w:val="20"/>
                <w:szCs w:val="20"/>
              </w:rPr>
              <w:t>Streamlined</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b/>
                <w:sz w:val="20"/>
                <w:szCs w:val="20"/>
              </w:rPr>
              <w:t>Clinical criteria:</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 xml:space="preserve">Patient must have received treatment with this drug for this condition prior to the [PBS listing date] [new concept], </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Patient must not have developed disease progression while being treated with this drug for this condition [23679],</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The condition must have been untreated prior to initiation of non-PBS subsidised treatment with this drug for this condition [new concept],</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AND</w:t>
            </w:r>
          </w:p>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Patient must have had a WHO performance status of 0 or 1 at the time non-PBS subsidised treatment with this drug for this condition was initiated [21831],</w:t>
            </w:r>
          </w:p>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AND</w:t>
            </w:r>
          </w:p>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 xml:space="preserve">The treatment must be in combination with </w:t>
            </w:r>
            <w:r w:rsidR="00310A12" w:rsidRPr="00310A12">
              <w:rPr>
                <w:rFonts w:ascii="Arial Narrow" w:hAnsi="Arial Narrow"/>
                <w:iCs/>
                <w:sz w:val="20"/>
                <w:szCs w:val="20"/>
              </w:rPr>
              <w:t>etoposide and a platinum-based antineoplastic</w:t>
            </w:r>
            <w:r w:rsidR="00310A12" w:rsidRPr="00695A45">
              <w:rPr>
                <w:rFonts w:ascii="Arial Narrow" w:hAnsi="Arial Narrow"/>
                <w:iCs/>
                <w:sz w:val="20"/>
                <w:szCs w:val="20"/>
              </w:rPr>
              <w:t xml:space="preserve"> </w:t>
            </w:r>
            <w:r w:rsidRPr="00695A45">
              <w:rPr>
                <w:rFonts w:ascii="Arial Narrow" w:hAnsi="Arial Narrow"/>
                <w:iCs/>
                <w:sz w:val="20"/>
                <w:szCs w:val="20"/>
              </w:rPr>
              <w:t>if the patient is yet to complete their first 4 cycles of treatment; or</w:t>
            </w:r>
          </w:p>
          <w:p w:rsidR="003C47AC" w:rsidRPr="00695A45" w:rsidRDefault="003C47AC" w:rsidP="00811A3B">
            <w:pPr>
              <w:keepNext/>
              <w:keepLines/>
              <w:rPr>
                <w:rFonts w:ascii="Arial Narrow" w:hAnsi="Arial Narrow"/>
                <w:sz w:val="20"/>
                <w:szCs w:val="20"/>
              </w:rPr>
            </w:pPr>
            <w:r w:rsidRPr="00695A45">
              <w:rPr>
                <w:rFonts w:ascii="Arial Narrow" w:hAnsi="Arial Narrow"/>
                <w:iCs/>
                <w:sz w:val="20"/>
                <w:szCs w:val="20"/>
              </w:rPr>
              <w:t>The treatment must be as monotherapy if being administered as maintenance therapy [new concept]</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z w:val="20"/>
                <w:szCs w:val="20"/>
              </w:rPr>
            </w:pPr>
            <w:r w:rsidRPr="00695A45">
              <w:rPr>
                <w:rFonts w:ascii="Arial Narrow" w:hAnsi="Arial Narrow"/>
                <w:b/>
                <w:i/>
                <w:sz w:val="20"/>
                <w:szCs w:val="20"/>
              </w:rPr>
              <w:t>Prescriber</w:t>
            </w:r>
            <w:r w:rsidRPr="00695A45">
              <w:rPr>
                <w:rFonts w:ascii="Arial Narrow" w:hAnsi="Arial Narrow"/>
                <w:b/>
                <w:sz w:val="20"/>
                <w:szCs w:val="20"/>
              </w:rPr>
              <w:t xml:space="preserve"> </w:t>
            </w:r>
            <w:r w:rsidRPr="00695A45">
              <w:rPr>
                <w:rFonts w:ascii="Arial Narrow" w:hAnsi="Arial Narrow"/>
                <w:b/>
                <w:i/>
                <w:sz w:val="20"/>
                <w:szCs w:val="20"/>
              </w:rPr>
              <w:t>instructions</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iCs/>
                <w:sz w:val="20"/>
                <w:szCs w:val="20"/>
              </w:rPr>
            </w:pPr>
            <w:r w:rsidRPr="00695A45">
              <w:rPr>
                <w:rFonts w:ascii="Arial Narrow" w:hAnsi="Arial Narrow"/>
                <w:iCs/>
                <w:sz w:val="20"/>
                <w:szCs w:val="20"/>
              </w:rPr>
              <w:t>A patient may qualify for PBS-subsidised treatment under this restriction once only. For continuing PBS-subsidised treatment, a Grandfathered patient must qualify under the continuing treatment criteria. [24007]</w:t>
            </w:r>
          </w:p>
        </w:tc>
      </w:tr>
      <w:tr w:rsidR="003C47AC" w:rsidRPr="00695A45" w:rsidTr="0067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0" w:type="pct"/>
            <w:gridSpan w:val="2"/>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b/>
                <w:strike/>
                <w:sz w:val="20"/>
                <w:szCs w:val="20"/>
              </w:rPr>
            </w:pPr>
            <w:r w:rsidRPr="00695A45">
              <w:rPr>
                <w:rFonts w:ascii="Arial Narrow" w:hAnsi="Arial Narrow"/>
                <w:b/>
                <w:sz w:val="20"/>
                <w:szCs w:val="20"/>
              </w:rPr>
              <w:t>Administrative advice</w:t>
            </w:r>
          </w:p>
        </w:tc>
        <w:tc>
          <w:tcPr>
            <w:tcW w:w="3510" w:type="pct"/>
            <w:gridSpan w:val="3"/>
            <w:tcBorders>
              <w:top w:val="single" w:sz="4" w:space="0" w:color="auto"/>
              <w:left w:val="single" w:sz="4" w:space="0" w:color="auto"/>
              <w:bottom w:val="single" w:sz="4" w:space="0" w:color="auto"/>
              <w:right w:val="single" w:sz="4" w:space="0" w:color="auto"/>
            </w:tcBorders>
          </w:tcPr>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quantity or number of units may be authorised [7606].</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No increase in the maximum number of repeats may be authorised [7607].</w:t>
            </w:r>
          </w:p>
          <w:p w:rsidR="003C47AC" w:rsidRPr="00695A45" w:rsidRDefault="003C47AC" w:rsidP="00811A3B">
            <w:pPr>
              <w:keepNext/>
              <w:keepLines/>
              <w:rPr>
                <w:rFonts w:ascii="Arial Narrow" w:hAnsi="Arial Narrow"/>
                <w:sz w:val="20"/>
                <w:szCs w:val="20"/>
              </w:rPr>
            </w:pPr>
            <w:r w:rsidRPr="00695A45">
              <w:rPr>
                <w:rFonts w:ascii="Arial Narrow" w:hAnsi="Arial Narrow"/>
                <w:sz w:val="20"/>
                <w:szCs w:val="20"/>
              </w:rPr>
              <w:t>Special Pricing Arrangements apply [7608].</w:t>
            </w:r>
          </w:p>
        </w:tc>
      </w:tr>
    </w:tbl>
    <w:p w:rsidR="005B28A5" w:rsidRPr="00FB616F" w:rsidRDefault="005B28A5" w:rsidP="000F5737">
      <w:pPr>
        <w:rPr>
          <w:rFonts w:asciiTheme="minorHAnsi" w:hAnsiTheme="minorHAnsi" w:cstheme="minorHAnsi"/>
          <w:i/>
          <w:snapToGrid w:val="0"/>
        </w:rPr>
      </w:pPr>
    </w:p>
    <w:p w:rsidR="005B28A5" w:rsidRPr="00FB616F" w:rsidRDefault="00FB616F" w:rsidP="000F5737">
      <w:pPr>
        <w:rPr>
          <w:rFonts w:asciiTheme="minorHAnsi" w:hAnsiTheme="minorHAnsi" w:cstheme="minorHAnsi"/>
          <w:i/>
          <w:snapToGrid w:val="0"/>
        </w:rPr>
      </w:pPr>
      <w:r w:rsidRPr="00FB616F">
        <w:rPr>
          <w:rFonts w:asciiTheme="minorHAnsi" w:hAnsiTheme="minorHAnsi" w:cstheme="minorHAnsi"/>
          <w:i/>
          <w:snapToGrid w:val="0"/>
        </w:rPr>
        <w:t>This restriction may be subject to further review. Should there be any changes made to the restriction the Sponsor will be informed</w:t>
      </w:r>
      <w:r>
        <w:rPr>
          <w:rFonts w:asciiTheme="minorHAnsi" w:hAnsiTheme="minorHAnsi" w:cstheme="minorHAnsi"/>
          <w:i/>
          <w:snapToGrid w:val="0"/>
        </w:rPr>
        <w:t>.</w:t>
      </w:r>
    </w:p>
    <w:p w:rsidR="005B28A5" w:rsidRPr="00695A45" w:rsidRDefault="005B28A5" w:rsidP="000F5737">
      <w:pPr>
        <w:rPr>
          <w:snapToGrid w:val="0"/>
        </w:rPr>
      </w:pPr>
    </w:p>
    <w:p w:rsidR="001C27C1" w:rsidRPr="001C27C1" w:rsidRDefault="001C27C1" w:rsidP="001C27C1">
      <w:pPr>
        <w:pStyle w:val="2Sections"/>
      </w:pPr>
      <w:r w:rsidRPr="001C27C1">
        <w:t>Context for Decision</w:t>
      </w:r>
    </w:p>
    <w:p w:rsidR="00D752C2" w:rsidRPr="00C72A0B" w:rsidRDefault="00C72A0B" w:rsidP="00C72A0B">
      <w:pPr>
        <w:spacing w:line="276" w:lineRule="auto"/>
        <w:jc w:val="both"/>
        <w:rPr>
          <w:rFonts w:asciiTheme="minorHAnsi" w:eastAsiaTheme="minorHAnsi" w:hAnsiTheme="minorHAnsi" w:cs="Arial"/>
          <w:szCs w:val="22"/>
          <w:lang w:eastAsia="en-US"/>
        </w:rPr>
      </w:pPr>
      <w:r w:rsidRPr="00C72A0B">
        <w:rPr>
          <w:rFonts w:asciiTheme="minorHAnsi" w:eastAsiaTheme="minorHAnsi" w:hAnsiTheme="minorHAnsi" w:cs="Arial"/>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C72A0B">
        <w:rPr>
          <w:rFonts w:asciiTheme="minorHAnsi" w:eastAsiaTheme="minorHAnsi" w:hAnsiTheme="minorHAnsi" w:cs="Arial"/>
          <w:szCs w:val="22"/>
          <w:lang w:eastAsia="en-US"/>
        </w:rPr>
        <w:lastRenderedPageBreak/>
        <w:t>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C27C1" w:rsidRPr="001C27C1" w:rsidRDefault="001C27C1" w:rsidP="001C27C1">
      <w:pPr>
        <w:pStyle w:val="2Sections"/>
      </w:pPr>
      <w:r w:rsidRPr="001C27C1">
        <w:t>Sponsor’s Comment</w:t>
      </w:r>
    </w:p>
    <w:p w:rsidR="001C27C1" w:rsidRPr="001C27C1" w:rsidRDefault="001C27C1" w:rsidP="001C27C1">
      <w:pPr>
        <w:spacing w:after="120" w:line="276" w:lineRule="auto"/>
        <w:jc w:val="both"/>
        <w:rPr>
          <w:rFonts w:asciiTheme="minorHAnsi" w:eastAsiaTheme="minorHAnsi" w:hAnsiTheme="minorHAnsi" w:cs="Arial"/>
          <w:bCs/>
          <w:szCs w:val="22"/>
          <w:lang w:eastAsia="en-US"/>
        </w:rPr>
      </w:pPr>
      <w:r w:rsidRPr="001C27C1">
        <w:rPr>
          <w:rFonts w:asciiTheme="minorHAnsi" w:eastAsiaTheme="minorHAnsi" w:hAnsiTheme="minorHAnsi" w:cs="Arial"/>
          <w:bCs/>
          <w:szCs w:val="22"/>
          <w:lang w:eastAsia="en-US"/>
        </w:rPr>
        <w:t>The sponsor had no comment.</w:t>
      </w:r>
    </w:p>
    <w:p w:rsidR="001C27C1" w:rsidRPr="00695A45" w:rsidRDefault="001C27C1" w:rsidP="00D752C2">
      <w:pPr>
        <w:jc w:val="both"/>
        <w:rPr>
          <w:rFonts w:asciiTheme="minorHAnsi" w:hAnsiTheme="minorHAnsi" w:cs="Arial"/>
          <w:bCs/>
          <w:snapToGrid w:val="0"/>
        </w:rPr>
      </w:pPr>
    </w:p>
    <w:sectPr w:rsidR="001C27C1" w:rsidRPr="00695A45"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BA1C3" w16cid:durableId="2181EC91"/>
  <w16cid:commentId w16cid:paraId="0A329B04" w16cid:durableId="2181ECD9"/>
  <w16cid:commentId w16cid:paraId="42BA8BB7" w16cid:durableId="2177955A"/>
  <w16cid:commentId w16cid:paraId="62564FB1" w16cid:durableId="2181ED64"/>
  <w16cid:commentId w16cid:paraId="5EEA248E" w16cid:durableId="2181EC93"/>
  <w16cid:commentId w16cid:paraId="157A85DA" w16cid:durableId="2177955F"/>
  <w16cid:commentId w16cid:paraId="0AE83FD1" w16cid:durableId="2181EF8A"/>
  <w16cid:commentId w16cid:paraId="3FFC2E05" w16cid:durableId="2181F0EA"/>
  <w16cid:commentId w16cid:paraId="560A440A" w16cid:durableId="2181F134"/>
  <w16cid:commentId w16cid:paraId="0890B22F" w16cid:durableId="2177C0CC"/>
  <w16cid:commentId w16cid:paraId="06287879" w16cid:durableId="2177C1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68" w:rsidRDefault="00F22B68">
      <w:r>
        <w:separator/>
      </w:r>
    </w:p>
    <w:p w:rsidR="00F22B68" w:rsidRDefault="00F22B68"/>
  </w:endnote>
  <w:endnote w:type="continuationSeparator" w:id="0">
    <w:p w:rsidR="00F22B68" w:rsidRDefault="00F22B68">
      <w:r>
        <w:continuationSeparator/>
      </w:r>
    </w:p>
    <w:p w:rsidR="00F22B68" w:rsidRDefault="00F22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22B68" w:rsidTr="005A3173">
      <w:trPr>
        <w:trHeight w:val="151"/>
      </w:trPr>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2B68" w:rsidRPr="005A3173" w:rsidRDefault="00F22B6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r>
    <w:tr w:rsidR="00F22B68" w:rsidTr="005A3173">
      <w:trPr>
        <w:trHeight w:val="150"/>
      </w:trPr>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0" w:type="auto"/>
          <w:vMerge/>
          <w:vAlign w:val="center"/>
          <w:hideMark/>
        </w:tcPr>
        <w:p w:rsidR="00F22B68" w:rsidRPr="005A3173" w:rsidRDefault="00F22B6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r>
  </w:tbl>
  <w:p w:rsidR="00F22B68" w:rsidRDefault="00F22B6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2B68" w:rsidRDefault="00F22B68">
    <w:pPr>
      <w:pStyle w:val="Footer"/>
    </w:pPr>
  </w:p>
  <w:p w:rsidR="00F22B68" w:rsidRDefault="00F22B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92156"/>
      <w:docPartObj>
        <w:docPartGallery w:val="Page Numbers (Bottom of Page)"/>
        <w:docPartUnique/>
      </w:docPartObj>
    </w:sdtPr>
    <w:sdtEndPr>
      <w:rPr>
        <w:rFonts w:asciiTheme="minorHAnsi" w:hAnsiTheme="minorHAnsi" w:cstheme="minorHAnsi"/>
        <w:b/>
        <w:noProof/>
        <w:sz w:val="20"/>
        <w:szCs w:val="20"/>
      </w:rPr>
    </w:sdtEndPr>
    <w:sdtContent>
      <w:p w:rsidR="00F22B68" w:rsidRDefault="00F22B68">
        <w:pPr>
          <w:pStyle w:val="Footer"/>
          <w:jc w:val="center"/>
        </w:pPr>
        <w:r w:rsidRPr="00BD7C1C">
          <w:rPr>
            <w:rFonts w:asciiTheme="minorHAnsi" w:hAnsiTheme="minorHAnsi" w:cstheme="minorHAnsi"/>
            <w:b/>
            <w:sz w:val="20"/>
            <w:szCs w:val="20"/>
          </w:rPr>
          <w:fldChar w:fldCharType="begin"/>
        </w:r>
        <w:r w:rsidRPr="00BD7C1C">
          <w:rPr>
            <w:rFonts w:asciiTheme="minorHAnsi" w:hAnsiTheme="minorHAnsi" w:cstheme="minorHAnsi"/>
            <w:b/>
            <w:sz w:val="20"/>
            <w:szCs w:val="20"/>
          </w:rPr>
          <w:instrText xml:space="preserve"> PAGE   \* MERGEFORMAT </w:instrText>
        </w:r>
        <w:r w:rsidRPr="00BD7C1C">
          <w:rPr>
            <w:rFonts w:asciiTheme="minorHAnsi" w:hAnsiTheme="minorHAnsi" w:cstheme="minorHAnsi"/>
            <w:b/>
            <w:sz w:val="20"/>
            <w:szCs w:val="20"/>
          </w:rPr>
          <w:fldChar w:fldCharType="separate"/>
        </w:r>
        <w:r w:rsidR="004676C6">
          <w:rPr>
            <w:rFonts w:asciiTheme="minorHAnsi" w:hAnsiTheme="minorHAnsi" w:cstheme="minorHAnsi"/>
            <w:b/>
            <w:noProof/>
            <w:sz w:val="20"/>
            <w:szCs w:val="20"/>
          </w:rPr>
          <w:t>17</w:t>
        </w:r>
        <w:r w:rsidRPr="00BD7C1C">
          <w:rPr>
            <w:rFonts w:asciiTheme="minorHAnsi" w:hAnsiTheme="minorHAnsi" w:cstheme="minorHAnsi"/>
            <w:b/>
            <w:noProof/>
            <w:sz w:val="20"/>
            <w:szCs w:val="20"/>
          </w:rPr>
          <w:fldChar w:fldCharType="end"/>
        </w:r>
      </w:p>
    </w:sdtContent>
  </w:sdt>
  <w:p w:rsidR="00F22B68" w:rsidRPr="000F3384" w:rsidRDefault="00F22B68"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22B68" w:rsidTr="005A3173">
      <w:trPr>
        <w:trHeight w:val="151"/>
      </w:trPr>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2B68" w:rsidRPr="005A3173" w:rsidRDefault="00F22B6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r>
    <w:tr w:rsidR="00F22B68" w:rsidTr="005A3173">
      <w:trPr>
        <w:trHeight w:val="150"/>
      </w:trPr>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0" w:type="auto"/>
          <w:vMerge/>
          <w:vAlign w:val="center"/>
          <w:hideMark/>
        </w:tcPr>
        <w:p w:rsidR="00F22B68" w:rsidRPr="005A3173" w:rsidRDefault="00F22B6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22B68" w:rsidTr="005A3173">
      <w:trPr>
        <w:trHeight w:val="151"/>
      </w:trPr>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2B68" w:rsidRPr="005A3173" w:rsidRDefault="00F22B6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2B68" w:rsidRPr="005A3173" w:rsidRDefault="00F22B68" w:rsidP="005A3173">
          <w:pPr>
            <w:pStyle w:val="Header"/>
            <w:spacing w:line="276" w:lineRule="auto"/>
            <w:rPr>
              <w:rFonts w:ascii="Calibri" w:eastAsia="MS Gothic" w:hAnsi="Calibri"/>
              <w:b/>
              <w:bCs/>
              <w:color w:val="4F81BD"/>
            </w:rPr>
          </w:pPr>
        </w:p>
      </w:tc>
    </w:tr>
    <w:tr w:rsidR="00F22B68" w:rsidTr="005A3173">
      <w:trPr>
        <w:trHeight w:val="150"/>
      </w:trPr>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c>
        <w:tcPr>
          <w:tcW w:w="0" w:type="auto"/>
          <w:vMerge/>
          <w:vAlign w:val="center"/>
          <w:hideMark/>
        </w:tcPr>
        <w:p w:rsidR="00F22B68" w:rsidRPr="005A3173" w:rsidRDefault="00F22B6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2B68" w:rsidRPr="005A3173" w:rsidRDefault="00F22B68" w:rsidP="005A3173">
          <w:pPr>
            <w:pStyle w:val="Header"/>
            <w:spacing w:line="276" w:lineRule="auto"/>
            <w:rPr>
              <w:rFonts w:ascii="Calibri" w:eastAsia="MS Gothic" w:hAnsi="Calibri"/>
              <w:b/>
              <w:bCs/>
              <w:color w:val="4F81BD"/>
            </w:rPr>
          </w:pPr>
        </w:p>
      </w:tc>
    </w:tr>
  </w:tbl>
  <w:p w:rsidR="00F22B68" w:rsidRPr="007C0F57" w:rsidRDefault="00F22B6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22B68" w:rsidRPr="007C0F57" w:rsidRDefault="00F22B68" w:rsidP="007C0F57">
    <w:pPr>
      <w:pStyle w:val="Footer"/>
      <w:jc w:val="center"/>
      <w:rPr>
        <w:b/>
        <w:i/>
        <w:sz w:val="20"/>
        <w:szCs w:val="20"/>
      </w:rPr>
    </w:pPr>
    <w:r w:rsidRPr="007C0F57">
      <w:rPr>
        <w:b/>
        <w:i/>
        <w:sz w:val="20"/>
        <w:szCs w:val="20"/>
      </w:rPr>
      <w:t>Commercial-in-Confidence</w:t>
    </w:r>
  </w:p>
  <w:p w:rsidR="00F22B68" w:rsidRDefault="00F22B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68" w:rsidRDefault="00F22B68">
      <w:r>
        <w:separator/>
      </w:r>
    </w:p>
    <w:p w:rsidR="00F22B68" w:rsidRDefault="00F22B68"/>
  </w:footnote>
  <w:footnote w:type="continuationSeparator" w:id="0">
    <w:p w:rsidR="00F22B68" w:rsidRDefault="00F22B68">
      <w:r>
        <w:continuationSeparator/>
      </w:r>
    </w:p>
    <w:p w:rsidR="00F22B68" w:rsidRDefault="00F22B68"/>
  </w:footnote>
  <w:footnote w:id="1">
    <w:p w:rsidR="00F22B68" w:rsidRPr="007753A1" w:rsidRDefault="00F22B68">
      <w:pPr>
        <w:pStyle w:val="FootnoteText"/>
        <w:rPr>
          <w:rFonts w:asciiTheme="minorHAnsi" w:hAnsiTheme="minorHAnsi" w:cstheme="minorHAnsi"/>
        </w:rPr>
      </w:pPr>
      <w:r w:rsidRPr="007753A1">
        <w:rPr>
          <w:rStyle w:val="FootnoteReference"/>
          <w:rFonts w:asciiTheme="minorHAnsi" w:hAnsiTheme="minorHAnsi" w:cstheme="minorHAnsi"/>
        </w:rPr>
        <w:footnoteRef/>
      </w:r>
      <w:r w:rsidRPr="007753A1">
        <w:rPr>
          <w:rFonts w:asciiTheme="minorHAnsi" w:hAnsiTheme="minorHAnsi" w:cstheme="minorHAnsi"/>
        </w:rPr>
        <w:t xml:space="preserve"> </w:t>
      </w:r>
      <w:proofErr w:type="spellStart"/>
      <w:r w:rsidRPr="007753A1">
        <w:rPr>
          <w:rFonts w:asciiTheme="minorHAnsi" w:hAnsiTheme="minorHAnsi" w:cstheme="minorHAnsi"/>
          <w:bCs/>
          <w:snapToGrid w:val="0"/>
        </w:rPr>
        <w:t>Cherny</w:t>
      </w:r>
      <w:proofErr w:type="spellEnd"/>
      <w:r w:rsidRPr="007753A1">
        <w:rPr>
          <w:rFonts w:asciiTheme="minorHAnsi" w:hAnsiTheme="minorHAnsi" w:cstheme="minorHAnsi"/>
          <w:bCs/>
          <w:snapToGrid w:val="0"/>
        </w:rPr>
        <w:t xml:space="preserve"> NI, Dafni U, </w:t>
      </w:r>
      <w:proofErr w:type="spellStart"/>
      <w:r w:rsidRPr="007753A1">
        <w:rPr>
          <w:rFonts w:asciiTheme="minorHAnsi" w:hAnsiTheme="minorHAnsi" w:cstheme="minorHAnsi"/>
          <w:bCs/>
          <w:snapToGrid w:val="0"/>
        </w:rPr>
        <w:t>Bogaerts</w:t>
      </w:r>
      <w:proofErr w:type="spellEnd"/>
      <w:r w:rsidRPr="007753A1">
        <w:rPr>
          <w:rFonts w:asciiTheme="minorHAnsi" w:hAnsiTheme="minorHAnsi" w:cstheme="minorHAnsi"/>
          <w:bCs/>
          <w:snapToGrid w:val="0"/>
        </w:rPr>
        <w:t xml:space="preserve"> J, et al: ESMO-Magnitude of Clinical Benefit Scale version 1.1. Annals of Oncology 28:2340-2366, 2017</w:t>
      </w:r>
      <w:r>
        <w:rPr>
          <w:rFonts w:asciiTheme="minorHAnsi" w:hAnsiTheme="minorHAnsi" w:cstheme="minorHAnsi"/>
          <w:bCs/>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22B68" w:rsidRPr="008E0D90" w:rsidTr="00A06225">
      <w:trPr>
        <w:trHeight w:val="151"/>
      </w:trPr>
      <w:tc>
        <w:tcPr>
          <w:tcW w:w="2389" w:type="pct"/>
          <w:tcBorders>
            <w:top w:val="nil"/>
            <w:left w:val="nil"/>
            <w:bottom w:val="single" w:sz="4" w:space="0" w:color="4F81BD"/>
            <w:right w:val="nil"/>
          </w:tcBorders>
        </w:tcPr>
        <w:p w:rsidR="00F22B68" w:rsidRPr="00A06225" w:rsidRDefault="00F22B68">
          <w:pPr>
            <w:pStyle w:val="Header"/>
            <w:spacing w:line="276" w:lineRule="auto"/>
            <w:rPr>
              <w:rFonts w:ascii="Cambria" w:eastAsia="MS Gothic" w:hAnsi="Cambria"/>
              <w:b/>
              <w:bCs/>
              <w:color w:val="4F81BD"/>
            </w:rPr>
          </w:pPr>
        </w:p>
      </w:tc>
      <w:tc>
        <w:tcPr>
          <w:tcW w:w="333" w:type="pct"/>
          <w:vMerge w:val="restart"/>
          <w:noWrap/>
          <w:vAlign w:val="center"/>
          <w:hideMark/>
        </w:tcPr>
        <w:p w:rsidR="00F22B68" w:rsidRPr="00A06225" w:rsidRDefault="00F22B6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22B68" w:rsidRPr="00A06225" w:rsidRDefault="00F22B68">
          <w:pPr>
            <w:pStyle w:val="Header"/>
            <w:spacing w:line="276" w:lineRule="auto"/>
            <w:rPr>
              <w:rFonts w:ascii="Cambria" w:eastAsia="MS Gothic" w:hAnsi="Cambria"/>
              <w:b/>
              <w:bCs/>
              <w:color w:val="4F81BD"/>
            </w:rPr>
          </w:pPr>
        </w:p>
      </w:tc>
    </w:tr>
    <w:tr w:rsidR="00F22B68" w:rsidRPr="008E0D90" w:rsidTr="00A06225">
      <w:trPr>
        <w:trHeight w:val="150"/>
      </w:trPr>
      <w:tc>
        <w:tcPr>
          <w:tcW w:w="2389" w:type="pct"/>
          <w:tcBorders>
            <w:top w:val="single" w:sz="4" w:space="0" w:color="4F81BD"/>
            <w:left w:val="nil"/>
            <w:bottom w:val="nil"/>
            <w:right w:val="nil"/>
          </w:tcBorders>
        </w:tcPr>
        <w:p w:rsidR="00F22B68" w:rsidRPr="00A06225" w:rsidRDefault="00F22B68">
          <w:pPr>
            <w:pStyle w:val="Header"/>
            <w:spacing w:line="276" w:lineRule="auto"/>
            <w:rPr>
              <w:rFonts w:ascii="Cambria" w:eastAsia="MS Gothic" w:hAnsi="Cambria"/>
              <w:b/>
              <w:bCs/>
              <w:color w:val="4F81BD"/>
            </w:rPr>
          </w:pPr>
        </w:p>
      </w:tc>
      <w:tc>
        <w:tcPr>
          <w:tcW w:w="0" w:type="auto"/>
          <w:vMerge/>
          <w:vAlign w:val="center"/>
          <w:hideMark/>
        </w:tcPr>
        <w:p w:rsidR="00F22B68" w:rsidRPr="00A06225" w:rsidRDefault="00F22B68">
          <w:pPr>
            <w:rPr>
              <w:rFonts w:ascii="Cambria" w:hAnsi="Cambria"/>
              <w:color w:val="4F81BD"/>
              <w:sz w:val="22"/>
              <w:szCs w:val="22"/>
            </w:rPr>
          </w:pPr>
        </w:p>
      </w:tc>
      <w:tc>
        <w:tcPr>
          <w:tcW w:w="2278" w:type="pct"/>
          <w:tcBorders>
            <w:top w:val="single" w:sz="4" w:space="0" w:color="4F81BD"/>
            <w:left w:val="nil"/>
            <w:bottom w:val="nil"/>
            <w:right w:val="nil"/>
          </w:tcBorders>
        </w:tcPr>
        <w:p w:rsidR="00F22B68" w:rsidRPr="00A06225" w:rsidRDefault="00F22B68">
          <w:pPr>
            <w:pStyle w:val="Header"/>
            <w:spacing w:line="276" w:lineRule="auto"/>
            <w:rPr>
              <w:rFonts w:ascii="Cambria" w:eastAsia="MS Gothic" w:hAnsi="Cambria"/>
              <w:b/>
              <w:bCs/>
              <w:color w:val="4F81BD"/>
            </w:rPr>
          </w:pPr>
        </w:p>
      </w:tc>
    </w:tr>
  </w:tbl>
  <w:p w:rsidR="00F22B68" w:rsidRDefault="00F22B68">
    <w:pPr>
      <w:pStyle w:val="Header"/>
    </w:pPr>
  </w:p>
  <w:p w:rsidR="00F22B68" w:rsidRDefault="00F22B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68" w:rsidRPr="00BD7C1C" w:rsidRDefault="00F22B68" w:rsidP="00BD7C1C">
    <w:pPr>
      <w:tabs>
        <w:tab w:val="left" w:pos="142"/>
        <w:tab w:val="right" w:pos="9027"/>
      </w:tabs>
      <w:jc w:val="center"/>
      <w:rPr>
        <w:rFonts w:asciiTheme="minorHAnsi" w:hAnsiTheme="minorHAnsi" w:cstheme="minorHAnsi"/>
        <w:i/>
      </w:rPr>
    </w:pPr>
    <w:r>
      <w:rPr>
        <w:rFonts w:asciiTheme="minorHAnsi" w:hAnsiTheme="minorHAnsi" w:cstheme="minorHAnsi"/>
        <w:i/>
      </w:rPr>
      <w:t>Public Summary Document</w:t>
    </w:r>
    <w:r w:rsidRPr="00BD7C1C">
      <w:rPr>
        <w:rFonts w:asciiTheme="minorHAnsi" w:hAnsiTheme="minorHAnsi" w:cstheme="minorHAnsi"/>
        <w:i/>
      </w:rPr>
      <w:t xml:space="preserve"> – November 2019 PBAC Meeting</w:t>
    </w:r>
  </w:p>
  <w:p w:rsidR="00F22B68" w:rsidRDefault="00F22B6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68" w:rsidRDefault="00F2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85A23"/>
    <w:multiLevelType w:val="hybridMultilevel"/>
    <w:tmpl w:val="69AA1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D23B2"/>
    <w:multiLevelType w:val="hybridMultilevel"/>
    <w:tmpl w:val="6DB66D96"/>
    <w:lvl w:ilvl="0" w:tplc="0C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21587"/>
    <w:multiLevelType w:val="hybridMultilevel"/>
    <w:tmpl w:val="990AB1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D374C"/>
    <w:multiLevelType w:val="hybridMultilevel"/>
    <w:tmpl w:val="F00ECD18"/>
    <w:lvl w:ilvl="0" w:tplc="FAC86C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877DA"/>
    <w:multiLevelType w:val="hybridMultilevel"/>
    <w:tmpl w:val="6B52839A"/>
    <w:lvl w:ilvl="0" w:tplc="2D42CB5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601657"/>
    <w:multiLevelType w:val="hybridMultilevel"/>
    <w:tmpl w:val="76A626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10818FC"/>
    <w:multiLevelType w:val="hybridMultilevel"/>
    <w:tmpl w:val="7C3C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68A61A62"/>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81492D"/>
    <w:multiLevelType w:val="hybridMultilevel"/>
    <w:tmpl w:val="05D077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0"/>
  </w:num>
  <w:num w:numId="3">
    <w:abstractNumId w:val="17"/>
  </w:num>
  <w:num w:numId="4">
    <w:abstractNumId w:val="15"/>
  </w:num>
  <w:num w:numId="5">
    <w:abstractNumId w:val="18"/>
  </w:num>
  <w:num w:numId="6">
    <w:abstractNumId w:val="9"/>
  </w:num>
  <w:num w:numId="7">
    <w:abstractNumId w:val="5"/>
  </w:num>
  <w:num w:numId="8">
    <w:abstractNumId w:val="16"/>
  </w:num>
  <w:num w:numId="9">
    <w:abstractNumId w:val="3"/>
  </w:num>
  <w:num w:numId="10">
    <w:abstractNumId w:val="2"/>
  </w:num>
  <w:num w:numId="11">
    <w:abstractNumId w:val="13"/>
  </w:num>
  <w:num w:numId="12">
    <w:abstractNumId w:val="4"/>
  </w:num>
  <w:num w:numId="13">
    <w:abstractNumId w:val="1"/>
  </w:num>
  <w:num w:numId="14">
    <w:abstractNumId w:val="7"/>
  </w:num>
  <w:num w:numId="15">
    <w:abstractNumId w:val="8"/>
  </w:num>
  <w:num w:numId="16">
    <w:abstractNumId w:val="6"/>
  </w:num>
  <w:num w:numId="17">
    <w:abstractNumId w:val="11"/>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17"/>
  </w:num>
  <w:num w:numId="25">
    <w:abstractNumId w:val="17"/>
  </w:num>
  <w:num w:numId="26">
    <w:abstractNumId w:val="17"/>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7B7"/>
    <w:rsid w:val="000109BA"/>
    <w:rsid w:val="0001248B"/>
    <w:rsid w:val="00016FE5"/>
    <w:rsid w:val="0002464A"/>
    <w:rsid w:val="0003106B"/>
    <w:rsid w:val="00034905"/>
    <w:rsid w:val="000406E7"/>
    <w:rsid w:val="000421A1"/>
    <w:rsid w:val="0004240E"/>
    <w:rsid w:val="00044B01"/>
    <w:rsid w:val="00045D80"/>
    <w:rsid w:val="00045E26"/>
    <w:rsid w:val="000514B5"/>
    <w:rsid w:val="00056031"/>
    <w:rsid w:val="00060E64"/>
    <w:rsid w:val="00064FEE"/>
    <w:rsid w:val="00066755"/>
    <w:rsid w:val="00067E9C"/>
    <w:rsid w:val="000763D5"/>
    <w:rsid w:val="000764A5"/>
    <w:rsid w:val="00076979"/>
    <w:rsid w:val="00077143"/>
    <w:rsid w:val="00082169"/>
    <w:rsid w:val="00087FE2"/>
    <w:rsid w:val="000969AD"/>
    <w:rsid w:val="000A063E"/>
    <w:rsid w:val="000A40E3"/>
    <w:rsid w:val="000A44B2"/>
    <w:rsid w:val="000B0403"/>
    <w:rsid w:val="000B1112"/>
    <w:rsid w:val="000B558D"/>
    <w:rsid w:val="000C6996"/>
    <w:rsid w:val="000D23BA"/>
    <w:rsid w:val="000E0074"/>
    <w:rsid w:val="000E2422"/>
    <w:rsid w:val="000E48BC"/>
    <w:rsid w:val="000E490D"/>
    <w:rsid w:val="000E681E"/>
    <w:rsid w:val="000E7073"/>
    <w:rsid w:val="000F0003"/>
    <w:rsid w:val="000F31E8"/>
    <w:rsid w:val="000F3384"/>
    <w:rsid w:val="000F4E6A"/>
    <w:rsid w:val="000F5737"/>
    <w:rsid w:val="000F7354"/>
    <w:rsid w:val="000F78D0"/>
    <w:rsid w:val="00104227"/>
    <w:rsid w:val="00106CE7"/>
    <w:rsid w:val="001107BF"/>
    <w:rsid w:val="001157B0"/>
    <w:rsid w:val="00121016"/>
    <w:rsid w:val="00121D92"/>
    <w:rsid w:val="00122ACB"/>
    <w:rsid w:val="0012417C"/>
    <w:rsid w:val="001302F3"/>
    <w:rsid w:val="00142395"/>
    <w:rsid w:val="00142714"/>
    <w:rsid w:val="0014409B"/>
    <w:rsid w:val="0014472D"/>
    <w:rsid w:val="001452ED"/>
    <w:rsid w:val="00145877"/>
    <w:rsid w:val="00153DEF"/>
    <w:rsid w:val="0015753E"/>
    <w:rsid w:val="00157C56"/>
    <w:rsid w:val="00160C2D"/>
    <w:rsid w:val="00162D4E"/>
    <w:rsid w:val="00163329"/>
    <w:rsid w:val="00163A6F"/>
    <w:rsid w:val="00164623"/>
    <w:rsid w:val="00165B64"/>
    <w:rsid w:val="00170294"/>
    <w:rsid w:val="0017739C"/>
    <w:rsid w:val="00180713"/>
    <w:rsid w:val="00180C5F"/>
    <w:rsid w:val="0018124F"/>
    <w:rsid w:val="001830CE"/>
    <w:rsid w:val="0018339F"/>
    <w:rsid w:val="001850BD"/>
    <w:rsid w:val="0018643B"/>
    <w:rsid w:val="00186991"/>
    <w:rsid w:val="00186FA2"/>
    <w:rsid w:val="00194C76"/>
    <w:rsid w:val="00196307"/>
    <w:rsid w:val="00197AA6"/>
    <w:rsid w:val="001A131E"/>
    <w:rsid w:val="001A33EA"/>
    <w:rsid w:val="001B017F"/>
    <w:rsid w:val="001B0FFF"/>
    <w:rsid w:val="001B16F5"/>
    <w:rsid w:val="001B2BBC"/>
    <w:rsid w:val="001B5129"/>
    <w:rsid w:val="001C0B4C"/>
    <w:rsid w:val="001C1195"/>
    <w:rsid w:val="001C16F6"/>
    <w:rsid w:val="001C27C1"/>
    <w:rsid w:val="001C5080"/>
    <w:rsid w:val="001C6256"/>
    <w:rsid w:val="001D2532"/>
    <w:rsid w:val="001D3B39"/>
    <w:rsid w:val="001D53AE"/>
    <w:rsid w:val="001E5CD9"/>
    <w:rsid w:val="001F1850"/>
    <w:rsid w:val="001F403A"/>
    <w:rsid w:val="001F5147"/>
    <w:rsid w:val="00203FAC"/>
    <w:rsid w:val="00207F1C"/>
    <w:rsid w:val="002114E0"/>
    <w:rsid w:val="0021308A"/>
    <w:rsid w:val="00213B91"/>
    <w:rsid w:val="00213CFB"/>
    <w:rsid w:val="0021553C"/>
    <w:rsid w:val="0021557B"/>
    <w:rsid w:val="00217BE1"/>
    <w:rsid w:val="002236D1"/>
    <w:rsid w:val="00227743"/>
    <w:rsid w:val="002277D8"/>
    <w:rsid w:val="00232CC4"/>
    <w:rsid w:val="00234F48"/>
    <w:rsid w:val="00243FAB"/>
    <w:rsid w:val="00245F35"/>
    <w:rsid w:val="00250902"/>
    <w:rsid w:val="00253499"/>
    <w:rsid w:val="00263109"/>
    <w:rsid w:val="00271BA1"/>
    <w:rsid w:val="002736C8"/>
    <w:rsid w:val="002762FA"/>
    <w:rsid w:val="00277505"/>
    <w:rsid w:val="002933CC"/>
    <w:rsid w:val="002937BB"/>
    <w:rsid w:val="00293D3C"/>
    <w:rsid w:val="0029458F"/>
    <w:rsid w:val="002A104C"/>
    <w:rsid w:val="002A4960"/>
    <w:rsid w:val="002B1AE6"/>
    <w:rsid w:val="002B2DE8"/>
    <w:rsid w:val="002B30F8"/>
    <w:rsid w:val="002B4878"/>
    <w:rsid w:val="002B50F7"/>
    <w:rsid w:val="002B5596"/>
    <w:rsid w:val="002B68BA"/>
    <w:rsid w:val="002B788E"/>
    <w:rsid w:val="002C212F"/>
    <w:rsid w:val="002C2C12"/>
    <w:rsid w:val="002D4543"/>
    <w:rsid w:val="002D47DB"/>
    <w:rsid w:val="002D6354"/>
    <w:rsid w:val="002E3153"/>
    <w:rsid w:val="002E72CA"/>
    <w:rsid w:val="002E7EEC"/>
    <w:rsid w:val="002F4270"/>
    <w:rsid w:val="002F600D"/>
    <w:rsid w:val="00300AD6"/>
    <w:rsid w:val="00301256"/>
    <w:rsid w:val="003033F4"/>
    <w:rsid w:val="00310A12"/>
    <w:rsid w:val="003142EE"/>
    <w:rsid w:val="00316636"/>
    <w:rsid w:val="00317C6C"/>
    <w:rsid w:val="00326E79"/>
    <w:rsid w:val="00327AE3"/>
    <w:rsid w:val="003301B1"/>
    <w:rsid w:val="0033263D"/>
    <w:rsid w:val="00334F7B"/>
    <w:rsid w:val="0033518A"/>
    <w:rsid w:val="003367EF"/>
    <w:rsid w:val="00341AE4"/>
    <w:rsid w:val="00342592"/>
    <w:rsid w:val="003435D8"/>
    <w:rsid w:val="003455BA"/>
    <w:rsid w:val="00347A35"/>
    <w:rsid w:val="00360FDE"/>
    <w:rsid w:val="003711FE"/>
    <w:rsid w:val="00373FBA"/>
    <w:rsid w:val="00384988"/>
    <w:rsid w:val="00386D19"/>
    <w:rsid w:val="003872CF"/>
    <w:rsid w:val="00392531"/>
    <w:rsid w:val="00396E8F"/>
    <w:rsid w:val="003974B8"/>
    <w:rsid w:val="0039782C"/>
    <w:rsid w:val="003A1A11"/>
    <w:rsid w:val="003A2525"/>
    <w:rsid w:val="003A2F1A"/>
    <w:rsid w:val="003A5B4A"/>
    <w:rsid w:val="003B0669"/>
    <w:rsid w:val="003B23C5"/>
    <w:rsid w:val="003B2A75"/>
    <w:rsid w:val="003B6124"/>
    <w:rsid w:val="003C1ECF"/>
    <w:rsid w:val="003C2FB5"/>
    <w:rsid w:val="003C3403"/>
    <w:rsid w:val="003C44D5"/>
    <w:rsid w:val="003C47AC"/>
    <w:rsid w:val="003D4AC4"/>
    <w:rsid w:val="003D63B7"/>
    <w:rsid w:val="003E3481"/>
    <w:rsid w:val="003E416E"/>
    <w:rsid w:val="003E468B"/>
    <w:rsid w:val="003E6910"/>
    <w:rsid w:val="003F3228"/>
    <w:rsid w:val="003F41D6"/>
    <w:rsid w:val="003F5C8C"/>
    <w:rsid w:val="00407C69"/>
    <w:rsid w:val="00414895"/>
    <w:rsid w:val="004165DD"/>
    <w:rsid w:val="00424A55"/>
    <w:rsid w:val="004252EC"/>
    <w:rsid w:val="00430083"/>
    <w:rsid w:val="00430D39"/>
    <w:rsid w:val="004424D8"/>
    <w:rsid w:val="00442CA7"/>
    <w:rsid w:val="004465BD"/>
    <w:rsid w:val="00454056"/>
    <w:rsid w:val="00466ADA"/>
    <w:rsid w:val="004676C6"/>
    <w:rsid w:val="004677FB"/>
    <w:rsid w:val="00472B79"/>
    <w:rsid w:val="004741D7"/>
    <w:rsid w:val="0047494B"/>
    <w:rsid w:val="00476245"/>
    <w:rsid w:val="004770E2"/>
    <w:rsid w:val="004816A5"/>
    <w:rsid w:val="00483035"/>
    <w:rsid w:val="00485940"/>
    <w:rsid w:val="004968AE"/>
    <w:rsid w:val="004A2484"/>
    <w:rsid w:val="004A5A85"/>
    <w:rsid w:val="004A71D1"/>
    <w:rsid w:val="004B035F"/>
    <w:rsid w:val="004B30F0"/>
    <w:rsid w:val="004B5640"/>
    <w:rsid w:val="004B791D"/>
    <w:rsid w:val="004C1BD7"/>
    <w:rsid w:val="004C31FE"/>
    <w:rsid w:val="004C691D"/>
    <w:rsid w:val="004C6C02"/>
    <w:rsid w:val="004C6C07"/>
    <w:rsid w:val="004E30B5"/>
    <w:rsid w:val="004E55C3"/>
    <w:rsid w:val="004E692D"/>
    <w:rsid w:val="004F3AD4"/>
    <w:rsid w:val="004F5D9E"/>
    <w:rsid w:val="004F65BD"/>
    <w:rsid w:val="00501554"/>
    <w:rsid w:val="00504E0C"/>
    <w:rsid w:val="00505423"/>
    <w:rsid w:val="00506D40"/>
    <w:rsid w:val="00511B62"/>
    <w:rsid w:val="00514CD7"/>
    <w:rsid w:val="00515674"/>
    <w:rsid w:val="0051596C"/>
    <w:rsid w:val="00516072"/>
    <w:rsid w:val="00521DD9"/>
    <w:rsid w:val="00522DB6"/>
    <w:rsid w:val="00523254"/>
    <w:rsid w:val="00526E1C"/>
    <w:rsid w:val="0052792C"/>
    <w:rsid w:val="005319B2"/>
    <w:rsid w:val="00532402"/>
    <w:rsid w:val="00532C74"/>
    <w:rsid w:val="00534E2E"/>
    <w:rsid w:val="00544552"/>
    <w:rsid w:val="005476E0"/>
    <w:rsid w:val="005517B4"/>
    <w:rsid w:val="005546AE"/>
    <w:rsid w:val="00555425"/>
    <w:rsid w:val="0056139A"/>
    <w:rsid w:val="005648F8"/>
    <w:rsid w:val="00575F9C"/>
    <w:rsid w:val="00577C4D"/>
    <w:rsid w:val="0058155A"/>
    <w:rsid w:val="00581932"/>
    <w:rsid w:val="005843D4"/>
    <w:rsid w:val="005912FC"/>
    <w:rsid w:val="005963BB"/>
    <w:rsid w:val="005A2245"/>
    <w:rsid w:val="005A3173"/>
    <w:rsid w:val="005A3223"/>
    <w:rsid w:val="005A3DA3"/>
    <w:rsid w:val="005A52C4"/>
    <w:rsid w:val="005A6C99"/>
    <w:rsid w:val="005B28A5"/>
    <w:rsid w:val="005C0858"/>
    <w:rsid w:val="005C20D2"/>
    <w:rsid w:val="005C22ED"/>
    <w:rsid w:val="005D03AB"/>
    <w:rsid w:val="005D5017"/>
    <w:rsid w:val="005E0F50"/>
    <w:rsid w:val="005E1333"/>
    <w:rsid w:val="005E13E6"/>
    <w:rsid w:val="005E63A3"/>
    <w:rsid w:val="005F3DE6"/>
    <w:rsid w:val="005F76C0"/>
    <w:rsid w:val="005F77B2"/>
    <w:rsid w:val="006009F3"/>
    <w:rsid w:val="006014F6"/>
    <w:rsid w:val="00601A91"/>
    <w:rsid w:val="00602BA3"/>
    <w:rsid w:val="00605B63"/>
    <w:rsid w:val="00606EED"/>
    <w:rsid w:val="0061247C"/>
    <w:rsid w:val="00612E34"/>
    <w:rsid w:val="00614159"/>
    <w:rsid w:val="00616AD4"/>
    <w:rsid w:val="00617C00"/>
    <w:rsid w:val="00620689"/>
    <w:rsid w:val="006263BF"/>
    <w:rsid w:val="0062748A"/>
    <w:rsid w:val="00630A2C"/>
    <w:rsid w:val="0063132E"/>
    <w:rsid w:val="0063682E"/>
    <w:rsid w:val="00637903"/>
    <w:rsid w:val="006436CD"/>
    <w:rsid w:val="00651169"/>
    <w:rsid w:val="00653D69"/>
    <w:rsid w:val="006552E6"/>
    <w:rsid w:val="00657976"/>
    <w:rsid w:val="0066083D"/>
    <w:rsid w:val="006670BE"/>
    <w:rsid w:val="00667DAB"/>
    <w:rsid w:val="00670A76"/>
    <w:rsid w:val="006711AA"/>
    <w:rsid w:val="00671451"/>
    <w:rsid w:val="00672B57"/>
    <w:rsid w:val="00675622"/>
    <w:rsid w:val="00675939"/>
    <w:rsid w:val="00677218"/>
    <w:rsid w:val="0067747D"/>
    <w:rsid w:val="006774F1"/>
    <w:rsid w:val="00677A51"/>
    <w:rsid w:val="00682E58"/>
    <w:rsid w:val="0069039D"/>
    <w:rsid w:val="006906DB"/>
    <w:rsid w:val="00691E6C"/>
    <w:rsid w:val="00693091"/>
    <w:rsid w:val="00694437"/>
    <w:rsid w:val="0069501D"/>
    <w:rsid w:val="00695A45"/>
    <w:rsid w:val="00696129"/>
    <w:rsid w:val="00697CF2"/>
    <w:rsid w:val="006A1279"/>
    <w:rsid w:val="006A12A5"/>
    <w:rsid w:val="006A7FFE"/>
    <w:rsid w:val="006B0D94"/>
    <w:rsid w:val="006B2C3A"/>
    <w:rsid w:val="006B3472"/>
    <w:rsid w:val="006B485D"/>
    <w:rsid w:val="006C1A96"/>
    <w:rsid w:val="006C6320"/>
    <w:rsid w:val="006C708E"/>
    <w:rsid w:val="006D0091"/>
    <w:rsid w:val="006D0472"/>
    <w:rsid w:val="006D14E7"/>
    <w:rsid w:val="006D3D1D"/>
    <w:rsid w:val="006D491E"/>
    <w:rsid w:val="006D6493"/>
    <w:rsid w:val="006D6EC7"/>
    <w:rsid w:val="006E1BCD"/>
    <w:rsid w:val="006F25DF"/>
    <w:rsid w:val="006F5125"/>
    <w:rsid w:val="00700D79"/>
    <w:rsid w:val="007015AD"/>
    <w:rsid w:val="00702B6F"/>
    <w:rsid w:val="00706A2F"/>
    <w:rsid w:val="0070718E"/>
    <w:rsid w:val="0071340B"/>
    <w:rsid w:val="007174BB"/>
    <w:rsid w:val="0072025D"/>
    <w:rsid w:val="007276DD"/>
    <w:rsid w:val="007353D3"/>
    <w:rsid w:val="00743AFB"/>
    <w:rsid w:val="007460FF"/>
    <w:rsid w:val="00752BBD"/>
    <w:rsid w:val="00760B73"/>
    <w:rsid w:val="00761007"/>
    <w:rsid w:val="00762502"/>
    <w:rsid w:val="0076420C"/>
    <w:rsid w:val="00765272"/>
    <w:rsid w:val="00770B12"/>
    <w:rsid w:val="00774E2C"/>
    <w:rsid w:val="007753A1"/>
    <w:rsid w:val="007753C2"/>
    <w:rsid w:val="00777332"/>
    <w:rsid w:val="007838B8"/>
    <w:rsid w:val="00787B44"/>
    <w:rsid w:val="007920C6"/>
    <w:rsid w:val="00796D8E"/>
    <w:rsid w:val="007A16E7"/>
    <w:rsid w:val="007A53FE"/>
    <w:rsid w:val="007A64B3"/>
    <w:rsid w:val="007A78A0"/>
    <w:rsid w:val="007B5062"/>
    <w:rsid w:val="007B6088"/>
    <w:rsid w:val="007C0F57"/>
    <w:rsid w:val="007C13CF"/>
    <w:rsid w:val="007C40B6"/>
    <w:rsid w:val="007C729F"/>
    <w:rsid w:val="007C7D99"/>
    <w:rsid w:val="007D0DE5"/>
    <w:rsid w:val="007D5FC2"/>
    <w:rsid w:val="007E1D28"/>
    <w:rsid w:val="007E2392"/>
    <w:rsid w:val="007E2C8E"/>
    <w:rsid w:val="007E6067"/>
    <w:rsid w:val="007E689B"/>
    <w:rsid w:val="007E69EC"/>
    <w:rsid w:val="007F2641"/>
    <w:rsid w:val="007F7C36"/>
    <w:rsid w:val="00804BC9"/>
    <w:rsid w:val="00806796"/>
    <w:rsid w:val="00811A3B"/>
    <w:rsid w:val="008151D6"/>
    <w:rsid w:val="00816867"/>
    <w:rsid w:val="00817267"/>
    <w:rsid w:val="00821792"/>
    <w:rsid w:val="0082217E"/>
    <w:rsid w:val="0082465C"/>
    <w:rsid w:val="008268BB"/>
    <w:rsid w:val="00826F6D"/>
    <w:rsid w:val="008306F3"/>
    <w:rsid w:val="00830E40"/>
    <w:rsid w:val="00831E66"/>
    <w:rsid w:val="008330AB"/>
    <w:rsid w:val="00850BE3"/>
    <w:rsid w:val="00854096"/>
    <w:rsid w:val="00856DDD"/>
    <w:rsid w:val="008626CB"/>
    <w:rsid w:val="008628D7"/>
    <w:rsid w:val="00863E68"/>
    <w:rsid w:val="00864E3A"/>
    <w:rsid w:val="00865E92"/>
    <w:rsid w:val="00866A7C"/>
    <w:rsid w:val="00873518"/>
    <w:rsid w:val="00877AE0"/>
    <w:rsid w:val="00882085"/>
    <w:rsid w:val="00883188"/>
    <w:rsid w:val="00887901"/>
    <w:rsid w:val="00894FAF"/>
    <w:rsid w:val="00896B0A"/>
    <w:rsid w:val="00897D58"/>
    <w:rsid w:val="00897F22"/>
    <w:rsid w:val="008A1956"/>
    <w:rsid w:val="008A4937"/>
    <w:rsid w:val="008A4AAE"/>
    <w:rsid w:val="008A50F1"/>
    <w:rsid w:val="008A5864"/>
    <w:rsid w:val="008A637A"/>
    <w:rsid w:val="008A73B0"/>
    <w:rsid w:val="008C7974"/>
    <w:rsid w:val="008D1676"/>
    <w:rsid w:val="008D1B5C"/>
    <w:rsid w:val="008D3C82"/>
    <w:rsid w:val="008D447E"/>
    <w:rsid w:val="008D5673"/>
    <w:rsid w:val="008D5D48"/>
    <w:rsid w:val="008D7A41"/>
    <w:rsid w:val="008E1307"/>
    <w:rsid w:val="008E2C72"/>
    <w:rsid w:val="008E3680"/>
    <w:rsid w:val="008E5870"/>
    <w:rsid w:val="008F1434"/>
    <w:rsid w:val="008F7355"/>
    <w:rsid w:val="009030A8"/>
    <w:rsid w:val="009067B7"/>
    <w:rsid w:val="00910C52"/>
    <w:rsid w:val="0091244C"/>
    <w:rsid w:val="00914C86"/>
    <w:rsid w:val="00915568"/>
    <w:rsid w:val="00917B0D"/>
    <w:rsid w:val="00921A1E"/>
    <w:rsid w:val="00923A61"/>
    <w:rsid w:val="00925463"/>
    <w:rsid w:val="00930937"/>
    <w:rsid w:val="00933E6C"/>
    <w:rsid w:val="00935C68"/>
    <w:rsid w:val="009363A2"/>
    <w:rsid w:val="00937958"/>
    <w:rsid w:val="00941602"/>
    <w:rsid w:val="00942160"/>
    <w:rsid w:val="00943B14"/>
    <w:rsid w:val="0095146F"/>
    <w:rsid w:val="00954FAC"/>
    <w:rsid w:val="009602C5"/>
    <w:rsid w:val="00962223"/>
    <w:rsid w:val="00966D0D"/>
    <w:rsid w:val="009671DC"/>
    <w:rsid w:val="0097202A"/>
    <w:rsid w:val="00974C21"/>
    <w:rsid w:val="00976CAF"/>
    <w:rsid w:val="009872C9"/>
    <w:rsid w:val="009875B4"/>
    <w:rsid w:val="00991F96"/>
    <w:rsid w:val="00993A0B"/>
    <w:rsid w:val="00995C17"/>
    <w:rsid w:val="009A0D5E"/>
    <w:rsid w:val="009A2075"/>
    <w:rsid w:val="009A61CA"/>
    <w:rsid w:val="009B0F67"/>
    <w:rsid w:val="009B32B1"/>
    <w:rsid w:val="009B6C6C"/>
    <w:rsid w:val="009C1E4F"/>
    <w:rsid w:val="009C25FE"/>
    <w:rsid w:val="009C703C"/>
    <w:rsid w:val="009D3CAA"/>
    <w:rsid w:val="009D7620"/>
    <w:rsid w:val="009E378A"/>
    <w:rsid w:val="009E40E1"/>
    <w:rsid w:val="009F0EFA"/>
    <w:rsid w:val="009F18DC"/>
    <w:rsid w:val="009F4E46"/>
    <w:rsid w:val="009F5076"/>
    <w:rsid w:val="009F5B65"/>
    <w:rsid w:val="009F5F2E"/>
    <w:rsid w:val="00A06225"/>
    <w:rsid w:val="00A06F0B"/>
    <w:rsid w:val="00A11CB4"/>
    <w:rsid w:val="00A11D8A"/>
    <w:rsid w:val="00A128E6"/>
    <w:rsid w:val="00A1511B"/>
    <w:rsid w:val="00A168A1"/>
    <w:rsid w:val="00A20DE1"/>
    <w:rsid w:val="00A2133A"/>
    <w:rsid w:val="00A26500"/>
    <w:rsid w:val="00A32BE8"/>
    <w:rsid w:val="00A34E6C"/>
    <w:rsid w:val="00A37C8D"/>
    <w:rsid w:val="00A46818"/>
    <w:rsid w:val="00A5273B"/>
    <w:rsid w:val="00A53A9D"/>
    <w:rsid w:val="00A54B56"/>
    <w:rsid w:val="00A55FEE"/>
    <w:rsid w:val="00A623EF"/>
    <w:rsid w:val="00A62C1A"/>
    <w:rsid w:val="00A6426D"/>
    <w:rsid w:val="00A66142"/>
    <w:rsid w:val="00A665C1"/>
    <w:rsid w:val="00A70622"/>
    <w:rsid w:val="00A70977"/>
    <w:rsid w:val="00A744F9"/>
    <w:rsid w:val="00A75253"/>
    <w:rsid w:val="00A76BAB"/>
    <w:rsid w:val="00A76CDF"/>
    <w:rsid w:val="00A77613"/>
    <w:rsid w:val="00A77BCB"/>
    <w:rsid w:val="00A8390C"/>
    <w:rsid w:val="00A90002"/>
    <w:rsid w:val="00A91C7B"/>
    <w:rsid w:val="00A928BD"/>
    <w:rsid w:val="00AA12CD"/>
    <w:rsid w:val="00AA45A2"/>
    <w:rsid w:val="00AA4D1C"/>
    <w:rsid w:val="00AB3B9F"/>
    <w:rsid w:val="00AC1646"/>
    <w:rsid w:val="00AC193C"/>
    <w:rsid w:val="00AC408F"/>
    <w:rsid w:val="00AC5206"/>
    <w:rsid w:val="00AC5908"/>
    <w:rsid w:val="00AC6251"/>
    <w:rsid w:val="00AC7562"/>
    <w:rsid w:val="00AD0A48"/>
    <w:rsid w:val="00AD12C5"/>
    <w:rsid w:val="00AD19A8"/>
    <w:rsid w:val="00AD4322"/>
    <w:rsid w:val="00AE0C59"/>
    <w:rsid w:val="00AE11A5"/>
    <w:rsid w:val="00AE13E2"/>
    <w:rsid w:val="00AE22D3"/>
    <w:rsid w:val="00AE3AA7"/>
    <w:rsid w:val="00AE67E1"/>
    <w:rsid w:val="00AF3E32"/>
    <w:rsid w:val="00AF5978"/>
    <w:rsid w:val="00AF62DF"/>
    <w:rsid w:val="00AF68CC"/>
    <w:rsid w:val="00B0001B"/>
    <w:rsid w:val="00B01DC9"/>
    <w:rsid w:val="00B1059E"/>
    <w:rsid w:val="00B10854"/>
    <w:rsid w:val="00B16B1C"/>
    <w:rsid w:val="00B176C8"/>
    <w:rsid w:val="00B205AA"/>
    <w:rsid w:val="00B22E84"/>
    <w:rsid w:val="00B233AD"/>
    <w:rsid w:val="00B25F75"/>
    <w:rsid w:val="00B26B3F"/>
    <w:rsid w:val="00B2778F"/>
    <w:rsid w:val="00B27FA8"/>
    <w:rsid w:val="00B30320"/>
    <w:rsid w:val="00B33635"/>
    <w:rsid w:val="00B43E90"/>
    <w:rsid w:val="00B46587"/>
    <w:rsid w:val="00B467DC"/>
    <w:rsid w:val="00B4793E"/>
    <w:rsid w:val="00B56118"/>
    <w:rsid w:val="00B61E0E"/>
    <w:rsid w:val="00B61EE5"/>
    <w:rsid w:val="00B6208E"/>
    <w:rsid w:val="00B64CD9"/>
    <w:rsid w:val="00B66053"/>
    <w:rsid w:val="00B6773F"/>
    <w:rsid w:val="00B71765"/>
    <w:rsid w:val="00B801BA"/>
    <w:rsid w:val="00B84D5C"/>
    <w:rsid w:val="00B87DA7"/>
    <w:rsid w:val="00B905EC"/>
    <w:rsid w:val="00B94417"/>
    <w:rsid w:val="00B95403"/>
    <w:rsid w:val="00B95597"/>
    <w:rsid w:val="00B97436"/>
    <w:rsid w:val="00BA0F29"/>
    <w:rsid w:val="00BA2CE1"/>
    <w:rsid w:val="00BA5189"/>
    <w:rsid w:val="00BB2920"/>
    <w:rsid w:val="00BB445B"/>
    <w:rsid w:val="00BB550A"/>
    <w:rsid w:val="00BB69F5"/>
    <w:rsid w:val="00BB7EC3"/>
    <w:rsid w:val="00BC0D43"/>
    <w:rsid w:val="00BC181A"/>
    <w:rsid w:val="00BC3BC3"/>
    <w:rsid w:val="00BC4B9A"/>
    <w:rsid w:val="00BD38F6"/>
    <w:rsid w:val="00BD4D42"/>
    <w:rsid w:val="00BD784C"/>
    <w:rsid w:val="00BD7C1C"/>
    <w:rsid w:val="00BF4CB6"/>
    <w:rsid w:val="00C00DA7"/>
    <w:rsid w:val="00C03608"/>
    <w:rsid w:val="00C0735D"/>
    <w:rsid w:val="00C12768"/>
    <w:rsid w:val="00C14511"/>
    <w:rsid w:val="00C15E84"/>
    <w:rsid w:val="00C1789C"/>
    <w:rsid w:val="00C27B58"/>
    <w:rsid w:val="00C3401E"/>
    <w:rsid w:val="00C35996"/>
    <w:rsid w:val="00C37368"/>
    <w:rsid w:val="00C400E8"/>
    <w:rsid w:val="00C43311"/>
    <w:rsid w:val="00C44115"/>
    <w:rsid w:val="00C44375"/>
    <w:rsid w:val="00C44643"/>
    <w:rsid w:val="00C45BC6"/>
    <w:rsid w:val="00C4747E"/>
    <w:rsid w:val="00C51439"/>
    <w:rsid w:val="00C5342C"/>
    <w:rsid w:val="00C57628"/>
    <w:rsid w:val="00C57FDC"/>
    <w:rsid w:val="00C60272"/>
    <w:rsid w:val="00C603D4"/>
    <w:rsid w:val="00C6256A"/>
    <w:rsid w:val="00C654F5"/>
    <w:rsid w:val="00C679BE"/>
    <w:rsid w:val="00C71C3F"/>
    <w:rsid w:val="00C72A0B"/>
    <w:rsid w:val="00C76DDB"/>
    <w:rsid w:val="00C77891"/>
    <w:rsid w:val="00C91449"/>
    <w:rsid w:val="00C92D10"/>
    <w:rsid w:val="00C96A47"/>
    <w:rsid w:val="00CA32A1"/>
    <w:rsid w:val="00CA6AE6"/>
    <w:rsid w:val="00CB1193"/>
    <w:rsid w:val="00CB2D59"/>
    <w:rsid w:val="00CC7BDA"/>
    <w:rsid w:val="00CE10C4"/>
    <w:rsid w:val="00CE173F"/>
    <w:rsid w:val="00CE27B5"/>
    <w:rsid w:val="00CE2831"/>
    <w:rsid w:val="00CE3439"/>
    <w:rsid w:val="00CE7625"/>
    <w:rsid w:val="00CE7798"/>
    <w:rsid w:val="00CE7E14"/>
    <w:rsid w:val="00CF1D06"/>
    <w:rsid w:val="00CF36AD"/>
    <w:rsid w:val="00CF7183"/>
    <w:rsid w:val="00CF7B3F"/>
    <w:rsid w:val="00CF7D9B"/>
    <w:rsid w:val="00D0321E"/>
    <w:rsid w:val="00D05F58"/>
    <w:rsid w:val="00D05FBB"/>
    <w:rsid w:val="00D137A0"/>
    <w:rsid w:val="00D14543"/>
    <w:rsid w:val="00D1455A"/>
    <w:rsid w:val="00D22140"/>
    <w:rsid w:val="00D23544"/>
    <w:rsid w:val="00D24EE5"/>
    <w:rsid w:val="00D254B1"/>
    <w:rsid w:val="00D31150"/>
    <w:rsid w:val="00D3138B"/>
    <w:rsid w:val="00D3280C"/>
    <w:rsid w:val="00D3406A"/>
    <w:rsid w:val="00D34E63"/>
    <w:rsid w:val="00D40783"/>
    <w:rsid w:val="00D4572C"/>
    <w:rsid w:val="00D469B2"/>
    <w:rsid w:val="00D51F74"/>
    <w:rsid w:val="00D54955"/>
    <w:rsid w:val="00D61780"/>
    <w:rsid w:val="00D6394E"/>
    <w:rsid w:val="00D700BC"/>
    <w:rsid w:val="00D705C3"/>
    <w:rsid w:val="00D7096B"/>
    <w:rsid w:val="00D741EB"/>
    <w:rsid w:val="00D75196"/>
    <w:rsid w:val="00D752C2"/>
    <w:rsid w:val="00D820F3"/>
    <w:rsid w:val="00D83605"/>
    <w:rsid w:val="00D84934"/>
    <w:rsid w:val="00D91271"/>
    <w:rsid w:val="00D91869"/>
    <w:rsid w:val="00D919F5"/>
    <w:rsid w:val="00D94F03"/>
    <w:rsid w:val="00D963BB"/>
    <w:rsid w:val="00DA233C"/>
    <w:rsid w:val="00DA2CB5"/>
    <w:rsid w:val="00DA4BAC"/>
    <w:rsid w:val="00DA7B19"/>
    <w:rsid w:val="00DB0151"/>
    <w:rsid w:val="00DB0721"/>
    <w:rsid w:val="00DC4F5F"/>
    <w:rsid w:val="00DD20AD"/>
    <w:rsid w:val="00DD335B"/>
    <w:rsid w:val="00DD4995"/>
    <w:rsid w:val="00DD6C7F"/>
    <w:rsid w:val="00DD7272"/>
    <w:rsid w:val="00DE1D3A"/>
    <w:rsid w:val="00DE3188"/>
    <w:rsid w:val="00DE6D27"/>
    <w:rsid w:val="00DF217D"/>
    <w:rsid w:val="00DF26A7"/>
    <w:rsid w:val="00E00455"/>
    <w:rsid w:val="00E0192A"/>
    <w:rsid w:val="00E02FDF"/>
    <w:rsid w:val="00E15627"/>
    <w:rsid w:val="00E164B3"/>
    <w:rsid w:val="00E16910"/>
    <w:rsid w:val="00E27234"/>
    <w:rsid w:val="00E31608"/>
    <w:rsid w:val="00E32E4F"/>
    <w:rsid w:val="00E351C0"/>
    <w:rsid w:val="00E35ABB"/>
    <w:rsid w:val="00E35CB5"/>
    <w:rsid w:val="00E42BDB"/>
    <w:rsid w:val="00E4343A"/>
    <w:rsid w:val="00E57EEB"/>
    <w:rsid w:val="00E607F3"/>
    <w:rsid w:val="00E62D94"/>
    <w:rsid w:val="00E65E54"/>
    <w:rsid w:val="00E663E9"/>
    <w:rsid w:val="00E72E6D"/>
    <w:rsid w:val="00E7444D"/>
    <w:rsid w:val="00E74B58"/>
    <w:rsid w:val="00E7778C"/>
    <w:rsid w:val="00E778D5"/>
    <w:rsid w:val="00E80155"/>
    <w:rsid w:val="00E81F28"/>
    <w:rsid w:val="00E848C0"/>
    <w:rsid w:val="00E85776"/>
    <w:rsid w:val="00E91B96"/>
    <w:rsid w:val="00E9238D"/>
    <w:rsid w:val="00E94011"/>
    <w:rsid w:val="00E941A1"/>
    <w:rsid w:val="00E95CE3"/>
    <w:rsid w:val="00E95F7B"/>
    <w:rsid w:val="00EA2825"/>
    <w:rsid w:val="00EA41E5"/>
    <w:rsid w:val="00EA4DAA"/>
    <w:rsid w:val="00EA6D47"/>
    <w:rsid w:val="00EB0B63"/>
    <w:rsid w:val="00EB0F13"/>
    <w:rsid w:val="00EB1936"/>
    <w:rsid w:val="00EB25DB"/>
    <w:rsid w:val="00EB3E2B"/>
    <w:rsid w:val="00EB5088"/>
    <w:rsid w:val="00EB722F"/>
    <w:rsid w:val="00EC06F9"/>
    <w:rsid w:val="00EC12E9"/>
    <w:rsid w:val="00EC6AB9"/>
    <w:rsid w:val="00ED1644"/>
    <w:rsid w:val="00ED2593"/>
    <w:rsid w:val="00ED3263"/>
    <w:rsid w:val="00ED44C2"/>
    <w:rsid w:val="00ED55EA"/>
    <w:rsid w:val="00ED7D9C"/>
    <w:rsid w:val="00EE5A10"/>
    <w:rsid w:val="00EE5A76"/>
    <w:rsid w:val="00EF0069"/>
    <w:rsid w:val="00EF44A0"/>
    <w:rsid w:val="00EF4FED"/>
    <w:rsid w:val="00EF7C2C"/>
    <w:rsid w:val="00F00EBB"/>
    <w:rsid w:val="00F0172E"/>
    <w:rsid w:val="00F050BD"/>
    <w:rsid w:val="00F05657"/>
    <w:rsid w:val="00F15A78"/>
    <w:rsid w:val="00F16AE8"/>
    <w:rsid w:val="00F22B68"/>
    <w:rsid w:val="00F25578"/>
    <w:rsid w:val="00F258E5"/>
    <w:rsid w:val="00F25CCE"/>
    <w:rsid w:val="00F300BC"/>
    <w:rsid w:val="00F316C4"/>
    <w:rsid w:val="00F3334E"/>
    <w:rsid w:val="00F3447C"/>
    <w:rsid w:val="00F36CCB"/>
    <w:rsid w:val="00F374E5"/>
    <w:rsid w:val="00F43AF2"/>
    <w:rsid w:val="00F476FF"/>
    <w:rsid w:val="00F5007E"/>
    <w:rsid w:val="00F50EC4"/>
    <w:rsid w:val="00F52232"/>
    <w:rsid w:val="00F550CF"/>
    <w:rsid w:val="00F57A6D"/>
    <w:rsid w:val="00F638CC"/>
    <w:rsid w:val="00F64CC1"/>
    <w:rsid w:val="00F71057"/>
    <w:rsid w:val="00F72317"/>
    <w:rsid w:val="00F74A8B"/>
    <w:rsid w:val="00F7509B"/>
    <w:rsid w:val="00F80475"/>
    <w:rsid w:val="00F80C72"/>
    <w:rsid w:val="00F8247A"/>
    <w:rsid w:val="00F8735F"/>
    <w:rsid w:val="00F90E83"/>
    <w:rsid w:val="00F9160C"/>
    <w:rsid w:val="00F9629A"/>
    <w:rsid w:val="00F96E08"/>
    <w:rsid w:val="00F97EFC"/>
    <w:rsid w:val="00FA43B6"/>
    <w:rsid w:val="00FA4DD5"/>
    <w:rsid w:val="00FA5883"/>
    <w:rsid w:val="00FA6055"/>
    <w:rsid w:val="00FA692E"/>
    <w:rsid w:val="00FB13C5"/>
    <w:rsid w:val="00FB322F"/>
    <w:rsid w:val="00FB442F"/>
    <w:rsid w:val="00FB616F"/>
    <w:rsid w:val="00FC0E03"/>
    <w:rsid w:val="00FC1929"/>
    <w:rsid w:val="00FC3647"/>
    <w:rsid w:val="00FC5472"/>
    <w:rsid w:val="00FC5B46"/>
    <w:rsid w:val="00FD5AD1"/>
    <w:rsid w:val="00FD6D8E"/>
    <w:rsid w:val="00FE0E94"/>
    <w:rsid w:val="00FE7FC3"/>
    <w:rsid w:val="00FF00BD"/>
    <w:rsid w:val="00FF0D61"/>
    <w:rsid w:val="00FF1ED4"/>
    <w:rsid w:val="00FF269E"/>
    <w:rsid w:val="00FF2801"/>
    <w:rsid w:val="00FF6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5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AC"/>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3"/>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rsid w:val="00FC3647"/>
    <w:rPr>
      <w:rFonts w:ascii="Arial" w:hAnsi="Arial"/>
      <w:lang w:eastAsia="en-US"/>
    </w:rPr>
  </w:style>
  <w:style w:type="paragraph" w:customStyle="1" w:styleId="TableText1">
    <w:name w:val="TableText"/>
    <w:basedOn w:val="Normal"/>
    <w:link w:val="TableTextChar1"/>
    <w:uiPriority w:val="3"/>
    <w:qFormat/>
    <w:rsid w:val="000F31E8"/>
    <w:pPr>
      <w:spacing w:before="40" w:after="40"/>
    </w:pPr>
    <w:rPr>
      <w:rFonts w:ascii="Calibri" w:hAnsi="Calibri" w:cs="Calibri"/>
      <w:bCs/>
      <w:sz w:val="20"/>
      <w:szCs w:val="20"/>
      <w:lang w:eastAsia="en-US"/>
    </w:rPr>
  </w:style>
  <w:style w:type="character" w:customStyle="1" w:styleId="TableTextChar1">
    <w:name w:val="TableText Char"/>
    <w:link w:val="TableText1"/>
    <w:uiPriority w:val="3"/>
    <w:rsid w:val="000F31E8"/>
    <w:rPr>
      <w:rFonts w:ascii="Calibri" w:hAnsi="Calibri" w:cs="Calibri"/>
      <w:bCs/>
      <w:lang w:eastAsia="en-US"/>
    </w:rPr>
  </w:style>
  <w:style w:type="paragraph" w:styleId="FootnoteText">
    <w:name w:val="footnote text"/>
    <w:basedOn w:val="Normal"/>
    <w:link w:val="FootnoteTextChar"/>
    <w:rsid w:val="00F25CCE"/>
    <w:rPr>
      <w:sz w:val="20"/>
      <w:szCs w:val="20"/>
    </w:rPr>
  </w:style>
  <w:style w:type="character" w:customStyle="1" w:styleId="FootnoteTextChar">
    <w:name w:val="Footnote Text Char"/>
    <w:basedOn w:val="DefaultParagraphFont"/>
    <w:link w:val="FootnoteText"/>
    <w:rsid w:val="00F25CCE"/>
  </w:style>
  <w:style w:type="character" w:styleId="FootnoteReference">
    <w:name w:val="footnote reference"/>
    <w:basedOn w:val="DefaultParagraphFont"/>
    <w:rsid w:val="00F25CCE"/>
    <w:rPr>
      <w:vertAlign w:val="superscript"/>
    </w:rPr>
  </w:style>
  <w:style w:type="paragraph" w:customStyle="1" w:styleId="TableNotes0">
    <w:name w:val="TableNotes"/>
    <w:basedOn w:val="Normal"/>
    <w:next w:val="Normal"/>
    <w:link w:val="TableNotesChar"/>
    <w:uiPriority w:val="3"/>
    <w:qFormat/>
    <w:rsid w:val="00DA233C"/>
    <w:pPr>
      <w:tabs>
        <w:tab w:val="left" w:pos="1134"/>
      </w:tabs>
      <w:ind w:left="1134" w:hanging="1134"/>
    </w:pPr>
    <w:rPr>
      <w:rFonts w:ascii="Calibri" w:eastAsia="SimSun" w:hAnsi="Calibri"/>
      <w:sz w:val="18"/>
      <w:szCs w:val="18"/>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qFormat/>
    <w:rsid w:val="00DA233C"/>
    <w:pPr>
      <w:keepNext/>
      <w:tabs>
        <w:tab w:val="left" w:pos="1418"/>
      </w:tabs>
      <w:spacing w:before="240" w:after="40"/>
      <w:ind w:left="1418" w:hanging="1418"/>
    </w:pPr>
    <w:rPr>
      <w:rFonts w:ascii="Calibri" w:eastAsia="SimSun" w:hAnsi="Calibri"/>
      <w:b/>
      <w:bCs/>
      <w:sz w:val="22"/>
      <w:szCs w:val="22"/>
      <w:lang w:eastAsia="zh-CN"/>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link w:val="Caption"/>
    <w:uiPriority w:val="2"/>
    <w:rsid w:val="00DA233C"/>
    <w:rPr>
      <w:rFonts w:ascii="Calibri" w:eastAsia="SimSun" w:hAnsi="Calibri"/>
      <w:b/>
      <w:bCs/>
      <w:sz w:val="22"/>
      <w:szCs w:val="22"/>
      <w:lang w:eastAsia="zh-CN"/>
    </w:rPr>
  </w:style>
  <w:style w:type="paragraph" w:customStyle="1" w:styleId="ESTableText">
    <w:name w:val="ESTableText"/>
    <w:basedOn w:val="TableText1"/>
    <w:link w:val="ESTableTextChar"/>
    <w:uiPriority w:val="1"/>
    <w:qFormat/>
    <w:rsid w:val="00DA233C"/>
    <w:pPr>
      <w:spacing w:before="0" w:after="0"/>
    </w:pPr>
    <w:rPr>
      <w:rFonts w:cstheme="minorHAnsi"/>
    </w:rPr>
  </w:style>
  <w:style w:type="character" w:customStyle="1" w:styleId="ESTableTextChar">
    <w:name w:val="ESTableText Char"/>
    <w:basedOn w:val="TableTextChar1"/>
    <w:link w:val="ESTableText"/>
    <w:uiPriority w:val="1"/>
    <w:rsid w:val="00DA233C"/>
    <w:rPr>
      <w:rFonts w:ascii="Calibri" w:hAnsi="Calibri" w:cstheme="minorHAnsi"/>
      <w:bCs/>
      <w:lang w:eastAsia="en-US"/>
    </w:rPr>
  </w:style>
  <w:style w:type="character" w:customStyle="1" w:styleId="TableNotesChar">
    <w:name w:val="TableNotes Char"/>
    <w:basedOn w:val="DefaultParagraphFont"/>
    <w:link w:val="TableNotes0"/>
    <w:uiPriority w:val="3"/>
    <w:rsid w:val="00DA233C"/>
    <w:rPr>
      <w:rFonts w:ascii="Calibri" w:eastAsia="SimSun" w:hAnsi="Calibri"/>
      <w:sz w:val="18"/>
      <w:szCs w:val="18"/>
      <w:lang w:eastAsia="en-US"/>
    </w:rPr>
  </w:style>
  <w:style w:type="character" w:customStyle="1" w:styleId="IBCaptionChar">
    <w:name w:val="IB Caption Char"/>
    <w:aliases w:val="Medical Caption Char,Caption Char1 Char Char Char,Caption Char Char Char Char Char1,Caption Char1 Char Char1,Caption Char Char Char Char Char Char,Caption Char Char Char1,Caption Char Char Char Char1 Char,Caption Char Char1"/>
    <w:basedOn w:val="DefaultParagraphFont"/>
    <w:rsid w:val="00B10854"/>
    <w:rPr>
      <w:rFonts w:ascii="Arial Narrow" w:hAnsi="Arial Narrow"/>
      <w:b/>
      <w:bCs/>
      <w:color w:val="000000" w:themeColor="text1"/>
    </w:rPr>
  </w:style>
  <w:style w:type="paragraph" w:styleId="Revision">
    <w:name w:val="Revision"/>
    <w:hidden/>
    <w:uiPriority w:val="71"/>
    <w:semiHidden/>
    <w:rsid w:val="00804BC9"/>
    <w:rPr>
      <w:sz w:val="24"/>
      <w:szCs w:val="24"/>
    </w:rPr>
  </w:style>
  <w:style w:type="paragraph" w:styleId="TOC9">
    <w:name w:val="toc 9"/>
    <w:basedOn w:val="Normal"/>
    <w:next w:val="Normal"/>
    <w:autoRedefine/>
    <w:rsid w:val="00BD7C1C"/>
    <w:pPr>
      <w:widowControl w:val="0"/>
      <w:ind w:left="1760"/>
    </w:pPr>
    <w:rPr>
      <w:rFonts w:asciiTheme="minorHAnsi" w:hAnsiTheme="minorHAnsi" w:cs="Arial"/>
      <w:snapToGrid w:val="0"/>
      <w:sz w:val="20"/>
      <w:szCs w:val="22"/>
      <w:lang w:eastAsia="en-US"/>
    </w:rPr>
  </w:style>
  <w:style w:type="paragraph" w:customStyle="1" w:styleId="Bulletpoints">
    <w:name w:val="Bullet points"/>
    <w:basedOn w:val="ListParagraph"/>
    <w:qFormat/>
    <w:rsid w:val="007E69EC"/>
    <w:pPr>
      <w:numPr>
        <w:numId w:val="18"/>
      </w:numPr>
      <w:contextualSpacing w:val="0"/>
    </w:pPr>
    <w:rPr>
      <w:rFonts w:ascii="Calibri" w:hAnsi="Calibri"/>
      <w:sz w:val="24"/>
      <w:szCs w:val="24"/>
    </w:rPr>
  </w:style>
  <w:style w:type="paragraph" w:customStyle="1" w:styleId="TableNotes00">
    <w:name w:val="TableNotes+0"/>
    <w:basedOn w:val="Normal"/>
    <w:rsid w:val="007E69EC"/>
    <w:pPr>
      <w:keepNext/>
      <w:keepLines/>
      <w:ind w:left="720"/>
    </w:pPr>
    <w:rPr>
      <w:rFonts w:ascii="Arial Narrow" w:hAnsi="Arial Narrow" w:cs="Arial Narrow"/>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5544817">
      <w:bodyDiv w:val="1"/>
      <w:marLeft w:val="0"/>
      <w:marRight w:val="0"/>
      <w:marTop w:val="0"/>
      <w:marBottom w:val="0"/>
      <w:divBdr>
        <w:top w:val="none" w:sz="0" w:space="0" w:color="auto"/>
        <w:left w:val="none" w:sz="0" w:space="0" w:color="auto"/>
        <w:bottom w:val="none" w:sz="0" w:space="0" w:color="auto"/>
        <w:right w:val="none" w:sz="0" w:space="0" w:color="auto"/>
      </w:divBdr>
    </w:div>
    <w:div w:id="55856455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1890432">
      <w:bodyDiv w:val="1"/>
      <w:marLeft w:val="0"/>
      <w:marRight w:val="0"/>
      <w:marTop w:val="0"/>
      <w:marBottom w:val="0"/>
      <w:divBdr>
        <w:top w:val="none" w:sz="0" w:space="0" w:color="auto"/>
        <w:left w:val="none" w:sz="0" w:space="0" w:color="auto"/>
        <w:bottom w:val="none" w:sz="0" w:space="0" w:color="auto"/>
        <w:right w:val="none" w:sz="0" w:space="0" w:color="auto"/>
      </w:divBdr>
    </w:div>
    <w:div w:id="986740243">
      <w:bodyDiv w:val="1"/>
      <w:marLeft w:val="0"/>
      <w:marRight w:val="0"/>
      <w:marTop w:val="0"/>
      <w:marBottom w:val="0"/>
      <w:divBdr>
        <w:top w:val="none" w:sz="0" w:space="0" w:color="auto"/>
        <w:left w:val="none" w:sz="0" w:space="0" w:color="auto"/>
        <w:bottom w:val="none" w:sz="0" w:space="0" w:color="auto"/>
        <w:right w:val="none" w:sz="0" w:space="0" w:color="auto"/>
      </w:divBdr>
    </w:div>
    <w:div w:id="1266495132">
      <w:bodyDiv w:val="1"/>
      <w:marLeft w:val="0"/>
      <w:marRight w:val="0"/>
      <w:marTop w:val="0"/>
      <w:marBottom w:val="0"/>
      <w:divBdr>
        <w:top w:val="none" w:sz="0" w:space="0" w:color="auto"/>
        <w:left w:val="none" w:sz="0" w:space="0" w:color="auto"/>
        <w:bottom w:val="none" w:sz="0" w:space="0" w:color="auto"/>
        <w:right w:val="none" w:sz="0" w:space="0" w:color="auto"/>
      </w:divBdr>
    </w:div>
    <w:div w:id="1382562011">
      <w:bodyDiv w:val="1"/>
      <w:marLeft w:val="0"/>
      <w:marRight w:val="0"/>
      <w:marTop w:val="0"/>
      <w:marBottom w:val="0"/>
      <w:divBdr>
        <w:top w:val="none" w:sz="0" w:space="0" w:color="auto"/>
        <w:left w:val="none" w:sz="0" w:space="0" w:color="auto"/>
        <w:bottom w:val="none" w:sz="0" w:space="0" w:color="auto"/>
        <w:right w:val="none" w:sz="0" w:space="0" w:color="auto"/>
      </w:divBdr>
    </w:div>
    <w:div w:id="1641838455">
      <w:bodyDiv w:val="1"/>
      <w:marLeft w:val="0"/>
      <w:marRight w:val="0"/>
      <w:marTop w:val="0"/>
      <w:marBottom w:val="0"/>
      <w:divBdr>
        <w:top w:val="none" w:sz="0" w:space="0" w:color="auto"/>
        <w:left w:val="none" w:sz="0" w:space="0" w:color="auto"/>
        <w:bottom w:val="none" w:sz="0" w:space="0" w:color="auto"/>
        <w:right w:val="none" w:sz="0" w:space="0" w:color="auto"/>
      </w:divBdr>
    </w:div>
    <w:div w:id="164797563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3292-58D5-49D0-8FCA-06BAB2CA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6165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2020-02-17T01:45:00Z</dcterms:created>
  <dcterms:modified xsi:type="dcterms:W3CDTF">2020-02-26T01:51:00Z</dcterms:modified>
</cp:coreProperties>
</file>