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05" w:rsidRPr="00011ED1" w:rsidRDefault="000A55D8" w:rsidP="00367A74">
      <w:pPr>
        <w:pStyle w:val="1MainTitle"/>
        <w:spacing w:before="0" w:after="0"/>
        <w:jc w:val="both"/>
        <w:rPr>
          <w:b w:val="0"/>
        </w:rPr>
      </w:pPr>
      <w:bookmarkStart w:id="0" w:name="_GoBack"/>
      <w:bookmarkEnd w:id="0"/>
      <w:r>
        <w:t>5.20</w:t>
      </w:r>
      <w:r w:rsidR="00C9275C">
        <w:t> </w:t>
      </w:r>
      <w:r>
        <w:t>ATEZOLIZUMAB</w:t>
      </w:r>
      <w:r>
        <w:rPr>
          <w:b w:val="0"/>
        </w:rPr>
        <w:br/>
      </w:r>
      <w:r w:rsidR="00532205" w:rsidRPr="00011ED1">
        <w:t>Solution concentrate for I.V. infusion 840 mg in 14 mL,</w:t>
      </w:r>
      <w:r>
        <w:rPr>
          <w:b w:val="0"/>
        </w:rPr>
        <w:br/>
      </w:r>
      <w:r w:rsidR="00532205" w:rsidRPr="00011ED1">
        <w:t xml:space="preserve">Tecentriq®, </w:t>
      </w:r>
      <w:r>
        <w:br/>
      </w:r>
      <w:r w:rsidR="00532205" w:rsidRPr="00011ED1">
        <w:t>Roche Products Pty Ltd.</w:t>
      </w:r>
    </w:p>
    <w:p w:rsidR="008A50F1" w:rsidRPr="00011ED1" w:rsidRDefault="00CE10C4" w:rsidP="00367A74">
      <w:pPr>
        <w:pStyle w:val="2Sections"/>
        <w:numPr>
          <w:ilvl w:val="0"/>
          <w:numId w:val="7"/>
        </w:numPr>
      </w:pPr>
      <w:r w:rsidRPr="00011ED1">
        <w:t xml:space="preserve">Purpose of </w:t>
      </w:r>
      <w:r w:rsidR="0004240E" w:rsidRPr="00011ED1">
        <w:t>Application</w:t>
      </w:r>
      <w:r w:rsidR="00034905" w:rsidRPr="00011ED1">
        <w:t xml:space="preserve"> </w:t>
      </w:r>
    </w:p>
    <w:p w:rsidR="00EF44A0" w:rsidRPr="00011ED1" w:rsidRDefault="00245710" w:rsidP="00367A74">
      <w:pPr>
        <w:pStyle w:val="ListParagraph"/>
        <w:widowControl/>
        <w:numPr>
          <w:ilvl w:val="1"/>
          <w:numId w:val="1"/>
        </w:numPr>
        <w:spacing w:after="120"/>
        <w:contextualSpacing w:val="0"/>
        <w:rPr>
          <w:rFonts w:asciiTheme="minorHAnsi" w:hAnsiTheme="minorHAnsi"/>
          <w:sz w:val="24"/>
          <w:szCs w:val="24"/>
        </w:rPr>
      </w:pPr>
      <w:r w:rsidRPr="00011ED1">
        <w:rPr>
          <w:rFonts w:asciiTheme="minorHAnsi" w:eastAsiaTheme="minorHAnsi" w:hAnsiTheme="minorHAnsi" w:cstheme="minorBidi"/>
          <w:snapToGrid/>
          <w:sz w:val="24"/>
          <w:szCs w:val="22"/>
        </w:rPr>
        <w:t>The mino</w:t>
      </w:r>
      <w:r w:rsidR="004C7BDB" w:rsidRPr="00011ED1">
        <w:rPr>
          <w:rFonts w:asciiTheme="minorHAnsi" w:eastAsiaTheme="minorHAnsi" w:hAnsiTheme="minorHAnsi" w:cstheme="minorBidi"/>
          <w:snapToGrid/>
          <w:sz w:val="24"/>
          <w:szCs w:val="22"/>
        </w:rPr>
        <w:t xml:space="preserve">r submission requested </w:t>
      </w:r>
      <w:r w:rsidR="000D5FBE" w:rsidRPr="00011ED1">
        <w:rPr>
          <w:rFonts w:asciiTheme="minorHAnsi" w:eastAsiaTheme="minorHAnsi" w:hAnsiTheme="minorHAnsi" w:cstheme="minorBidi"/>
          <w:snapToGrid/>
          <w:sz w:val="24"/>
          <w:szCs w:val="22"/>
        </w:rPr>
        <w:t xml:space="preserve">a </w:t>
      </w:r>
      <w:r w:rsidRPr="00011ED1">
        <w:rPr>
          <w:rFonts w:asciiTheme="minorHAnsi" w:eastAsiaTheme="minorHAnsi" w:hAnsiTheme="minorHAnsi" w:cstheme="minorBidi"/>
          <w:snapToGrid/>
          <w:sz w:val="24"/>
          <w:szCs w:val="22"/>
        </w:rPr>
        <w:t>Section 100 (Efficient Funding of Chemotherapy</w:t>
      </w:r>
      <w:r w:rsidR="001F21F2" w:rsidRPr="00011ED1">
        <w:rPr>
          <w:rFonts w:asciiTheme="minorHAnsi" w:eastAsiaTheme="minorHAnsi" w:hAnsiTheme="minorHAnsi" w:cstheme="minorBidi"/>
          <w:snapToGrid/>
          <w:sz w:val="24"/>
          <w:szCs w:val="22"/>
        </w:rPr>
        <w:t xml:space="preserve"> – Public and Private Hospital</w:t>
      </w:r>
      <w:r w:rsidRPr="00011ED1">
        <w:rPr>
          <w:rFonts w:asciiTheme="minorHAnsi" w:eastAsiaTheme="minorHAnsi" w:hAnsiTheme="minorHAnsi" w:cstheme="minorBidi"/>
          <w:snapToGrid/>
          <w:sz w:val="24"/>
          <w:szCs w:val="22"/>
        </w:rPr>
        <w:t>)</w:t>
      </w:r>
      <w:r w:rsidR="005F4480" w:rsidRPr="00011ED1">
        <w:rPr>
          <w:rFonts w:asciiTheme="minorHAnsi" w:eastAsiaTheme="minorHAnsi" w:hAnsiTheme="minorHAnsi" w:cstheme="minorBidi"/>
          <w:snapToGrid/>
          <w:sz w:val="24"/>
          <w:szCs w:val="22"/>
        </w:rPr>
        <w:t xml:space="preserve"> </w:t>
      </w:r>
      <w:r w:rsidRPr="00011ED1">
        <w:rPr>
          <w:rFonts w:asciiTheme="minorHAnsi" w:eastAsiaTheme="minorHAnsi" w:hAnsiTheme="minorHAnsi" w:cstheme="minorBidi"/>
          <w:snapToGrid/>
          <w:sz w:val="24"/>
          <w:szCs w:val="22"/>
        </w:rPr>
        <w:t xml:space="preserve"> Authority</w:t>
      </w:r>
      <w:r w:rsidR="000D5FBE" w:rsidRPr="00011ED1">
        <w:rPr>
          <w:rFonts w:asciiTheme="minorHAnsi" w:eastAsiaTheme="minorHAnsi" w:hAnsiTheme="minorHAnsi" w:cstheme="minorBidi"/>
          <w:snapToGrid/>
          <w:sz w:val="24"/>
          <w:szCs w:val="22"/>
        </w:rPr>
        <w:t xml:space="preserve"> Required (STREAMLINED) listing </w:t>
      </w:r>
      <w:r w:rsidR="006136DA" w:rsidRPr="00011ED1">
        <w:rPr>
          <w:rFonts w:asciiTheme="minorHAnsi" w:eastAsiaTheme="minorHAnsi" w:hAnsiTheme="minorHAnsi" w:cstheme="minorBidi"/>
          <w:snapToGrid/>
          <w:sz w:val="24"/>
          <w:szCs w:val="22"/>
        </w:rPr>
        <w:t>of</w:t>
      </w:r>
      <w:r w:rsidR="00407290" w:rsidRPr="00011ED1">
        <w:rPr>
          <w:rFonts w:asciiTheme="minorHAnsi" w:eastAsiaTheme="minorHAnsi" w:hAnsiTheme="minorHAnsi" w:cstheme="minorBidi"/>
          <w:snapToGrid/>
          <w:sz w:val="24"/>
          <w:szCs w:val="22"/>
        </w:rPr>
        <w:t xml:space="preserve"> </w:t>
      </w:r>
      <w:r w:rsidR="00EF610F" w:rsidRPr="00011ED1">
        <w:rPr>
          <w:rFonts w:asciiTheme="minorHAnsi" w:eastAsiaTheme="minorHAnsi" w:hAnsiTheme="minorHAnsi" w:cstheme="minorBidi"/>
          <w:snapToGrid/>
          <w:sz w:val="24"/>
          <w:szCs w:val="22"/>
        </w:rPr>
        <w:t xml:space="preserve"> a new form of </w:t>
      </w:r>
      <w:r w:rsidR="00407290" w:rsidRPr="00011ED1">
        <w:rPr>
          <w:rFonts w:asciiTheme="minorHAnsi" w:eastAsiaTheme="minorHAnsi" w:hAnsiTheme="minorHAnsi" w:cstheme="minorBidi"/>
          <w:snapToGrid/>
          <w:sz w:val="24"/>
          <w:szCs w:val="22"/>
        </w:rPr>
        <w:t xml:space="preserve">atezolizumab </w:t>
      </w:r>
      <w:r w:rsidR="00EF610F" w:rsidRPr="00011ED1">
        <w:rPr>
          <w:rFonts w:asciiTheme="minorHAnsi" w:eastAsiaTheme="minorHAnsi" w:hAnsiTheme="minorHAnsi" w:cstheme="minorBidi"/>
          <w:snapToGrid/>
          <w:sz w:val="24"/>
          <w:szCs w:val="22"/>
        </w:rPr>
        <w:t>(</w:t>
      </w:r>
      <w:r w:rsidR="00407290" w:rsidRPr="00011ED1">
        <w:rPr>
          <w:rFonts w:asciiTheme="minorHAnsi" w:eastAsiaTheme="minorHAnsi" w:hAnsiTheme="minorHAnsi" w:cstheme="minorBidi"/>
          <w:snapToGrid/>
          <w:sz w:val="24"/>
          <w:szCs w:val="22"/>
        </w:rPr>
        <w:t>8</w:t>
      </w:r>
      <w:r w:rsidR="006136DA" w:rsidRPr="00011ED1">
        <w:rPr>
          <w:rFonts w:asciiTheme="minorHAnsi" w:eastAsiaTheme="minorHAnsi" w:hAnsiTheme="minorHAnsi" w:cstheme="minorBidi"/>
          <w:snapToGrid/>
          <w:sz w:val="24"/>
          <w:szCs w:val="22"/>
        </w:rPr>
        <w:t xml:space="preserve">40 mg in 14 </w:t>
      </w:r>
      <w:r w:rsidR="0014216A" w:rsidRPr="00011ED1">
        <w:rPr>
          <w:rFonts w:asciiTheme="minorHAnsi" w:eastAsiaTheme="minorHAnsi" w:hAnsiTheme="minorHAnsi" w:cstheme="minorBidi"/>
          <w:snapToGrid/>
          <w:sz w:val="24"/>
          <w:szCs w:val="22"/>
        </w:rPr>
        <w:t>mL</w:t>
      </w:r>
      <w:r w:rsidR="00EF610F" w:rsidRPr="00011ED1">
        <w:rPr>
          <w:rFonts w:asciiTheme="minorHAnsi" w:eastAsiaTheme="minorHAnsi" w:hAnsiTheme="minorHAnsi" w:cstheme="minorBidi"/>
          <w:snapToGrid/>
          <w:sz w:val="24"/>
          <w:szCs w:val="22"/>
        </w:rPr>
        <w:t>,</w:t>
      </w:r>
      <w:r w:rsidR="0014216A" w:rsidRPr="00011ED1">
        <w:rPr>
          <w:rFonts w:asciiTheme="minorHAnsi" w:eastAsiaTheme="minorHAnsi" w:hAnsiTheme="minorHAnsi" w:cstheme="minorBidi"/>
          <w:snapToGrid/>
          <w:sz w:val="24"/>
          <w:szCs w:val="22"/>
        </w:rPr>
        <w:t xml:space="preserve"> </w:t>
      </w:r>
      <w:r w:rsidRPr="00011ED1">
        <w:rPr>
          <w:rFonts w:asciiTheme="minorHAnsi" w:eastAsiaTheme="minorHAnsi" w:hAnsiTheme="minorHAnsi" w:cstheme="minorBidi"/>
          <w:snapToGrid/>
          <w:sz w:val="24"/>
          <w:szCs w:val="22"/>
        </w:rPr>
        <w:t xml:space="preserve">atezolizumab 840 mg from herein) </w:t>
      </w:r>
      <w:r w:rsidR="00757F15" w:rsidRPr="00011ED1">
        <w:rPr>
          <w:rFonts w:asciiTheme="minorHAnsi" w:eastAsiaTheme="minorHAnsi" w:hAnsiTheme="minorHAnsi" w:cstheme="minorBidi"/>
          <w:snapToGrid/>
          <w:sz w:val="24"/>
          <w:szCs w:val="22"/>
        </w:rPr>
        <w:t xml:space="preserve">and </w:t>
      </w:r>
      <w:r w:rsidR="003802F0" w:rsidRPr="00011ED1">
        <w:rPr>
          <w:rFonts w:asciiTheme="minorHAnsi" w:eastAsiaTheme="minorHAnsi" w:hAnsiTheme="minorHAnsi" w:cstheme="minorBidi"/>
          <w:snapToGrid/>
          <w:sz w:val="24"/>
          <w:szCs w:val="22"/>
        </w:rPr>
        <w:t xml:space="preserve">the addition of </w:t>
      </w:r>
      <w:r w:rsidR="001410A0" w:rsidRPr="00011ED1">
        <w:rPr>
          <w:rFonts w:asciiTheme="minorHAnsi" w:eastAsiaTheme="minorHAnsi" w:hAnsiTheme="minorHAnsi" w:cstheme="minorBidi"/>
          <w:snapToGrid/>
          <w:sz w:val="24"/>
          <w:szCs w:val="22"/>
        </w:rPr>
        <w:t xml:space="preserve">a </w:t>
      </w:r>
      <w:r w:rsidR="009E6042" w:rsidRPr="00011ED1">
        <w:rPr>
          <w:rFonts w:asciiTheme="minorHAnsi" w:eastAsiaTheme="minorHAnsi" w:hAnsiTheme="minorHAnsi" w:cstheme="minorBidi"/>
          <w:snapToGrid/>
          <w:sz w:val="24"/>
          <w:szCs w:val="22"/>
        </w:rPr>
        <w:t>1680</w:t>
      </w:r>
      <w:r w:rsidR="0014216A" w:rsidRPr="00011ED1">
        <w:rPr>
          <w:rFonts w:asciiTheme="minorHAnsi" w:eastAsiaTheme="minorHAnsi" w:hAnsiTheme="minorHAnsi" w:cstheme="minorBidi"/>
          <w:snapToGrid/>
          <w:sz w:val="24"/>
          <w:szCs w:val="22"/>
        </w:rPr>
        <w:t xml:space="preserve"> mg every four weeks (Q4W) </w:t>
      </w:r>
      <w:r w:rsidR="001410A0" w:rsidRPr="00011ED1">
        <w:rPr>
          <w:rFonts w:asciiTheme="minorHAnsi" w:eastAsiaTheme="minorHAnsi" w:hAnsiTheme="minorHAnsi" w:cstheme="minorBidi"/>
          <w:snapToGrid/>
          <w:sz w:val="24"/>
          <w:szCs w:val="22"/>
        </w:rPr>
        <w:t xml:space="preserve">flat </w:t>
      </w:r>
      <w:r w:rsidR="00974EE9" w:rsidRPr="00011ED1">
        <w:rPr>
          <w:rFonts w:asciiTheme="minorHAnsi" w:eastAsiaTheme="minorHAnsi" w:hAnsiTheme="minorHAnsi" w:cstheme="minorBidi"/>
          <w:snapToGrid/>
          <w:sz w:val="24"/>
          <w:szCs w:val="22"/>
        </w:rPr>
        <w:t>dosing</w:t>
      </w:r>
      <w:r w:rsidR="003802F0" w:rsidRPr="00011ED1">
        <w:rPr>
          <w:rFonts w:asciiTheme="minorHAnsi" w:eastAsiaTheme="minorHAnsi" w:hAnsiTheme="minorHAnsi" w:cstheme="minorBidi"/>
          <w:snapToGrid/>
          <w:sz w:val="24"/>
          <w:szCs w:val="22"/>
        </w:rPr>
        <w:t xml:space="preserve"> regimen to the current </w:t>
      </w:r>
      <w:r w:rsidR="009E6042" w:rsidRPr="00011ED1">
        <w:rPr>
          <w:rFonts w:asciiTheme="minorHAnsi" w:eastAsiaTheme="minorHAnsi" w:hAnsiTheme="minorHAnsi" w:cstheme="minorBidi"/>
          <w:snapToGrid/>
          <w:sz w:val="24"/>
          <w:szCs w:val="22"/>
        </w:rPr>
        <w:t>1200</w:t>
      </w:r>
      <w:r w:rsidR="00EA6596" w:rsidRPr="00011ED1">
        <w:rPr>
          <w:rFonts w:asciiTheme="minorHAnsi" w:eastAsiaTheme="minorHAnsi" w:hAnsiTheme="minorHAnsi" w:cstheme="minorBidi"/>
          <w:snapToGrid/>
          <w:sz w:val="24"/>
          <w:szCs w:val="22"/>
        </w:rPr>
        <w:t xml:space="preserve"> mg every three weeks (Q3W)</w:t>
      </w:r>
      <w:r w:rsidR="005F4480" w:rsidRPr="00011ED1">
        <w:rPr>
          <w:rFonts w:asciiTheme="minorHAnsi" w:eastAsiaTheme="minorHAnsi" w:hAnsiTheme="minorHAnsi" w:cstheme="minorBidi"/>
          <w:snapToGrid/>
          <w:sz w:val="24"/>
          <w:szCs w:val="22"/>
        </w:rPr>
        <w:t xml:space="preserve"> dosing</w:t>
      </w:r>
      <w:r w:rsidR="003802F0" w:rsidRPr="00011ED1">
        <w:rPr>
          <w:rFonts w:asciiTheme="minorHAnsi" w:eastAsiaTheme="minorHAnsi" w:hAnsiTheme="minorHAnsi" w:cstheme="minorBidi"/>
          <w:snapToGrid/>
          <w:sz w:val="24"/>
          <w:szCs w:val="22"/>
        </w:rPr>
        <w:t xml:space="preserve"> regimen</w:t>
      </w:r>
      <w:r w:rsidRPr="00011ED1">
        <w:rPr>
          <w:rFonts w:asciiTheme="minorHAnsi" w:eastAsiaTheme="minorHAnsi" w:hAnsiTheme="minorHAnsi" w:cstheme="minorBidi"/>
          <w:snapToGrid/>
          <w:sz w:val="24"/>
          <w:szCs w:val="22"/>
        </w:rPr>
        <w:t>.</w:t>
      </w:r>
    </w:p>
    <w:p w:rsidR="00415EA1" w:rsidRPr="00011ED1" w:rsidRDefault="00415EA1" w:rsidP="00367A74">
      <w:pPr>
        <w:pStyle w:val="ListParagraph"/>
        <w:widowControl/>
        <w:numPr>
          <w:ilvl w:val="1"/>
          <w:numId w:val="1"/>
        </w:numPr>
        <w:spacing w:after="120"/>
        <w:contextualSpacing w:val="0"/>
        <w:rPr>
          <w:rFonts w:asciiTheme="minorHAnsi" w:hAnsiTheme="minorHAnsi"/>
          <w:sz w:val="24"/>
          <w:szCs w:val="24"/>
        </w:rPr>
      </w:pPr>
      <w:r w:rsidRPr="00011ED1">
        <w:rPr>
          <w:rFonts w:asciiTheme="minorHAnsi" w:eastAsiaTheme="minorHAnsi" w:hAnsiTheme="minorHAnsi" w:cstheme="minorBidi"/>
          <w:snapToGrid/>
          <w:sz w:val="24"/>
          <w:szCs w:val="22"/>
        </w:rPr>
        <w:t xml:space="preserve">The minor submission requested that </w:t>
      </w:r>
      <w:r w:rsidR="008F6AB1" w:rsidRPr="00011ED1">
        <w:rPr>
          <w:rFonts w:asciiTheme="minorHAnsi" w:eastAsiaTheme="minorHAnsi" w:hAnsiTheme="minorHAnsi" w:cstheme="minorBidi"/>
          <w:snapToGrid/>
          <w:sz w:val="24"/>
          <w:szCs w:val="22"/>
        </w:rPr>
        <w:t>atezolizumab 840</w:t>
      </w:r>
      <w:r w:rsidR="002B1422" w:rsidRPr="00011ED1">
        <w:rPr>
          <w:rFonts w:asciiTheme="minorHAnsi" w:eastAsiaTheme="minorHAnsi" w:hAnsiTheme="minorHAnsi" w:cstheme="minorBidi"/>
          <w:snapToGrid/>
          <w:sz w:val="24"/>
          <w:szCs w:val="22"/>
        </w:rPr>
        <w:t xml:space="preserve"> mg </w:t>
      </w:r>
      <w:r w:rsidR="00D85CEE" w:rsidRPr="00011ED1">
        <w:rPr>
          <w:rFonts w:asciiTheme="minorHAnsi" w:eastAsiaTheme="minorHAnsi" w:hAnsiTheme="minorHAnsi" w:cstheme="minorBidi"/>
          <w:snapToGrid/>
          <w:sz w:val="24"/>
          <w:szCs w:val="22"/>
        </w:rPr>
        <w:t xml:space="preserve">and the </w:t>
      </w:r>
      <w:r w:rsidR="008F6AB1" w:rsidRPr="00011ED1">
        <w:rPr>
          <w:rFonts w:asciiTheme="minorHAnsi" w:eastAsiaTheme="minorHAnsi" w:hAnsiTheme="minorHAnsi" w:cstheme="minorBidi"/>
          <w:snapToGrid/>
          <w:sz w:val="24"/>
          <w:szCs w:val="22"/>
        </w:rPr>
        <w:t>Q4W dosing</w:t>
      </w:r>
      <w:r w:rsidR="00D85CEE" w:rsidRPr="00011ED1">
        <w:rPr>
          <w:rFonts w:asciiTheme="minorHAnsi" w:eastAsiaTheme="minorHAnsi" w:hAnsiTheme="minorHAnsi" w:cstheme="minorBidi"/>
          <w:snapToGrid/>
          <w:sz w:val="24"/>
          <w:szCs w:val="22"/>
        </w:rPr>
        <w:t xml:space="preserve"> regimen</w:t>
      </w:r>
      <w:r w:rsidR="008F6AB1" w:rsidRPr="00011ED1">
        <w:rPr>
          <w:rFonts w:asciiTheme="minorHAnsi" w:eastAsiaTheme="minorHAnsi" w:hAnsiTheme="minorHAnsi" w:cstheme="minorBidi"/>
          <w:snapToGrid/>
          <w:sz w:val="24"/>
          <w:szCs w:val="22"/>
        </w:rPr>
        <w:t xml:space="preserve"> be made available for the </w:t>
      </w:r>
      <w:r w:rsidR="00807437" w:rsidRPr="00011ED1">
        <w:rPr>
          <w:rFonts w:asciiTheme="minorHAnsi" w:eastAsiaTheme="minorHAnsi" w:hAnsiTheme="minorHAnsi" w:cstheme="minorBidi"/>
          <w:snapToGrid/>
          <w:sz w:val="24"/>
          <w:szCs w:val="22"/>
        </w:rPr>
        <w:t xml:space="preserve">atezolizumab PBS listed indications for </w:t>
      </w:r>
      <w:r w:rsidR="001E18BF" w:rsidRPr="00011ED1">
        <w:rPr>
          <w:rFonts w:asciiTheme="minorHAnsi" w:eastAsiaTheme="minorHAnsi" w:hAnsiTheme="minorHAnsi" w:cstheme="minorBidi"/>
          <w:snapToGrid/>
          <w:sz w:val="24"/>
          <w:szCs w:val="22"/>
        </w:rPr>
        <w:t xml:space="preserve">second-line (2L) </w:t>
      </w:r>
      <w:r w:rsidR="008F6AB1" w:rsidRPr="00011ED1">
        <w:rPr>
          <w:rFonts w:asciiTheme="minorHAnsi" w:eastAsiaTheme="minorHAnsi" w:hAnsiTheme="minorHAnsi" w:cstheme="minorBidi"/>
          <w:snapToGrid/>
          <w:sz w:val="24"/>
          <w:szCs w:val="22"/>
        </w:rPr>
        <w:t>treatment of locally advanced or metastatic non-small cell lung cancer (NSCLC)</w:t>
      </w:r>
      <w:r w:rsidR="003527D2" w:rsidRPr="00011ED1">
        <w:rPr>
          <w:rFonts w:asciiTheme="minorHAnsi" w:eastAsiaTheme="minorHAnsi" w:hAnsiTheme="minorHAnsi" w:cstheme="minorBidi"/>
          <w:snapToGrid/>
          <w:sz w:val="24"/>
          <w:szCs w:val="22"/>
        </w:rPr>
        <w:t xml:space="preserve"> </w:t>
      </w:r>
      <w:r w:rsidR="009A09C9" w:rsidRPr="00011ED1">
        <w:rPr>
          <w:rFonts w:asciiTheme="minorHAnsi" w:eastAsiaTheme="minorHAnsi" w:hAnsiTheme="minorHAnsi" w:cstheme="minorBidi"/>
          <w:snapToGrid/>
          <w:sz w:val="24"/>
          <w:szCs w:val="22"/>
        </w:rPr>
        <w:t>and first-line</w:t>
      </w:r>
      <w:r w:rsidR="00CF7CBB" w:rsidRPr="00011ED1">
        <w:rPr>
          <w:rFonts w:asciiTheme="minorHAnsi" w:eastAsiaTheme="minorHAnsi" w:hAnsiTheme="minorHAnsi" w:cstheme="minorBidi"/>
          <w:snapToGrid/>
          <w:sz w:val="24"/>
          <w:szCs w:val="22"/>
        </w:rPr>
        <w:t xml:space="preserve"> (1L</w:t>
      </w:r>
      <w:r w:rsidR="00991C14" w:rsidRPr="00011ED1">
        <w:rPr>
          <w:rFonts w:asciiTheme="minorHAnsi" w:eastAsiaTheme="minorHAnsi" w:hAnsiTheme="minorHAnsi" w:cstheme="minorBidi"/>
          <w:snapToGrid/>
          <w:sz w:val="24"/>
          <w:szCs w:val="22"/>
        </w:rPr>
        <w:t xml:space="preserve">) treatment of </w:t>
      </w:r>
      <w:r w:rsidR="009A09C9" w:rsidRPr="00011ED1">
        <w:rPr>
          <w:rFonts w:asciiTheme="minorHAnsi" w:eastAsiaTheme="minorHAnsi" w:hAnsiTheme="minorHAnsi" w:cstheme="minorBidi"/>
          <w:snapToGrid/>
          <w:sz w:val="24"/>
          <w:szCs w:val="22"/>
        </w:rPr>
        <w:t>stage IV metastatic non-squamous (NSQ) NSCLC</w:t>
      </w:r>
      <w:r w:rsidR="00BC6388" w:rsidRPr="00011ED1">
        <w:rPr>
          <w:rFonts w:asciiTheme="minorHAnsi" w:eastAsiaTheme="minorHAnsi" w:hAnsiTheme="minorHAnsi" w:cstheme="minorBidi"/>
          <w:snapToGrid/>
          <w:sz w:val="24"/>
          <w:szCs w:val="22"/>
        </w:rPr>
        <w:t xml:space="preserve"> (</w:t>
      </w:r>
      <w:r w:rsidR="00833C5C" w:rsidRPr="00011ED1">
        <w:rPr>
          <w:rFonts w:asciiTheme="minorHAnsi" w:eastAsiaTheme="minorHAnsi" w:hAnsiTheme="minorHAnsi" w:cstheme="minorBidi"/>
          <w:snapToGrid/>
          <w:sz w:val="24"/>
          <w:szCs w:val="22"/>
        </w:rPr>
        <w:t xml:space="preserve">when administered </w:t>
      </w:r>
      <w:r w:rsidR="00BC6388" w:rsidRPr="00011ED1">
        <w:rPr>
          <w:rFonts w:asciiTheme="minorHAnsi" w:eastAsiaTheme="minorHAnsi" w:hAnsiTheme="minorHAnsi" w:cstheme="minorBidi"/>
          <w:snapToGrid/>
          <w:sz w:val="24"/>
          <w:szCs w:val="22"/>
        </w:rPr>
        <w:t>as monotherapy in the maintenance phase afte</w:t>
      </w:r>
      <w:r w:rsidR="00B83F36" w:rsidRPr="00011ED1">
        <w:rPr>
          <w:rFonts w:asciiTheme="minorHAnsi" w:eastAsiaTheme="minorHAnsi" w:hAnsiTheme="minorHAnsi" w:cstheme="minorBidi"/>
          <w:snapToGrid/>
          <w:sz w:val="24"/>
          <w:szCs w:val="22"/>
        </w:rPr>
        <w:t>r cessation of platinum doublet-</w:t>
      </w:r>
      <w:r w:rsidR="00BC6388" w:rsidRPr="00011ED1">
        <w:rPr>
          <w:rFonts w:asciiTheme="minorHAnsi" w:eastAsiaTheme="minorHAnsi" w:hAnsiTheme="minorHAnsi" w:cstheme="minorBidi"/>
          <w:snapToGrid/>
          <w:sz w:val="24"/>
          <w:szCs w:val="22"/>
        </w:rPr>
        <w:t>chemotherapy and bevacizumab)</w:t>
      </w:r>
      <w:r w:rsidR="009A09C9" w:rsidRPr="00011ED1">
        <w:rPr>
          <w:rFonts w:asciiTheme="minorHAnsi" w:eastAsiaTheme="minorHAnsi" w:hAnsiTheme="minorHAnsi" w:cstheme="minorBidi"/>
          <w:snapToGrid/>
          <w:sz w:val="24"/>
          <w:szCs w:val="22"/>
        </w:rPr>
        <w:t>.</w:t>
      </w:r>
    </w:p>
    <w:p w:rsidR="006A12A5" w:rsidRPr="00011ED1" w:rsidRDefault="006A12A5" w:rsidP="00367A74">
      <w:pPr>
        <w:pStyle w:val="2Sections"/>
        <w:spacing w:before="0"/>
        <w:jc w:val="both"/>
      </w:pPr>
      <w:r w:rsidRPr="00011ED1">
        <w:t>Requested listing</w:t>
      </w:r>
    </w:p>
    <w:p w:rsidR="00826F6D" w:rsidRPr="00011ED1" w:rsidRDefault="000C162A" w:rsidP="00367A74">
      <w:pPr>
        <w:pStyle w:val="3Bodytext"/>
        <w:jc w:val="both"/>
      </w:pPr>
      <w:r w:rsidRPr="00011ED1">
        <w:t xml:space="preserve">The </w:t>
      </w:r>
      <w:r w:rsidR="00B0549B" w:rsidRPr="00011ED1">
        <w:t xml:space="preserve">minor </w:t>
      </w:r>
      <w:r w:rsidRPr="00011ED1">
        <w:t>submission requested the same listing</w:t>
      </w:r>
      <w:r w:rsidR="000466FE" w:rsidRPr="00011ED1">
        <w:t>s</w:t>
      </w:r>
      <w:r w:rsidRPr="00011ED1">
        <w:t xml:space="preserve"> for atezolizumab 840 mg </w:t>
      </w:r>
      <w:r w:rsidR="002B1422" w:rsidRPr="00011ED1">
        <w:t xml:space="preserve">as the existing atezolizumab </w:t>
      </w:r>
      <w:r w:rsidR="00AB0C3C" w:rsidRPr="00011ED1">
        <w:t xml:space="preserve">listings </w:t>
      </w:r>
      <w:r w:rsidR="00FD0A6C" w:rsidRPr="00011ED1">
        <w:t>e</w:t>
      </w:r>
      <w:r w:rsidR="002B1422" w:rsidRPr="00011ED1">
        <w:t>xcept</w:t>
      </w:r>
      <w:r w:rsidR="005D7B3B" w:rsidRPr="00011ED1">
        <w:t xml:space="preserve"> with</w:t>
      </w:r>
      <w:r w:rsidR="002B1422" w:rsidRPr="00011ED1">
        <w:t xml:space="preserve">:  </w:t>
      </w:r>
    </w:p>
    <w:p w:rsidR="00765A7C" w:rsidRPr="00011ED1" w:rsidRDefault="00765A7C" w:rsidP="00367A74">
      <w:pPr>
        <w:pStyle w:val="3Bodytext"/>
        <w:numPr>
          <w:ilvl w:val="0"/>
          <w:numId w:val="8"/>
        </w:numPr>
        <w:jc w:val="both"/>
      </w:pPr>
      <w:r w:rsidRPr="00011ED1">
        <w:t>a maximum amount</w:t>
      </w:r>
      <w:r w:rsidR="005874F9" w:rsidRPr="00011ED1">
        <w:t xml:space="preserve"> </w:t>
      </w:r>
      <w:r w:rsidR="005D7B3B" w:rsidRPr="00011ED1">
        <w:t>of</w:t>
      </w:r>
      <w:r w:rsidRPr="00011ED1">
        <w:t xml:space="preserve"> </w:t>
      </w:r>
      <w:r w:rsidR="009E6042" w:rsidRPr="00011ED1">
        <w:t>1680</w:t>
      </w:r>
      <w:r w:rsidRPr="00011ED1">
        <w:t xml:space="preserve"> mg </w:t>
      </w:r>
      <w:r w:rsidR="0072758E" w:rsidRPr="00011ED1">
        <w:t xml:space="preserve">in the </w:t>
      </w:r>
      <w:r w:rsidR="00790E7C" w:rsidRPr="00011ED1">
        <w:t>initial and continuing treatment restrictions</w:t>
      </w:r>
      <w:r w:rsidR="0072758E" w:rsidRPr="00011ED1">
        <w:t xml:space="preserve"> for 2L NSCLC</w:t>
      </w:r>
      <w:r w:rsidR="00B64905" w:rsidRPr="00011ED1">
        <w:t>.</w:t>
      </w:r>
    </w:p>
    <w:p w:rsidR="00765A7C" w:rsidRPr="00011ED1" w:rsidRDefault="00765A7C" w:rsidP="00367A74">
      <w:pPr>
        <w:pStyle w:val="3Bodytext"/>
        <w:numPr>
          <w:ilvl w:val="0"/>
          <w:numId w:val="8"/>
        </w:numPr>
        <w:jc w:val="both"/>
      </w:pPr>
      <w:r w:rsidRPr="00011ED1">
        <w:t xml:space="preserve">a </w:t>
      </w:r>
      <w:r w:rsidR="005874F9" w:rsidRPr="00011ED1">
        <w:t xml:space="preserve">maximum of </w:t>
      </w:r>
      <w:r w:rsidRPr="00011ED1">
        <w:t xml:space="preserve">three </w:t>
      </w:r>
      <w:r w:rsidR="001121A5" w:rsidRPr="00011ED1">
        <w:t xml:space="preserve">repeats </w:t>
      </w:r>
      <w:r w:rsidR="0072758E" w:rsidRPr="00011ED1">
        <w:t xml:space="preserve">in </w:t>
      </w:r>
      <w:r w:rsidR="00AE21C2" w:rsidRPr="00011ED1">
        <w:t xml:space="preserve">the </w:t>
      </w:r>
      <w:r w:rsidRPr="00011ED1">
        <w:t>initial treatment</w:t>
      </w:r>
      <w:r w:rsidR="00AE21C2" w:rsidRPr="00011ED1">
        <w:t xml:space="preserve"> </w:t>
      </w:r>
      <w:r w:rsidR="0072758E" w:rsidRPr="00011ED1">
        <w:t>restriction for 2L NSCLC</w:t>
      </w:r>
      <w:r w:rsidR="00490FAC" w:rsidRPr="00011ED1">
        <w:t>.</w:t>
      </w:r>
    </w:p>
    <w:p w:rsidR="00B64905" w:rsidRPr="00011ED1" w:rsidRDefault="0072758E" w:rsidP="00367A74">
      <w:pPr>
        <w:pStyle w:val="3Bodytext"/>
        <w:numPr>
          <w:ilvl w:val="0"/>
          <w:numId w:val="8"/>
        </w:numPr>
        <w:jc w:val="both"/>
      </w:pPr>
      <w:r w:rsidRPr="00011ED1">
        <w:t>a</w:t>
      </w:r>
      <w:r w:rsidR="00B64905" w:rsidRPr="00011ED1">
        <w:t xml:space="preserve">ddition of </w:t>
      </w:r>
      <w:r w:rsidR="00FE4530" w:rsidRPr="00011ED1">
        <w:t xml:space="preserve">the </w:t>
      </w:r>
      <w:r w:rsidR="00F55FE6" w:rsidRPr="00011ED1">
        <w:t>criterion</w:t>
      </w:r>
      <w:r w:rsidR="00B64905" w:rsidRPr="00011ED1">
        <w:t xml:space="preserve"> </w:t>
      </w:r>
      <w:r w:rsidR="00CD1953" w:rsidRPr="00011ED1">
        <w:t xml:space="preserve">to restrict </w:t>
      </w:r>
      <w:r w:rsidR="00FE4530" w:rsidRPr="00011ED1">
        <w:t xml:space="preserve">the </w:t>
      </w:r>
      <w:r w:rsidR="00CD1953" w:rsidRPr="00011ED1">
        <w:t xml:space="preserve">use of </w:t>
      </w:r>
      <w:r w:rsidRPr="00011ED1">
        <w:t xml:space="preserve">the </w:t>
      </w:r>
      <w:r w:rsidR="00CD1953" w:rsidRPr="00011ED1">
        <w:t>Q4W dosing</w:t>
      </w:r>
      <w:r w:rsidR="008E653E" w:rsidRPr="00011ED1">
        <w:t xml:space="preserve"> regimen</w:t>
      </w:r>
      <w:r w:rsidRPr="00011ED1">
        <w:t xml:space="preserve"> </w:t>
      </w:r>
      <w:r w:rsidR="00CD1953" w:rsidRPr="00011ED1">
        <w:t>after cessation of bevacizumab and platinum-doublet chemotherapy</w:t>
      </w:r>
      <w:r w:rsidR="00FC1564" w:rsidRPr="00011ED1">
        <w:t xml:space="preserve"> (PDC)</w:t>
      </w:r>
      <w:r w:rsidRPr="00011ED1">
        <w:t xml:space="preserve"> for 1L NSCLC</w:t>
      </w:r>
      <w:r w:rsidR="00CD1953" w:rsidRPr="00011ED1">
        <w:t>.</w:t>
      </w:r>
    </w:p>
    <w:p w:rsidR="00490FAC" w:rsidRPr="00011ED1" w:rsidRDefault="008E653E" w:rsidP="00367A74">
      <w:pPr>
        <w:pStyle w:val="3Bodytext"/>
        <w:numPr>
          <w:ilvl w:val="0"/>
          <w:numId w:val="8"/>
        </w:numPr>
        <w:jc w:val="both"/>
      </w:pPr>
      <w:r w:rsidRPr="00011ED1">
        <w:t xml:space="preserve">a </w:t>
      </w:r>
      <w:r w:rsidR="00C90D77" w:rsidRPr="00011ED1">
        <w:t>continuing treatment</w:t>
      </w:r>
      <w:r w:rsidR="00490FAC" w:rsidRPr="00011ED1">
        <w:t xml:space="preserve"> listing for</w:t>
      </w:r>
      <w:r w:rsidR="00FE4CD6" w:rsidRPr="00011ED1">
        <w:t xml:space="preserve"> </w:t>
      </w:r>
      <w:r w:rsidR="00C90D77" w:rsidRPr="00011ED1">
        <w:rPr>
          <w:szCs w:val="24"/>
        </w:rPr>
        <w:t>1L NSCLC</w:t>
      </w:r>
      <w:r w:rsidR="00490FAC" w:rsidRPr="00011ED1">
        <w:t xml:space="preserve"> was </w:t>
      </w:r>
      <w:r w:rsidR="00F701A0" w:rsidRPr="00011ED1">
        <w:t xml:space="preserve">only </w:t>
      </w:r>
      <w:r w:rsidR="00A2491C" w:rsidRPr="00011ED1">
        <w:t xml:space="preserve">sought </w:t>
      </w:r>
      <w:r w:rsidR="00FA463B" w:rsidRPr="00011ED1">
        <w:t xml:space="preserve">where atezolizumab is used as monotherapy. </w:t>
      </w:r>
    </w:p>
    <w:p w:rsidR="00BA2DA8" w:rsidRPr="00011ED1" w:rsidRDefault="00064F3F" w:rsidP="00367A74">
      <w:pPr>
        <w:pStyle w:val="Bodytextitalics"/>
        <w:jc w:val="both"/>
        <w:rPr>
          <w:i w:val="0"/>
          <w:iCs/>
        </w:rPr>
      </w:pPr>
      <w:r w:rsidRPr="00011ED1">
        <w:rPr>
          <w:i w:val="0"/>
          <w:iCs/>
        </w:rPr>
        <w:t xml:space="preserve">The </w:t>
      </w:r>
      <w:r w:rsidR="00CD34EC" w:rsidRPr="00011ED1">
        <w:rPr>
          <w:i w:val="0"/>
          <w:iCs/>
        </w:rPr>
        <w:t xml:space="preserve">proposed </w:t>
      </w:r>
      <w:r w:rsidR="005871E7" w:rsidRPr="00011ED1">
        <w:rPr>
          <w:i w:val="0"/>
          <w:iCs/>
        </w:rPr>
        <w:t>restriction</w:t>
      </w:r>
      <w:r w:rsidR="00CD34EC" w:rsidRPr="00011ED1">
        <w:rPr>
          <w:i w:val="0"/>
          <w:iCs/>
        </w:rPr>
        <w:t>s</w:t>
      </w:r>
      <w:r w:rsidR="005871E7" w:rsidRPr="00011ED1">
        <w:rPr>
          <w:i w:val="0"/>
          <w:iCs/>
        </w:rPr>
        <w:t xml:space="preserve"> are provided below with Secretariat</w:t>
      </w:r>
      <w:r w:rsidR="005A2CF1" w:rsidRPr="00011ED1">
        <w:rPr>
          <w:i w:val="0"/>
          <w:iCs/>
        </w:rPr>
        <w:t xml:space="preserve"> suggested</w:t>
      </w:r>
      <w:r w:rsidR="005871E7" w:rsidRPr="00011ED1">
        <w:rPr>
          <w:i w:val="0"/>
          <w:iCs/>
        </w:rPr>
        <w:t xml:space="preserve"> additions </w:t>
      </w:r>
      <w:r w:rsidR="00D07A8A" w:rsidRPr="00011ED1">
        <w:rPr>
          <w:i w:val="0"/>
          <w:iCs/>
        </w:rPr>
        <w:t>in italics and deletions in strikethrough</w:t>
      </w:r>
      <w:r w:rsidR="00D155A5" w:rsidRPr="00011ED1">
        <w:rPr>
          <w:i w:val="0"/>
          <w:iCs/>
        </w:rPr>
        <w:t>.</w:t>
      </w:r>
    </w:p>
    <w:p w:rsidR="000466FE" w:rsidRPr="00011ED1" w:rsidRDefault="00DA7487" w:rsidP="00D82D4F">
      <w:pPr>
        <w:pStyle w:val="Tabletitles"/>
        <w:keepNext/>
        <w:rPr>
          <w:i/>
        </w:rPr>
      </w:pPr>
      <w:r w:rsidRPr="00011ED1">
        <w:lastRenderedPageBreak/>
        <w:t>Second-line treatment of locally advanced or metastatic NSCLC</w:t>
      </w:r>
    </w:p>
    <w:tbl>
      <w:tblPr>
        <w:tblW w:w="5000" w:type="pct"/>
        <w:tblLook w:val="0000" w:firstRow="0" w:lastRow="0" w:firstColumn="0" w:lastColumn="0" w:noHBand="0" w:noVBand="0"/>
      </w:tblPr>
      <w:tblGrid>
        <w:gridCol w:w="2777"/>
        <w:gridCol w:w="280"/>
        <w:gridCol w:w="971"/>
        <w:gridCol w:w="556"/>
        <w:gridCol w:w="1666"/>
        <w:gridCol w:w="1110"/>
        <w:gridCol w:w="1666"/>
      </w:tblGrid>
      <w:tr w:rsidR="009324A6" w:rsidRPr="00011ED1" w:rsidTr="00820DA7">
        <w:trPr>
          <w:cantSplit/>
          <w:trHeight w:val="471"/>
        </w:trPr>
        <w:tc>
          <w:tcPr>
            <w:tcW w:w="1693" w:type="pct"/>
            <w:gridSpan w:val="2"/>
            <w:tcBorders>
              <w:bottom w:val="single" w:sz="4" w:space="0" w:color="auto"/>
            </w:tcBorders>
          </w:tcPr>
          <w:p w:rsidR="009324A6" w:rsidRPr="00011ED1" w:rsidRDefault="009324A6" w:rsidP="00367A74">
            <w:pPr>
              <w:keepNext/>
              <w:ind w:left="-108"/>
              <w:jc w:val="both"/>
              <w:rPr>
                <w:rFonts w:ascii="Arial Narrow" w:hAnsi="Arial Narrow" w:cs="Arial"/>
                <w:sz w:val="20"/>
                <w:szCs w:val="20"/>
              </w:rPr>
            </w:pPr>
            <w:r w:rsidRPr="00011ED1">
              <w:rPr>
                <w:rFonts w:ascii="Arial Narrow" w:hAnsi="Arial Narrow" w:cs="Arial"/>
                <w:sz w:val="20"/>
                <w:szCs w:val="20"/>
              </w:rPr>
              <w:t>Name, Restriction,</w:t>
            </w:r>
          </w:p>
          <w:p w:rsidR="009324A6" w:rsidRPr="00011ED1" w:rsidRDefault="009324A6" w:rsidP="00367A74">
            <w:pPr>
              <w:keepNext/>
              <w:ind w:left="-108"/>
              <w:jc w:val="both"/>
              <w:rPr>
                <w:rFonts w:ascii="Arial Narrow" w:hAnsi="Arial Narrow" w:cs="Arial"/>
                <w:sz w:val="20"/>
                <w:szCs w:val="20"/>
              </w:rPr>
            </w:pPr>
            <w:r w:rsidRPr="00011ED1">
              <w:rPr>
                <w:rFonts w:ascii="Arial Narrow" w:hAnsi="Arial Narrow" w:cs="Arial"/>
                <w:sz w:val="20"/>
                <w:szCs w:val="20"/>
              </w:rPr>
              <w:t>Manner of administration and form</w:t>
            </w:r>
          </w:p>
        </w:tc>
        <w:tc>
          <w:tcPr>
            <w:tcW w:w="538" w:type="pct"/>
            <w:tcBorders>
              <w:bottom w:val="single" w:sz="4" w:space="0" w:color="auto"/>
            </w:tcBorders>
          </w:tcPr>
          <w:p w:rsidR="009324A6" w:rsidRPr="00011ED1" w:rsidRDefault="009324A6" w:rsidP="00367A74">
            <w:pPr>
              <w:keepNext/>
              <w:ind w:left="-108"/>
              <w:jc w:val="both"/>
              <w:rPr>
                <w:rFonts w:ascii="Arial Narrow" w:hAnsi="Arial Narrow" w:cs="Arial"/>
                <w:sz w:val="20"/>
                <w:szCs w:val="20"/>
              </w:rPr>
            </w:pPr>
            <w:r w:rsidRPr="00011ED1">
              <w:rPr>
                <w:rFonts w:ascii="Arial Narrow" w:hAnsi="Arial Narrow" w:cs="Arial"/>
                <w:sz w:val="20"/>
                <w:szCs w:val="20"/>
              </w:rPr>
              <w:t>Max.</w:t>
            </w:r>
          </w:p>
          <w:p w:rsidR="009324A6" w:rsidRPr="00011ED1" w:rsidRDefault="00B37311" w:rsidP="00367A74">
            <w:pPr>
              <w:keepNext/>
              <w:ind w:left="-108"/>
              <w:jc w:val="both"/>
              <w:rPr>
                <w:rFonts w:ascii="Arial Narrow" w:hAnsi="Arial Narrow" w:cs="Arial"/>
                <w:sz w:val="20"/>
                <w:szCs w:val="20"/>
              </w:rPr>
            </w:pPr>
            <w:r w:rsidRPr="00011ED1">
              <w:rPr>
                <w:rFonts w:ascii="Arial Narrow" w:hAnsi="Arial Narrow" w:cs="Arial"/>
                <w:sz w:val="20"/>
                <w:szCs w:val="20"/>
              </w:rPr>
              <w:t>amount</w:t>
            </w:r>
          </w:p>
        </w:tc>
        <w:tc>
          <w:tcPr>
            <w:tcW w:w="308" w:type="pct"/>
            <w:tcBorders>
              <w:bottom w:val="single" w:sz="4" w:space="0" w:color="auto"/>
            </w:tcBorders>
          </w:tcPr>
          <w:p w:rsidR="009324A6" w:rsidRPr="00011ED1" w:rsidRDefault="009324A6" w:rsidP="00367A74">
            <w:pPr>
              <w:keepNext/>
              <w:ind w:left="-108"/>
              <w:jc w:val="both"/>
              <w:rPr>
                <w:rFonts w:ascii="Arial Narrow" w:hAnsi="Arial Narrow" w:cs="Arial"/>
                <w:sz w:val="20"/>
                <w:szCs w:val="20"/>
              </w:rPr>
            </w:pPr>
            <w:r w:rsidRPr="00011ED1">
              <w:rPr>
                <w:rFonts w:ascii="Arial Narrow" w:hAnsi="Arial Narrow" w:cs="Arial"/>
                <w:sz w:val="20"/>
                <w:szCs w:val="20"/>
              </w:rPr>
              <w:t>№.of</w:t>
            </w:r>
          </w:p>
          <w:p w:rsidR="009324A6" w:rsidRPr="00011ED1" w:rsidRDefault="009324A6" w:rsidP="00367A74">
            <w:pPr>
              <w:keepNext/>
              <w:ind w:left="-108"/>
              <w:jc w:val="both"/>
              <w:rPr>
                <w:rFonts w:ascii="Arial Narrow" w:hAnsi="Arial Narrow" w:cs="Arial"/>
                <w:sz w:val="20"/>
                <w:szCs w:val="20"/>
              </w:rPr>
            </w:pPr>
            <w:r w:rsidRPr="00011ED1">
              <w:rPr>
                <w:rFonts w:ascii="Arial Narrow" w:hAnsi="Arial Narrow" w:cs="Arial"/>
                <w:sz w:val="20"/>
                <w:szCs w:val="20"/>
              </w:rPr>
              <w:t>Rpts</w:t>
            </w:r>
          </w:p>
        </w:tc>
        <w:tc>
          <w:tcPr>
            <w:tcW w:w="923" w:type="pct"/>
            <w:tcBorders>
              <w:bottom w:val="single" w:sz="4" w:space="0" w:color="auto"/>
            </w:tcBorders>
          </w:tcPr>
          <w:p w:rsidR="009324A6" w:rsidRPr="00011ED1" w:rsidRDefault="0095505F" w:rsidP="00367A74">
            <w:pPr>
              <w:keepNext/>
              <w:ind w:left="-108"/>
              <w:jc w:val="both"/>
              <w:rPr>
                <w:rFonts w:ascii="Arial Narrow" w:hAnsi="Arial Narrow" w:cs="Arial"/>
                <w:sz w:val="20"/>
                <w:szCs w:val="20"/>
              </w:rPr>
            </w:pPr>
            <w:r w:rsidRPr="00011ED1">
              <w:rPr>
                <w:rFonts w:ascii="Arial Narrow" w:hAnsi="Arial Narrow" w:cs="Arial"/>
                <w:sz w:val="20"/>
                <w:szCs w:val="20"/>
              </w:rPr>
              <w:t>Dispensed Price for Max. amount</w:t>
            </w:r>
          </w:p>
        </w:tc>
        <w:tc>
          <w:tcPr>
            <w:tcW w:w="1538" w:type="pct"/>
            <w:gridSpan w:val="2"/>
            <w:tcBorders>
              <w:bottom w:val="single" w:sz="4" w:space="0" w:color="auto"/>
            </w:tcBorders>
          </w:tcPr>
          <w:p w:rsidR="009324A6" w:rsidRPr="00FC0F08" w:rsidRDefault="009324A6" w:rsidP="00367A74">
            <w:pPr>
              <w:keepNext/>
              <w:jc w:val="both"/>
              <w:rPr>
                <w:rFonts w:ascii="Arial Narrow" w:hAnsi="Arial Narrow" w:cs="Arial"/>
                <w:sz w:val="20"/>
                <w:szCs w:val="20"/>
              </w:rPr>
            </w:pPr>
            <w:r w:rsidRPr="00011ED1">
              <w:rPr>
                <w:rFonts w:ascii="Arial Narrow" w:hAnsi="Arial Narrow" w:cs="Arial"/>
                <w:sz w:val="20"/>
                <w:szCs w:val="20"/>
              </w:rPr>
              <w:t>Proprietary Name and Manufacturer</w:t>
            </w:r>
          </w:p>
        </w:tc>
      </w:tr>
      <w:tr w:rsidR="009324A6" w:rsidRPr="00011ED1" w:rsidTr="00820DA7">
        <w:trPr>
          <w:cantSplit/>
          <w:trHeight w:val="577"/>
        </w:trPr>
        <w:tc>
          <w:tcPr>
            <w:tcW w:w="1693" w:type="pct"/>
            <w:gridSpan w:val="2"/>
          </w:tcPr>
          <w:p w:rsidR="009324A6" w:rsidRPr="00011ED1" w:rsidRDefault="008B6E4B" w:rsidP="00367A74">
            <w:pPr>
              <w:keepNext/>
              <w:ind w:left="-108"/>
              <w:jc w:val="both"/>
              <w:rPr>
                <w:rFonts w:ascii="Arial Narrow" w:hAnsi="Arial Narrow" w:cs="Arial"/>
                <w:sz w:val="20"/>
                <w:szCs w:val="20"/>
              </w:rPr>
            </w:pPr>
            <w:r w:rsidRPr="00011ED1">
              <w:rPr>
                <w:rFonts w:ascii="Arial Narrow" w:hAnsi="Arial Narrow" w:cs="Arial"/>
                <w:smallCaps/>
                <w:sz w:val="20"/>
                <w:szCs w:val="20"/>
              </w:rPr>
              <w:t>atezolizumab</w:t>
            </w:r>
          </w:p>
          <w:p w:rsidR="009324A6" w:rsidRPr="00011ED1" w:rsidRDefault="008B6E4B" w:rsidP="00367A74">
            <w:pPr>
              <w:keepNext/>
              <w:ind w:left="-108"/>
              <w:jc w:val="both"/>
              <w:rPr>
                <w:rFonts w:ascii="Arial Narrow" w:hAnsi="Arial Narrow" w:cs="Arial"/>
                <w:sz w:val="20"/>
                <w:szCs w:val="20"/>
              </w:rPr>
            </w:pPr>
            <w:r w:rsidRPr="00011ED1">
              <w:rPr>
                <w:rFonts w:ascii="Arial Narrow" w:hAnsi="Arial Narrow" w:cs="Arial"/>
                <w:sz w:val="20"/>
                <w:szCs w:val="20"/>
              </w:rPr>
              <w:t xml:space="preserve">840 mg/14 mL injection, </w:t>
            </w:r>
            <w:r w:rsidRPr="00011ED1">
              <w:rPr>
                <w:rFonts w:ascii="Arial Narrow" w:hAnsi="Arial Narrow" w:cs="Arial"/>
                <w:strike/>
                <w:sz w:val="20"/>
                <w:szCs w:val="20"/>
              </w:rPr>
              <w:t>1 x</w:t>
            </w:r>
            <w:r w:rsidRPr="00011ED1">
              <w:rPr>
                <w:rFonts w:ascii="Arial Narrow" w:hAnsi="Arial Narrow" w:cs="Arial"/>
                <w:sz w:val="20"/>
                <w:szCs w:val="20"/>
              </w:rPr>
              <w:t xml:space="preserve"> 14 mL vial</w:t>
            </w:r>
          </w:p>
        </w:tc>
        <w:tc>
          <w:tcPr>
            <w:tcW w:w="538" w:type="pct"/>
          </w:tcPr>
          <w:p w:rsidR="009324A6" w:rsidRPr="00011ED1" w:rsidRDefault="009324A6" w:rsidP="00367A74">
            <w:pPr>
              <w:keepNext/>
              <w:ind w:left="-108"/>
              <w:jc w:val="both"/>
              <w:rPr>
                <w:rFonts w:ascii="Arial Narrow" w:hAnsi="Arial Narrow" w:cs="Arial"/>
                <w:sz w:val="20"/>
                <w:szCs w:val="20"/>
              </w:rPr>
            </w:pPr>
          </w:p>
          <w:p w:rsidR="009324A6" w:rsidRPr="00011ED1" w:rsidRDefault="00F6417C" w:rsidP="00367A74">
            <w:pPr>
              <w:keepNext/>
              <w:ind w:left="-108"/>
              <w:jc w:val="both"/>
              <w:rPr>
                <w:rFonts w:ascii="Arial Narrow" w:hAnsi="Arial Narrow" w:cs="Arial"/>
                <w:sz w:val="20"/>
                <w:szCs w:val="20"/>
              </w:rPr>
            </w:pPr>
            <w:r w:rsidRPr="00011ED1">
              <w:rPr>
                <w:rFonts w:ascii="Arial Narrow" w:hAnsi="Arial Narrow" w:cs="Arial"/>
                <w:sz w:val="20"/>
                <w:szCs w:val="20"/>
              </w:rPr>
              <w:t>1</w:t>
            </w:r>
            <w:r w:rsidR="00BB55EF" w:rsidRPr="00011ED1">
              <w:rPr>
                <w:rFonts w:ascii="Arial Narrow" w:hAnsi="Arial Narrow" w:cs="Arial"/>
                <w:sz w:val="20"/>
                <w:szCs w:val="20"/>
              </w:rPr>
              <w:t>680 mg</w:t>
            </w:r>
          </w:p>
        </w:tc>
        <w:tc>
          <w:tcPr>
            <w:tcW w:w="308" w:type="pct"/>
          </w:tcPr>
          <w:p w:rsidR="009324A6" w:rsidRPr="00011ED1" w:rsidRDefault="009324A6" w:rsidP="00367A74">
            <w:pPr>
              <w:keepNext/>
              <w:ind w:left="-108"/>
              <w:jc w:val="both"/>
              <w:rPr>
                <w:rFonts w:ascii="Arial Narrow" w:hAnsi="Arial Narrow" w:cs="Arial"/>
                <w:sz w:val="20"/>
                <w:szCs w:val="20"/>
              </w:rPr>
            </w:pPr>
          </w:p>
          <w:p w:rsidR="009324A6" w:rsidRPr="00011ED1" w:rsidRDefault="00BA67B7" w:rsidP="00367A74">
            <w:pPr>
              <w:keepNext/>
              <w:ind w:left="-108"/>
              <w:jc w:val="both"/>
              <w:rPr>
                <w:rFonts w:ascii="Arial Narrow" w:hAnsi="Arial Narrow" w:cs="Arial"/>
                <w:sz w:val="20"/>
                <w:szCs w:val="20"/>
              </w:rPr>
            </w:pPr>
            <w:r w:rsidRPr="00011ED1">
              <w:rPr>
                <w:rFonts w:ascii="Arial Narrow" w:hAnsi="Arial Narrow" w:cs="Arial"/>
                <w:sz w:val="20"/>
                <w:szCs w:val="20"/>
              </w:rPr>
              <w:t>3</w:t>
            </w:r>
          </w:p>
        </w:tc>
        <w:tc>
          <w:tcPr>
            <w:tcW w:w="923" w:type="pct"/>
          </w:tcPr>
          <w:p w:rsidR="009324A6" w:rsidRPr="00011ED1" w:rsidRDefault="00A72121" w:rsidP="00367A74">
            <w:pPr>
              <w:keepNext/>
              <w:ind w:left="-108"/>
              <w:jc w:val="both"/>
              <w:rPr>
                <w:rFonts w:ascii="Arial Narrow" w:hAnsi="Arial Narrow" w:cs="Arial"/>
                <w:i/>
                <w:iCs/>
                <w:sz w:val="20"/>
                <w:szCs w:val="20"/>
              </w:rPr>
            </w:pPr>
            <w:r w:rsidRPr="00011ED1">
              <w:rPr>
                <w:rFonts w:ascii="Arial Narrow" w:hAnsi="Arial Narrow" w:cs="Arial"/>
                <w:sz w:val="20"/>
                <w:szCs w:val="20"/>
              </w:rPr>
              <w:t>$</w:t>
            </w:r>
            <w:r w:rsidR="00A3632D" w:rsidRPr="00011ED1">
              <w:rPr>
                <w:rFonts w:ascii="Arial Narrow" w:hAnsi="Arial Narrow" w:cs="Arial"/>
                <w:i/>
                <w:iCs/>
                <w:sz w:val="20"/>
                <w:szCs w:val="20"/>
              </w:rPr>
              <w:t>10,551.88</w:t>
            </w:r>
            <w:r w:rsidR="006F6D87" w:rsidRPr="00011ED1">
              <w:rPr>
                <w:rFonts w:ascii="Arial Narrow" w:hAnsi="Arial Narrow" w:cs="Arial"/>
                <w:i/>
                <w:iCs/>
                <w:sz w:val="20"/>
                <w:szCs w:val="20"/>
              </w:rPr>
              <w:t xml:space="preserve"> (</w:t>
            </w:r>
            <w:r w:rsidR="008F4F3E" w:rsidRPr="00011ED1">
              <w:rPr>
                <w:rFonts w:ascii="Arial Narrow" w:hAnsi="Arial Narrow" w:cs="Arial"/>
                <w:i/>
                <w:iCs/>
                <w:sz w:val="20"/>
                <w:szCs w:val="20"/>
              </w:rPr>
              <w:t>public</w:t>
            </w:r>
            <w:r w:rsidR="006F6D87" w:rsidRPr="00011ED1">
              <w:rPr>
                <w:rFonts w:ascii="Arial Narrow" w:hAnsi="Arial Narrow" w:cs="Arial"/>
                <w:i/>
                <w:iCs/>
                <w:sz w:val="20"/>
                <w:szCs w:val="20"/>
              </w:rPr>
              <w:t>)</w:t>
            </w:r>
          </w:p>
          <w:p w:rsidR="006F6D87" w:rsidRPr="00011ED1" w:rsidRDefault="00A3632D" w:rsidP="00367A74">
            <w:pPr>
              <w:keepNext/>
              <w:ind w:left="-108"/>
              <w:jc w:val="both"/>
              <w:rPr>
                <w:rFonts w:ascii="Arial Narrow" w:hAnsi="Arial Narrow" w:cs="Arial"/>
                <w:i/>
                <w:iCs/>
                <w:sz w:val="20"/>
                <w:szCs w:val="20"/>
              </w:rPr>
            </w:pPr>
            <w:r w:rsidRPr="00011ED1">
              <w:rPr>
                <w:rFonts w:ascii="Arial Narrow" w:hAnsi="Arial Narrow" w:cs="Arial"/>
                <w:i/>
                <w:iCs/>
                <w:sz w:val="20"/>
                <w:szCs w:val="20"/>
              </w:rPr>
              <w:t>$10,738.18</w:t>
            </w:r>
            <w:r w:rsidR="008F4F3E" w:rsidRPr="00011ED1">
              <w:rPr>
                <w:rFonts w:ascii="Arial Narrow" w:hAnsi="Arial Narrow" w:cs="Arial"/>
                <w:i/>
                <w:iCs/>
                <w:sz w:val="20"/>
                <w:szCs w:val="20"/>
              </w:rPr>
              <w:t xml:space="preserve"> (</w:t>
            </w:r>
            <w:r w:rsidR="006F6D87" w:rsidRPr="00011ED1">
              <w:rPr>
                <w:rFonts w:ascii="Arial Narrow" w:hAnsi="Arial Narrow" w:cs="Arial"/>
                <w:i/>
                <w:iCs/>
                <w:sz w:val="20"/>
                <w:szCs w:val="20"/>
              </w:rPr>
              <w:t>private)</w:t>
            </w:r>
          </w:p>
          <w:p w:rsidR="00F6417C" w:rsidRPr="00011ED1" w:rsidRDefault="004A78E4" w:rsidP="00367A74">
            <w:pPr>
              <w:keepNext/>
              <w:ind w:left="-108"/>
              <w:jc w:val="both"/>
              <w:rPr>
                <w:rFonts w:ascii="Arial Narrow" w:hAnsi="Arial Narrow" w:cs="Arial"/>
                <w:i/>
                <w:iCs/>
                <w:sz w:val="20"/>
                <w:szCs w:val="20"/>
              </w:rPr>
            </w:pPr>
            <w:r w:rsidRPr="00011ED1">
              <w:rPr>
                <w:rFonts w:ascii="Arial Narrow" w:hAnsi="Arial Narrow" w:cs="Arial"/>
                <w:i/>
                <w:iCs/>
                <w:sz w:val="20"/>
                <w:szCs w:val="20"/>
              </w:rPr>
              <w:t>(</w:t>
            </w:r>
            <w:r w:rsidR="000C5E19" w:rsidRPr="00011ED1">
              <w:rPr>
                <w:rFonts w:ascii="Arial Narrow" w:hAnsi="Arial Narrow" w:cs="Arial"/>
                <w:i/>
                <w:iCs/>
                <w:sz w:val="20"/>
                <w:szCs w:val="20"/>
              </w:rPr>
              <w:t>Published</w:t>
            </w:r>
            <w:r w:rsidR="00F6417C" w:rsidRPr="00011ED1">
              <w:rPr>
                <w:rFonts w:ascii="Arial Narrow" w:hAnsi="Arial Narrow" w:cs="Arial"/>
                <w:i/>
                <w:iCs/>
                <w:sz w:val="20"/>
                <w:szCs w:val="20"/>
              </w:rPr>
              <w:t>)</w:t>
            </w:r>
          </w:p>
        </w:tc>
        <w:tc>
          <w:tcPr>
            <w:tcW w:w="615" w:type="pct"/>
          </w:tcPr>
          <w:p w:rsidR="009324A6" w:rsidRPr="00011ED1" w:rsidRDefault="00BA67B7" w:rsidP="00367A74">
            <w:pPr>
              <w:keepNext/>
              <w:jc w:val="both"/>
              <w:rPr>
                <w:rFonts w:ascii="Arial Narrow" w:hAnsi="Arial Narrow" w:cs="Arial"/>
                <w:sz w:val="20"/>
                <w:szCs w:val="20"/>
              </w:rPr>
            </w:pPr>
            <w:r w:rsidRPr="00011ED1">
              <w:rPr>
                <w:rFonts w:ascii="Arial Narrow" w:hAnsi="Arial Narrow" w:cs="Arial"/>
                <w:sz w:val="20"/>
                <w:szCs w:val="20"/>
              </w:rPr>
              <w:t>Tecentriq®</w:t>
            </w:r>
          </w:p>
        </w:tc>
        <w:tc>
          <w:tcPr>
            <w:tcW w:w="923" w:type="pct"/>
          </w:tcPr>
          <w:p w:rsidR="009324A6" w:rsidRPr="00011ED1" w:rsidRDefault="00BA67B7" w:rsidP="00367A74">
            <w:pPr>
              <w:keepNext/>
              <w:jc w:val="both"/>
              <w:rPr>
                <w:rFonts w:ascii="Arial Narrow" w:hAnsi="Arial Narrow" w:cs="Arial"/>
                <w:sz w:val="20"/>
                <w:szCs w:val="20"/>
              </w:rPr>
            </w:pPr>
            <w:r w:rsidRPr="00011ED1">
              <w:rPr>
                <w:rFonts w:ascii="Arial Narrow" w:hAnsi="Arial Narrow" w:cs="Arial"/>
                <w:sz w:val="20"/>
                <w:szCs w:val="20"/>
              </w:rPr>
              <w:t>Roche Products Pty Ltd</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sz w:val="20"/>
                <w:szCs w:val="20"/>
              </w:rPr>
            </w:pPr>
            <w:r w:rsidRPr="00011ED1">
              <w:rPr>
                <w:rFonts w:ascii="Arial Narrow" w:hAnsi="Arial Narrow" w:cs="Arial"/>
                <w:sz w:val="20"/>
                <w:szCs w:val="20"/>
              </w:rPr>
              <w:t>Section 100 – Efficient Funding of Chemotherapy</w:t>
            </w:r>
          </w:p>
          <w:p w:rsidR="00C037ED" w:rsidRPr="00011ED1" w:rsidRDefault="00C037ED" w:rsidP="00367A74">
            <w:pPr>
              <w:pStyle w:val="TableHeadingRow"/>
              <w:keepNext w:val="0"/>
              <w:rPr>
                <w:rFonts w:ascii="Arial Narrow" w:hAnsi="Arial Narrow"/>
                <w:b w:val="0"/>
                <w:strike/>
              </w:rPr>
            </w:pPr>
            <w:r w:rsidRPr="00011ED1">
              <w:rPr>
                <w:rFonts w:ascii="Arial Narrow" w:hAnsi="Arial Narrow"/>
                <w:b w:val="0"/>
                <w:strike/>
              </w:rPr>
              <w:t>Private Hospital/Private Clinic Authority Required (STREAMLINED)</w:t>
            </w:r>
          </w:p>
          <w:p w:rsidR="00C037ED" w:rsidRPr="00011ED1" w:rsidRDefault="00C037ED" w:rsidP="00367A74">
            <w:pPr>
              <w:jc w:val="both"/>
              <w:rPr>
                <w:rFonts w:ascii="Arial Narrow" w:hAnsi="Arial Narrow" w:cs="Arial"/>
                <w:sz w:val="20"/>
                <w:szCs w:val="20"/>
              </w:rPr>
            </w:pPr>
            <w:r w:rsidRPr="00011ED1">
              <w:rPr>
                <w:rFonts w:ascii="Arial Narrow" w:hAnsi="Arial Narrow"/>
                <w:strike/>
                <w:sz w:val="20"/>
                <w:szCs w:val="20"/>
              </w:rPr>
              <w:t>Public Hospital Authority Required (STREAMLINED)</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Prescriber type:</w:t>
            </w:r>
          </w:p>
          <w:p w:rsidR="009324A6" w:rsidRPr="00011ED1" w:rsidRDefault="009324A6" w:rsidP="00367A74">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Dental  </w:t>
            </w:r>
            <w:r w:rsidR="00175F73" w:rsidRPr="00FC0F08">
              <w:rPr>
                <w:rFonts w:ascii="Arial Narrow" w:hAnsi="Arial Narrow" w:cs="Arial"/>
                <w:sz w:val="20"/>
                <w:szCs w:val="20"/>
              </w:rPr>
              <w:fldChar w:fldCharType="begin">
                <w:ffData>
                  <w:name w:val=""/>
                  <w:enabled/>
                  <w:calcOnExit w:val="0"/>
                  <w:checkBox>
                    <w:sizeAuto/>
                    <w:default w:val="1"/>
                  </w:checkBox>
                </w:ffData>
              </w:fldChar>
            </w:r>
            <w:r w:rsidR="00175F73"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00175F73" w:rsidRPr="00FC0F08">
              <w:rPr>
                <w:rFonts w:ascii="Arial Narrow" w:hAnsi="Arial Narrow" w:cs="Arial"/>
                <w:sz w:val="20"/>
                <w:szCs w:val="20"/>
              </w:rPr>
              <w:fldChar w:fldCharType="end"/>
            </w:r>
            <w:r w:rsidRPr="00011ED1">
              <w:rPr>
                <w:rFonts w:ascii="Arial Narrow" w:hAnsi="Arial Narrow" w:cs="Arial"/>
                <w:sz w:val="20"/>
                <w:szCs w:val="20"/>
              </w:rPr>
              <w:t xml:space="preserve">Medical Practitioners  </w:t>
            </w: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Nurse practitioners  </w:t>
            </w: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Optometrists</w:t>
            </w:r>
          </w:p>
          <w:p w:rsidR="009324A6" w:rsidRPr="00011ED1" w:rsidRDefault="009324A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Midwives</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D9147F" w:rsidP="00367A74">
            <w:pPr>
              <w:jc w:val="both"/>
              <w:rPr>
                <w:rFonts w:ascii="Arial Narrow" w:hAnsi="Arial Narrow" w:cs="Arial"/>
                <w:sz w:val="20"/>
                <w:szCs w:val="20"/>
              </w:rPr>
            </w:pPr>
            <w:r w:rsidRPr="00011ED1">
              <w:rPr>
                <w:rFonts w:ascii="Arial Narrow" w:hAnsi="Arial Narrow" w:cs="Arial"/>
                <w:sz w:val="20"/>
                <w:szCs w:val="20"/>
              </w:rPr>
              <w:t xml:space="preserve">Locally advanced or metastatic </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E45B09" w:rsidP="00367A74">
            <w:pPr>
              <w:jc w:val="both"/>
              <w:rPr>
                <w:rFonts w:ascii="Arial Narrow" w:hAnsi="Arial Narrow" w:cs="Arial"/>
                <w:sz w:val="20"/>
                <w:szCs w:val="20"/>
              </w:rPr>
            </w:pPr>
            <w:r w:rsidRPr="00011ED1">
              <w:rPr>
                <w:rFonts w:ascii="Arial Narrow" w:hAnsi="Arial Narrow" w:cs="Arial"/>
                <w:i/>
                <w:iCs/>
                <w:sz w:val="20"/>
                <w:szCs w:val="20"/>
              </w:rPr>
              <w:t>n</w:t>
            </w:r>
            <w:r w:rsidR="00D9147F" w:rsidRPr="00011ED1">
              <w:rPr>
                <w:rFonts w:ascii="Arial Narrow" w:hAnsi="Arial Narrow" w:cs="Arial"/>
                <w:strike/>
                <w:sz w:val="20"/>
                <w:szCs w:val="20"/>
              </w:rPr>
              <w:t>N</w:t>
            </w:r>
            <w:r w:rsidR="00D9147F" w:rsidRPr="00011ED1">
              <w:rPr>
                <w:rFonts w:ascii="Arial Narrow" w:hAnsi="Arial Narrow" w:cs="Arial"/>
                <w:sz w:val="20"/>
                <w:szCs w:val="20"/>
              </w:rPr>
              <w:t xml:space="preserve">on-small cell lung cancer </w:t>
            </w:r>
            <w:r w:rsidR="00D9147F" w:rsidRPr="00011ED1">
              <w:rPr>
                <w:rFonts w:ascii="Arial Narrow" w:hAnsi="Arial Narrow" w:cs="Arial"/>
                <w:strike/>
                <w:sz w:val="20"/>
                <w:szCs w:val="20"/>
              </w:rPr>
              <w:t>(NSCLC)</w:t>
            </w:r>
          </w:p>
        </w:tc>
      </w:tr>
      <w:tr w:rsidR="009324A6" w:rsidRPr="00011ED1" w:rsidTr="00820DA7">
        <w:trPr>
          <w:cantSplit/>
          <w:trHeight w:val="369"/>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PBS Indication:</w:t>
            </w:r>
          </w:p>
          <w:p w:rsidR="009324A6" w:rsidRPr="00011ED1" w:rsidRDefault="009324A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D9147F" w:rsidP="00367A74">
            <w:pPr>
              <w:jc w:val="both"/>
              <w:rPr>
                <w:rFonts w:ascii="Arial Narrow" w:hAnsi="Arial Narrow" w:cs="Arial"/>
                <w:sz w:val="20"/>
                <w:szCs w:val="20"/>
              </w:rPr>
            </w:pPr>
            <w:r w:rsidRPr="00011ED1">
              <w:rPr>
                <w:rFonts w:ascii="Arial Narrow" w:hAnsi="Arial Narrow" w:cs="Arial"/>
                <w:sz w:val="20"/>
                <w:szCs w:val="20"/>
              </w:rPr>
              <w:t xml:space="preserve">Locally advanced or metastatic </w:t>
            </w:r>
            <w:r w:rsidRPr="00011ED1">
              <w:rPr>
                <w:rFonts w:ascii="Arial Narrow" w:hAnsi="Arial Narrow" w:cs="Arial"/>
                <w:strike/>
                <w:sz w:val="20"/>
                <w:szCs w:val="20"/>
              </w:rPr>
              <w:t>NSCLC</w:t>
            </w:r>
            <w:r w:rsidR="008A4C4F" w:rsidRPr="00011ED1">
              <w:rPr>
                <w:rFonts w:ascii="Arial Narrow" w:hAnsi="Arial Narrow" w:cs="Arial"/>
                <w:i/>
                <w:iCs/>
                <w:sz w:val="20"/>
                <w:szCs w:val="20"/>
              </w:rPr>
              <w:t>non-small cell lung cancer</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F8738B" w:rsidP="00367A74">
            <w:pPr>
              <w:jc w:val="both"/>
              <w:rPr>
                <w:rFonts w:ascii="Arial Narrow" w:hAnsi="Arial Narrow" w:cs="Arial"/>
                <w:sz w:val="20"/>
                <w:szCs w:val="20"/>
              </w:rPr>
            </w:pPr>
            <w:r w:rsidRPr="00011ED1">
              <w:rPr>
                <w:rFonts w:ascii="Arial Narrow" w:hAnsi="Arial Narrow" w:cs="Arial"/>
                <w:sz w:val="20"/>
                <w:szCs w:val="20"/>
              </w:rPr>
              <w:t>Initial treatment</w:t>
            </w:r>
          </w:p>
        </w:tc>
      </w:tr>
      <w:tr w:rsidR="009324A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Restriction Level / Method:</w:t>
            </w:r>
          </w:p>
          <w:p w:rsidR="009324A6" w:rsidRPr="00011ED1" w:rsidRDefault="009324A6" w:rsidP="00367A74">
            <w:pPr>
              <w:jc w:val="both"/>
              <w:rPr>
                <w:rFonts w:ascii="Arial Narrow" w:hAnsi="Arial Narrow" w:cs="Arial"/>
                <w:i/>
                <w:sz w:val="20"/>
                <w:szCs w:val="20"/>
              </w:rPr>
            </w:pPr>
          </w:p>
          <w:p w:rsidR="009324A6" w:rsidRPr="00011ED1" w:rsidRDefault="009324A6" w:rsidP="00367A74">
            <w:pPr>
              <w:jc w:val="both"/>
              <w:rPr>
                <w:rFonts w:ascii="Arial Narrow" w:hAnsi="Arial Narrow" w:cs="Arial"/>
                <w:i/>
                <w:sz w:val="20"/>
                <w:szCs w:val="20"/>
              </w:rPr>
            </w:pPr>
          </w:p>
          <w:p w:rsidR="009324A6" w:rsidRPr="00011ED1" w:rsidRDefault="009324A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Restricted benefit</w:t>
            </w:r>
          </w:p>
          <w:p w:rsidR="009324A6" w:rsidRPr="00011ED1" w:rsidRDefault="009324A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In Writing</w:t>
            </w:r>
          </w:p>
          <w:p w:rsidR="009324A6" w:rsidRPr="00011ED1" w:rsidRDefault="009324A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Telephone/Electronic/Emergency</w:t>
            </w:r>
          </w:p>
          <w:p w:rsidR="009324A6" w:rsidRPr="00011ED1" w:rsidRDefault="00F8738B"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1"/>
                  </w:checkBox>
                </w:ffData>
              </w:fldChar>
            </w:r>
            <w:bookmarkStart w:id="1" w:name="Check5"/>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bookmarkEnd w:id="1"/>
            <w:r w:rsidR="009324A6" w:rsidRPr="00011ED1">
              <w:rPr>
                <w:rFonts w:ascii="Arial Narrow" w:hAnsi="Arial Narrow" w:cs="Arial"/>
                <w:sz w:val="20"/>
                <w:szCs w:val="20"/>
              </w:rPr>
              <w:t>Streamlined</w:t>
            </w:r>
          </w:p>
        </w:tc>
      </w:tr>
      <w:tr w:rsidR="009324A6" w:rsidRPr="00011ED1" w:rsidTr="00820DA7">
        <w:trPr>
          <w:cantSplit/>
          <w:trHeight w:val="657"/>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Clinical criteria:</w:t>
            </w:r>
          </w:p>
          <w:p w:rsidR="009324A6" w:rsidRPr="00011ED1" w:rsidRDefault="009324A6"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F8738B" w:rsidRPr="00011ED1" w:rsidRDefault="00F8738B" w:rsidP="00367A74">
            <w:pPr>
              <w:pStyle w:val="TableText1"/>
              <w:rPr>
                <w:rFonts w:ascii="Arial Narrow" w:hAnsi="Arial Narrow"/>
              </w:rPr>
            </w:pPr>
            <w:r w:rsidRPr="00011ED1">
              <w:rPr>
                <w:rFonts w:ascii="Arial Narrow" w:hAnsi="Arial Narrow"/>
              </w:rPr>
              <w:t>Patient must not have received prior treatment with a programmed cell death-1 (PD-1) inhibitor or a programmed cell death ligand-1 (PD-L1) inhibitor for this condition</w:t>
            </w:r>
            <w:r w:rsidR="00B07EAC" w:rsidRPr="00011ED1">
              <w:rPr>
                <w:rFonts w:ascii="Arial Narrow" w:hAnsi="Arial Narrow"/>
              </w:rPr>
              <w:t>,</w:t>
            </w:r>
          </w:p>
          <w:p w:rsidR="00F8738B" w:rsidRPr="00011ED1" w:rsidRDefault="00F8738B" w:rsidP="00367A74">
            <w:pPr>
              <w:pStyle w:val="TableText1"/>
              <w:rPr>
                <w:rFonts w:ascii="Arial Narrow" w:hAnsi="Arial Narrow"/>
              </w:rPr>
            </w:pPr>
            <w:r w:rsidRPr="00011ED1">
              <w:rPr>
                <w:rFonts w:ascii="Arial Narrow" w:hAnsi="Arial Narrow"/>
              </w:rPr>
              <w:t>AND</w:t>
            </w:r>
          </w:p>
          <w:p w:rsidR="00F8738B" w:rsidRPr="00011ED1" w:rsidRDefault="00F8738B" w:rsidP="00367A74">
            <w:pPr>
              <w:pStyle w:val="TableText1"/>
              <w:rPr>
                <w:rFonts w:ascii="Arial Narrow" w:hAnsi="Arial Narrow"/>
              </w:rPr>
            </w:pPr>
            <w:r w:rsidRPr="00011ED1">
              <w:rPr>
                <w:rFonts w:ascii="Arial Narrow" w:hAnsi="Arial Narrow"/>
              </w:rPr>
              <w:t>Patient must have a WHO performance status of 0 or 1</w:t>
            </w:r>
            <w:r w:rsidR="00B07EAC" w:rsidRPr="00011ED1">
              <w:rPr>
                <w:rFonts w:ascii="Arial Narrow" w:hAnsi="Arial Narrow"/>
              </w:rPr>
              <w:t>,</w:t>
            </w:r>
          </w:p>
          <w:p w:rsidR="00F8738B" w:rsidRPr="00011ED1" w:rsidRDefault="00F8738B" w:rsidP="00367A74">
            <w:pPr>
              <w:pStyle w:val="TableText1"/>
              <w:rPr>
                <w:rFonts w:ascii="Arial Narrow" w:hAnsi="Arial Narrow"/>
              </w:rPr>
            </w:pPr>
            <w:r w:rsidRPr="00011ED1">
              <w:rPr>
                <w:rFonts w:ascii="Arial Narrow" w:hAnsi="Arial Narrow"/>
              </w:rPr>
              <w:t>AND</w:t>
            </w:r>
          </w:p>
          <w:p w:rsidR="00F8738B" w:rsidRPr="00011ED1" w:rsidRDefault="00F8738B" w:rsidP="00367A74">
            <w:pPr>
              <w:pStyle w:val="TableText1"/>
              <w:rPr>
                <w:rFonts w:ascii="Arial Narrow" w:hAnsi="Arial Narrow"/>
              </w:rPr>
            </w:pPr>
            <w:r w:rsidRPr="00011ED1">
              <w:rPr>
                <w:rFonts w:ascii="Arial Narrow" w:hAnsi="Arial Narrow"/>
              </w:rPr>
              <w:t>The treatment must be the sole PBS subsidised therapy for this condition</w:t>
            </w:r>
            <w:r w:rsidR="00B07EAC" w:rsidRPr="00011ED1">
              <w:rPr>
                <w:rFonts w:ascii="Arial Narrow" w:hAnsi="Arial Narrow"/>
              </w:rPr>
              <w:t>,</w:t>
            </w:r>
          </w:p>
          <w:p w:rsidR="00F8738B" w:rsidRPr="00011ED1" w:rsidRDefault="00F8738B" w:rsidP="00367A74">
            <w:pPr>
              <w:pStyle w:val="TableText1"/>
              <w:rPr>
                <w:rFonts w:ascii="Arial Narrow" w:hAnsi="Arial Narrow"/>
              </w:rPr>
            </w:pPr>
            <w:r w:rsidRPr="00011ED1">
              <w:rPr>
                <w:rFonts w:ascii="Arial Narrow" w:hAnsi="Arial Narrow"/>
              </w:rPr>
              <w:t>AND</w:t>
            </w:r>
          </w:p>
          <w:p w:rsidR="009324A6" w:rsidRPr="00011ED1" w:rsidRDefault="00F8738B" w:rsidP="00367A74">
            <w:pPr>
              <w:jc w:val="both"/>
              <w:rPr>
                <w:rFonts w:ascii="Arial Narrow" w:hAnsi="Arial Narrow" w:cs="Arial"/>
                <w:sz w:val="20"/>
                <w:szCs w:val="20"/>
              </w:rPr>
            </w:pPr>
            <w:r w:rsidRPr="00011ED1">
              <w:rPr>
                <w:rFonts w:ascii="Arial Narrow" w:hAnsi="Arial Narrow"/>
                <w:sz w:val="20"/>
                <w:szCs w:val="20"/>
              </w:rPr>
              <w:t>The condition must have progressed on or after prior platinum based chemotherapy.</w:t>
            </w:r>
          </w:p>
        </w:tc>
      </w:tr>
      <w:tr w:rsidR="0064316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9324A6" w:rsidRPr="00011ED1" w:rsidRDefault="009324A6" w:rsidP="00367A74">
            <w:pPr>
              <w:jc w:val="both"/>
              <w:rPr>
                <w:rFonts w:ascii="Arial Narrow" w:hAnsi="Arial Narrow" w:cs="Arial"/>
                <w:b/>
                <w:sz w:val="20"/>
                <w:szCs w:val="20"/>
              </w:rPr>
            </w:pPr>
            <w:r w:rsidRPr="00011ED1">
              <w:rPr>
                <w:rFonts w:ascii="Arial Narrow" w:hAnsi="Arial Narrow" w:cs="Arial"/>
                <w:b/>
                <w:sz w:val="20"/>
                <w:szCs w:val="20"/>
              </w:rPr>
              <w:t>Administrative Advice:</w:t>
            </w:r>
          </w:p>
          <w:p w:rsidR="009324A6" w:rsidRPr="00011ED1" w:rsidRDefault="009324A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F8738B" w:rsidRPr="00011ED1" w:rsidRDefault="00F8738B" w:rsidP="00367A74">
            <w:pPr>
              <w:pStyle w:val="TableText1"/>
              <w:rPr>
                <w:rFonts w:ascii="Arial Narrow" w:hAnsi="Arial Narrow"/>
              </w:rPr>
            </w:pPr>
            <w:r w:rsidRPr="00011ED1">
              <w:rPr>
                <w:rFonts w:ascii="Arial Narrow" w:hAnsi="Arial Narrow"/>
              </w:rPr>
              <w:t>No increase in the maximum number of repeats may be authorised.</w:t>
            </w:r>
          </w:p>
          <w:p w:rsidR="000B30CA" w:rsidRPr="00011ED1" w:rsidRDefault="000B30CA" w:rsidP="00367A74">
            <w:pPr>
              <w:pStyle w:val="TableText1"/>
              <w:rPr>
                <w:rFonts w:ascii="Arial Narrow" w:hAnsi="Arial Narrow"/>
              </w:rPr>
            </w:pPr>
          </w:p>
          <w:p w:rsidR="00F8738B" w:rsidRPr="00011ED1" w:rsidRDefault="00F8738B" w:rsidP="00367A74">
            <w:pPr>
              <w:pStyle w:val="TableText1"/>
              <w:rPr>
                <w:rFonts w:ascii="Arial Narrow" w:hAnsi="Arial Narrow"/>
              </w:rPr>
            </w:pPr>
            <w:r w:rsidRPr="00011ED1">
              <w:rPr>
                <w:rFonts w:ascii="Arial Narrow" w:hAnsi="Arial Narrow"/>
              </w:rPr>
              <w:t>In the first few months after start of immunotherapy, some patients can have a transient tumour flare with subsequent disease response. When progression is suspected, this should be confirmed through a confirmatory scan, taken at least 4 weeks later.</w:t>
            </w:r>
          </w:p>
          <w:p w:rsidR="000B30CA" w:rsidRPr="00011ED1" w:rsidRDefault="000B30CA" w:rsidP="00367A74">
            <w:pPr>
              <w:pStyle w:val="TableText1"/>
              <w:rPr>
                <w:rFonts w:ascii="Arial Narrow" w:hAnsi="Arial Narrow"/>
              </w:rPr>
            </w:pPr>
          </w:p>
          <w:p w:rsidR="009324A6" w:rsidRPr="00011ED1" w:rsidRDefault="00AF185E" w:rsidP="00367A74">
            <w:pPr>
              <w:jc w:val="both"/>
              <w:rPr>
                <w:rFonts w:ascii="Arial Narrow" w:hAnsi="Arial Narrow" w:cs="Arial"/>
                <w:sz w:val="20"/>
                <w:szCs w:val="20"/>
              </w:rPr>
            </w:pPr>
            <w:r w:rsidRPr="00011ED1">
              <w:rPr>
                <w:rFonts w:ascii="Arial Narrow" w:hAnsi="Arial Narrow"/>
                <w:sz w:val="20"/>
                <w:szCs w:val="20"/>
              </w:rPr>
              <w:t>Special Pricing A</w:t>
            </w:r>
            <w:r w:rsidR="00F8738B" w:rsidRPr="00011ED1">
              <w:rPr>
                <w:rFonts w:ascii="Arial Narrow" w:hAnsi="Arial Narrow"/>
                <w:sz w:val="20"/>
                <w:szCs w:val="20"/>
              </w:rPr>
              <w:t>rrangements apply.</w:t>
            </w:r>
          </w:p>
        </w:tc>
      </w:tr>
      <w:tr w:rsidR="0064316A" w:rsidRPr="00011ED1" w:rsidTr="00820DA7">
        <w:trPr>
          <w:cantSplit/>
          <w:trHeight w:val="360"/>
        </w:trPr>
        <w:tc>
          <w:tcPr>
            <w:tcW w:w="1538" w:type="pct"/>
            <w:tcBorders>
              <w:top w:val="single" w:sz="4" w:space="0" w:color="auto"/>
            </w:tcBorders>
          </w:tcPr>
          <w:p w:rsidR="00EF1E30" w:rsidRPr="00011ED1" w:rsidRDefault="00EF1E30" w:rsidP="00367A74">
            <w:pPr>
              <w:jc w:val="both"/>
              <w:rPr>
                <w:rFonts w:ascii="Arial Narrow" w:hAnsi="Arial Narrow" w:cs="Arial"/>
                <w:b/>
                <w:sz w:val="20"/>
                <w:szCs w:val="20"/>
              </w:rPr>
            </w:pPr>
          </w:p>
        </w:tc>
        <w:tc>
          <w:tcPr>
            <w:tcW w:w="3462" w:type="pct"/>
            <w:gridSpan w:val="6"/>
            <w:tcBorders>
              <w:top w:val="single" w:sz="4" w:space="0" w:color="auto"/>
            </w:tcBorders>
          </w:tcPr>
          <w:p w:rsidR="00EF1E30" w:rsidRPr="00011ED1" w:rsidRDefault="00EF1E30" w:rsidP="00367A74">
            <w:pPr>
              <w:pStyle w:val="TableText1"/>
              <w:rPr>
                <w:rFonts w:ascii="Arial Narrow" w:hAnsi="Arial Narrow"/>
              </w:rPr>
            </w:pPr>
          </w:p>
        </w:tc>
      </w:tr>
      <w:tr w:rsidR="0064316A" w:rsidRPr="00011ED1" w:rsidTr="00820DA7">
        <w:trPr>
          <w:cantSplit/>
          <w:trHeight w:val="471"/>
        </w:trPr>
        <w:tc>
          <w:tcPr>
            <w:tcW w:w="1693" w:type="pct"/>
            <w:gridSpan w:val="2"/>
            <w:tcBorders>
              <w:bottom w:val="single" w:sz="4" w:space="0" w:color="auto"/>
            </w:tcBorders>
          </w:tcPr>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Name, Restriction,</w:t>
            </w:r>
          </w:p>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Manner of administration and form</w:t>
            </w:r>
          </w:p>
        </w:tc>
        <w:tc>
          <w:tcPr>
            <w:tcW w:w="538" w:type="pct"/>
            <w:tcBorders>
              <w:bottom w:val="single" w:sz="4" w:space="0" w:color="auto"/>
            </w:tcBorders>
          </w:tcPr>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Max.</w:t>
            </w:r>
          </w:p>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amount</w:t>
            </w:r>
          </w:p>
        </w:tc>
        <w:tc>
          <w:tcPr>
            <w:tcW w:w="308" w:type="pct"/>
            <w:tcBorders>
              <w:bottom w:val="single" w:sz="4" w:space="0" w:color="auto"/>
            </w:tcBorders>
          </w:tcPr>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№.of</w:t>
            </w:r>
          </w:p>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Rpts</w:t>
            </w:r>
          </w:p>
        </w:tc>
        <w:tc>
          <w:tcPr>
            <w:tcW w:w="923" w:type="pct"/>
            <w:tcBorders>
              <w:bottom w:val="single" w:sz="4" w:space="0" w:color="auto"/>
            </w:tcBorders>
          </w:tcPr>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Dispensed Price for Max. amount</w:t>
            </w:r>
          </w:p>
        </w:tc>
        <w:tc>
          <w:tcPr>
            <w:tcW w:w="1538" w:type="pct"/>
            <w:gridSpan w:val="2"/>
            <w:tcBorders>
              <w:bottom w:val="single" w:sz="4" w:space="0" w:color="auto"/>
            </w:tcBorders>
          </w:tcPr>
          <w:p w:rsidR="00BC4E4A" w:rsidRPr="00FC0F08" w:rsidRDefault="00BC4E4A" w:rsidP="00367A74">
            <w:pPr>
              <w:keepNext/>
              <w:jc w:val="both"/>
              <w:rPr>
                <w:rFonts w:ascii="Arial Narrow" w:hAnsi="Arial Narrow" w:cs="Arial"/>
                <w:sz w:val="20"/>
                <w:szCs w:val="20"/>
              </w:rPr>
            </w:pPr>
            <w:r w:rsidRPr="00011ED1">
              <w:rPr>
                <w:rFonts w:ascii="Arial Narrow" w:hAnsi="Arial Narrow" w:cs="Arial"/>
                <w:sz w:val="20"/>
                <w:szCs w:val="20"/>
              </w:rPr>
              <w:t>Proprietary Name and Manufacturer</w:t>
            </w:r>
          </w:p>
        </w:tc>
      </w:tr>
      <w:tr w:rsidR="00BC4E4A" w:rsidRPr="00011ED1" w:rsidTr="00820DA7">
        <w:trPr>
          <w:cantSplit/>
          <w:trHeight w:val="577"/>
        </w:trPr>
        <w:tc>
          <w:tcPr>
            <w:tcW w:w="1693" w:type="pct"/>
            <w:gridSpan w:val="2"/>
          </w:tcPr>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mallCaps/>
                <w:sz w:val="20"/>
                <w:szCs w:val="20"/>
              </w:rPr>
              <w:t>atezolizumab</w:t>
            </w:r>
          </w:p>
          <w:p w:rsidR="00BC4E4A" w:rsidRPr="00011ED1" w:rsidRDefault="00BC4E4A" w:rsidP="00367A74">
            <w:pPr>
              <w:keepNext/>
              <w:ind w:left="-108"/>
              <w:jc w:val="both"/>
              <w:rPr>
                <w:rFonts w:ascii="Arial Narrow" w:hAnsi="Arial Narrow" w:cs="Arial"/>
                <w:sz w:val="20"/>
                <w:szCs w:val="20"/>
              </w:rPr>
            </w:pPr>
            <w:r w:rsidRPr="00011ED1">
              <w:rPr>
                <w:rFonts w:ascii="Arial Narrow" w:hAnsi="Arial Narrow" w:cs="Arial"/>
                <w:sz w:val="20"/>
                <w:szCs w:val="20"/>
              </w:rPr>
              <w:t xml:space="preserve">840 mg/14 mL injection, </w:t>
            </w:r>
            <w:r w:rsidRPr="00011ED1">
              <w:rPr>
                <w:rFonts w:ascii="Arial Narrow" w:hAnsi="Arial Narrow" w:cs="Arial"/>
                <w:strike/>
                <w:sz w:val="20"/>
                <w:szCs w:val="20"/>
              </w:rPr>
              <w:t>1 x</w:t>
            </w:r>
            <w:r w:rsidRPr="00011ED1">
              <w:rPr>
                <w:rFonts w:ascii="Arial Narrow" w:hAnsi="Arial Narrow" w:cs="Arial"/>
                <w:sz w:val="20"/>
                <w:szCs w:val="20"/>
              </w:rPr>
              <w:t xml:space="preserve"> 14 mL vial</w:t>
            </w:r>
          </w:p>
        </w:tc>
        <w:tc>
          <w:tcPr>
            <w:tcW w:w="538" w:type="pct"/>
          </w:tcPr>
          <w:p w:rsidR="00BC4E4A" w:rsidRPr="00011ED1" w:rsidRDefault="00BC4E4A" w:rsidP="00367A74">
            <w:pPr>
              <w:keepNext/>
              <w:ind w:left="-108"/>
              <w:jc w:val="both"/>
              <w:rPr>
                <w:rFonts w:ascii="Arial Narrow" w:hAnsi="Arial Narrow" w:cs="Arial"/>
                <w:sz w:val="20"/>
                <w:szCs w:val="20"/>
              </w:rPr>
            </w:pPr>
          </w:p>
          <w:p w:rsidR="00BC4E4A" w:rsidRPr="00011ED1" w:rsidRDefault="007B5F71" w:rsidP="00367A74">
            <w:pPr>
              <w:keepNext/>
              <w:ind w:left="-108"/>
              <w:jc w:val="both"/>
              <w:rPr>
                <w:rFonts w:ascii="Arial Narrow" w:hAnsi="Arial Narrow" w:cs="Arial"/>
                <w:sz w:val="20"/>
                <w:szCs w:val="20"/>
              </w:rPr>
            </w:pPr>
            <w:r w:rsidRPr="00011ED1">
              <w:rPr>
                <w:rFonts w:ascii="Arial Narrow" w:hAnsi="Arial Narrow" w:cs="Arial"/>
                <w:sz w:val="20"/>
                <w:szCs w:val="20"/>
              </w:rPr>
              <w:t>1</w:t>
            </w:r>
            <w:r w:rsidR="00BC4E4A" w:rsidRPr="00011ED1">
              <w:rPr>
                <w:rFonts w:ascii="Arial Narrow" w:hAnsi="Arial Narrow" w:cs="Arial"/>
                <w:sz w:val="20"/>
                <w:szCs w:val="20"/>
              </w:rPr>
              <w:t>680 mg</w:t>
            </w:r>
          </w:p>
        </w:tc>
        <w:tc>
          <w:tcPr>
            <w:tcW w:w="308" w:type="pct"/>
          </w:tcPr>
          <w:p w:rsidR="00BC4E4A" w:rsidRPr="00011ED1" w:rsidRDefault="00BC4E4A" w:rsidP="00367A74">
            <w:pPr>
              <w:keepNext/>
              <w:ind w:left="-108"/>
              <w:jc w:val="both"/>
              <w:rPr>
                <w:rFonts w:ascii="Arial Narrow" w:hAnsi="Arial Narrow" w:cs="Arial"/>
                <w:sz w:val="20"/>
                <w:szCs w:val="20"/>
              </w:rPr>
            </w:pPr>
          </w:p>
          <w:p w:rsidR="00BC4E4A" w:rsidRPr="00011ED1" w:rsidRDefault="0096626F" w:rsidP="00367A74">
            <w:pPr>
              <w:keepNext/>
              <w:ind w:left="-108"/>
              <w:jc w:val="both"/>
              <w:rPr>
                <w:rFonts w:ascii="Arial Narrow" w:hAnsi="Arial Narrow" w:cs="Arial"/>
                <w:sz w:val="20"/>
                <w:szCs w:val="20"/>
              </w:rPr>
            </w:pPr>
            <w:r w:rsidRPr="00011ED1">
              <w:rPr>
                <w:rFonts w:ascii="Arial Narrow" w:hAnsi="Arial Narrow" w:cs="Arial"/>
                <w:sz w:val="20"/>
                <w:szCs w:val="20"/>
              </w:rPr>
              <w:t>5</w:t>
            </w:r>
          </w:p>
        </w:tc>
        <w:tc>
          <w:tcPr>
            <w:tcW w:w="923" w:type="pct"/>
          </w:tcPr>
          <w:p w:rsidR="000C5E19"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sz w:val="20"/>
                <w:szCs w:val="20"/>
              </w:rPr>
              <w:t>$</w:t>
            </w:r>
            <w:r w:rsidRPr="00011ED1">
              <w:rPr>
                <w:rFonts w:ascii="Arial Narrow" w:hAnsi="Arial Narrow" w:cs="Arial"/>
                <w:i/>
                <w:iCs/>
                <w:sz w:val="20"/>
                <w:szCs w:val="20"/>
              </w:rPr>
              <w:t>10,551.88 (public)</w:t>
            </w:r>
          </w:p>
          <w:p w:rsidR="000C5E19"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i/>
                <w:iCs/>
                <w:sz w:val="20"/>
                <w:szCs w:val="20"/>
              </w:rPr>
              <w:t>$10,738.18 (private)</w:t>
            </w:r>
          </w:p>
          <w:p w:rsidR="007B5F71"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i/>
                <w:iCs/>
                <w:sz w:val="20"/>
                <w:szCs w:val="20"/>
              </w:rPr>
              <w:t>(Published)</w:t>
            </w:r>
          </w:p>
        </w:tc>
        <w:tc>
          <w:tcPr>
            <w:tcW w:w="615" w:type="pct"/>
          </w:tcPr>
          <w:p w:rsidR="00BC4E4A" w:rsidRPr="00011ED1" w:rsidRDefault="00BC4E4A" w:rsidP="00367A74">
            <w:pPr>
              <w:keepNext/>
              <w:jc w:val="both"/>
              <w:rPr>
                <w:rFonts w:ascii="Arial Narrow" w:hAnsi="Arial Narrow" w:cs="Arial"/>
                <w:sz w:val="20"/>
                <w:szCs w:val="20"/>
              </w:rPr>
            </w:pPr>
            <w:r w:rsidRPr="00011ED1">
              <w:rPr>
                <w:rFonts w:ascii="Arial Narrow" w:hAnsi="Arial Narrow" w:cs="Arial"/>
                <w:sz w:val="20"/>
                <w:szCs w:val="20"/>
              </w:rPr>
              <w:t>Tecentriq®</w:t>
            </w:r>
          </w:p>
        </w:tc>
        <w:tc>
          <w:tcPr>
            <w:tcW w:w="923" w:type="pct"/>
          </w:tcPr>
          <w:p w:rsidR="00BC4E4A" w:rsidRPr="00011ED1" w:rsidRDefault="00BC4E4A" w:rsidP="00367A74">
            <w:pPr>
              <w:keepNext/>
              <w:jc w:val="both"/>
              <w:rPr>
                <w:rFonts w:ascii="Arial Narrow" w:hAnsi="Arial Narrow" w:cs="Arial"/>
                <w:sz w:val="20"/>
                <w:szCs w:val="20"/>
              </w:rPr>
            </w:pPr>
            <w:r w:rsidRPr="00011ED1">
              <w:rPr>
                <w:rFonts w:ascii="Arial Narrow" w:hAnsi="Arial Narrow" w:cs="Arial"/>
                <w:sz w:val="20"/>
                <w:szCs w:val="20"/>
              </w:rPr>
              <w:t>Roche Products Pty Ltd</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011ED1">
              <w:rPr>
                <w:rFonts w:ascii="Arial Narrow" w:hAnsi="Arial Narrow" w:cs="Arial"/>
                <w:sz w:val="20"/>
                <w:szCs w:val="20"/>
              </w:rPr>
              <w:t xml:space="preserve">Section 100 – Efficient Funding of Chemotherapy </w:t>
            </w:r>
          </w:p>
          <w:p w:rsidR="008F1A99" w:rsidRPr="00011ED1" w:rsidRDefault="008F1A99" w:rsidP="00367A74">
            <w:pPr>
              <w:pStyle w:val="TableHeadingRow"/>
              <w:keepNext w:val="0"/>
              <w:rPr>
                <w:rFonts w:ascii="Arial Narrow" w:hAnsi="Arial Narrow"/>
                <w:b w:val="0"/>
                <w:strike/>
              </w:rPr>
            </w:pPr>
            <w:r w:rsidRPr="00011ED1">
              <w:rPr>
                <w:rFonts w:ascii="Arial Narrow" w:hAnsi="Arial Narrow"/>
                <w:b w:val="0"/>
                <w:strike/>
              </w:rPr>
              <w:t>Private Hospital/Private Clinic Authority Required (STREAMLINED)</w:t>
            </w:r>
          </w:p>
          <w:p w:rsidR="008F1A99" w:rsidRPr="00011ED1" w:rsidRDefault="008F1A99" w:rsidP="00367A74">
            <w:pPr>
              <w:jc w:val="both"/>
              <w:rPr>
                <w:rFonts w:ascii="Arial Narrow" w:hAnsi="Arial Narrow" w:cs="Arial"/>
                <w:sz w:val="20"/>
                <w:szCs w:val="20"/>
              </w:rPr>
            </w:pPr>
            <w:r w:rsidRPr="00011ED1">
              <w:rPr>
                <w:rFonts w:ascii="Arial Narrow" w:hAnsi="Arial Narrow"/>
                <w:strike/>
                <w:sz w:val="20"/>
                <w:szCs w:val="20"/>
              </w:rPr>
              <w:t>Public Hospital Authority Required (STREAMLINED)</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Prescriber type:</w:t>
            </w:r>
          </w:p>
          <w:p w:rsidR="00BC4E4A" w:rsidRPr="00011ED1" w:rsidRDefault="00BC4E4A" w:rsidP="00367A74">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Dental  </w:t>
            </w:r>
            <w:r w:rsidRPr="00FC0F08">
              <w:rPr>
                <w:rFonts w:ascii="Arial Narrow" w:hAnsi="Arial Narrow" w:cs="Arial"/>
                <w:sz w:val="20"/>
                <w:szCs w:val="20"/>
              </w:rPr>
              <w:fldChar w:fldCharType="begin">
                <w:ffData>
                  <w:name w:val=""/>
                  <w:enabled/>
                  <w:calcOnExit w:val="0"/>
                  <w:checkBox>
                    <w:sizeAuto/>
                    <w:default w:val="1"/>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Medical Practitioners  </w:t>
            </w: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Nurse practitioners  </w:t>
            </w: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Optometrists</w:t>
            </w:r>
          </w:p>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Midwives</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lastRenderedPageBreak/>
              <w:t>Severity:</w:t>
            </w: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011ED1">
              <w:rPr>
                <w:rFonts w:ascii="Arial Narrow" w:hAnsi="Arial Narrow" w:cs="Arial"/>
                <w:sz w:val="20"/>
                <w:szCs w:val="20"/>
              </w:rPr>
              <w:t xml:space="preserve">Locally advanced or metastatic </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CF5EF2" w:rsidP="00367A74">
            <w:pPr>
              <w:jc w:val="both"/>
              <w:rPr>
                <w:rFonts w:ascii="Arial Narrow" w:hAnsi="Arial Narrow" w:cs="Arial"/>
                <w:sz w:val="20"/>
                <w:szCs w:val="20"/>
              </w:rPr>
            </w:pPr>
            <w:r w:rsidRPr="00011ED1">
              <w:rPr>
                <w:rFonts w:ascii="Arial Narrow" w:hAnsi="Arial Narrow" w:cs="Arial"/>
                <w:i/>
                <w:iCs/>
                <w:sz w:val="20"/>
                <w:szCs w:val="20"/>
              </w:rPr>
              <w:t>n</w:t>
            </w:r>
            <w:r w:rsidR="00BC4E4A" w:rsidRPr="00011ED1">
              <w:rPr>
                <w:rFonts w:ascii="Arial Narrow" w:hAnsi="Arial Narrow" w:cs="Arial"/>
                <w:strike/>
                <w:sz w:val="20"/>
                <w:szCs w:val="20"/>
              </w:rPr>
              <w:t>N</w:t>
            </w:r>
            <w:r w:rsidR="00BC4E4A" w:rsidRPr="00011ED1">
              <w:rPr>
                <w:rFonts w:ascii="Arial Narrow" w:hAnsi="Arial Narrow" w:cs="Arial"/>
                <w:sz w:val="20"/>
                <w:szCs w:val="20"/>
              </w:rPr>
              <w:t xml:space="preserve">on-small cell lung cancer </w:t>
            </w:r>
            <w:r w:rsidR="00BC4E4A" w:rsidRPr="00011ED1">
              <w:rPr>
                <w:rFonts w:ascii="Arial Narrow" w:hAnsi="Arial Narrow" w:cs="Arial"/>
                <w:strike/>
                <w:sz w:val="20"/>
                <w:szCs w:val="20"/>
              </w:rPr>
              <w:t>(NSCLC)</w:t>
            </w:r>
          </w:p>
        </w:tc>
      </w:tr>
      <w:tr w:rsidR="00BC4E4A" w:rsidRPr="00011ED1" w:rsidTr="00820DA7">
        <w:trPr>
          <w:cantSplit/>
          <w:trHeight w:val="369"/>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PBS Indication:</w:t>
            </w:r>
          </w:p>
          <w:p w:rsidR="00BC4E4A" w:rsidRPr="00011ED1" w:rsidRDefault="00BC4E4A"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011ED1">
              <w:rPr>
                <w:rFonts w:ascii="Arial Narrow" w:hAnsi="Arial Narrow" w:cs="Arial"/>
                <w:sz w:val="20"/>
                <w:szCs w:val="20"/>
              </w:rPr>
              <w:t xml:space="preserve">Locally advanced or metastatic </w:t>
            </w:r>
            <w:r w:rsidRPr="00011ED1">
              <w:rPr>
                <w:rFonts w:ascii="Arial Narrow" w:hAnsi="Arial Narrow" w:cs="Arial"/>
                <w:strike/>
                <w:sz w:val="20"/>
                <w:szCs w:val="20"/>
              </w:rPr>
              <w:t>NSCLC</w:t>
            </w:r>
            <w:r w:rsidR="006E4FE7" w:rsidRPr="00011ED1">
              <w:rPr>
                <w:rFonts w:ascii="Arial Narrow" w:hAnsi="Arial Narrow" w:cs="Arial"/>
                <w:i/>
                <w:iCs/>
                <w:sz w:val="20"/>
                <w:szCs w:val="20"/>
              </w:rPr>
              <w:t>non-small cell lung cancer</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011ED1">
              <w:rPr>
                <w:rFonts w:ascii="Arial Narrow" w:hAnsi="Arial Narrow" w:cs="Arial"/>
                <w:sz w:val="20"/>
                <w:szCs w:val="20"/>
              </w:rPr>
              <w:t>Continuing treatment</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Restriction Level / Method:</w:t>
            </w:r>
          </w:p>
          <w:p w:rsidR="00BC4E4A" w:rsidRPr="00011ED1" w:rsidRDefault="00BC4E4A" w:rsidP="00367A74">
            <w:pPr>
              <w:jc w:val="both"/>
              <w:rPr>
                <w:rFonts w:ascii="Arial Narrow" w:hAnsi="Arial Narrow" w:cs="Arial"/>
                <w:i/>
                <w:sz w:val="20"/>
                <w:szCs w:val="20"/>
              </w:rPr>
            </w:pPr>
          </w:p>
          <w:p w:rsidR="00BC4E4A" w:rsidRPr="00011ED1" w:rsidRDefault="00BC4E4A" w:rsidP="00367A74">
            <w:pPr>
              <w:jc w:val="both"/>
              <w:rPr>
                <w:rFonts w:ascii="Arial Narrow" w:hAnsi="Arial Narrow" w:cs="Arial"/>
                <w:i/>
                <w:sz w:val="20"/>
                <w:szCs w:val="20"/>
              </w:rPr>
            </w:pPr>
          </w:p>
          <w:p w:rsidR="00BC4E4A" w:rsidRPr="00011ED1" w:rsidRDefault="00BC4E4A"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Restricted benefit</w:t>
            </w:r>
          </w:p>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In Writing</w:t>
            </w:r>
          </w:p>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Telephone/Electronic/Emergency</w:t>
            </w:r>
          </w:p>
          <w:p w:rsidR="00BC4E4A" w:rsidRPr="00011ED1" w:rsidRDefault="00BC4E4A"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1"/>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Streamlined</w:t>
            </w:r>
          </w:p>
        </w:tc>
      </w:tr>
      <w:tr w:rsidR="00BC4E4A" w:rsidRPr="00011ED1" w:rsidTr="00820DA7">
        <w:trPr>
          <w:cantSplit/>
          <w:trHeight w:val="657"/>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Clinical criteria:</w:t>
            </w:r>
          </w:p>
          <w:p w:rsidR="00BC4E4A" w:rsidRPr="00011ED1" w:rsidRDefault="00BC4E4A"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D00CDB" w:rsidRPr="00011ED1" w:rsidRDefault="00D00CDB" w:rsidP="00367A74">
            <w:pPr>
              <w:pStyle w:val="TableText1"/>
              <w:rPr>
                <w:rFonts w:ascii="Arial Narrow" w:hAnsi="Arial Narrow"/>
              </w:rPr>
            </w:pPr>
            <w:r w:rsidRPr="00011ED1">
              <w:rPr>
                <w:rFonts w:ascii="Arial Narrow" w:hAnsi="Arial Narrow"/>
              </w:rPr>
              <w:t>Patient must have previously received PBS-subsidised treatment with this drug for this condition</w:t>
            </w:r>
            <w:r w:rsidR="00451143" w:rsidRPr="00011ED1">
              <w:rPr>
                <w:rFonts w:ascii="Arial Narrow" w:hAnsi="Arial Narrow"/>
              </w:rPr>
              <w:t>,</w:t>
            </w:r>
          </w:p>
          <w:p w:rsidR="00D00CDB" w:rsidRPr="00011ED1" w:rsidRDefault="00D00CDB" w:rsidP="00367A74">
            <w:pPr>
              <w:pStyle w:val="TableText1"/>
              <w:rPr>
                <w:rFonts w:ascii="Arial Narrow" w:hAnsi="Arial Narrow"/>
              </w:rPr>
            </w:pPr>
            <w:r w:rsidRPr="00011ED1">
              <w:rPr>
                <w:rFonts w:ascii="Arial Narrow" w:hAnsi="Arial Narrow"/>
              </w:rPr>
              <w:t>AND</w:t>
            </w:r>
          </w:p>
          <w:p w:rsidR="00D00CDB" w:rsidRPr="00011ED1" w:rsidRDefault="00D00CDB" w:rsidP="00367A74">
            <w:pPr>
              <w:pStyle w:val="TableText1"/>
              <w:rPr>
                <w:rFonts w:ascii="Arial Narrow" w:hAnsi="Arial Narrow"/>
              </w:rPr>
            </w:pPr>
            <w:r w:rsidRPr="00011ED1">
              <w:rPr>
                <w:rFonts w:ascii="Arial Narrow" w:hAnsi="Arial Narrow"/>
              </w:rPr>
              <w:t>The treatment must be the sole PBS-subsidised treatment for this condition</w:t>
            </w:r>
            <w:r w:rsidR="00451143" w:rsidRPr="00011ED1">
              <w:rPr>
                <w:rFonts w:ascii="Arial Narrow" w:hAnsi="Arial Narrow"/>
              </w:rPr>
              <w:t>,</w:t>
            </w:r>
          </w:p>
          <w:p w:rsidR="00D00CDB" w:rsidRPr="00011ED1" w:rsidRDefault="00D00CDB" w:rsidP="00367A74">
            <w:pPr>
              <w:pStyle w:val="TableText1"/>
              <w:rPr>
                <w:rFonts w:ascii="Arial Narrow" w:hAnsi="Arial Narrow"/>
              </w:rPr>
            </w:pPr>
            <w:r w:rsidRPr="00011ED1">
              <w:rPr>
                <w:rFonts w:ascii="Arial Narrow" w:hAnsi="Arial Narrow"/>
              </w:rPr>
              <w:t>AND</w:t>
            </w:r>
          </w:p>
          <w:p w:rsidR="00BC4E4A" w:rsidRPr="00011ED1" w:rsidRDefault="00D00CDB" w:rsidP="00367A74">
            <w:pPr>
              <w:jc w:val="both"/>
              <w:rPr>
                <w:rFonts w:ascii="Arial Narrow" w:hAnsi="Arial Narrow" w:cs="Arial"/>
                <w:sz w:val="20"/>
                <w:szCs w:val="20"/>
              </w:rPr>
            </w:pPr>
            <w:r w:rsidRPr="00011ED1">
              <w:rPr>
                <w:rFonts w:ascii="Arial Narrow" w:hAnsi="Arial Narrow"/>
                <w:sz w:val="20"/>
                <w:szCs w:val="20"/>
              </w:rPr>
              <w:t>Patient must have stable or responding disease.</w:t>
            </w:r>
          </w:p>
        </w:tc>
      </w:tr>
      <w:tr w:rsidR="00BC4E4A"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BC4E4A" w:rsidRPr="00011ED1" w:rsidRDefault="00BC4E4A" w:rsidP="00367A74">
            <w:pPr>
              <w:jc w:val="both"/>
              <w:rPr>
                <w:rFonts w:ascii="Arial Narrow" w:hAnsi="Arial Narrow" w:cs="Arial"/>
                <w:b/>
                <w:sz w:val="20"/>
                <w:szCs w:val="20"/>
              </w:rPr>
            </w:pPr>
            <w:r w:rsidRPr="00011ED1">
              <w:rPr>
                <w:rFonts w:ascii="Arial Narrow" w:hAnsi="Arial Narrow" w:cs="Arial"/>
                <w:b/>
                <w:sz w:val="20"/>
                <w:szCs w:val="20"/>
              </w:rPr>
              <w:t>Administrative Advice:</w:t>
            </w:r>
          </w:p>
          <w:p w:rsidR="00BC4E4A" w:rsidRPr="00011ED1" w:rsidRDefault="00BC4E4A"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910CC3" w:rsidRPr="00011ED1" w:rsidRDefault="00910CC3" w:rsidP="00367A74">
            <w:pPr>
              <w:pStyle w:val="TableText1"/>
              <w:rPr>
                <w:rFonts w:ascii="Arial Narrow" w:hAnsi="Arial Narrow"/>
              </w:rPr>
            </w:pPr>
            <w:r w:rsidRPr="00011ED1">
              <w:rPr>
                <w:rFonts w:ascii="Arial Narrow" w:hAnsi="Arial Narrow"/>
              </w:rPr>
              <w:t>No increase in the maximum number of repeats may be authorised.</w:t>
            </w:r>
          </w:p>
          <w:p w:rsidR="00955D5E" w:rsidRPr="00011ED1" w:rsidRDefault="00955D5E" w:rsidP="00367A74">
            <w:pPr>
              <w:pStyle w:val="TableText1"/>
              <w:rPr>
                <w:rFonts w:ascii="Arial Narrow" w:hAnsi="Arial Narrow"/>
              </w:rPr>
            </w:pPr>
          </w:p>
          <w:p w:rsidR="00BC4E4A" w:rsidRPr="00011ED1" w:rsidRDefault="008A7410" w:rsidP="00367A74">
            <w:pPr>
              <w:jc w:val="both"/>
              <w:rPr>
                <w:rFonts w:ascii="Arial Narrow" w:hAnsi="Arial Narrow" w:cs="Arial"/>
                <w:sz w:val="20"/>
                <w:szCs w:val="20"/>
              </w:rPr>
            </w:pPr>
            <w:r w:rsidRPr="00011ED1">
              <w:rPr>
                <w:rFonts w:ascii="Arial Narrow" w:hAnsi="Arial Narrow"/>
                <w:sz w:val="20"/>
                <w:szCs w:val="20"/>
              </w:rPr>
              <w:t>Special Pricing A</w:t>
            </w:r>
            <w:r w:rsidR="00910CC3" w:rsidRPr="00011ED1">
              <w:rPr>
                <w:rFonts w:ascii="Arial Narrow" w:hAnsi="Arial Narrow"/>
                <w:sz w:val="20"/>
                <w:szCs w:val="20"/>
              </w:rPr>
              <w:t>rrangements apply.</w:t>
            </w:r>
          </w:p>
        </w:tc>
      </w:tr>
    </w:tbl>
    <w:p w:rsidR="00140D98" w:rsidRPr="00011ED1" w:rsidRDefault="00140D98" w:rsidP="00367A74">
      <w:pPr>
        <w:spacing w:after="120"/>
        <w:jc w:val="both"/>
        <w:rPr>
          <w:rFonts w:asciiTheme="minorHAnsi" w:eastAsiaTheme="minorHAnsi" w:hAnsiTheme="minorHAnsi" w:cstheme="minorBidi"/>
          <w:b/>
          <w:i/>
          <w:lang w:eastAsia="en-US"/>
        </w:rPr>
      </w:pPr>
    </w:p>
    <w:p w:rsidR="00140D98" w:rsidRPr="00011ED1" w:rsidRDefault="00140D98" w:rsidP="00367A74">
      <w:pPr>
        <w:rPr>
          <w:rFonts w:asciiTheme="minorHAnsi" w:eastAsiaTheme="minorHAnsi" w:hAnsiTheme="minorHAnsi" w:cstheme="minorBidi"/>
          <w:b/>
          <w:i/>
          <w:lang w:eastAsia="en-US"/>
        </w:rPr>
      </w:pPr>
      <w:r w:rsidRPr="00011ED1">
        <w:rPr>
          <w:rFonts w:asciiTheme="minorHAnsi" w:eastAsiaTheme="minorHAnsi" w:hAnsiTheme="minorHAnsi" w:cstheme="minorBidi"/>
          <w:b/>
          <w:i/>
          <w:lang w:eastAsia="en-US"/>
        </w:rPr>
        <w:br w:type="page"/>
      </w:r>
    </w:p>
    <w:p w:rsidR="0096626F" w:rsidRPr="00011ED1" w:rsidRDefault="00970866" w:rsidP="00820DA7">
      <w:pPr>
        <w:pStyle w:val="Tabletitles"/>
        <w:rPr>
          <w:rFonts w:eastAsiaTheme="minorHAnsi"/>
          <w:lang w:eastAsia="en-US"/>
        </w:rPr>
      </w:pPr>
      <w:r w:rsidRPr="00011ED1">
        <w:rPr>
          <w:rFonts w:eastAsiaTheme="minorHAnsi"/>
          <w:lang w:eastAsia="en-US"/>
        </w:rPr>
        <w:lastRenderedPageBreak/>
        <w:t>First-line treatment of metastatic NSQ NSCLC</w:t>
      </w:r>
    </w:p>
    <w:tbl>
      <w:tblPr>
        <w:tblW w:w="5000" w:type="pct"/>
        <w:tblLook w:val="0000" w:firstRow="0" w:lastRow="0" w:firstColumn="0" w:lastColumn="0" w:noHBand="0" w:noVBand="0"/>
      </w:tblPr>
      <w:tblGrid>
        <w:gridCol w:w="2777"/>
        <w:gridCol w:w="280"/>
        <w:gridCol w:w="971"/>
        <w:gridCol w:w="556"/>
        <w:gridCol w:w="1666"/>
        <w:gridCol w:w="1110"/>
        <w:gridCol w:w="1666"/>
      </w:tblGrid>
      <w:tr w:rsidR="00A432F4" w:rsidRPr="00011ED1" w:rsidTr="00820DA7">
        <w:trPr>
          <w:cantSplit/>
          <w:trHeight w:val="471"/>
        </w:trPr>
        <w:tc>
          <w:tcPr>
            <w:tcW w:w="1693" w:type="pct"/>
            <w:gridSpan w:val="2"/>
            <w:tcBorders>
              <w:bottom w:val="single" w:sz="4" w:space="0" w:color="auto"/>
            </w:tcBorders>
          </w:tcPr>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Name, Restriction,</w:t>
            </w:r>
          </w:p>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Manner of administration and form</w:t>
            </w:r>
          </w:p>
        </w:tc>
        <w:tc>
          <w:tcPr>
            <w:tcW w:w="538" w:type="pct"/>
            <w:tcBorders>
              <w:bottom w:val="single" w:sz="4" w:space="0" w:color="auto"/>
            </w:tcBorders>
          </w:tcPr>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Max.</w:t>
            </w:r>
          </w:p>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amount</w:t>
            </w:r>
          </w:p>
        </w:tc>
        <w:tc>
          <w:tcPr>
            <w:tcW w:w="308" w:type="pct"/>
            <w:tcBorders>
              <w:bottom w:val="single" w:sz="4" w:space="0" w:color="auto"/>
            </w:tcBorders>
          </w:tcPr>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№.of</w:t>
            </w:r>
          </w:p>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Rpts</w:t>
            </w:r>
          </w:p>
        </w:tc>
        <w:tc>
          <w:tcPr>
            <w:tcW w:w="923" w:type="pct"/>
            <w:tcBorders>
              <w:bottom w:val="single" w:sz="4" w:space="0" w:color="auto"/>
            </w:tcBorders>
          </w:tcPr>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Dispensed Price for Max. amount</w:t>
            </w:r>
          </w:p>
        </w:tc>
        <w:tc>
          <w:tcPr>
            <w:tcW w:w="1538" w:type="pct"/>
            <w:gridSpan w:val="2"/>
            <w:tcBorders>
              <w:bottom w:val="single" w:sz="4" w:space="0" w:color="auto"/>
            </w:tcBorders>
          </w:tcPr>
          <w:p w:rsidR="00A432F4" w:rsidRPr="00FC0F08" w:rsidRDefault="00A432F4" w:rsidP="00367A74">
            <w:pPr>
              <w:keepNext/>
              <w:jc w:val="both"/>
              <w:rPr>
                <w:rFonts w:ascii="Arial Narrow" w:hAnsi="Arial Narrow" w:cs="Arial"/>
                <w:sz w:val="20"/>
                <w:szCs w:val="20"/>
              </w:rPr>
            </w:pPr>
            <w:r w:rsidRPr="00011ED1">
              <w:rPr>
                <w:rFonts w:ascii="Arial Narrow" w:hAnsi="Arial Narrow" w:cs="Arial"/>
                <w:sz w:val="20"/>
                <w:szCs w:val="20"/>
              </w:rPr>
              <w:t>Proprietary Name and Manufacturer</w:t>
            </w:r>
          </w:p>
        </w:tc>
      </w:tr>
      <w:tr w:rsidR="00A432F4" w:rsidRPr="00011ED1" w:rsidTr="00820DA7">
        <w:trPr>
          <w:cantSplit/>
          <w:trHeight w:val="577"/>
        </w:trPr>
        <w:tc>
          <w:tcPr>
            <w:tcW w:w="1693" w:type="pct"/>
            <w:gridSpan w:val="2"/>
          </w:tcPr>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mallCaps/>
                <w:sz w:val="20"/>
                <w:szCs w:val="20"/>
              </w:rPr>
              <w:t>atezolizumab</w:t>
            </w:r>
          </w:p>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 xml:space="preserve">840 mg/14 mL injection, </w:t>
            </w:r>
            <w:r w:rsidRPr="00011ED1">
              <w:rPr>
                <w:rFonts w:ascii="Arial Narrow" w:hAnsi="Arial Narrow" w:cs="Arial"/>
                <w:strike/>
                <w:sz w:val="20"/>
                <w:szCs w:val="20"/>
              </w:rPr>
              <w:t>1 x</w:t>
            </w:r>
            <w:r w:rsidRPr="00011ED1">
              <w:rPr>
                <w:rFonts w:ascii="Arial Narrow" w:hAnsi="Arial Narrow" w:cs="Arial"/>
                <w:sz w:val="20"/>
                <w:szCs w:val="20"/>
              </w:rPr>
              <w:t xml:space="preserve"> 14 mL vial</w:t>
            </w:r>
          </w:p>
        </w:tc>
        <w:tc>
          <w:tcPr>
            <w:tcW w:w="538" w:type="pct"/>
          </w:tcPr>
          <w:p w:rsidR="00A432F4" w:rsidRPr="00011ED1" w:rsidRDefault="00A432F4" w:rsidP="00367A74">
            <w:pPr>
              <w:keepNext/>
              <w:ind w:left="-108"/>
              <w:jc w:val="both"/>
              <w:rPr>
                <w:rFonts w:ascii="Arial Narrow" w:hAnsi="Arial Narrow" w:cs="Arial"/>
                <w:sz w:val="20"/>
                <w:szCs w:val="20"/>
              </w:rPr>
            </w:pPr>
          </w:p>
          <w:p w:rsidR="00A432F4" w:rsidRPr="00011ED1" w:rsidRDefault="00F1101D" w:rsidP="00367A74">
            <w:pPr>
              <w:keepNext/>
              <w:ind w:left="-108"/>
              <w:jc w:val="both"/>
              <w:rPr>
                <w:rFonts w:ascii="Arial Narrow" w:hAnsi="Arial Narrow" w:cs="Arial"/>
                <w:sz w:val="20"/>
                <w:szCs w:val="20"/>
              </w:rPr>
            </w:pPr>
            <w:r w:rsidRPr="00011ED1">
              <w:rPr>
                <w:rFonts w:ascii="Arial Narrow" w:hAnsi="Arial Narrow" w:cs="Arial"/>
                <w:sz w:val="20"/>
                <w:szCs w:val="20"/>
              </w:rPr>
              <w:t>1</w:t>
            </w:r>
            <w:r w:rsidR="00A432F4" w:rsidRPr="00011ED1">
              <w:rPr>
                <w:rFonts w:ascii="Arial Narrow" w:hAnsi="Arial Narrow" w:cs="Arial"/>
                <w:sz w:val="20"/>
                <w:szCs w:val="20"/>
              </w:rPr>
              <w:t>680 mg</w:t>
            </w:r>
          </w:p>
        </w:tc>
        <w:tc>
          <w:tcPr>
            <w:tcW w:w="308" w:type="pct"/>
          </w:tcPr>
          <w:p w:rsidR="00A432F4" w:rsidRPr="00011ED1" w:rsidRDefault="00A432F4" w:rsidP="00367A74">
            <w:pPr>
              <w:keepNext/>
              <w:ind w:left="-108"/>
              <w:jc w:val="both"/>
              <w:rPr>
                <w:rFonts w:ascii="Arial Narrow" w:hAnsi="Arial Narrow" w:cs="Arial"/>
                <w:sz w:val="20"/>
                <w:szCs w:val="20"/>
              </w:rPr>
            </w:pPr>
          </w:p>
          <w:p w:rsidR="00A432F4" w:rsidRPr="00011ED1" w:rsidRDefault="00A432F4" w:rsidP="00367A74">
            <w:pPr>
              <w:keepNext/>
              <w:ind w:left="-108"/>
              <w:jc w:val="both"/>
              <w:rPr>
                <w:rFonts w:ascii="Arial Narrow" w:hAnsi="Arial Narrow" w:cs="Arial"/>
                <w:sz w:val="20"/>
                <w:szCs w:val="20"/>
              </w:rPr>
            </w:pPr>
            <w:r w:rsidRPr="00011ED1">
              <w:rPr>
                <w:rFonts w:ascii="Arial Narrow" w:hAnsi="Arial Narrow" w:cs="Arial"/>
                <w:sz w:val="20"/>
                <w:szCs w:val="20"/>
              </w:rPr>
              <w:t>5</w:t>
            </w:r>
          </w:p>
        </w:tc>
        <w:tc>
          <w:tcPr>
            <w:tcW w:w="923" w:type="pct"/>
          </w:tcPr>
          <w:p w:rsidR="000C5E19"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sz w:val="20"/>
                <w:szCs w:val="20"/>
              </w:rPr>
              <w:t>$</w:t>
            </w:r>
            <w:r w:rsidRPr="00011ED1">
              <w:rPr>
                <w:rFonts w:ascii="Arial Narrow" w:hAnsi="Arial Narrow" w:cs="Arial"/>
                <w:i/>
                <w:iCs/>
                <w:sz w:val="20"/>
                <w:szCs w:val="20"/>
              </w:rPr>
              <w:t>10,551.88 (public)</w:t>
            </w:r>
          </w:p>
          <w:p w:rsidR="000C5E19"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i/>
                <w:iCs/>
                <w:sz w:val="20"/>
                <w:szCs w:val="20"/>
              </w:rPr>
              <w:t>$10,738.18 (private)</w:t>
            </w:r>
          </w:p>
          <w:p w:rsidR="002D4053" w:rsidRPr="00011ED1" w:rsidRDefault="000C5E19" w:rsidP="00367A74">
            <w:pPr>
              <w:keepNext/>
              <w:ind w:left="-108"/>
              <w:jc w:val="both"/>
              <w:rPr>
                <w:rFonts w:ascii="Arial Narrow" w:hAnsi="Arial Narrow" w:cs="Arial"/>
                <w:i/>
                <w:iCs/>
                <w:sz w:val="20"/>
                <w:szCs w:val="20"/>
              </w:rPr>
            </w:pPr>
            <w:r w:rsidRPr="00011ED1">
              <w:rPr>
                <w:rFonts w:ascii="Arial Narrow" w:hAnsi="Arial Narrow" w:cs="Arial"/>
                <w:i/>
                <w:iCs/>
                <w:sz w:val="20"/>
                <w:szCs w:val="20"/>
              </w:rPr>
              <w:t>(Published)</w:t>
            </w:r>
          </w:p>
        </w:tc>
        <w:tc>
          <w:tcPr>
            <w:tcW w:w="615" w:type="pct"/>
          </w:tcPr>
          <w:p w:rsidR="00A432F4" w:rsidRPr="00011ED1" w:rsidRDefault="00A432F4" w:rsidP="00367A74">
            <w:pPr>
              <w:keepNext/>
              <w:jc w:val="both"/>
              <w:rPr>
                <w:rFonts w:ascii="Arial Narrow" w:hAnsi="Arial Narrow" w:cs="Arial"/>
                <w:sz w:val="20"/>
                <w:szCs w:val="20"/>
              </w:rPr>
            </w:pPr>
            <w:r w:rsidRPr="00011ED1">
              <w:rPr>
                <w:rFonts w:ascii="Arial Narrow" w:hAnsi="Arial Narrow" w:cs="Arial"/>
                <w:sz w:val="20"/>
                <w:szCs w:val="20"/>
              </w:rPr>
              <w:t>Tecentriq®</w:t>
            </w:r>
          </w:p>
        </w:tc>
        <w:tc>
          <w:tcPr>
            <w:tcW w:w="923" w:type="pct"/>
          </w:tcPr>
          <w:p w:rsidR="00A432F4" w:rsidRPr="00011ED1" w:rsidRDefault="00A432F4" w:rsidP="00367A74">
            <w:pPr>
              <w:keepNext/>
              <w:jc w:val="both"/>
              <w:rPr>
                <w:rFonts w:ascii="Arial Narrow" w:hAnsi="Arial Narrow" w:cs="Arial"/>
                <w:sz w:val="20"/>
                <w:szCs w:val="20"/>
              </w:rPr>
            </w:pPr>
            <w:r w:rsidRPr="00011ED1">
              <w:rPr>
                <w:rFonts w:ascii="Arial Narrow" w:hAnsi="Arial Narrow" w:cs="Arial"/>
                <w:sz w:val="20"/>
                <w:szCs w:val="20"/>
              </w:rPr>
              <w:t>Roche Products Pty Ltd</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011ED1">
              <w:rPr>
                <w:rFonts w:ascii="Arial Narrow" w:hAnsi="Arial Narrow" w:cs="Arial"/>
                <w:sz w:val="20"/>
                <w:szCs w:val="20"/>
              </w:rPr>
              <w:t>Section 100 – Efficient Funding of Chemotherapy</w:t>
            </w:r>
          </w:p>
          <w:p w:rsidR="00240F66" w:rsidRPr="00011ED1" w:rsidRDefault="00240F66" w:rsidP="00367A74">
            <w:pPr>
              <w:pStyle w:val="TableHeadingRow"/>
              <w:keepNext w:val="0"/>
              <w:rPr>
                <w:rFonts w:ascii="Arial Narrow" w:hAnsi="Arial Narrow"/>
                <w:b w:val="0"/>
                <w:strike/>
              </w:rPr>
            </w:pPr>
            <w:r w:rsidRPr="00011ED1">
              <w:rPr>
                <w:rFonts w:ascii="Arial Narrow" w:hAnsi="Arial Narrow"/>
                <w:b w:val="0"/>
                <w:strike/>
              </w:rPr>
              <w:t>Private Hospital/Private Clinic Authority Required (STREAMLINED)</w:t>
            </w:r>
          </w:p>
          <w:p w:rsidR="00240F66" w:rsidRPr="00011ED1" w:rsidRDefault="00240F66" w:rsidP="00367A74">
            <w:pPr>
              <w:jc w:val="both"/>
              <w:rPr>
                <w:rFonts w:ascii="Arial Narrow" w:hAnsi="Arial Narrow" w:cs="Arial"/>
                <w:sz w:val="20"/>
                <w:szCs w:val="20"/>
              </w:rPr>
            </w:pPr>
            <w:r w:rsidRPr="00011ED1">
              <w:rPr>
                <w:rFonts w:ascii="Arial Narrow" w:hAnsi="Arial Narrow"/>
                <w:strike/>
                <w:sz w:val="20"/>
                <w:szCs w:val="20"/>
              </w:rPr>
              <w:t>Public Hospital Authority Required (STREAMLINED)</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Prescriber type:</w:t>
            </w:r>
          </w:p>
          <w:p w:rsidR="00240F66" w:rsidRPr="00011ED1" w:rsidRDefault="00240F66" w:rsidP="00367A74">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Dental  </w:t>
            </w:r>
            <w:r w:rsidRPr="00FC0F08">
              <w:rPr>
                <w:rFonts w:ascii="Arial Narrow" w:hAnsi="Arial Narrow" w:cs="Arial"/>
                <w:sz w:val="20"/>
                <w:szCs w:val="20"/>
              </w:rPr>
              <w:fldChar w:fldCharType="begin">
                <w:ffData>
                  <w:name w:val=""/>
                  <w:enabled/>
                  <w:calcOnExit w:val="0"/>
                  <w:checkBox>
                    <w:sizeAuto/>
                    <w:default w:val="1"/>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Medical Practitioners  </w:t>
            </w: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 xml:space="preserve">Nurse practitioners  </w:t>
            </w: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Optometrists</w:t>
            </w:r>
          </w:p>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Midwives</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011ED1">
              <w:rPr>
                <w:rFonts w:ascii="Arial Narrow" w:hAnsi="Arial Narrow"/>
                <w:sz w:val="20"/>
                <w:szCs w:val="20"/>
              </w:rPr>
              <w:t>Stage IV (metastatic)</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643975" w:rsidP="00367A74">
            <w:pPr>
              <w:jc w:val="both"/>
              <w:rPr>
                <w:rFonts w:ascii="Arial Narrow" w:hAnsi="Arial Narrow" w:cs="Arial"/>
                <w:sz w:val="20"/>
                <w:szCs w:val="20"/>
              </w:rPr>
            </w:pPr>
            <w:r w:rsidRPr="00011ED1">
              <w:rPr>
                <w:rFonts w:ascii="Arial Narrow" w:hAnsi="Arial Narrow" w:cs="Arial"/>
                <w:i/>
                <w:iCs/>
                <w:sz w:val="20"/>
                <w:szCs w:val="20"/>
              </w:rPr>
              <w:t>n</w:t>
            </w:r>
            <w:r w:rsidR="00240F66" w:rsidRPr="00011ED1">
              <w:rPr>
                <w:rFonts w:ascii="Arial Narrow" w:hAnsi="Arial Narrow" w:cs="Arial"/>
                <w:strike/>
                <w:sz w:val="20"/>
                <w:szCs w:val="20"/>
              </w:rPr>
              <w:t>N</w:t>
            </w:r>
            <w:r w:rsidR="00240F66" w:rsidRPr="00011ED1">
              <w:rPr>
                <w:rFonts w:ascii="Arial Narrow" w:hAnsi="Arial Narrow" w:cs="Arial"/>
                <w:sz w:val="20"/>
                <w:szCs w:val="20"/>
              </w:rPr>
              <w:t xml:space="preserve">on-small cell lung cancer </w:t>
            </w:r>
            <w:r w:rsidR="00240F66" w:rsidRPr="00011ED1">
              <w:rPr>
                <w:rFonts w:ascii="Arial Narrow" w:hAnsi="Arial Narrow" w:cs="Arial"/>
                <w:strike/>
                <w:sz w:val="20"/>
                <w:szCs w:val="20"/>
              </w:rPr>
              <w:t>(NSCLC)</w:t>
            </w:r>
          </w:p>
        </w:tc>
      </w:tr>
      <w:tr w:rsidR="00240F66" w:rsidRPr="00011ED1" w:rsidTr="00820DA7">
        <w:trPr>
          <w:cantSplit/>
          <w:trHeight w:val="369"/>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PBS Indication:</w:t>
            </w:r>
          </w:p>
          <w:p w:rsidR="00240F66" w:rsidRPr="00011ED1" w:rsidRDefault="00240F6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011ED1">
              <w:rPr>
                <w:rFonts w:ascii="Arial Narrow" w:hAnsi="Arial Narrow"/>
                <w:sz w:val="20"/>
                <w:szCs w:val="20"/>
              </w:rPr>
              <w:t xml:space="preserve">Stage IV (metastatic) </w:t>
            </w:r>
            <w:r w:rsidRPr="00011ED1">
              <w:rPr>
                <w:rFonts w:ascii="Arial Narrow" w:hAnsi="Arial Narrow"/>
                <w:strike/>
                <w:sz w:val="20"/>
                <w:szCs w:val="20"/>
              </w:rPr>
              <w:t>NSCLC</w:t>
            </w:r>
            <w:r w:rsidR="006E05BB" w:rsidRPr="00011ED1">
              <w:rPr>
                <w:rFonts w:ascii="Arial Narrow" w:hAnsi="Arial Narrow"/>
                <w:i/>
                <w:iCs/>
                <w:sz w:val="20"/>
                <w:szCs w:val="20"/>
              </w:rPr>
              <w:t>non-small cell lung cancer</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011ED1">
              <w:rPr>
                <w:rFonts w:ascii="Arial Narrow" w:hAnsi="Arial Narrow" w:cs="Arial"/>
                <w:sz w:val="20"/>
                <w:szCs w:val="20"/>
              </w:rPr>
              <w:t>Continuing treatment</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Restriction Level / Method:</w:t>
            </w:r>
          </w:p>
          <w:p w:rsidR="00240F66" w:rsidRPr="00011ED1" w:rsidRDefault="00240F66" w:rsidP="00367A74">
            <w:pPr>
              <w:jc w:val="both"/>
              <w:rPr>
                <w:rFonts w:ascii="Arial Narrow" w:hAnsi="Arial Narrow" w:cs="Arial"/>
                <w:i/>
                <w:sz w:val="20"/>
                <w:szCs w:val="20"/>
              </w:rPr>
            </w:pPr>
          </w:p>
          <w:p w:rsidR="00240F66" w:rsidRPr="00011ED1" w:rsidRDefault="00240F66" w:rsidP="00367A74">
            <w:pPr>
              <w:jc w:val="both"/>
              <w:rPr>
                <w:rFonts w:ascii="Arial Narrow" w:hAnsi="Arial Narrow" w:cs="Arial"/>
                <w:i/>
                <w:sz w:val="20"/>
                <w:szCs w:val="20"/>
              </w:rPr>
            </w:pPr>
          </w:p>
          <w:p w:rsidR="00240F66" w:rsidRPr="00011ED1" w:rsidRDefault="00240F6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1"/>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Restricted benefit</w:t>
            </w:r>
          </w:p>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In Writing</w:t>
            </w:r>
          </w:p>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3"/>
                  <w:enabled/>
                  <w:calcOnExit w:val="0"/>
                  <w:checkBox>
                    <w:sizeAuto/>
                    <w:default w:val="0"/>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Authority Required – Telephone/Electronic/Emergency</w:t>
            </w:r>
          </w:p>
          <w:p w:rsidR="00240F66" w:rsidRPr="00011ED1" w:rsidRDefault="00240F66" w:rsidP="00367A74">
            <w:pPr>
              <w:jc w:val="both"/>
              <w:rPr>
                <w:rFonts w:ascii="Arial Narrow" w:hAnsi="Arial Narrow" w:cs="Arial"/>
                <w:sz w:val="20"/>
                <w:szCs w:val="20"/>
              </w:rPr>
            </w:pPr>
            <w:r w:rsidRPr="00FC0F08">
              <w:rPr>
                <w:rFonts w:ascii="Arial Narrow" w:hAnsi="Arial Narrow" w:cs="Arial"/>
                <w:sz w:val="20"/>
                <w:szCs w:val="20"/>
              </w:rPr>
              <w:fldChar w:fldCharType="begin">
                <w:ffData>
                  <w:name w:val="Check5"/>
                  <w:enabled/>
                  <w:calcOnExit w:val="0"/>
                  <w:checkBox>
                    <w:sizeAuto/>
                    <w:default w:val="1"/>
                  </w:checkBox>
                </w:ffData>
              </w:fldChar>
            </w:r>
            <w:r w:rsidRPr="00011ED1">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FC0F08">
              <w:rPr>
                <w:rFonts w:ascii="Arial Narrow" w:hAnsi="Arial Narrow" w:cs="Arial"/>
                <w:sz w:val="20"/>
                <w:szCs w:val="20"/>
              </w:rPr>
              <w:fldChar w:fldCharType="end"/>
            </w:r>
            <w:r w:rsidRPr="00011ED1">
              <w:rPr>
                <w:rFonts w:ascii="Arial Narrow" w:hAnsi="Arial Narrow" w:cs="Arial"/>
                <w:sz w:val="20"/>
                <w:szCs w:val="20"/>
              </w:rPr>
              <w:t>Streamlined</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Treatment criteria:</w:t>
            </w:r>
          </w:p>
          <w:p w:rsidR="00240F66" w:rsidRPr="00011ED1" w:rsidRDefault="00240F66"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strike/>
                <w:sz w:val="20"/>
                <w:szCs w:val="20"/>
              </w:rPr>
            </w:pPr>
            <w:r w:rsidRPr="00011ED1">
              <w:rPr>
                <w:rFonts w:ascii="Arial Narrow" w:hAnsi="Arial Narrow"/>
                <w:strike/>
                <w:sz w:val="20"/>
                <w:szCs w:val="20"/>
              </w:rPr>
              <w:t>Atezolizumab must be administered as monotherapy after cessation of bevacizumab and platinum-doublet chemotherapy</w:t>
            </w:r>
            <w:r w:rsidR="006E2042" w:rsidRPr="00011ED1">
              <w:rPr>
                <w:rFonts w:ascii="Arial Narrow" w:hAnsi="Arial Narrow"/>
                <w:strike/>
                <w:sz w:val="20"/>
                <w:szCs w:val="20"/>
              </w:rPr>
              <w:t>.</w:t>
            </w:r>
          </w:p>
        </w:tc>
      </w:tr>
      <w:tr w:rsidR="00240F66" w:rsidRPr="00011ED1" w:rsidTr="00820DA7">
        <w:trPr>
          <w:cantSplit/>
          <w:trHeight w:val="657"/>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Clinical criteria:</w:t>
            </w:r>
          </w:p>
          <w:p w:rsidR="00240F66" w:rsidRPr="00011ED1" w:rsidRDefault="00240F66"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446B9A" w:rsidRPr="00011ED1" w:rsidRDefault="00A1737B" w:rsidP="00367A74">
            <w:pPr>
              <w:pStyle w:val="TableText1"/>
              <w:rPr>
                <w:rFonts w:ascii="Arial Narrow" w:hAnsi="Arial Narrow"/>
                <w:i/>
              </w:rPr>
            </w:pPr>
            <w:r w:rsidRPr="00011ED1">
              <w:rPr>
                <w:rFonts w:ascii="Arial Narrow" w:hAnsi="Arial Narrow"/>
                <w:i/>
              </w:rPr>
              <w:t>Patient must have experienced intolerance to combination treatment with bevacizumab</w:t>
            </w:r>
            <w:r w:rsidR="000B52CC" w:rsidRPr="00011ED1">
              <w:rPr>
                <w:rFonts w:ascii="Arial Narrow" w:hAnsi="Arial Narrow"/>
                <w:i/>
              </w:rPr>
              <w:t>,</w:t>
            </w:r>
          </w:p>
          <w:p w:rsidR="00446B9A" w:rsidRPr="00011ED1" w:rsidRDefault="00446B9A" w:rsidP="00367A74">
            <w:pPr>
              <w:pStyle w:val="TableText1"/>
              <w:rPr>
                <w:rFonts w:ascii="Arial Narrow" w:hAnsi="Arial Narrow"/>
                <w:i/>
              </w:rPr>
            </w:pPr>
            <w:r w:rsidRPr="00011ED1">
              <w:rPr>
                <w:rFonts w:ascii="Arial Narrow" w:hAnsi="Arial Narrow"/>
                <w:i/>
              </w:rPr>
              <w:t xml:space="preserve">AND </w:t>
            </w:r>
          </w:p>
          <w:p w:rsidR="00240F66" w:rsidRPr="00011ED1" w:rsidRDefault="00240F66" w:rsidP="00367A74">
            <w:pPr>
              <w:pStyle w:val="TableText1"/>
              <w:rPr>
                <w:rFonts w:ascii="Arial Narrow" w:hAnsi="Arial Narrow"/>
              </w:rPr>
            </w:pPr>
            <w:r w:rsidRPr="00011ED1">
              <w:rPr>
                <w:rFonts w:ascii="Arial Narrow" w:hAnsi="Arial Narrow"/>
              </w:rPr>
              <w:t>Patient must have previously received PBS-subsidised treatment with this drug in this line of treatment,</w:t>
            </w:r>
          </w:p>
          <w:p w:rsidR="00240F66" w:rsidRPr="00011ED1" w:rsidRDefault="00240F66" w:rsidP="00367A74">
            <w:pPr>
              <w:pStyle w:val="TableText1"/>
              <w:rPr>
                <w:rFonts w:ascii="Arial Narrow" w:hAnsi="Arial Narrow"/>
              </w:rPr>
            </w:pPr>
            <w:r w:rsidRPr="00011ED1">
              <w:rPr>
                <w:rFonts w:ascii="Arial Narrow" w:hAnsi="Arial Narrow"/>
              </w:rPr>
              <w:t>AND</w:t>
            </w:r>
          </w:p>
          <w:p w:rsidR="00240F66" w:rsidRPr="00011ED1" w:rsidRDefault="00240F66" w:rsidP="00367A74">
            <w:pPr>
              <w:jc w:val="both"/>
              <w:rPr>
                <w:rFonts w:ascii="Arial Narrow" w:hAnsi="Arial Narrow"/>
                <w:sz w:val="20"/>
                <w:szCs w:val="20"/>
              </w:rPr>
            </w:pPr>
            <w:r w:rsidRPr="00011ED1">
              <w:rPr>
                <w:rFonts w:ascii="Arial Narrow" w:hAnsi="Arial Narrow"/>
                <w:sz w:val="20"/>
                <w:szCs w:val="20"/>
              </w:rPr>
              <w:t>Patient must ha</w:t>
            </w:r>
            <w:r w:rsidR="000B52CC" w:rsidRPr="00011ED1">
              <w:rPr>
                <w:rFonts w:ascii="Arial Narrow" w:hAnsi="Arial Narrow"/>
                <w:sz w:val="20"/>
                <w:szCs w:val="20"/>
              </w:rPr>
              <w:t>ve stable or responding disease,</w:t>
            </w:r>
          </w:p>
          <w:p w:rsidR="006E2042" w:rsidRPr="00011ED1" w:rsidRDefault="006E2042" w:rsidP="00367A74">
            <w:pPr>
              <w:jc w:val="both"/>
              <w:rPr>
                <w:rFonts w:ascii="Arial Narrow" w:hAnsi="Arial Narrow"/>
                <w:sz w:val="20"/>
                <w:szCs w:val="20"/>
              </w:rPr>
            </w:pPr>
            <w:r w:rsidRPr="00011ED1">
              <w:rPr>
                <w:rFonts w:ascii="Arial Narrow" w:hAnsi="Arial Narrow"/>
                <w:sz w:val="20"/>
                <w:szCs w:val="20"/>
              </w:rPr>
              <w:t>AND</w:t>
            </w:r>
          </w:p>
          <w:p w:rsidR="006E2042" w:rsidRPr="00011ED1" w:rsidRDefault="006E2042" w:rsidP="00367A74">
            <w:pPr>
              <w:jc w:val="both"/>
              <w:rPr>
                <w:rFonts w:ascii="Arial Narrow" w:hAnsi="Arial Narrow" w:cs="Arial"/>
                <w:i/>
                <w:iCs/>
                <w:sz w:val="20"/>
                <w:szCs w:val="20"/>
              </w:rPr>
            </w:pPr>
            <w:r w:rsidRPr="00011ED1">
              <w:rPr>
                <w:rFonts w:ascii="Arial Narrow" w:hAnsi="Arial Narrow" w:cs="Arial"/>
                <w:i/>
                <w:iCs/>
                <w:sz w:val="20"/>
                <w:szCs w:val="20"/>
              </w:rPr>
              <w:t xml:space="preserve">The treatment must be </w:t>
            </w:r>
            <w:r w:rsidR="00065F5A" w:rsidRPr="00011ED1">
              <w:rPr>
                <w:rFonts w:ascii="Arial Narrow" w:hAnsi="Arial Narrow" w:cs="Arial"/>
                <w:i/>
                <w:iCs/>
                <w:sz w:val="20"/>
                <w:szCs w:val="20"/>
              </w:rPr>
              <w:t xml:space="preserve">the sole PBS subsidised </w:t>
            </w:r>
            <w:r w:rsidR="00937950" w:rsidRPr="00011ED1">
              <w:rPr>
                <w:rFonts w:ascii="Arial Narrow" w:hAnsi="Arial Narrow" w:cs="Arial"/>
                <w:i/>
                <w:iCs/>
                <w:sz w:val="20"/>
                <w:szCs w:val="20"/>
              </w:rPr>
              <w:t>treatment for</w:t>
            </w:r>
            <w:r w:rsidRPr="00011ED1">
              <w:rPr>
                <w:rFonts w:ascii="Arial Narrow" w:hAnsi="Arial Narrow" w:cs="Arial"/>
                <w:i/>
                <w:iCs/>
                <w:sz w:val="20"/>
                <w:szCs w:val="20"/>
              </w:rPr>
              <w:t xml:space="preserve"> this condition under this restriction. </w:t>
            </w:r>
          </w:p>
        </w:tc>
      </w:tr>
      <w:tr w:rsidR="00240F66" w:rsidRPr="00011ED1" w:rsidTr="00820DA7">
        <w:trPr>
          <w:cantSplit/>
          <w:trHeight w:val="360"/>
        </w:trPr>
        <w:tc>
          <w:tcPr>
            <w:tcW w:w="1538" w:type="pct"/>
            <w:tcBorders>
              <w:top w:val="single" w:sz="4" w:space="0" w:color="auto"/>
              <w:left w:val="single" w:sz="4" w:space="0" w:color="auto"/>
              <w:bottom w:val="single" w:sz="4" w:space="0" w:color="auto"/>
              <w:right w:val="single" w:sz="4" w:space="0" w:color="auto"/>
            </w:tcBorders>
          </w:tcPr>
          <w:p w:rsidR="00240F66" w:rsidRPr="00011ED1" w:rsidRDefault="00240F66" w:rsidP="00367A74">
            <w:pPr>
              <w:jc w:val="both"/>
              <w:rPr>
                <w:rFonts w:ascii="Arial Narrow" w:hAnsi="Arial Narrow" w:cs="Arial"/>
                <w:b/>
                <w:sz w:val="20"/>
                <w:szCs w:val="20"/>
              </w:rPr>
            </w:pPr>
            <w:r w:rsidRPr="00011ED1">
              <w:rPr>
                <w:rFonts w:ascii="Arial Narrow" w:hAnsi="Arial Narrow" w:cs="Arial"/>
                <w:b/>
                <w:sz w:val="20"/>
                <w:szCs w:val="20"/>
              </w:rPr>
              <w:t>Administrative Advice:</w:t>
            </w:r>
          </w:p>
          <w:p w:rsidR="00240F66" w:rsidRPr="00011ED1" w:rsidRDefault="00240F6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240F66" w:rsidRPr="00011ED1" w:rsidRDefault="00240F66" w:rsidP="00367A74">
            <w:pPr>
              <w:pStyle w:val="TableText1"/>
              <w:rPr>
                <w:rFonts w:ascii="Arial Narrow" w:hAnsi="Arial Narrow"/>
              </w:rPr>
            </w:pPr>
            <w:r w:rsidRPr="00011ED1">
              <w:rPr>
                <w:rFonts w:ascii="Arial Narrow" w:hAnsi="Arial Narrow"/>
              </w:rPr>
              <w:t>No increase in the maximum number of repeats may be authorised.</w:t>
            </w:r>
          </w:p>
          <w:p w:rsidR="006F143D" w:rsidRPr="00011ED1" w:rsidRDefault="006F143D" w:rsidP="00367A74">
            <w:pPr>
              <w:pStyle w:val="TableText1"/>
              <w:rPr>
                <w:rFonts w:ascii="Arial Narrow" w:hAnsi="Arial Narrow"/>
              </w:rPr>
            </w:pPr>
          </w:p>
          <w:p w:rsidR="00240F66" w:rsidRPr="00011ED1" w:rsidRDefault="00E303AA" w:rsidP="00367A74">
            <w:pPr>
              <w:jc w:val="both"/>
              <w:rPr>
                <w:rFonts w:ascii="Arial Narrow" w:hAnsi="Arial Narrow" w:cs="Arial"/>
                <w:sz w:val="20"/>
                <w:szCs w:val="20"/>
              </w:rPr>
            </w:pPr>
            <w:r w:rsidRPr="00011ED1">
              <w:rPr>
                <w:rFonts w:ascii="Arial Narrow" w:hAnsi="Arial Narrow"/>
                <w:sz w:val="20"/>
                <w:szCs w:val="20"/>
              </w:rPr>
              <w:t>Special Pricing A</w:t>
            </w:r>
            <w:r w:rsidR="00240F66" w:rsidRPr="00011ED1">
              <w:rPr>
                <w:rFonts w:ascii="Arial Narrow" w:hAnsi="Arial Narrow"/>
                <w:sz w:val="20"/>
                <w:szCs w:val="20"/>
              </w:rPr>
              <w:t>rrangements apply.</w:t>
            </w:r>
          </w:p>
        </w:tc>
      </w:tr>
    </w:tbl>
    <w:p w:rsidR="005D119E" w:rsidRPr="00011ED1" w:rsidRDefault="005D119E" w:rsidP="00E13C72">
      <w:pPr>
        <w:pStyle w:val="3Bodytext"/>
        <w:numPr>
          <w:ilvl w:val="0"/>
          <w:numId w:val="0"/>
        </w:numPr>
        <w:spacing w:before="120"/>
        <w:ind w:left="720"/>
        <w:jc w:val="both"/>
        <w:rPr>
          <w:rFonts w:cstheme="minorHAnsi"/>
          <w:i/>
          <w:iCs/>
          <w:szCs w:val="24"/>
        </w:rPr>
      </w:pPr>
      <w:r w:rsidRPr="00011ED1">
        <w:rPr>
          <w:rFonts w:cstheme="minorHAnsi"/>
          <w:i/>
          <w:iCs/>
          <w:szCs w:val="24"/>
        </w:rPr>
        <w:t>For more deta</w:t>
      </w:r>
      <w:r w:rsidR="00ED1254" w:rsidRPr="00011ED1">
        <w:rPr>
          <w:rFonts w:cstheme="minorHAnsi"/>
          <w:i/>
          <w:iCs/>
          <w:szCs w:val="24"/>
        </w:rPr>
        <w:t>il on PBAC’s view, see section 6</w:t>
      </w:r>
      <w:r w:rsidRPr="00011ED1">
        <w:rPr>
          <w:rFonts w:cstheme="minorHAnsi"/>
          <w:i/>
          <w:iCs/>
          <w:szCs w:val="24"/>
        </w:rPr>
        <w:t xml:space="preserve"> PBAC outcome.</w:t>
      </w:r>
    </w:p>
    <w:p w:rsidR="00C603D4" w:rsidRPr="00011ED1" w:rsidRDefault="00CE10C4" w:rsidP="00367A74">
      <w:pPr>
        <w:pStyle w:val="2Sections"/>
        <w:spacing w:before="0"/>
      </w:pPr>
      <w:r w:rsidRPr="00011ED1">
        <w:t>Background</w:t>
      </w:r>
      <w:r w:rsidR="00771D07" w:rsidRPr="00011ED1">
        <w:t xml:space="preserve"> </w:t>
      </w:r>
    </w:p>
    <w:p w:rsidR="009855A8" w:rsidRPr="00011ED1" w:rsidRDefault="009855A8" w:rsidP="00367A74">
      <w:pPr>
        <w:pStyle w:val="Heading2"/>
        <w:spacing w:after="120"/>
        <w:rPr>
          <w:rFonts w:asciiTheme="minorHAnsi" w:hAnsiTheme="minorHAnsi" w:cstheme="minorHAnsi"/>
          <w:sz w:val="28"/>
          <w:szCs w:val="28"/>
        </w:rPr>
      </w:pPr>
      <w:r w:rsidRPr="00011ED1">
        <w:rPr>
          <w:rFonts w:asciiTheme="minorHAnsi" w:hAnsiTheme="minorHAnsi" w:cstheme="minorHAnsi"/>
          <w:sz w:val="28"/>
          <w:szCs w:val="28"/>
        </w:rPr>
        <w:t>Registration status</w:t>
      </w:r>
    </w:p>
    <w:p w:rsidR="007A0699" w:rsidRPr="00011ED1" w:rsidRDefault="007A0699" w:rsidP="00367A74">
      <w:pPr>
        <w:pStyle w:val="Bodytextitalics"/>
        <w:jc w:val="both"/>
        <w:rPr>
          <w:i w:val="0"/>
          <w:iCs/>
        </w:rPr>
      </w:pPr>
      <w:r w:rsidRPr="00011ED1">
        <w:rPr>
          <w:i w:val="0"/>
          <w:iCs/>
        </w:rPr>
        <w:t xml:space="preserve">Atezolizumab </w:t>
      </w:r>
      <w:r w:rsidR="00FB7AF6" w:rsidRPr="00011ED1">
        <w:rPr>
          <w:i w:val="0"/>
          <w:iCs/>
        </w:rPr>
        <w:t>840 mg in 14 mL injection is</w:t>
      </w:r>
      <w:r w:rsidRPr="00011ED1">
        <w:rPr>
          <w:i w:val="0"/>
          <w:iCs/>
        </w:rPr>
        <w:t xml:space="preserve"> currently TGA registered for the following indications: </w:t>
      </w:r>
    </w:p>
    <w:p w:rsidR="00A96E76" w:rsidRPr="00011ED1" w:rsidRDefault="000C5F79" w:rsidP="00367A74">
      <w:pPr>
        <w:pStyle w:val="Bodytextitalics"/>
        <w:numPr>
          <w:ilvl w:val="0"/>
          <w:numId w:val="9"/>
        </w:numPr>
        <w:jc w:val="both"/>
        <w:rPr>
          <w:rFonts w:cstheme="minorHAnsi"/>
          <w:i w:val="0"/>
          <w:iCs/>
          <w:szCs w:val="24"/>
        </w:rPr>
      </w:pPr>
      <w:r w:rsidRPr="00011ED1">
        <w:rPr>
          <w:rFonts w:cstheme="minorHAnsi"/>
          <w:i w:val="0"/>
          <w:iCs/>
          <w:szCs w:val="24"/>
        </w:rPr>
        <w:t>First-</w:t>
      </w:r>
      <w:r w:rsidR="007A0699" w:rsidRPr="00011ED1">
        <w:rPr>
          <w:rFonts w:cstheme="minorHAnsi"/>
          <w:i w:val="0"/>
          <w:iCs/>
          <w:szCs w:val="24"/>
        </w:rPr>
        <w:t>line treatment of patients with metastatic NSQ NSCLC</w:t>
      </w:r>
      <w:r w:rsidR="009E09E5" w:rsidRPr="00011ED1">
        <w:rPr>
          <w:rFonts w:cstheme="minorHAnsi"/>
          <w:i w:val="0"/>
          <w:iCs/>
          <w:szCs w:val="24"/>
        </w:rPr>
        <w:t xml:space="preserve"> in combination with</w:t>
      </w:r>
      <w:r w:rsidR="00A96E76" w:rsidRPr="00011ED1">
        <w:rPr>
          <w:rFonts w:cstheme="minorHAnsi"/>
          <w:i w:val="0"/>
          <w:iCs/>
          <w:szCs w:val="24"/>
        </w:rPr>
        <w:t xml:space="preserve"> </w:t>
      </w:r>
      <w:r w:rsidR="00B75FE3" w:rsidRPr="00011ED1">
        <w:rPr>
          <w:rFonts w:cstheme="minorHAnsi"/>
          <w:i w:val="0"/>
          <w:iCs/>
          <w:szCs w:val="24"/>
        </w:rPr>
        <w:t>bevacizumab, paclitaxel and carboplatin</w:t>
      </w:r>
      <w:r w:rsidR="009E09E5" w:rsidRPr="00011ED1">
        <w:rPr>
          <w:rFonts w:cstheme="minorHAnsi"/>
          <w:i w:val="0"/>
          <w:iCs/>
          <w:szCs w:val="24"/>
        </w:rPr>
        <w:t>.</w:t>
      </w:r>
      <w:r w:rsidR="00AB1F4A" w:rsidRPr="00011ED1">
        <w:rPr>
          <w:rFonts w:cstheme="minorHAnsi"/>
          <w:i w:val="0"/>
          <w:iCs/>
          <w:szCs w:val="24"/>
        </w:rPr>
        <w:t xml:space="preserve"> </w:t>
      </w:r>
      <w:r w:rsidR="009E09E5" w:rsidRPr="00011ED1">
        <w:rPr>
          <w:rFonts w:cstheme="minorHAnsi"/>
          <w:i w:val="0"/>
          <w:iCs/>
          <w:szCs w:val="24"/>
        </w:rPr>
        <w:t>This treatment is indicated only after failure of appropriate targeted therapy i</w:t>
      </w:r>
      <w:r w:rsidR="00AB1F4A" w:rsidRPr="00011ED1">
        <w:rPr>
          <w:rFonts w:cstheme="minorHAnsi"/>
          <w:i w:val="0"/>
          <w:iCs/>
          <w:szCs w:val="24"/>
        </w:rPr>
        <w:t>n patients with EGFR mutant or ALK-positive NSCLC</w:t>
      </w:r>
      <w:r w:rsidR="00011ED1">
        <w:rPr>
          <w:rFonts w:cstheme="minorHAnsi"/>
          <w:i w:val="0"/>
          <w:iCs/>
          <w:szCs w:val="24"/>
        </w:rPr>
        <w:t xml:space="preserve">. </w:t>
      </w:r>
    </w:p>
    <w:p w:rsidR="003D785F" w:rsidRPr="00011ED1" w:rsidRDefault="00714741" w:rsidP="00367A74">
      <w:pPr>
        <w:pStyle w:val="Bodytextitalics"/>
        <w:numPr>
          <w:ilvl w:val="0"/>
          <w:numId w:val="9"/>
        </w:numPr>
        <w:jc w:val="both"/>
        <w:rPr>
          <w:i w:val="0"/>
          <w:iCs/>
        </w:rPr>
      </w:pPr>
      <w:r w:rsidRPr="00011ED1">
        <w:rPr>
          <w:i w:val="0"/>
          <w:iCs/>
        </w:rPr>
        <w:lastRenderedPageBreak/>
        <w:t>Second-</w:t>
      </w:r>
      <w:r w:rsidR="003D785F" w:rsidRPr="00011ED1">
        <w:rPr>
          <w:i w:val="0"/>
          <w:iCs/>
        </w:rPr>
        <w:t xml:space="preserve">line </w:t>
      </w:r>
      <w:r w:rsidR="00F6026A" w:rsidRPr="00011ED1">
        <w:rPr>
          <w:i w:val="0"/>
          <w:iCs/>
        </w:rPr>
        <w:t xml:space="preserve">treatment </w:t>
      </w:r>
      <w:r w:rsidR="003D785F" w:rsidRPr="00011ED1">
        <w:rPr>
          <w:i w:val="0"/>
          <w:iCs/>
        </w:rPr>
        <w:t xml:space="preserve">of patients with locally advanced or metastatic NSCLC </w:t>
      </w:r>
      <w:r w:rsidR="00F6026A" w:rsidRPr="00011ED1">
        <w:rPr>
          <w:i w:val="0"/>
          <w:iCs/>
        </w:rPr>
        <w:t xml:space="preserve">as monotherapy </w:t>
      </w:r>
      <w:r w:rsidR="003D785F" w:rsidRPr="00011ED1">
        <w:rPr>
          <w:i w:val="0"/>
          <w:iCs/>
        </w:rPr>
        <w:t>after prior chemotherapy</w:t>
      </w:r>
      <w:r w:rsidR="00E70035" w:rsidRPr="00011ED1">
        <w:rPr>
          <w:i w:val="0"/>
          <w:iCs/>
        </w:rPr>
        <w:t>.</w:t>
      </w:r>
      <w:r w:rsidR="003D785F" w:rsidRPr="00011ED1">
        <w:rPr>
          <w:i w:val="0"/>
          <w:iCs/>
        </w:rPr>
        <w:t xml:space="preserve"> </w:t>
      </w:r>
    </w:p>
    <w:p w:rsidR="003D785F" w:rsidRPr="00011ED1" w:rsidRDefault="003D785F" w:rsidP="00367A74">
      <w:pPr>
        <w:pStyle w:val="Bodytextitalics"/>
        <w:numPr>
          <w:ilvl w:val="0"/>
          <w:numId w:val="9"/>
        </w:numPr>
        <w:jc w:val="both"/>
        <w:rPr>
          <w:i w:val="0"/>
          <w:iCs/>
        </w:rPr>
      </w:pPr>
      <w:r w:rsidRPr="00011ED1">
        <w:rPr>
          <w:i w:val="0"/>
          <w:iCs/>
        </w:rPr>
        <w:t>First line treatment of patients with extensive-stage small cell lung cancer</w:t>
      </w:r>
      <w:r w:rsidR="002D74B0" w:rsidRPr="00011ED1">
        <w:rPr>
          <w:i w:val="0"/>
          <w:iCs/>
        </w:rPr>
        <w:t xml:space="preserve"> in</w:t>
      </w:r>
      <w:r w:rsidR="00A96E76" w:rsidRPr="00011ED1">
        <w:rPr>
          <w:i w:val="0"/>
          <w:iCs/>
        </w:rPr>
        <w:t xml:space="preserve"> </w:t>
      </w:r>
      <w:r w:rsidR="00A4755B" w:rsidRPr="00011ED1">
        <w:rPr>
          <w:i w:val="0"/>
          <w:iCs/>
        </w:rPr>
        <w:t xml:space="preserve">combination with carboplatin and etoposide. </w:t>
      </w:r>
    </w:p>
    <w:p w:rsidR="008D7160" w:rsidRPr="00011ED1" w:rsidRDefault="003D785F" w:rsidP="00367A74">
      <w:pPr>
        <w:pStyle w:val="Bodytextitalics"/>
        <w:numPr>
          <w:ilvl w:val="0"/>
          <w:numId w:val="9"/>
        </w:numPr>
        <w:jc w:val="both"/>
        <w:rPr>
          <w:i w:val="0"/>
          <w:iCs/>
        </w:rPr>
      </w:pPr>
      <w:r w:rsidRPr="00011ED1">
        <w:rPr>
          <w:i w:val="0"/>
          <w:iCs/>
        </w:rPr>
        <w:t>Treatment of patients with locally advanced or metastatic urothelial carcinoma</w:t>
      </w:r>
      <w:r w:rsidR="003573A8" w:rsidRPr="00011ED1">
        <w:rPr>
          <w:i w:val="0"/>
          <w:iCs/>
        </w:rPr>
        <w:t xml:space="preserve"> (</w:t>
      </w:r>
      <w:r w:rsidR="001B7815" w:rsidRPr="00011ED1">
        <w:rPr>
          <w:i w:val="0"/>
          <w:iCs/>
        </w:rPr>
        <w:t>m</w:t>
      </w:r>
      <w:r w:rsidR="003573A8" w:rsidRPr="00011ED1">
        <w:rPr>
          <w:i w:val="0"/>
          <w:iCs/>
        </w:rPr>
        <w:t>UC)</w:t>
      </w:r>
      <w:r w:rsidR="00E95F89" w:rsidRPr="00011ED1">
        <w:rPr>
          <w:i w:val="0"/>
          <w:iCs/>
        </w:rPr>
        <w:t xml:space="preserve"> who are considered cisplatin ineligible and whose tumours express PD-L1, as determined by a validated test, or are considered ineligible for any other platinum-containing chemotherapy regardless of the level of tumour PD-L1 expression.</w:t>
      </w:r>
    </w:p>
    <w:p w:rsidR="002050A2" w:rsidRPr="00011ED1" w:rsidRDefault="0012749D" w:rsidP="00367A74">
      <w:pPr>
        <w:pStyle w:val="Heading2"/>
        <w:spacing w:after="120"/>
        <w:rPr>
          <w:rFonts w:asciiTheme="minorHAnsi" w:hAnsiTheme="minorHAnsi" w:cstheme="minorHAnsi"/>
          <w:sz w:val="28"/>
          <w:szCs w:val="28"/>
        </w:rPr>
      </w:pPr>
      <w:r w:rsidRPr="00011ED1">
        <w:rPr>
          <w:rFonts w:asciiTheme="minorHAnsi" w:hAnsiTheme="minorHAnsi" w:cstheme="minorHAnsi"/>
          <w:sz w:val="28"/>
          <w:szCs w:val="28"/>
        </w:rPr>
        <w:t xml:space="preserve">Previous PBAC consideration </w:t>
      </w:r>
      <w:r w:rsidR="002050A2" w:rsidRPr="00011ED1">
        <w:rPr>
          <w:rFonts w:asciiTheme="minorHAnsi" w:hAnsiTheme="minorHAnsi" w:cstheme="minorHAnsi"/>
          <w:sz w:val="28"/>
          <w:szCs w:val="28"/>
        </w:rPr>
        <w:t xml:space="preserve"> </w:t>
      </w:r>
    </w:p>
    <w:p w:rsidR="00415919" w:rsidRPr="00011ED1" w:rsidRDefault="00415919" w:rsidP="00367A74">
      <w:pPr>
        <w:pStyle w:val="Bodytextitalics"/>
        <w:jc w:val="both"/>
        <w:rPr>
          <w:i w:val="0"/>
          <w:iCs/>
        </w:rPr>
      </w:pPr>
      <w:r w:rsidRPr="00011ED1">
        <w:rPr>
          <w:i w:val="0"/>
          <w:iCs/>
        </w:rPr>
        <w:t>Atezolizumab was first considered and recommended by the PBAC at the November 2017 meeting for the treatment of locally advanced or metastatic NSCLC in patients who have disease progression on or after prior</w:t>
      </w:r>
      <w:r w:rsidR="00397F17" w:rsidRPr="00011ED1">
        <w:rPr>
          <w:i w:val="0"/>
          <w:iCs/>
        </w:rPr>
        <w:t xml:space="preserve"> platinum-based chemotherapy</w:t>
      </w:r>
      <w:r w:rsidR="00DA4575" w:rsidRPr="00011ED1">
        <w:rPr>
          <w:i w:val="0"/>
          <w:iCs/>
        </w:rPr>
        <w:t>.</w:t>
      </w:r>
      <w:r w:rsidR="00397F17" w:rsidRPr="00011ED1">
        <w:rPr>
          <w:i w:val="0"/>
          <w:iCs/>
        </w:rPr>
        <w:t xml:space="preserve"> In making this recommendation, the PBAC considered </w:t>
      </w:r>
      <w:r w:rsidR="00F85A9C" w:rsidRPr="00011ED1">
        <w:rPr>
          <w:i w:val="0"/>
          <w:iCs/>
        </w:rPr>
        <w:t>that</w:t>
      </w:r>
      <w:r w:rsidR="00397F17" w:rsidRPr="00011ED1">
        <w:rPr>
          <w:i w:val="0"/>
          <w:iCs/>
        </w:rPr>
        <w:t xml:space="preserve"> atezolizumab was non-inferior in effectiveness and safety compared with nivolumab</w:t>
      </w:r>
      <w:r w:rsidR="000F0582">
        <w:rPr>
          <w:i w:val="0"/>
          <w:iCs/>
        </w:rPr>
        <w:t>,</w:t>
      </w:r>
      <w:r w:rsidR="00397F17" w:rsidRPr="00011ED1">
        <w:rPr>
          <w:i w:val="0"/>
          <w:iCs/>
        </w:rPr>
        <w:t xml:space="preserve"> which is currently listed on the PBS for this population (paragraph 7.1</w:t>
      </w:r>
      <w:r w:rsidR="004541C7" w:rsidRPr="00011ED1">
        <w:rPr>
          <w:i w:val="0"/>
          <w:iCs/>
        </w:rPr>
        <w:t>,</w:t>
      </w:r>
      <w:r w:rsidR="00397F17" w:rsidRPr="00011ED1">
        <w:rPr>
          <w:i w:val="0"/>
          <w:iCs/>
        </w:rPr>
        <w:t xml:space="preserve"> atezolizumab Public Summary Document (PS</w:t>
      </w:r>
      <w:r w:rsidR="00F85A9C" w:rsidRPr="00011ED1">
        <w:rPr>
          <w:i w:val="0"/>
          <w:iCs/>
        </w:rPr>
        <w:t xml:space="preserve">D), November 2017). </w:t>
      </w:r>
    </w:p>
    <w:p w:rsidR="00415919" w:rsidRPr="00011ED1" w:rsidRDefault="00415919" w:rsidP="00367A74">
      <w:pPr>
        <w:pStyle w:val="Bodytextitalics"/>
        <w:jc w:val="both"/>
        <w:rPr>
          <w:i w:val="0"/>
          <w:iCs/>
        </w:rPr>
      </w:pPr>
      <w:r w:rsidRPr="00011ED1">
        <w:rPr>
          <w:i w:val="0"/>
          <w:iCs/>
        </w:rPr>
        <w:t xml:space="preserve">At its March 2019 meeting, the PBAC recommended the Section 100 (Efficient Funding of Chemotherapy - Public and Private Hospital) Authority Required (STREAMLINED) listing of atezolizumab and bevacizumab in combination with </w:t>
      </w:r>
      <w:r w:rsidR="00F80976" w:rsidRPr="00011ED1">
        <w:rPr>
          <w:i w:val="0"/>
          <w:iCs/>
        </w:rPr>
        <w:t>platinum-</w:t>
      </w:r>
      <w:r w:rsidR="004972FC" w:rsidRPr="00011ED1">
        <w:rPr>
          <w:i w:val="0"/>
          <w:iCs/>
        </w:rPr>
        <w:t>doublet chemotherapy (</w:t>
      </w:r>
      <w:r w:rsidR="00FC1564" w:rsidRPr="00011ED1">
        <w:rPr>
          <w:i w:val="0"/>
          <w:iCs/>
        </w:rPr>
        <w:t>PDC</w:t>
      </w:r>
      <w:r w:rsidR="004972FC" w:rsidRPr="00011ED1">
        <w:rPr>
          <w:i w:val="0"/>
          <w:iCs/>
        </w:rPr>
        <w:t>)</w:t>
      </w:r>
      <w:r w:rsidRPr="00011ED1">
        <w:rPr>
          <w:i w:val="0"/>
          <w:iCs/>
        </w:rPr>
        <w:t xml:space="preserve"> for </w:t>
      </w:r>
      <w:r w:rsidR="00C804C7" w:rsidRPr="00011ED1">
        <w:rPr>
          <w:i w:val="0"/>
          <w:iCs/>
        </w:rPr>
        <w:t>first-</w:t>
      </w:r>
      <w:r w:rsidR="004972FC" w:rsidRPr="00011ED1">
        <w:rPr>
          <w:i w:val="0"/>
          <w:iCs/>
        </w:rPr>
        <w:t>line treatment of patients with stage IV metastatic non-squamous (NSQ) non-small cell lung cancer (NSCLC) (paragraph 7.1</w:t>
      </w:r>
      <w:r w:rsidR="00BF7515" w:rsidRPr="00011ED1">
        <w:rPr>
          <w:i w:val="0"/>
          <w:iCs/>
        </w:rPr>
        <w:t>,</w:t>
      </w:r>
      <w:r w:rsidR="004972FC" w:rsidRPr="00011ED1">
        <w:rPr>
          <w:i w:val="0"/>
          <w:iCs/>
        </w:rPr>
        <w:t xml:space="preserve"> atezolizumab and bevacizumab PSD, March 2019)</w:t>
      </w:r>
      <w:r w:rsidR="00011ED1">
        <w:rPr>
          <w:i w:val="0"/>
          <w:iCs/>
        </w:rPr>
        <w:t xml:space="preserve">. </w:t>
      </w:r>
      <w:r w:rsidRPr="00011ED1">
        <w:rPr>
          <w:i w:val="0"/>
          <w:iCs/>
        </w:rPr>
        <w:t xml:space="preserve">Atezolizumab 1200 mg was </w:t>
      </w:r>
      <w:r w:rsidR="004972FC" w:rsidRPr="00011ED1">
        <w:rPr>
          <w:i w:val="0"/>
          <w:iCs/>
        </w:rPr>
        <w:t xml:space="preserve">PBS listed on </w:t>
      </w:r>
      <w:r w:rsidR="00484CC7" w:rsidRPr="00011ED1">
        <w:rPr>
          <w:i w:val="0"/>
          <w:iCs/>
        </w:rPr>
        <w:t>1</w:t>
      </w:r>
      <w:r w:rsidRPr="00011ED1">
        <w:rPr>
          <w:i w:val="0"/>
          <w:iCs/>
        </w:rPr>
        <w:t xml:space="preserve"> October 2019 for this indication. </w:t>
      </w:r>
      <w:r w:rsidR="00443F73" w:rsidRPr="00011ED1">
        <w:rPr>
          <w:i w:val="0"/>
          <w:iCs/>
        </w:rPr>
        <w:t>The PBAC considered that the appropriate main comparator for the submission was PDC followed by PD-(L)1 therapy, as this is the therapy most likely to be replaced in practice for patients with a PD-L1 TPS &lt; 50%. The PBAC considered that for the EGFR mutant/ALK positive population, nivolumab and atezolizumab can be used in patients who have progressed on or after treatment with targeted therapies and therefore use of PDC followed by PD-(L)1 was also an appropriate comparator in this population. The PBAC considered pembrolizumab monotherapy followed by PDC was an appropriate comparator for the EGFR wild type/ALK negative PD-L1 ≥50% NSQ population (paragraph 7.5, atezolizumab and bevacizumab PSD, March 2019).</w:t>
      </w:r>
      <w:r w:rsidR="004406D3" w:rsidRPr="00011ED1">
        <w:rPr>
          <w:i w:val="0"/>
          <w:iCs/>
        </w:rPr>
        <w:t xml:space="preserve"> The PBAC considered that on balance the cost-effectiveness of atezolizumab + bevacizumab + PDC is likely to be similar across the patient populations proposed in the submission. Therefore the PBAC was of the view that the cost of treatment with the atezolizumab + bevacizumab components of the quadruple therapy should not exceed the cost of pembrolizumab monotherapy for any patient group receiving treatment for stage IV metastatic non</w:t>
      </w:r>
      <w:r w:rsidR="003575E9">
        <w:rPr>
          <w:i w:val="0"/>
          <w:iCs/>
        </w:rPr>
        <w:t>-</w:t>
      </w:r>
      <w:r w:rsidR="004406D3" w:rsidRPr="00011ED1">
        <w:rPr>
          <w:i w:val="0"/>
          <w:iCs/>
        </w:rPr>
        <w:t>squamous (NSQ) non-small cell lung cancer (NSCLC) (paragraph 7.13, atezolizumab and bevacizumab PSD, March 2019).</w:t>
      </w:r>
    </w:p>
    <w:p w:rsidR="008647B5" w:rsidRPr="00011ED1" w:rsidRDefault="00335C7A" w:rsidP="00367A74">
      <w:pPr>
        <w:pStyle w:val="Bodytextitalics"/>
        <w:jc w:val="both"/>
        <w:rPr>
          <w:i w:val="0"/>
        </w:rPr>
      </w:pPr>
      <w:r w:rsidRPr="00011ED1">
        <w:rPr>
          <w:i w:val="0"/>
          <w:iCs/>
        </w:rPr>
        <w:lastRenderedPageBreak/>
        <w:t>Atezolizumab</w:t>
      </w:r>
      <w:r w:rsidRPr="00011ED1">
        <w:rPr>
          <w:i w:val="0"/>
        </w:rPr>
        <w:t xml:space="preserve"> 840 mg in 14 mL </w:t>
      </w:r>
      <w:r w:rsidR="0048642B" w:rsidRPr="00011ED1">
        <w:rPr>
          <w:i w:val="0"/>
        </w:rPr>
        <w:t xml:space="preserve">injection </w:t>
      </w:r>
      <w:r w:rsidR="00D0085C" w:rsidRPr="00011ED1">
        <w:rPr>
          <w:i w:val="0"/>
        </w:rPr>
        <w:t xml:space="preserve">and </w:t>
      </w:r>
      <w:r w:rsidRPr="00011ED1">
        <w:rPr>
          <w:i w:val="0"/>
        </w:rPr>
        <w:t xml:space="preserve">the </w:t>
      </w:r>
      <w:r w:rsidR="00DC27A1" w:rsidRPr="00011ED1">
        <w:rPr>
          <w:i w:val="0"/>
        </w:rPr>
        <w:t xml:space="preserve">1680 mg </w:t>
      </w:r>
      <w:r w:rsidRPr="00011ED1">
        <w:rPr>
          <w:i w:val="0"/>
        </w:rPr>
        <w:t xml:space="preserve">Q4W dosing regimen </w:t>
      </w:r>
      <w:r w:rsidR="008647B5" w:rsidRPr="00011ED1">
        <w:rPr>
          <w:i w:val="0"/>
        </w:rPr>
        <w:t xml:space="preserve">has not been </w:t>
      </w:r>
      <w:r w:rsidR="00506A06" w:rsidRPr="00011ED1">
        <w:rPr>
          <w:i w:val="0"/>
        </w:rPr>
        <w:t xml:space="preserve">previously </w:t>
      </w:r>
      <w:r w:rsidR="008647B5" w:rsidRPr="00011ED1">
        <w:rPr>
          <w:i w:val="0"/>
        </w:rPr>
        <w:t>considered by the PBAC</w:t>
      </w:r>
      <w:r w:rsidR="00A31B13" w:rsidRPr="00011ED1">
        <w:rPr>
          <w:i w:val="0"/>
        </w:rPr>
        <w:t>.</w:t>
      </w:r>
    </w:p>
    <w:p w:rsidR="005A3173" w:rsidRPr="00011ED1" w:rsidRDefault="005A3173" w:rsidP="00367A74">
      <w:pPr>
        <w:pStyle w:val="2Sections"/>
        <w:spacing w:before="0"/>
      </w:pPr>
      <w:r w:rsidRPr="00011ED1">
        <w:t>Comparator</w:t>
      </w:r>
      <w:r w:rsidR="0099465B" w:rsidRPr="00011ED1">
        <w:t xml:space="preserve"> </w:t>
      </w:r>
    </w:p>
    <w:p w:rsidR="002B6643" w:rsidRPr="00011ED1" w:rsidRDefault="00337192" w:rsidP="00367A74">
      <w:pPr>
        <w:pStyle w:val="Bodytextitalics"/>
        <w:numPr>
          <w:ilvl w:val="1"/>
          <w:numId w:val="1"/>
        </w:numPr>
        <w:jc w:val="both"/>
        <w:rPr>
          <w:i w:val="0"/>
          <w:iCs/>
        </w:rPr>
      </w:pPr>
      <w:r w:rsidRPr="00011ED1">
        <w:rPr>
          <w:i w:val="0"/>
          <w:iCs/>
        </w:rPr>
        <w:t xml:space="preserve">The </w:t>
      </w:r>
      <w:r w:rsidR="00287531" w:rsidRPr="00011ED1">
        <w:rPr>
          <w:i w:val="0"/>
          <w:iCs/>
        </w:rPr>
        <w:t xml:space="preserve">minor </w:t>
      </w:r>
      <w:r w:rsidRPr="00011ED1">
        <w:rPr>
          <w:i w:val="0"/>
          <w:iCs/>
        </w:rPr>
        <w:t xml:space="preserve">submission </w:t>
      </w:r>
      <w:r w:rsidR="009A4DDC" w:rsidRPr="00011ED1">
        <w:rPr>
          <w:i w:val="0"/>
          <w:iCs/>
        </w:rPr>
        <w:t>nominated atezolizumab 1200 mg (Q3W) as the main comparator.</w:t>
      </w:r>
      <w:r w:rsidR="00296611" w:rsidRPr="00011ED1">
        <w:rPr>
          <w:i w:val="0"/>
          <w:iCs/>
        </w:rPr>
        <w:t xml:space="preserve"> </w:t>
      </w:r>
      <w:r w:rsidR="002B6643" w:rsidRPr="00011ED1">
        <w:rPr>
          <w:i w:val="0"/>
          <w:iCs/>
        </w:rPr>
        <w:t>The Secretariat considered this was appropriate as atezolizumab 1200 mg would most likely be replaced should atezolizumab 840 mg be listed on the PBS</w:t>
      </w:r>
      <w:r w:rsidR="00011ED1">
        <w:rPr>
          <w:i w:val="0"/>
          <w:iCs/>
        </w:rPr>
        <w:t xml:space="preserve">. </w:t>
      </w:r>
      <w:r w:rsidR="002B6643" w:rsidRPr="00011ED1">
        <w:rPr>
          <w:i w:val="0"/>
          <w:iCs/>
        </w:rPr>
        <w:t xml:space="preserve">The Secretariat also noted that nivolumab and pembrolizumab are potential comparators in the 2L and 1L NSCLC settings respectively, as atezolizumab was listed in 2L NSCLC on a cost-minimisation basis with nivolumab, and in 1L NSCLC on a cost comparison basis with pembrolizumab. </w:t>
      </w:r>
    </w:p>
    <w:p w:rsidR="005D119E" w:rsidRPr="00011ED1" w:rsidRDefault="005D119E" w:rsidP="00367A74">
      <w:pPr>
        <w:pStyle w:val="3Bodytext"/>
        <w:numPr>
          <w:ilvl w:val="0"/>
          <w:numId w:val="0"/>
        </w:numPr>
        <w:ind w:left="720"/>
        <w:rPr>
          <w:i/>
          <w:iCs/>
        </w:rPr>
      </w:pPr>
      <w:r w:rsidRPr="00011ED1">
        <w:rPr>
          <w:i/>
          <w:iCs/>
        </w:rPr>
        <w:t>For more deta</w:t>
      </w:r>
      <w:r w:rsidR="00D6337D" w:rsidRPr="00011ED1">
        <w:rPr>
          <w:i/>
          <w:iCs/>
        </w:rPr>
        <w:t>il on PBAC’s view, see section 6</w:t>
      </w:r>
      <w:r w:rsidRPr="00011ED1">
        <w:rPr>
          <w:i/>
          <w:iCs/>
        </w:rPr>
        <w:t xml:space="preserve"> PBAC outcome.</w:t>
      </w:r>
    </w:p>
    <w:p w:rsidR="000B558D" w:rsidRPr="00011ED1" w:rsidRDefault="008D7A41" w:rsidP="00367A74">
      <w:pPr>
        <w:pStyle w:val="2Sections"/>
      </w:pPr>
      <w:r w:rsidRPr="00011ED1">
        <w:t>C</w:t>
      </w:r>
      <w:r w:rsidR="00D84934" w:rsidRPr="00011ED1">
        <w:t>onsideration of the evidence</w:t>
      </w:r>
    </w:p>
    <w:p w:rsidR="00E70CBA" w:rsidRPr="00011ED1" w:rsidRDefault="00E70CBA" w:rsidP="00367A74">
      <w:pPr>
        <w:pStyle w:val="Heading2"/>
        <w:keepLines/>
        <w:spacing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Sponsor hearing</w:t>
      </w:r>
    </w:p>
    <w:p w:rsidR="00E70CBA" w:rsidRPr="00011ED1" w:rsidRDefault="00E70CBA" w:rsidP="00367A74">
      <w:pPr>
        <w:pStyle w:val="Bodytextitalics"/>
        <w:jc w:val="both"/>
        <w:rPr>
          <w:i w:val="0"/>
        </w:rPr>
      </w:pPr>
      <w:r w:rsidRPr="00011ED1">
        <w:rPr>
          <w:i w:val="0"/>
        </w:rPr>
        <w:t>There was no hearing for this item as it was a minor submission.</w:t>
      </w:r>
    </w:p>
    <w:p w:rsidR="008C5395" w:rsidRPr="00011ED1" w:rsidRDefault="008C5395" w:rsidP="00367A74">
      <w:pPr>
        <w:pStyle w:val="Heading2"/>
        <w:keepLines/>
        <w:spacing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 xml:space="preserve">Consumer comments </w:t>
      </w:r>
    </w:p>
    <w:p w:rsidR="008C5395" w:rsidRPr="00011ED1" w:rsidRDefault="008C5395" w:rsidP="00367A74">
      <w:pPr>
        <w:pStyle w:val="Bodytextitalics"/>
        <w:jc w:val="both"/>
        <w:rPr>
          <w:i w:val="0"/>
        </w:rPr>
      </w:pPr>
      <w:r w:rsidRPr="00011ED1">
        <w:rPr>
          <w:i w:val="0"/>
        </w:rPr>
        <w:t>The PBAC noted and welcom</w:t>
      </w:r>
      <w:r w:rsidR="00B97C90" w:rsidRPr="00011ED1">
        <w:rPr>
          <w:i w:val="0"/>
        </w:rPr>
        <w:t xml:space="preserve">ed </w:t>
      </w:r>
      <w:r w:rsidR="004734E6" w:rsidRPr="00011ED1">
        <w:rPr>
          <w:i w:val="0"/>
        </w:rPr>
        <w:t xml:space="preserve">the input from individuals (1) </w:t>
      </w:r>
      <w:r w:rsidRPr="00011ED1">
        <w:rPr>
          <w:i w:val="0"/>
        </w:rPr>
        <w:t>and organisations (1) via the Consumer Comments facility o</w:t>
      </w:r>
      <w:r w:rsidR="000F5347" w:rsidRPr="00011ED1">
        <w:rPr>
          <w:i w:val="0"/>
        </w:rPr>
        <w:t>n the PBS website</w:t>
      </w:r>
      <w:r w:rsidR="00011ED1">
        <w:rPr>
          <w:i w:val="0"/>
        </w:rPr>
        <w:t xml:space="preserve">. </w:t>
      </w:r>
      <w:r w:rsidR="000F5347" w:rsidRPr="00011ED1">
        <w:rPr>
          <w:i w:val="0"/>
        </w:rPr>
        <w:t>The comment</w:t>
      </w:r>
      <w:r w:rsidRPr="00011ED1">
        <w:rPr>
          <w:i w:val="0"/>
        </w:rPr>
        <w:t xml:space="preserve"> described </w:t>
      </w:r>
      <w:r w:rsidR="002B3E57" w:rsidRPr="00011ED1">
        <w:rPr>
          <w:i w:val="0"/>
        </w:rPr>
        <w:t xml:space="preserve">a range of </w:t>
      </w:r>
      <w:r w:rsidRPr="00011ED1">
        <w:rPr>
          <w:i w:val="0"/>
        </w:rPr>
        <w:t xml:space="preserve">benefits of treatment with </w:t>
      </w:r>
      <w:r w:rsidR="00B97C90" w:rsidRPr="00011ED1">
        <w:rPr>
          <w:i w:val="0"/>
        </w:rPr>
        <w:t>atezolizumab</w:t>
      </w:r>
      <w:r w:rsidR="004233ED" w:rsidRPr="00011ED1">
        <w:rPr>
          <w:i w:val="0"/>
        </w:rPr>
        <w:t xml:space="preserve"> for non-small cell lung cancer</w:t>
      </w:r>
      <w:r w:rsidR="002B3E57" w:rsidRPr="00011ED1">
        <w:rPr>
          <w:i w:val="0"/>
        </w:rPr>
        <w:t>,</w:t>
      </w:r>
      <w:r w:rsidRPr="00011ED1">
        <w:rPr>
          <w:i w:val="0"/>
        </w:rPr>
        <w:t xml:space="preserve"> including </w:t>
      </w:r>
      <w:r w:rsidR="002B3E57" w:rsidRPr="00011ED1">
        <w:rPr>
          <w:i w:val="0"/>
        </w:rPr>
        <w:t xml:space="preserve">improved quality of life, </w:t>
      </w:r>
      <w:r w:rsidR="00A36D44" w:rsidRPr="00011ED1">
        <w:rPr>
          <w:i w:val="0"/>
        </w:rPr>
        <w:t>slowing disease progression</w:t>
      </w:r>
      <w:r w:rsidR="002B3E57" w:rsidRPr="00011ED1">
        <w:rPr>
          <w:i w:val="0"/>
        </w:rPr>
        <w:t xml:space="preserve"> and manageable side effect</w:t>
      </w:r>
      <w:r w:rsidR="00A36D44" w:rsidRPr="00011ED1">
        <w:rPr>
          <w:i w:val="0"/>
        </w:rPr>
        <w:t xml:space="preserve"> profile</w:t>
      </w:r>
      <w:r w:rsidR="000F5347" w:rsidRPr="00011ED1">
        <w:rPr>
          <w:i w:val="0"/>
        </w:rPr>
        <w:t xml:space="preserve">, </w:t>
      </w:r>
      <w:r w:rsidR="00A36D44" w:rsidRPr="00011ED1">
        <w:rPr>
          <w:i w:val="0"/>
        </w:rPr>
        <w:t>however</w:t>
      </w:r>
      <w:r w:rsidR="004233ED" w:rsidRPr="00011ED1">
        <w:rPr>
          <w:i w:val="0"/>
        </w:rPr>
        <w:t>,</w:t>
      </w:r>
      <w:r w:rsidR="00A36D44" w:rsidRPr="00011ED1">
        <w:rPr>
          <w:i w:val="0"/>
        </w:rPr>
        <w:t xml:space="preserve"> this comment </w:t>
      </w:r>
      <w:r w:rsidR="000F5347" w:rsidRPr="00011ED1">
        <w:rPr>
          <w:i w:val="0"/>
        </w:rPr>
        <w:t xml:space="preserve">was not </w:t>
      </w:r>
      <w:r w:rsidR="000C03D4" w:rsidRPr="00011ED1">
        <w:rPr>
          <w:i w:val="0"/>
        </w:rPr>
        <w:t xml:space="preserve">specific </w:t>
      </w:r>
      <w:r w:rsidR="000F5347" w:rsidRPr="00011ED1">
        <w:rPr>
          <w:i w:val="0"/>
        </w:rPr>
        <w:t xml:space="preserve">to the proposed </w:t>
      </w:r>
      <w:r w:rsidR="004233ED" w:rsidRPr="00011ED1">
        <w:rPr>
          <w:i w:val="0"/>
        </w:rPr>
        <w:t xml:space="preserve">1680 mg </w:t>
      </w:r>
      <w:r w:rsidR="00A36D44" w:rsidRPr="00011ED1">
        <w:rPr>
          <w:i w:val="0"/>
        </w:rPr>
        <w:t xml:space="preserve">Q4W </w:t>
      </w:r>
      <w:r w:rsidR="000F5347" w:rsidRPr="00011ED1">
        <w:rPr>
          <w:i w:val="0"/>
        </w:rPr>
        <w:t xml:space="preserve">dosing regimen. </w:t>
      </w:r>
    </w:p>
    <w:p w:rsidR="008C5395" w:rsidRPr="00011ED1" w:rsidRDefault="008C5395" w:rsidP="00367A74">
      <w:pPr>
        <w:pStyle w:val="Bodytextitalics"/>
        <w:jc w:val="both"/>
        <w:rPr>
          <w:i w:val="0"/>
          <w:iCs/>
        </w:rPr>
      </w:pPr>
      <w:r w:rsidRPr="00011ED1">
        <w:rPr>
          <w:rFonts w:cs="Arial"/>
          <w:bCs/>
          <w:i w:val="0"/>
          <w:iCs/>
          <w:snapToGrid w:val="0"/>
        </w:rPr>
        <w:t xml:space="preserve">The </w:t>
      </w:r>
      <w:r w:rsidR="00465BA5" w:rsidRPr="00011ED1">
        <w:rPr>
          <w:rFonts w:cs="Arial"/>
          <w:bCs/>
          <w:i w:val="0"/>
          <w:iCs/>
          <w:snapToGrid w:val="0"/>
        </w:rPr>
        <w:t>Lung Foundation Australia</w:t>
      </w:r>
      <w:r w:rsidR="00384349" w:rsidRPr="00011ED1">
        <w:rPr>
          <w:rFonts w:cs="Arial"/>
          <w:bCs/>
          <w:i w:val="0"/>
          <w:iCs/>
          <w:snapToGrid w:val="0"/>
        </w:rPr>
        <w:t xml:space="preserve"> </w:t>
      </w:r>
      <w:r w:rsidR="00DA68D8" w:rsidRPr="00011ED1">
        <w:rPr>
          <w:rFonts w:cs="Arial"/>
          <w:bCs/>
          <w:i w:val="0"/>
          <w:iCs/>
          <w:snapToGrid w:val="0"/>
        </w:rPr>
        <w:t xml:space="preserve">indicated that the availability of </w:t>
      </w:r>
      <w:r w:rsidRPr="00011ED1">
        <w:rPr>
          <w:rFonts w:cs="Arial"/>
          <w:bCs/>
          <w:i w:val="0"/>
          <w:iCs/>
          <w:snapToGrid w:val="0"/>
        </w:rPr>
        <w:t xml:space="preserve"> </w:t>
      </w:r>
      <w:r w:rsidR="00465BA5" w:rsidRPr="00011ED1">
        <w:rPr>
          <w:rFonts w:cs="Arial"/>
          <w:bCs/>
          <w:i w:val="0"/>
          <w:iCs/>
          <w:snapToGrid w:val="0"/>
        </w:rPr>
        <w:t xml:space="preserve">atezolizumab 1680 mg Q4W </w:t>
      </w:r>
      <w:r w:rsidR="00DA68D8" w:rsidRPr="00011ED1">
        <w:rPr>
          <w:rFonts w:cs="Arial"/>
          <w:bCs/>
          <w:i w:val="0"/>
          <w:iCs/>
          <w:snapToGrid w:val="0"/>
        </w:rPr>
        <w:t xml:space="preserve">would benefit </w:t>
      </w:r>
      <w:r w:rsidR="00465BA5" w:rsidRPr="00011ED1">
        <w:rPr>
          <w:rFonts w:cs="Arial"/>
          <w:bCs/>
          <w:i w:val="0"/>
          <w:iCs/>
          <w:snapToGrid w:val="0"/>
        </w:rPr>
        <w:t>patients and clinicians</w:t>
      </w:r>
      <w:r w:rsidR="00DA68D8" w:rsidRPr="00011ED1">
        <w:rPr>
          <w:rFonts w:cs="Arial"/>
          <w:bCs/>
          <w:i w:val="0"/>
          <w:iCs/>
          <w:snapToGrid w:val="0"/>
        </w:rPr>
        <w:t xml:space="preserve"> and it would provide</w:t>
      </w:r>
      <w:r w:rsidR="00465BA5" w:rsidRPr="00011ED1">
        <w:rPr>
          <w:rFonts w:cs="Arial"/>
          <w:bCs/>
          <w:i w:val="0"/>
          <w:iCs/>
          <w:snapToGrid w:val="0"/>
        </w:rPr>
        <w:t xml:space="preserve"> the option of less frequent dosing, and therefore less frequent visits to hospital for treatment, without adversely impacting health outcomes. </w:t>
      </w:r>
    </w:p>
    <w:p w:rsidR="00D84934" w:rsidRPr="00011ED1" w:rsidRDefault="00D84934" w:rsidP="00367A74">
      <w:pPr>
        <w:pStyle w:val="Heading2"/>
        <w:keepLines/>
        <w:spacing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Clinical trials</w:t>
      </w:r>
      <w:r w:rsidR="0099465B" w:rsidRPr="00011ED1">
        <w:rPr>
          <w:rFonts w:asciiTheme="minorHAnsi" w:eastAsiaTheme="majorEastAsia" w:hAnsiTheme="minorHAnsi" w:cstheme="majorBidi"/>
          <w:sz w:val="28"/>
          <w:szCs w:val="28"/>
          <w:lang w:eastAsia="en-US"/>
        </w:rPr>
        <w:t xml:space="preserve"> </w:t>
      </w:r>
    </w:p>
    <w:p w:rsidR="00255601" w:rsidRPr="00011ED1" w:rsidRDefault="00255601" w:rsidP="00367A74">
      <w:pPr>
        <w:pStyle w:val="Bodytextitalics"/>
        <w:jc w:val="both"/>
      </w:pPr>
      <w:r w:rsidRPr="00011ED1">
        <w:rPr>
          <w:i w:val="0"/>
        </w:rPr>
        <w:t>The minor submission stated that no clinical evidence for atezolizumab administ</w:t>
      </w:r>
      <w:r w:rsidR="00040DD5" w:rsidRPr="00011ED1">
        <w:rPr>
          <w:i w:val="0"/>
        </w:rPr>
        <w:t>ered Q4W at a dose of 1680 mg was</w:t>
      </w:r>
      <w:r w:rsidRPr="00011ED1">
        <w:rPr>
          <w:i w:val="0"/>
        </w:rPr>
        <w:t xml:space="preserve"> available. </w:t>
      </w:r>
    </w:p>
    <w:p w:rsidR="00ED656C" w:rsidRPr="00011ED1" w:rsidRDefault="002E2AEE" w:rsidP="00367A74">
      <w:pPr>
        <w:pStyle w:val="Bodytextitalics"/>
        <w:jc w:val="both"/>
        <w:rPr>
          <w:i w:val="0"/>
        </w:rPr>
      </w:pPr>
      <w:r w:rsidRPr="00011ED1">
        <w:rPr>
          <w:i w:val="0"/>
        </w:rPr>
        <w:t xml:space="preserve">The </w:t>
      </w:r>
      <w:r w:rsidR="001D351E" w:rsidRPr="00011ED1">
        <w:rPr>
          <w:i w:val="0"/>
        </w:rPr>
        <w:t xml:space="preserve">minor </w:t>
      </w:r>
      <w:r w:rsidR="00980B0E" w:rsidRPr="00011ED1">
        <w:rPr>
          <w:i w:val="0"/>
        </w:rPr>
        <w:t>submission</w:t>
      </w:r>
      <w:r w:rsidR="001D351E" w:rsidRPr="00011ED1">
        <w:rPr>
          <w:i w:val="0"/>
        </w:rPr>
        <w:t xml:space="preserve"> </w:t>
      </w:r>
      <w:r w:rsidR="002E1A8D" w:rsidRPr="00011ED1">
        <w:rPr>
          <w:i w:val="0"/>
        </w:rPr>
        <w:t>presented pharmacokinetics</w:t>
      </w:r>
      <w:r w:rsidR="00E5097F" w:rsidRPr="00011ED1">
        <w:rPr>
          <w:i w:val="0"/>
        </w:rPr>
        <w:t xml:space="preserve"> (PK) modelling </w:t>
      </w:r>
      <w:r w:rsidR="002E3D09" w:rsidRPr="00011ED1">
        <w:rPr>
          <w:i w:val="0"/>
        </w:rPr>
        <w:t xml:space="preserve">data </w:t>
      </w:r>
      <w:r w:rsidR="00E5097F" w:rsidRPr="00011ED1">
        <w:rPr>
          <w:i w:val="0"/>
        </w:rPr>
        <w:t>and an exposure-response analysis</w:t>
      </w:r>
      <w:r w:rsidR="002E3D09" w:rsidRPr="00011ED1">
        <w:rPr>
          <w:i w:val="0"/>
        </w:rPr>
        <w:t xml:space="preserve"> </w:t>
      </w:r>
      <w:r w:rsidR="00AB1677" w:rsidRPr="00011ED1">
        <w:rPr>
          <w:rFonts w:cstheme="minorHAnsi"/>
          <w:i w:val="0"/>
          <w:szCs w:val="24"/>
        </w:rPr>
        <w:t>based on data from the clinical studies (</w:t>
      </w:r>
      <w:r w:rsidR="00AB1677" w:rsidRPr="00011ED1">
        <w:rPr>
          <w:rFonts w:cstheme="minorHAnsi"/>
          <w:bCs/>
          <w:i w:val="0"/>
          <w:szCs w:val="24"/>
        </w:rPr>
        <w:t xml:space="preserve">PCD4989g, </w:t>
      </w:r>
      <w:r w:rsidR="001D504F" w:rsidRPr="00011ED1">
        <w:rPr>
          <w:rFonts w:cstheme="minorHAnsi"/>
          <w:i w:val="0"/>
          <w:szCs w:val="24"/>
        </w:rPr>
        <w:t xml:space="preserve">IMvigor211, </w:t>
      </w:r>
      <w:r w:rsidR="00AB1677" w:rsidRPr="00011ED1">
        <w:rPr>
          <w:rFonts w:cstheme="minorHAnsi"/>
          <w:bCs/>
          <w:i w:val="0"/>
          <w:szCs w:val="24"/>
        </w:rPr>
        <w:t xml:space="preserve">OAK) </w:t>
      </w:r>
      <w:r w:rsidR="002E3D09" w:rsidRPr="00011ED1">
        <w:rPr>
          <w:i w:val="0"/>
        </w:rPr>
        <w:t xml:space="preserve">as supporting evidence </w:t>
      </w:r>
      <w:r w:rsidR="002E1A8D" w:rsidRPr="00011ED1">
        <w:rPr>
          <w:i w:val="0"/>
        </w:rPr>
        <w:t>for the</w:t>
      </w:r>
      <w:r w:rsidR="002E3D09" w:rsidRPr="00011ED1">
        <w:rPr>
          <w:i w:val="0"/>
        </w:rPr>
        <w:t xml:space="preserve"> relative efficacy and safety compared to </w:t>
      </w:r>
      <w:r w:rsidR="00FC27E8" w:rsidRPr="00011ED1">
        <w:rPr>
          <w:i w:val="0"/>
        </w:rPr>
        <w:t>Q3W administration</w:t>
      </w:r>
      <w:r w:rsidR="00C02E44" w:rsidRPr="00011ED1">
        <w:rPr>
          <w:i w:val="0"/>
        </w:rPr>
        <w:t xml:space="preserve"> at 1200 mg</w:t>
      </w:r>
      <w:r w:rsidR="002E3D09" w:rsidRPr="00011ED1">
        <w:rPr>
          <w:i w:val="0"/>
        </w:rPr>
        <w:t>.</w:t>
      </w:r>
      <w:r w:rsidR="00E5097F" w:rsidRPr="00011ED1">
        <w:rPr>
          <w:i w:val="0"/>
        </w:rPr>
        <w:t xml:space="preserve"> </w:t>
      </w:r>
    </w:p>
    <w:p w:rsidR="00024C00" w:rsidRPr="00011ED1" w:rsidRDefault="00933D3C" w:rsidP="00367A74">
      <w:pPr>
        <w:pStyle w:val="Bodytextitalics"/>
        <w:numPr>
          <w:ilvl w:val="1"/>
          <w:numId w:val="1"/>
        </w:numPr>
        <w:jc w:val="both"/>
        <w:rPr>
          <w:rFonts w:cstheme="minorHAnsi"/>
          <w:i w:val="0"/>
          <w:szCs w:val="24"/>
        </w:rPr>
      </w:pPr>
      <w:r w:rsidRPr="00011ED1">
        <w:rPr>
          <w:i w:val="0"/>
        </w:rPr>
        <w:t xml:space="preserve">The </w:t>
      </w:r>
      <w:r w:rsidR="00B0549B" w:rsidRPr="00011ED1">
        <w:rPr>
          <w:i w:val="0"/>
        </w:rPr>
        <w:t>minor submission noted</w:t>
      </w:r>
      <w:r w:rsidR="005F1500" w:rsidRPr="00011ED1">
        <w:rPr>
          <w:i w:val="0"/>
        </w:rPr>
        <w:t xml:space="preserve"> </w:t>
      </w:r>
      <w:r w:rsidR="00B0549B" w:rsidRPr="00011ED1">
        <w:rPr>
          <w:i w:val="0"/>
        </w:rPr>
        <w:t xml:space="preserve">the </w:t>
      </w:r>
      <w:r w:rsidRPr="00011ED1">
        <w:rPr>
          <w:i w:val="0"/>
        </w:rPr>
        <w:t xml:space="preserve">results of the PK simulations </w:t>
      </w:r>
      <w:r w:rsidR="00B83148" w:rsidRPr="00011ED1">
        <w:rPr>
          <w:i w:val="0"/>
        </w:rPr>
        <w:t xml:space="preserve">(N=500 per </w:t>
      </w:r>
      <w:r w:rsidR="00C86C0A" w:rsidRPr="00011ED1">
        <w:rPr>
          <w:i w:val="0"/>
        </w:rPr>
        <w:t>dosing regimen</w:t>
      </w:r>
      <w:r w:rsidR="00C86C0A" w:rsidRPr="00011ED1">
        <w:rPr>
          <w:i w:val="0"/>
          <w:iCs/>
        </w:rPr>
        <w:t>)</w:t>
      </w:r>
      <w:r w:rsidR="00DE7FF7" w:rsidRPr="00011ED1">
        <w:rPr>
          <w:i w:val="0"/>
          <w:iCs/>
        </w:rPr>
        <w:t xml:space="preserve"> </w:t>
      </w:r>
      <w:r w:rsidR="004B262D" w:rsidRPr="00011ED1">
        <w:rPr>
          <w:i w:val="0"/>
          <w:iCs/>
        </w:rPr>
        <w:t xml:space="preserve">showed </w:t>
      </w:r>
      <w:r w:rsidR="00213D1F" w:rsidRPr="00011ED1">
        <w:rPr>
          <w:i w:val="0"/>
          <w:iCs/>
        </w:rPr>
        <w:t>tha</w:t>
      </w:r>
      <w:r w:rsidR="00D636D0" w:rsidRPr="00011ED1">
        <w:rPr>
          <w:i w:val="0"/>
          <w:iCs/>
        </w:rPr>
        <w:t xml:space="preserve">t dosing at 1680 mg Q4W </w:t>
      </w:r>
      <w:r w:rsidR="004B262D" w:rsidRPr="00011ED1">
        <w:rPr>
          <w:i w:val="0"/>
          <w:iCs/>
        </w:rPr>
        <w:t xml:space="preserve"> has </w:t>
      </w:r>
      <w:r w:rsidR="00213D1F" w:rsidRPr="00011ED1">
        <w:rPr>
          <w:i w:val="0"/>
          <w:iCs/>
        </w:rPr>
        <w:t>comparable overall exposure to the currently listed 1200 mg Q3W dosing regimen.</w:t>
      </w:r>
      <w:r w:rsidR="00D276BF" w:rsidRPr="00011ED1">
        <w:rPr>
          <w:i w:val="0"/>
          <w:iCs/>
        </w:rPr>
        <w:t xml:space="preserve"> </w:t>
      </w:r>
    </w:p>
    <w:p w:rsidR="001449C6" w:rsidRPr="00011ED1" w:rsidRDefault="00A51B9F" w:rsidP="00367A74">
      <w:pPr>
        <w:pStyle w:val="Bodytextitalics"/>
        <w:numPr>
          <w:ilvl w:val="1"/>
          <w:numId w:val="1"/>
        </w:numPr>
        <w:jc w:val="both"/>
        <w:rPr>
          <w:i w:val="0"/>
          <w:iCs/>
        </w:rPr>
      </w:pPr>
      <w:r w:rsidRPr="00011ED1">
        <w:rPr>
          <w:rFonts w:cstheme="minorHAnsi"/>
          <w:i w:val="0"/>
          <w:szCs w:val="24"/>
        </w:rPr>
        <w:lastRenderedPageBreak/>
        <w:t>The</w:t>
      </w:r>
      <w:r w:rsidR="00B0549B" w:rsidRPr="00011ED1">
        <w:rPr>
          <w:rFonts w:cstheme="minorHAnsi"/>
          <w:i w:val="0"/>
          <w:szCs w:val="24"/>
        </w:rPr>
        <w:t xml:space="preserve"> minor</w:t>
      </w:r>
      <w:r w:rsidRPr="00011ED1">
        <w:rPr>
          <w:rFonts w:cstheme="minorHAnsi"/>
          <w:i w:val="0"/>
          <w:szCs w:val="24"/>
        </w:rPr>
        <w:t xml:space="preserve"> submission noted that </w:t>
      </w:r>
      <w:r w:rsidR="007F5D6F" w:rsidRPr="00011ED1">
        <w:rPr>
          <w:rFonts w:cstheme="minorHAnsi"/>
          <w:i w:val="0"/>
          <w:szCs w:val="24"/>
        </w:rPr>
        <w:t xml:space="preserve">no statistically significant exposure-response relationships were identified for the efficacy endpoints; ORR (objective response rate) and OS (overall survival) </w:t>
      </w:r>
      <w:r w:rsidR="00320F79" w:rsidRPr="00011ED1">
        <w:rPr>
          <w:rFonts w:cstheme="minorHAnsi"/>
          <w:i w:val="0"/>
          <w:szCs w:val="24"/>
        </w:rPr>
        <w:t>with the</w:t>
      </w:r>
      <w:r w:rsidR="007F5D6F" w:rsidRPr="00011ED1">
        <w:rPr>
          <w:rFonts w:cstheme="minorHAnsi"/>
          <w:i w:val="0"/>
          <w:szCs w:val="24"/>
        </w:rPr>
        <w:t xml:space="preserve"> </w:t>
      </w:r>
      <w:r w:rsidR="00320F79" w:rsidRPr="00011ED1">
        <w:rPr>
          <w:rFonts w:cstheme="minorHAnsi"/>
          <w:i w:val="0"/>
          <w:szCs w:val="24"/>
        </w:rPr>
        <w:t xml:space="preserve">atezolizumab </w:t>
      </w:r>
      <w:r w:rsidR="007F5D6F" w:rsidRPr="00011ED1">
        <w:rPr>
          <w:rFonts w:cstheme="minorHAnsi"/>
          <w:i w:val="0"/>
          <w:szCs w:val="24"/>
        </w:rPr>
        <w:t xml:space="preserve">exposure metrics investigated </w:t>
      </w:r>
      <w:r w:rsidRPr="00011ED1">
        <w:rPr>
          <w:rFonts w:cstheme="minorHAnsi"/>
          <w:i w:val="0"/>
          <w:szCs w:val="24"/>
        </w:rPr>
        <w:t>(Cmax</w:t>
      </w:r>
      <w:r w:rsidR="00C07181" w:rsidRPr="00011ED1">
        <w:rPr>
          <w:rStyle w:val="FootnoteReference"/>
          <w:rFonts w:cstheme="minorHAnsi"/>
          <w:i w:val="0"/>
          <w:szCs w:val="24"/>
        </w:rPr>
        <w:footnoteReference w:id="2"/>
      </w:r>
      <w:r w:rsidR="00320F79" w:rsidRPr="00011ED1">
        <w:rPr>
          <w:rFonts w:cstheme="minorHAnsi"/>
          <w:i w:val="0"/>
          <w:szCs w:val="24"/>
        </w:rPr>
        <w:t>, Cmin</w:t>
      </w:r>
      <w:r w:rsidR="00C07181" w:rsidRPr="00011ED1">
        <w:rPr>
          <w:rStyle w:val="FootnoteReference"/>
          <w:rFonts w:cstheme="minorHAnsi"/>
          <w:i w:val="0"/>
          <w:szCs w:val="24"/>
        </w:rPr>
        <w:footnoteReference w:id="3"/>
      </w:r>
      <w:r w:rsidR="00320F79" w:rsidRPr="00011ED1">
        <w:rPr>
          <w:rFonts w:cstheme="minorHAnsi"/>
          <w:i w:val="0"/>
          <w:szCs w:val="24"/>
        </w:rPr>
        <w:t xml:space="preserve"> </w:t>
      </w:r>
      <w:r w:rsidRPr="00011ED1">
        <w:rPr>
          <w:rFonts w:cstheme="minorHAnsi"/>
          <w:i w:val="0"/>
          <w:szCs w:val="24"/>
        </w:rPr>
        <w:t>and AUC</w:t>
      </w:r>
      <w:r w:rsidR="00C07181" w:rsidRPr="00011ED1">
        <w:rPr>
          <w:rStyle w:val="FootnoteReference"/>
          <w:rFonts w:cstheme="minorHAnsi"/>
          <w:i w:val="0"/>
          <w:szCs w:val="24"/>
        </w:rPr>
        <w:footnoteReference w:id="4"/>
      </w:r>
      <w:r w:rsidRPr="00011ED1">
        <w:rPr>
          <w:rFonts w:cstheme="minorHAnsi"/>
          <w:i w:val="0"/>
          <w:szCs w:val="24"/>
        </w:rPr>
        <w:t xml:space="preserve"> at </w:t>
      </w:r>
      <w:r w:rsidR="00863AB5" w:rsidRPr="00011ED1">
        <w:rPr>
          <w:rFonts w:cstheme="minorHAnsi"/>
          <w:i w:val="0"/>
          <w:szCs w:val="24"/>
        </w:rPr>
        <w:t>first dose and steady state</w:t>
      </w:r>
      <w:r w:rsidRPr="00011ED1">
        <w:rPr>
          <w:rFonts w:cstheme="minorHAnsi"/>
          <w:i w:val="0"/>
          <w:szCs w:val="24"/>
        </w:rPr>
        <w:t>)</w:t>
      </w:r>
      <w:r w:rsidR="000C02DF" w:rsidRPr="00011ED1">
        <w:rPr>
          <w:rFonts w:cstheme="minorHAnsi"/>
          <w:i w:val="0"/>
          <w:szCs w:val="24"/>
        </w:rPr>
        <w:t>.</w:t>
      </w:r>
      <w:r w:rsidR="00AD1EF2" w:rsidRPr="00011ED1">
        <w:rPr>
          <w:rFonts w:cstheme="minorHAnsi"/>
          <w:i w:val="0"/>
          <w:szCs w:val="24"/>
        </w:rPr>
        <w:t xml:space="preserve"> </w:t>
      </w:r>
      <w:r w:rsidR="00425BC5" w:rsidRPr="00011ED1">
        <w:rPr>
          <w:rFonts w:cstheme="minorHAnsi"/>
          <w:i w:val="0"/>
          <w:szCs w:val="24"/>
        </w:rPr>
        <w:t>The analysis of the incidence of all AE</w:t>
      </w:r>
      <w:r w:rsidR="005305C3" w:rsidRPr="00011ED1">
        <w:rPr>
          <w:rFonts w:cstheme="minorHAnsi"/>
          <w:i w:val="0"/>
          <w:szCs w:val="24"/>
        </w:rPr>
        <w:t xml:space="preserve"> (adverse event)</w:t>
      </w:r>
      <w:r w:rsidR="00425BC5" w:rsidRPr="00011ED1">
        <w:rPr>
          <w:rFonts w:cstheme="minorHAnsi"/>
          <w:i w:val="0"/>
          <w:szCs w:val="24"/>
        </w:rPr>
        <w:t xml:space="preserve"> categories </w:t>
      </w:r>
      <w:r w:rsidR="001449C6" w:rsidRPr="00011ED1">
        <w:rPr>
          <w:rFonts w:cstheme="minorHAnsi"/>
          <w:i w:val="0"/>
          <w:szCs w:val="24"/>
        </w:rPr>
        <w:t xml:space="preserve">also </w:t>
      </w:r>
      <w:r w:rsidR="00425BC5" w:rsidRPr="00011ED1">
        <w:rPr>
          <w:rFonts w:cstheme="minorHAnsi"/>
          <w:i w:val="0"/>
          <w:szCs w:val="24"/>
        </w:rPr>
        <w:t>did not show a</w:t>
      </w:r>
      <w:r w:rsidR="00D0282F" w:rsidRPr="00011ED1">
        <w:rPr>
          <w:rFonts w:cstheme="minorHAnsi"/>
          <w:i w:val="0"/>
          <w:szCs w:val="24"/>
        </w:rPr>
        <w:t xml:space="preserve">ny </w:t>
      </w:r>
      <w:r w:rsidR="001449C6" w:rsidRPr="00011ED1">
        <w:rPr>
          <w:rFonts w:cstheme="minorHAnsi"/>
          <w:i w:val="0"/>
          <w:szCs w:val="24"/>
        </w:rPr>
        <w:t xml:space="preserve">statistically </w:t>
      </w:r>
      <w:r w:rsidR="00D0282F" w:rsidRPr="00011ED1">
        <w:rPr>
          <w:rFonts w:cstheme="minorHAnsi"/>
          <w:i w:val="0"/>
          <w:szCs w:val="24"/>
        </w:rPr>
        <w:t>significant exposure-safety</w:t>
      </w:r>
      <w:r w:rsidR="00425BC5" w:rsidRPr="00011ED1">
        <w:rPr>
          <w:rFonts w:cstheme="minorHAnsi"/>
          <w:i w:val="0"/>
          <w:szCs w:val="24"/>
        </w:rPr>
        <w:t xml:space="preserve"> relationship</w:t>
      </w:r>
      <w:r w:rsidR="001449C6" w:rsidRPr="00011ED1">
        <w:rPr>
          <w:rFonts w:cstheme="minorHAnsi"/>
          <w:i w:val="0"/>
          <w:szCs w:val="24"/>
        </w:rPr>
        <w:t>s.</w:t>
      </w:r>
      <w:r w:rsidR="00425BC5" w:rsidRPr="00011ED1">
        <w:rPr>
          <w:rFonts w:cstheme="minorHAnsi"/>
          <w:i w:val="0"/>
          <w:szCs w:val="24"/>
        </w:rPr>
        <w:t xml:space="preserve"> </w:t>
      </w:r>
    </w:p>
    <w:p w:rsidR="00DC4E6B" w:rsidRPr="00011ED1" w:rsidRDefault="00CB356A" w:rsidP="00367A74">
      <w:pPr>
        <w:pStyle w:val="Bodytextitalics"/>
        <w:numPr>
          <w:ilvl w:val="1"/>
          <w:numId w:val="1"/>
        </w:numPr>
        <w:jc w:val="both"/>
        <w:rPr>
          <w:i w:val="0"/>
          <w:iCs/>
        </w:rPr>
      </w:pPr>
      <w:r w:rsidRPr="00011ED1">
        <w:rPr>
          <w:i w:val="0"/>
          <w:iCs/>
        </w:rPr>
        <w:t>A</w:t>
      </w:r>
      <w:r w:rsidR="007C2443" w:rsidRPr="00011ED1">
        <w:rPr>
          <w:i w:val="0"/>
          <w:iCs/>
        </w:rPr>
        <w:t>s</w:t>
      </w:r>
      <w:r w:rsidRPr="00011ED1">
        <w:rPr>
          <w:i w:val="0"/>
          <w:iCs/>
        </w:rPr>
        <w:t xml:space="preserve"> a minor submission, the </w:t>
      </w:r>
      <w:r w:rsidR="00283204" w:rsidRPr="00011ED1">
        <w:rPr>
          <w:i w:val="0"/>
          <w:iCs/>
        </w:rPr>
        <w:t>analyses have</w:t>
      </w:r>
      <w:r w:rsidR="007C2443" w:rsidRPr="00011ED1">
        <w:rPr>
          <w:i w:val="0"/>
          <w:iCs/>
        </w:rPr>
        <w:t xml:space="preserve"> not been </w:t>
      </w:r>
      <w:r w:rsidRPr="00011ED1">
        <w:rPr>
          <w:i w:val="0"/>
          <w:iCs/>
        </w:rPr>
        <w:t xml:space="preserve">independently evaluated. </w:t>
      </w:r>
    </w:p>
    <w:p w:rsidR="003C2FB5" w:rsidRPr="00011ED1" w:rsidRDefault="005A3173" w:rsidP="00367A74">
      <w:pPr>
        <w:pStyle w:val="Heading2"/>
        <w:keepLines/>
        <w:spacing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Clinical claim</w:t>
      </w:r>
    </w:p>
    <w:p w:rsidR="00F57A6D" w:rsidRPr="00011ED1" w:rsidRDefault="00FF2801" w:rsidP="00367A74">
      <w:pPr>
        <w:pStyle w:val="Bodytextitalics"/>
        <w:jc w:val="both"/>
        <w:rPr>
          <w:i w:val="0"/>
          <w:iCs/>
        </w:rPr>
      </w:pPr>
      <w:r w:rsidRPr="00011ED1">
        <w:rPr>
          <w:i w:val="0"/>
          <w:iCs/>
        </w:rPr>
        <w:t xml:space="preserve">The </w:t>
      </w:r>
      <w:r w:rsidR="006D6E4C" w:rsidRPr="00011ED1">
        <w:rPr>
          <w:i w:val="0"/>
          <w:iCs/>
        </w:rPr>
        <w:t xml:space="preserve">minor </w:t>
      </w:r>
      <w:r w:rsidRPr="00011ED1">
        <w:rPr>
          <w:i w:val="0"/>
          <w:iCs/>
        </w:rPr>
        <w:t>submission claimed</w:t>
      </w:r>
      <w:r w:rsidR="00BB7EC3" w:rsidRPr="00011ED1">
        <w:rPr>
          <w:i w:val="0"/>
          <w:iCs/>
        </w:rPr>
        <w:t xml:space="preserve"> </w:t>
      </w:r>
      <w:r w:rsidR="00FB0A12" w:rsidRPr="00011ED1">
        <w:rPr>
          <w:i w:val="0"/>
          <w:iCs/>
        </w:rPr>
        <w:t xml:space="preserve">that </w:t>
      </w:r>
      <w:r w:rsidR="00D61F6D" w:rsidRPr="00011ED1">
        <w:rPr>
          <w:i w:val="0"/>
          <w:iCs/>
        </w:rPr>
        <w:t xml:space="preserve">based on the PK modelling and the exposure-response analysis, </w:t>
      </w:r>
      <w:r w:rsidR="00FB0A12" w:rsidRPr="00011ED1">
        <w:rPr>
          <w:i w:val="0"/>
          <w:iCs/>
        </w:rPr>
        <w:t xml:space="preserve">atezolizumab 1680 mg Q4W is </w:t>
      </w:r>
      <w:r w:rsidR="0019748B" w:rsidRPr="00011ED1">
        <w:rPr>
          <w:i w:val="0"/>
          <w:iCs/>
        </w:rPr>
        <w:t>non-inferior to atezolizumab 1200 mg Q3W in terms of efficacy and safety.</w:t>
      </w:r>
    </w:p>
    <w:p w:rsidR="00FE0DA3" w:rsidRPr="00011ED1" w:rsidRDefault="00FE0DA3" w:rsidP="00367A74">
      <w:pPr>
        <w:pStyle w:val="Bodytextitalics"/>
        <w:jc w:val="both"/>
        <w:rPr>
          <w:i w:val="0"/>
          <w:iCs/>
        </w:rPr>
      </w:pPr>
      <w:r w:rsidRPr="00011ED1">
        <w:rPr>
          <w:i w:val="0"/>
          <w:iCs/>
        </w:rPr>
        <w:t>The PBAC considered the</w:t>
      </w:r>
      <w:r w:rsidR="00485576" w:rsidRPr="00011ED1">
        <w:rPr>
          <w:i w:val="0"/>
          <w:iCs/>
        </w:rPr>
        <w:t xml:space="preserve"> claim</w:t>
      </w:r>
      <w:r w:rsidR="00473CF6" w:rsidRPr="00011ED1">
        <w:rPr>
          <w:i w:val="0"/>
          <w:iCs/>
        </w:rPr>
        <w:t>s</w:t>
      </w:r>
      <w:r w:rsidR="00485576" w:rsidRPr="00011ED1">
        <w:rPr>
          <w:i w:val="0"/>
          <w:iCs/>
        </w:rPr>
        <w:t xml:space="preserve"> of non-inferior efficacy and safety</w:t>
      </w:r>
      <w:r w:rsidR="00473CF6" w:rsidRPr="00011ED1">
        <w:rPr>
          <w:i w:val="0"/>
          <w:iCs/>
        </w:rPr>
        <w:t xml:space="preserve"> compared to atezolizumab 1200 mg Q3W</w:t>
      </w:r>
      <w:r w:rsidR="00485576" w:rsidRPr="00011ED1">
        <w:rPr>
          <w:i w:val="0"/>
          <w:iCs/>
        </w:rPr>
        <w:t xml:space="preserve"> to be reasonable </w:t>
      </w:r>
      <w:r w:rsidR="00C24C53" w:rsidRPr="00011ED1">
        <w:rPr>
          <w:i w:val="0"/>
          <w:iCs/>
        </w:rPr>
        <w:t xml:space="preserve">overall </w:t>
      </w:r>
      <w:r w:rsidR="00485576" w:rsidRPr="00011ED1">
        <w:rPr>
          <w:i w:val="0"/>
          <w:iCs/>
        </w:rPr>
        <w:t xml:space="preserve">based on the </w:t>
      </w:r>
      <w:r w:rsidR="00C24C53" w:rsidRPr="00011ED1">
        <w:rPr>
          <w:i w:val="0"/>
          <w:iCs/>
        </w:rPr>
        <w:t>available data</w:t>
      </w:r>
      <w:r w:rsidR="00485576" w:rsidRPr="00011ED1">
        <w:rPr>
          <w:i w:val="0"/>
          <w:iCs/>
        </w:rPr>
        <w:t xml:space="preserve">. </w:t>
      </w:r>
    </w:p>
    <w:p w:rsidR="005A3173" w:rsidRPr="00011ED1" w:rsidRDefault="005A3173" w:rsidP="00367A74">
      <w:pPr>
        <w:pStyle w:val="Heading2"/>
        <w:keepLines/>
        <w:spacing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Economic analysis</w:t>
      </w:r>
      <w:r w:rsidR="009803E4" w:rsidRPr="00011ED1">
        <w:rPr>
          <w:rFonts w:asciiTheme="minorHAnsi" w:eastAsiaTheme="majorEastAsia" w:hAnsiTheme="minorHAnsi" w:cstheme="majorBidi"/>
          <w:sz w:val="28"/>
          <w:szCs w:val="28"/>
          <w:lang w:eastAsia="en-US"/>
        </w:rPr>
        <w:t xml:space="preserve"> </w:t>
      </w:r>
    </w:p>
    <w:p w:rsidR="00A3567C" w:rsidRPr="00011ED1" w:rsidRDefault="009803E4" w:rsidP="00367A74">
      <w:pPr>
        <w:pStyle w:val="Bodytextitalics"/>
        <w:jc w:val="both"/>
        <w:rPr>
          <w:i w:val="0"/>
          <w:iCs/>
        </w:rPr>
      </w:pPr>
      <w:r w:rsidRPr="00011ED1">
        <w:rPr>
          <w:i w:val="0"/>
          <w:iCs/>
        </w:rPr>
        <w:t xml:space="preserve">The </w:t>
      </w:r>
      <w:r w:rsidR="00B0549B" w:rsidRPr="00011ED1">
        <w:rPr>
          <w:i w:val="0"/>
          <w:iCs/>
        </w:rPr>
        <w:t xml:space="preserve">minor </w:t>
      </w:r>
      <w:r w:rsidRPr="00011ED1">
        <w:rPr>
          <w:i w:val="0"/>
          <w:iCs/>
        </w:rPr>
        <w:t xml:space="preserve">submission presented </w:t>
      </w:r>
      <w:r w:rsidR="00CD7A07" w:rsidRPr="00011ED1">
        <w:rPr>
          <w:i w:val="0"/>
          <w:iCs/>
        </w:rPr>
        <w:t xml:space="preserve">two </w:t>
      </w:r>
      <w:r w:rsidRPr="00011ED1">
        <w:rPr>
          <w:i w:val="0"/>
          <w:iCs/>
        </w:rPr>
        <w:t>cost-minimisat</w:t>
      </w:r>
      <w:r w:rsidR="00467A6D" w:rsidRPr="00011ED1">
        <w:rPr>
          <w:i w:val="0"/>
          <w:iCs/>
        </w:rPr>
        <w:t xml:space="preserve">ion </w:t>
      </w:r>
      <w:r w:rsidR="00C93130" w:rsidRPr="00011ED1">
        <w:rPr>
          <w:i w:val="0"/>
          <w:iCs/>
        </w:rPr>
        <w:t xml:space="preserve">analyses </w:t>
      </w:r>
      <w:r w:rsidR="004A2003" w:rsidRPr="00011ED1">
        <w:rPr>
          <w:i w:val="0"/>
          <w:iCs/>
        </w:rPr>
        <w:t xml:space="preserve">against atezolizumab </w:t>
      </w:r>
      <w:r w:rsidR="00467A6D" w:rsidRPr="00011ED1">
        <w:rPr>
          <w:i w:val="0"/>
          <w:iCs/>
        </w:rPr>
        <w:t>1200 mg Q3W</w:t>
      </w:r>
      <w:r w:rsidR="00DD66E8" w:rsidRPr="00011ED1">
        <w:rPr>
          <w:i w:val="0"/>
          <w:iCs/>
        </w:rPr>
        <w:t xml:space="preserve"> </w:t>
      </w:r>
      <w:r w:rsidR="00A6592E" w:rsidRPr="00011ED1">
        <w:rPr>
          <w:i w:val="0"/>
          <w:iCs/>
        </w:rPr>
        <w:t xml:space="preserve">over </w:t>
      </w:r>
      <w:r w:rsidR="00510B99" w:rsidRPr="00011ED1">
        <w:rPr>
          <w:i w:val="0"/>
          <w:iCs/>
        </w:rPr>
        <w:t xml:space="preserve">an </w:t>
      </w:r>
      <w:r w:rsidR="00A6592E" w:rsidRPr="00011ED1">
        <w:rPr>
          <w:i w:val="0"/>
          <w:iCs/>
        </w:rPr>
        <w:t xml:space="preserve">average calendar month (30.4375 days) </w:t>
      </w:r>
      <w:r w:rsidR="004A2003" w:rsidRPr="00011ED1">
        <w:rPr>
          <w:i w:val="0"/>
          <w:iCs/>
        </w:rPr>
        <w:t>for 2L NSCLC and 1L NSCLC</w:t>
      </w:r>
      <w:r w:rsidR="00486B2A" w:rsidRPr="00011ED1">
        <w:rPr>
          <w:i w:val="0"/>
          <w:iCs/>
        </w:rPr>
        <w:t xml:space="preserve"> indications</w:t>
      </w:r>
      <w:r w:rsidR="00CD7A07" w:rsidRPr="00011ED1">
        <w:rPr>
          <w:i w:val="0"/>
          <w:iCs/>
        </w:rPr>
        <w:t>.</w:t>
      </w:r>
      <w:r w:rsidR="00CF7CBB" w:rsidRPr="00011ED1">
        <w:rPr>
          <w:i w:val="0"/>
          <w:iCs/>
        </w:rPr>
        <w:t xml:space="preserve"> The cost minimisation-analyses </w:t>
      </w:r>
      <w:r w:rsidR="00EB50F2" w:rsidRPr="00011ED1">
        <w:rPr>
          <w:i w:val="0"/>
          <w:iCs/>
        </w:rPr>
        <w:t xml:space="preserve">are </w:t>
      </w:r>
      <w:r w:rsidR="00CF7CBB" w:rsidRPr="00011ED1">
        <w:rPr>
          <w:i w:val="0"/>
          <w:iCs/>
        </w:rPr>
        <w:t xml:space="preserve">presented </w:t>
      </w:r>
      <w:r w:rsidR="00135070" w:rsidRPr="00011ED1">
        <w:rPr>
          <w:i w:val="0"/>
          <w:iCs/>
        </w:rPr>
        <w:t>in</w:t>
      </w:r>
      <w:r w:rsidR="00A6592E" w:rsidRPr="00011ED1">
        <w:rPr>
          <w:i w:val="0"/>
          <w:iCs/>
        </w:rPr>
        <w:t xml:space="preserve"> </w:t>
      </w:r>
      <w:r w:rsidR="005C75BC" w:rsidRPr="00011ED1">
        <w:rPr>
          <w:rFonts w:cstheme="minorHAnsi"/>
          <w:i w:val="0"/>
          <w:iCs/>
          <w:szCs w:val="24"/>
        </w:rPr>
        <w:t xml:space="preserve">Table </w:t>
      </w:r>
      <w:r w:rsidR="005C75BC" w:rsidRPr="00FC0F08">
        <w:rPr>
          <w:rFonts w:cstheme="minorHAnsi"/>
          <w:i w:val="0"/>
          <w:iCs/>
          <w:szCs w:val="24"/>
        </w:rPr>
        <w:t>1</w:t>
      </w:r>
      <w:r w:rsidR="00A6592E" w:rsidRPr="00011ED1">
        <w:rPr>
          <w:i w:val="0"/>
          <w:iCs/>
        </w:rPr>
        <w:t xml:space="preserve"> and </w:t>
      </w:r>
      <w:r w:rsidR="005C75BC" w:rsidRPr="00011ED1">
        <w:rPr>
          <w:rFonts w:cstheme="minorHAnsi"/>
          <w:i w:val="0"/>
          <w:iCs/>
          <w:szCs w:val="24"/>
        </w:rPr>
        <w:t xml:space="preserve">Table </w:t>
      </w:r>
      <w:r w:rsidR="005C75BC" w:rsidRPr="00FC0F08">
        <w:rPr>
          <w:rFonts w:cstheme="minorHAnsi"/>
          <w:i w:val="0"/>
          <w:iCs/>
          <w:szCs w:val="24"/>
        </w:rPr>
        <w:t>2</w:t>
      </w:r>
      <w:r w:rsidR="00A3567C" w:rsidRPr="00011ED1">
        <w:rPr>
          <w:i w:val="0"/>
          <w:iCs/>
        </w:rPr>
        <w:t>.</w:t>
      </w:r>
    </w:p>
    <w:p w:rsidR="00135070" w:rsidRPr="00011ED1" w:rsidRDefault="00135070" w:rsidP="00E13C72">
      <w:pPr>
        <w:pStyle w:val="Tabletitles"/>
        <w:keepNext/>
        <w:keepLines/>
        <w:rPr>
          <w:i/>
          <w:iCs/>
        </w:rPr>
      </w:pPr>
      <w:bookmarkStart w:id="2" w:name="_Ref22119801"/>
      <w:r w:rsidRPr="00011ED1">
        <w:lastRenderedPageBreak/>
        <w:t xml:space="preserve">Table </w:t>
      </w:r>
      <w:r w:rsidR="00027C80" w:rsidRPr="00FC0F08">
        <w:t>1</w:t>
      </w:r>
      <w:bookmarkEnd w:id="2"/>
      <w:r w:rsidRPr="00011ED1">
        <w:t>: Cost-minimisation for 2L NSCLC using cost of atezolizumab at effective DPMA</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2. Cost-minimisation for 2L NSCLC using cost of atezolizumab at effective DPMA"/>
      </w:tblPr>
      <w:tblGrid>
        <w:gridCol w:w="3292"/>
        <w:gridCol w:w="2862"/>
        <w:gridCol w:w="2862"/>
      </w:tblGrid>
      <w:tr w:rsidR="00DE48F9" w:rsidRPr="00E13C72" w:rsidTr="00E13C72">
        <w:trPr>
          <w:cantSplit/>
          <w:tblHeader/>
        </w:trPr>
        <w:tc>
          <w:tcPr>
            <w:tcW w:w="1826" w:type="pct"/>
            <w:tcBorders>
              <w:top w:val="single" w:sz="4" w:space="0" w:color="auto"/>
              <w:bottom w:val="single" w:sz="4" w:space="0" w:color="auto"/>
            </w:tcBorders>
            <w:vAlign w:val="center"/>
          </w:tcPr>
          <w:p w:rsidR="00DE48F9" w:rsidRPr="00E13C72" w:rsidRDefault="00DE48F9" w:rsidP="00E13C72">
            <w:pPr>
              <w:pStyle w:val="TableHeadingRow"/>
              <w:keepLines/>
              <w:suppressLineNumbers/>
              <w:suppressAutoHyphens/>
              <w:rPr>
                <w:rFonts w:ascii="Arial Narrow" w:hAnsi="Arial Narrow"/>
              </w:rPr>
            </w:pPr>
          </w:p>
        </w:tc>
        <w:tc>
          <w:tcPr>
            <w:tcW w:w="1587" w:type="pct"/>
            <w:tcBorders>
              <w:top w:val="single" w:sz="4" w:space="0" w:color="auto"/>
              <w:bottom w:val="single" w:sz="4" w:space="0" w:color="auto"/>
            </w:tcBorders>
            <w:vAlign w:val="center"/>
          </w:tcPr>
          <w:p w:rsidR="00DE48F9" w:rsidRPr="00E13C72" w:rsidRDefault="00DE48F9" w:rsidP="00E13C72">
            <w:pPr>
              <w:pStyle w:val="TableHeadingRow"/>
              <w:keepLines/>
              <w:suppressLineNumbers/>
              <w:suppressAutoHyphens/>
              <w:jc w:val="center"/>
              <w:rPr>
                <w:rFonts w:ascii="Arial Narrow" w:hAnsi="Arial Narrow"/>
              </w:rPr>
            </w:pPr>
            <w:r w:rsidRPr="00E13C72">
              <w:rPr>
                <w:rFonts w:ascii="Arial Narrow" w:hAnsi="Arial Narrow"/>
              </w:rPr>
              <w:t>Atezolizumab 1200mg Q3W</w:t>
            </w:r>
          </w:p>
        </w:tc>
        <w:tc>
          <w:tcPr>
            <w:tcW w:w="1587" w:type="pct"/>
            <w:tcBorders>
              <w:top w:val="single" w:sz="4" w:space="0" w:color="auto"/>
              <w:bottom w:val="single" w:sz="4" w:space="0" w:color="auto"/>
            </w:tcBorders>
            <w:vAlign w:val="center"/>
          </w:tcPr>
          <w:p w:rsidR="00DE48F9" w:rsidRPr="00E13C72" w:rsidRDefault="00DE48F9" w:rsidP="00E13C72">
            <w:pPr>
              <w:pStyle w:val="TableHeadingRow"/>
              <w:keepLines/>
              <w:suppressLineNumbers/>
              <w:suppressAutoHyphens/>
              <w:jc w:val="center"/>
              <w:rPr>
                <w:rFonts w:ascii="Arial Narrow" w:hAnsi="Arial Narrow"/>
              </w:rPr>
            </w:pPr>
            <w:r w:rsidRPr="00E13C72">
              <w:rPr>
                <w:rFonts w:ascii="Arial Narrow" w:hAnsi="Arial Narrow"/>
              </w:rPr>
              <w:t>Atezolizumab 1680mg Q4W</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EEMP per administration</w:t>
            </w:r>
            <w:r w:rsidR="001B4281" w:rsidRPr="00E13C72">
              <w:rPr>
                <w:rFonts w:ascii="Arial Narrow" w:hAnsi="Arial Narrow"/>
                <w:vertAlign w:val="superscript"/>
              </w:rPr>
              <w:t>a</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vertAlign w:val="superscript"/>
              </w:rPr>
            </w:pPr>
            <w:r w:rsidRPr="00E13C72">
              <w:rPr>
                <w:rFonts w:ascii="Arial Narrow" w:hAnsi="Arial Narrow"/>
              </w:rPr>
              <w:t>EEMP per month</w:t>
            </w:r>
            <w:r w:rsidR="003D0594" w:rsidRPr="00E13C72">
              <w:rPr>
                <w:rFonts w:ascii="Arial Narrow" w:hAnsi="Arial Narrow"/>
                <w:vertAlign w:val="superscript"/>
              </w:rPr>
              <w:t>b</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Weighted</w:t>
            </w:r>
            <w:r w:rsidR="000F7B9A" w:rsidRPr="00E13C72">
              <w:rPr>
                <w:rFonts w:ascii="Arial Narrow" w:hAnsi="Arial Narrow"/>
                <w:vertAlign w:val="superscript"/>
              </w:rPr>
              <w:t>c</w:t>
            </w:r>
            <w:r w:rsidRPr="00E13C72">
              <w:rPr>
                <w:rFonts w:ascii="Arial Narrow" w:hAnsi="Arial Narrow"/>
              </w:rPr>
              <w:t xml:space="preserve"> DPMA per administration</w:t>
            </w:r>
            <w:r w:rsidR="000F7B9A" w:rsidRPr="00E13C72">
              <w:rPr>
                <w:rFonts w:ascii="Arial Narrow" w:hAnsi="Arial Narrow"/>
                <w:vertAlign w:val="superscript"/>
              </w:rPr>
              <w:t>d</w:t>
            </w:r>
          </w:p>
        </w:tc>
        <w:tc>
          <w:tcPr>
            <w:tcW w:w="1587"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Weighted DPMA per month</w:t>
            </w:r>
          </w:p>
        </w:tc>
        <w:tc>
          <w:tcPr>
            <w:tcW w:w="1587"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Cost of administration</w:t>
            </w:r>
            <w:r w:rsidR="00B66DA3" w:rsidRPr="00E13C72">
              <w:rPr>
                <w:rFonts w:ascii="Arial Narrow" w:hAnsi="Arial Narrow"/>
              </w:rPr>
              <w:t xml:space="preserve"> (IV infusion)</w:t>
            </w:r>
            <w:r w:rsidR="000F7B9A" w:rsidRPr="00E13C72">
              <w:rPr>
                <w:rFonts w:ascii="Arial Narrow" w:hAnsi="Arial Narrow"/>
                <w:vertAlign w:val="superscript"/>
              </w:rPr>
              <w:t>e</w:t>
            </w:r>
          </w:p>
        </w:tc>
        <w:tc>
          <w:tcPr>
            <w:tcW w:w="1587"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$66.10</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$66.10</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Cost of administration per month</w:t>
            </w:r>
          </w:p>
        </w:tc>
        <w:tc>
          <w:tcPr>
            <w:tcW w:w="1587"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$95.81</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$71.85</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rPr>
            </w:pPr>
            <w:r w:rsidRPr="00E13C72">
              <w:rPr>
                <w:rFonts w:ascii="Arial Narrow" w:hAnsi="Arial Narrow"/>
              </w:rPr>
              <w:t>Total cost per administration</w:t>
            </w:r>
          </w:p>
        </w:tc>
        <w:tc>
          <w:tcPr>
            <w:tcW w:w="1587"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DE48F9" w:rsidRPr="00E13C72" w:rsidTr="00E13C72">
        <w:trPr>
          <w:cantSplit/>
          <w:tblHeader/>
        </w:trPr>
        <w:tc>
          <w:tcPr>
            <w:tcW w:w="1826" w:type="pct"/>
            <w:tcBorders>
              <w:top w:val="single" w:sz="4" w:space="0" w:color="auto"/>
              <w:bottom w:val="single" w:sz="4" w:space="0" w:color="auto"/>
            </w:tcBorders>
          </w:tcPr>
          <w:p w:rsidR="00DE48F9" w:rsidRPr="00E13C72" w:rsidRDefault="00DE48F9" w:rsidP="00E13C72">
            <w:pPr>
              <w:pStyle w:val="TableText1"/>
              <w:keepNext/>
              <w:keepLines/>
              <w:suppressLineNumbers/>
              <w:suppressAutoHyphens/>
              <w:rPr>
                <w:rFonts w:ascii="Arial Narrow" w:hAnsi="Arial Narrow"/>
                <w:b/>
              </w:rPr>
            </w:pPr>
            <w:r w:rsidRPr="00E13C72">
              <w:rPr>
                <w:rFonts w:ascii="Arial Narrow" w:hAnsi="Arial Narrow"/>
                <w:b/>
              </w:rPr>
              <w:t>Total cost per month (cost-minimised)</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b/>
              </w:rPr>
            </w:pPr>
            <w:r w:rsidRPr="00E13C72">
              <w:rPr>
                <w:rFonts w:ascii="Arial Narrow" w:hAnsi="Arial Narrow"/>
                <w:b/>
              </w:rPr>
              <w:t>$</w:t>
            </w:r>
            <w:r w:rsidR="00F45ED5">
              <w:rPr>
                <w:rFonts w:ascii="Arial Narrow" w:hAnsi="Arial Narrow"/>
                <w:b/>
                <w:noProof/>
                <w:color w:val="000000"/>
                <w:highlight w:val="black"/>
              </w:rPr>
              <w:t>''''''''''''''''''</w:t>
            </w:r>
          </w:p>
        </w:tc>
        <w:tc>
          <w:tcPr>
            <w:tcW w:w="1587" w:type="pct"/>
            <w:tcBorders>
              <w:top w:val="single" w:sz="4" w:space="0" w:color="auto"/>
              <w:bottom w:val="single" w:sz="4" w:space="0" w:color="auto"/>
            </w:tcBorders>
            <w:vAlign w:val="center"/>
          </w:tcPr>
          <w:p w:rsidR="00DE48F9" w:rsidRPr="00E13C72" w:rsidRDefault="00DE48F9" w:rsidP="00E13C72">
            <w:pPr>
              <w:pStyle w:val="TableText1"/>
              <w:keepNext/>
              <w:keepLines/>
              <w:suppressLineNumbers/>
              <w:suppressAutoHyphens/>
              <w:jc w:val="center"/>
              <w:rPr>
                <w:rFonts w:ascii="Arial Narrow" w:hAnsi="Arial Narrow"/>
                <w:b/>
              </w:rPr>
            </w:pPr>
            <w:r w:rsidRPr="00E13C72">
              <w:rPr>
                <w:rFonts w:ascii="Arial Narrow" w:hAnsi="Arial Narrow"/>
                <w:b/>
              </w:rPr>
              <w:t>$</w:t>
            </w:r>
            <w:r w:rsidR="00F45ED5">
              <w:rPr>
                <w:rFonts w:ascii="Arial Narrow" w:hAnsi="Arial Narrow"/>
                <w:b/>
                <w:noProof/>
                <w:color w:val="000000"/>
                <w:highlight w:val="black"/>
              </w:rPr>
              <w:t>''''''''''''''''''</w:t>
            </w:r>
          </w:p>
        </w:tc>
      </w:tr>
    </w:tbl>
    <w:p w:rsidR="00A6592E" w:rsidRPr="00011ED1" w:rsidRDefault="00DE48F9" w:rsidP="00E13C72">
      <w:pPr>
        <w:pStyle w:val="TableFooter"/>
        <w:keepNext/>
        <w:keepLines/>
        <w:rPr>
          <w:i/>
        </w:rPr>
      </w:pPr>
      <w:r w:rsidRPr="00011ED1">
        <w:t xml:space="preserve">Source: Table 5.1, p15 of the submission </w:t>
      </w:r>
    </w:p>
    <w:p w:rsidR="001B4281" w:rsidRPr="00011ED1" w:rsidRDefault="001B4281" w:rsidP="00E13C72">
      <w:pPr>
        <w:pStyle w:val="TableFooter"/>
        <w:keepNext/>
        <w:keepLines/>
        <w:rPr>
          <w:rFonts w:eastAsiaTheme="minorHAnsi" w:cstheme="minorBidi"/>
        </w:rPr>
      </w:pPr>
      <w:r w:rsidRPr="00011ED1">
        <w:rPr>
          <w:rFonts w:eastAsiaTheme="minorHAnsi" w:cstheme="minorBidi"/>
        </w:rPr>
        <w:t>Abbreviations: EEMP: effective ex-manufacturer price; DPMA: dispensed price for maximum amount</w:t>
      </w:r>
    </w:p>
    <w:p w:rsidR="001B4281" w:rsidRPr="00011ED1" w:rsidRDefault="001B4281" w:rsidP="00E13C72">
      <w:pPr>
        <w:pStyle w:val="TableFooter"/>
        <w:keepNext/>
        <w:keepLines/>
        <w:rPr>
          <w:rFonts w:eastAsiaTheme="minorHAnsi" w:cstheme="minorBidi"/>
        </w:rPr>
      </w:pPr>
      <w:r w:rsidRPr="00011ED1">
        <w:rPr>
          <w:rFonts w:eastAsiaTheme="minorHAnsi" w:cstheme="minorBidi"/>
          <w:vertAlign w:val="superscript"/>
        </w:rPr>
        <w:t>a</w:t>
      </w:r>
      <w:r w:rsidRPr="00011ED1">
        <w:rPr>
          <w:rFonts w:eastAsiaTheme="minorHAnsi" w:cstheme="minorBidi"/>
        </w:rPr>
        <w:t xml:space="preserve"> Based on effective prices.</w:t>
      </w:r>
    </w:p>
    <w:p w:rsidR="003D0594" w:rsidRPr="00011ED1" w:rsidRDefault="003D0594" w:rsidP="00E13C72">
      <w:pPr>
        <w:pStyle w:val="TableFooter"/>
        <w:keepNext/>
        <w:keepLines/>
        <w:rPr>
          <w:rFonts w:eastAsiaTheme="minorHAnsi" w:cstheme="minorBidi"/>
        </w:rPr>
      </w:pPr>
      <w:r w:rsidRPr="00011ED1">
        <w:rPr>
          <w:rFonts w:eastAsiaTheme="minorHAnsi" w:cstheme="minorBidi"/>
          <w:vertAlign w:val="superscript"/>
        </w:rPr>
        <w:t>b</w:t>
      </w:r>
      <w:r w:rsidRPr="00011ED1">
        <w:rPr>
          <w:rFonts w:eastAsiaTheme="minorHAnsi" w:cstheme="minorBidi"/>
        </w:rPr>
        <w:t xml:space="preserve"> Based on 1.45 administrations per month for Q3W dosing and 1.09 </w:t>
      </w:r>
      <w:r w:rsidR="00FD6C87" w:rsidRPr="00011ED1">
        <w:rPr>
          <w:rFonts w:eastAsiaTheme="minorHAnsi" w:cstheme="minorBidi"/>
        </w:rPr>
        <w:t xml:space="preserve">for Q4W dosing </w:t>
      </w:r>
    </w:p>
    <w:p w:rsidR="001B4281" w:rsidRPr="00011ED1" w:rsidRDefault="008834DD" w:rsidP="00E13C72">
      <w:pPr>
        <w:pStyle w:val="TableFooter"/>
        <w:keepNext/>
        <w:keepLines/>
        <w:rPr>
          <w:rFonts w:eastAsiaTheme="minorHAnsi" w:cstheme="minorBidi"/>
          <w:i/>
        </w:rPr>
      </w:pPr>
      <w:r w:rsidRPr="00011ED1">
        <w:rPr>
          <w:rFonts w:eastAsiaTheme="minorHAnsi" w:cstheme="minorBidi"/>
          <w:vertAlign w:val="superscript"/>
        </w:rPr>
        <w:t>c</w:t>
      </w:r>
      <w:r w:rsidR="001B4281" w:rsidRPr="00011ED1">
        <w:rPr>
          <w:rFonts w:eastAsiaTheme="minorHAnsi" w:cstheme="minorBidi"/>
          <w:vertAlign w:val="superscript"/>
        </w:rPr>
        <w:t xml:space="preserve"> </w:t>
      </w:r>
      <w:r w:rsidR="008847F6" w:rsidRPr="00011ED1">
        <w:rPr>
          <w:rFonts w:eastAsiaTheme="minorHAnsi" w:cstheme="minorBidi"/>
          <w:vertAlign w:val="superscript"/>
        </w:rPr>
        <w:t xml:space="preserve"> </w:t>
      </w:r>
      <w:r w:rsidR="000F7B9A" w:rsidRPr="00011ED1">
        <w:rPr>
          <w:rFonts w:eastAsiaTheme="minorHAnsi" w:cstheme="minorBidi"/>
        </w:rPr>
        <w:t>T</w:t>
      </w:r>
      <w:r w:rsidR="008847F6" w:rsidRPr="00011ED1">
        <w:rPr>
          <w:rFonts w:eastAsiaTheme="minorHAnsi" w:cstheme="minorBidi"/>
        </w:rPr>
        <w:t xml:space="preserve">he weightings </w:t>
      </w:r>
      <w:r w:rsidR="001B4281" w:rsidRPr="00011ED1">
        <w:rPr>
          <w:rFonts w:eastAsiaTheme="minorHAnsi" w:cstheme="minorBidi"/>
        </w:rPr>
        <w:t>across private</w:t>
      </w:r>
      <w:r w:rsidR="00F959C2" w:rsidRPr="00011ED1">
        <w:rPr>
          <w:rFonts w:eastAsiaTheme="minorHAnsi" w:cstheme="minorBidi"/>
        </w:rPr>
        <w:t xml:space="preserve"> (66.1%)</w:t>
      </w:r>
      <w:r w:rsidR="000F7B9A" w:rsidRPr="00011ED1">
        <w:rPr>
          <w:rFonts w:eastAsiaTheme="minorHAnsi" w:cstheme="minorBidi"/>
        </w:rPr>
        <w:t xml:space="preserve"> and </w:t>
      </w:r>
      <w:r w:rsidR="001B4281" w:rsidRPr="00011ED1">
        <w:rPr>
          <w:rFonts w:eastAsiaTheme="minorHAnsi" w:cstheme="minorBidi"/>
        </w:rPr>
        <w:t>public</w:t>
      </w:r>
      <w:r w:rsidR="00F959C2" w:rsidRPr="00011ED1">
        <w:rPr>
          <w:rFonts w:eastAsiaTheme="minorHAnsi" w:cstheme="minorBidi"/>
        </w:rPr>
        <w:t xml:space="preserve"> (33.9%)</w:t>
      </w:r>
      <w:r w:rsidR="001B4281" w:rsidRPr="00011ED1">
        <w:rPr>
          <w:rFonts w:eastAsiaTheme="minorHAnsi" w:cstheme="minorBidi"/>
        </w:rPr>
        <w:t xml:space="preserve"> hos</w:t>
      </w:r>
      <w:r w:rsidR="009E59E8" w:rsidRPr="00011ED1">
        <w:rPr>
          <w:rFonts w:eastAsiaTheme="minorHAnsi" w:cstheme="minorBidi"/>
        </w:rPr>
        <w:t>pital</w:t>
      </w:r>
      <w:r w:rsidR="00DA4575" w:rsidRPr="00011ED1">
        <w:rPr>
          <w:rFonts w:eastAsiaTheme="minorHAnsi" w:cstheme="minorBidi"/>
        </w:rPr>
        <w:t xml:space="preserve"> settings</w:t>
      </w:r>
      <w:r w:rsidR="009E59E8" w:rsidRPr="00011ED1">
        <w:rPr>
          <w:rFonts w:eastAsiaTheme="minorHAnsi" w:cstheme="minorBidi"/>
        </w:rPr>
        <w:t xml:space="preserve"> </w:t>
      </w:r>
      <w:r w:rsidR="000F7B9A" w:rsidRPr="00011ED1">
        <w:rPr>
          <w:rFonts w:eastAsiaTheme="minorHAnsi" w:cstheme="minorBidi"/>
        </w:rPr>
        <w:t xml:space="preserve">were derived </w:t>
      </w:r>
      <w:r w:rsidR="008847F6" w:rsidRPr="00011ED1">
        <w:rPr>
          <w:rFonts w:eastAsiaTheme="minorHAnsi" w:cstheme="minorBidi"/>
        </w:rPr>
        <w:t>based on</w:t>
      </w:r>
      <w:r w:rsidR="009E59E8" w:rsidRPr="00011ED1">
        <w:rPr>
          <w:rFonts w:eastAsiaTheme="minorHAnsi" w:cstheme="minorBidi"/>
        </w:rPr>
        <w:t xml:space="preserve"> </w:t>
      </w:r>
      <w:r w:rsidR="00E85009" w:rsidRPr="00011ED1">
        <w:rPr>
          <w:rFonts w:eastAsiaTheme="minorHAnsi" w:cstheme="minorBidi"/>
        </w:rPr>
        <w:t>PBS statistics</w:t>
      </w:r>
      <w:r w:rsidR="00F24CA7" w:rsidRPr="00011ED1">
        <w:rPr>
          <w:rFonts w:eastAsiaTheme="minorHAnsi" w:cstheme="minorBidi"/>
        </w:rPr>
        <w:t xml:space="preserve"> from July 2018 to June 2019</w:t>
      </w:r>
      <w:r w:rsidR="000F7B9A" w:rsidRPr="00011ED1">
        <w:rPr>
          <w:rFonts w:eastAsiaTheme="minorHAnsi" w:cstheme="minorBidi"/>
        </w:rPr>
        <w:t>.</w:t>
      </w:r>
    </w:p>
    <w:p w:rsidR="001B4281" w:rsidRPr="00011ED1" w:rsidRDefault="008834DD" w:rsidP="00E13C72">
      <w:pPr>
        <w:pStyle w:val="TableFooter"/>
        <w:keepNext/>
        <w:keepLines/>
        <w:rPr>
          <w:rFonts w:eastAsiaTheme="minorHAnsi" w:cstheme="minorBidi"/>
        </w:rPr>
      </w:pPr>
      <w:r w:rsidRPr="00011ED1">
        <w:rPr>
          <w:rFonts w:eastAsiaTheme="minorHAnsi" w:cstheme="minorBidi"/>
          <w:vertAlign w:val="superscript"/>
        </w:rPr>
        <w:t>d</w:t>
      </w:r>
      <w:r w:rsidR="001B4281" w:rsidRPr="00011ED1">
        <w:rPr>
          <w:rFonts w:eastAsiaTheme="minorHAnsi" w:cstheme="minorBidi"/>
          <w:vertAlign w:val="superscript"/>
        </w:rPr>
        <w:t xml:space="preserve"> </w:t>
      </w:r>
      <w:r w:rsidR="000F7B9A" w:rsidRPr="00011ED1">
        <w:t>DPMA was calculated</w:t>
      </w:r>
      <w:r w:rsidR="004921EA" w:rsidRPr="00011ED1">
        <w:t xml:space="preserve"> using EEMP and </w:t>
      </w:r>
      <w:r w:rsidR="000F7B9A" w:rsidRPr="00011ED1">
        <w:t>applicable fees and mark-ups under the Efficient Funding of Chemotherapy (EFC) initiative in the public and private hospital settings, which included the preparation fee ($85.06) in the public and private settings, and the ready prepared dispensing fee ($7.39)</w:t>
      </w:r>
      <w:r w:rsidR="00CF0EAE" w:rsidRPr="00011ED1">
        <w:t xml:space="preserve">, distribution fee ($27.02), </w:t>
      </w:r>
      <w:r w:rsidR="000F7B9A" w:rsidRPr="00011ED1">
        <w:t>diluent fee ($5.35)</w:t>
      </w:r>
      <w:r w:rsidR="00CF0EAE" w:rsidRPr="00011ED1">
        <w:t xml:space="preserve"> and mark ups at 1.4% of the drug cost </w:t>
      </w:r>
      <w:r w:rsidR="00CF0EAE" w:rsidRPr="00DE51C2">
        <w:t>($</w:t>
      </w:r>
      <w:r w:rsidR="00F45ED5">
        <w:rPr>
          <w:noProof/>
          <w:color w:val="000000"/>
          <w:highlight w:val="black"/>
        </w:rPr>
        <w:t>'''''''''''''''</w:t>
      </w:r>
      <w:r w:rsidR="00CF0EAE" w:rsidRPr="00DE51C2">
        <w:t>)</w:t>
      </w:r>
      <w:r w:rsidR="000F7B9A" w:rsidRPr="00DE51C2">
        <w:t xml:space="preserve"> in the</w:t>
      </w:r>
      <w:r w:rsidR="000F7B9A" w:rsidRPr="00011ED1">
        <w:t xml:space="preserve"> private hospital setting only</w:t>
      </w:r>
    </w:p>
    <w:p w:rsidR="009E51AA" w:rsidRPr="00011ED1" w:rsidRDefault="00AD133D" w:rsidP="00E13C72">
      <w:pPr>
        <w:pStyle w:val="TableFooter"/>
        <w:keepNext/>
        <w:keepLines/>
        <w:rPr>
          <w:rFonts w:eastAsiaTheme="minorHAnsi" w:cstheme="minorBidi"/>
        </w:rPr>
      </w:pPr>
      <w:r w:rsidRPr="00011ED1">
        <w:rPr>
          <w:rFonts w:eastAsiaTheme="minorHAnsi" w:cstheme="minorBidi"/>
          <w:vertAlign w:val="superscript"/>
        </w:rPr>
        <w:t>e</w:t>
      </w:r>
      <w:r w:rsidRPr="00011ED1">
        <w:rPr>
          <w:rFonts w:eastAsiaTheme="minorHAnsi" w:cstheme="minorBidi"/>
        </w:rPr>
        <w:t xml:space="preserve"> </w:t>
      </w:r>
      <w:r w:rsidR="000F7B9A" w:rsidRPr="00011ED1">
        <w:rPr>
          <w:rFonts w:eastAsiaTheme="minorHAnsi" w:cstheme="minorBidi"/>
        </w:rPr>
        <w:t>Administration/infusion costs based on MBS item 13915</w:t>
      </w:r>
    </w:p>
    <w:p w:rsidR="003F6559" w:rsidRPr="00011ED1" w:rsidRDefault="003F6559" w:rsidP="00E13C72">
      <w:pPr>
        <w:keepNext/>
        <w:keepLines/>
        <w:suppressLineNumbers/>
        <w:suppressAutoHyphens/>
        <w:rPr>
          <w:rFonts w:ascii="Arial Narrow" w:eastAsiaTheme="minorHAnsi" w:hAnsi="Arial Narrow" w:cstheme="minorBidi"/>
          <w:sz w:val="18"/>
          <w:szCs w:val="18"/>
        </w:rPr>
      </w:pPr>
    </w:p>
    <w:p w:rsidR="006E5B40" w:rsidRPr="00011ED1" w:rsidRDefault="006E5B40" w:rsidP="00E13C72">
      <w:pPr>
        <w:pStyle w:val="Tabletitles"/>
        <w:rPr>
          <w:i/>
          <w:iCs/>
        </w:rPr>
      </w:pPr>
      <w:bookmarkStart w:id="3" w:name="_Ref22120045"/>
      <w:r w:rsidRPr="00011ED1">
        <w:t xml:space="preserve">Table </w:t>
      </w:r>
      <w:r w:rsidR="00452433" w:rsidRPr="00FC0F08">
        <w:t>2</w:t>
      </w:r>
      <w:bookmarkEnd w:id="3"/>
      <w:r w:rsidRPr="00011ED1">
        <w:t>: Cost-minimisation for 1L NSCLC using cost of atezolizumab at effective DPMA</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3. Cost-minimisation for 1L NSCLC using cost of atezolizumab at effective DPMA "/>
      </w:tblPr>
      <w:tblGrid>
        <w:gridCol w:w="3248"/>
        <w:gridCol w:w="2692"/>
        <w:gridCol w:w="3076"/>
      </w:tblGrid>
      <w:tr w:rsidR="009E51AA" w:rsidRPr="00E13C72" w:rsidTr="00E13C72">
        <w:trPr>
          <w:cantSplit/>
          <w:tblHeader/>
        </w:trPr>
        <w:tc>
          <w:tcPr>
            <w:tcW w:w="1801" w:type="pct"/>
            <w:tcBorders>
              <w:top w:val="single" w:sz="4" w:space="0" w:color="auto"/>
              <w:bottom w:val="single" w:sz="4" w:space="0" w:color="auto"/>
            </w:tcBorders>
            <w:vAlign w:val="center"/>
          </w:tcPr>
          <w:p w:rsidR="009E51AA" w:rsidRPr="00E13C72" w:rsidRDefault="009E51AA" w:rsidP="00367A74">
            <w:pPr>
              <w:pStyle w:val="TableHeadingRow"/>
              <w:keepLines/>
              <w:suppressLineNumbers/>
              <w:suppressAutoHyphens/>
              <w:rPr>
                <w:rFonts w:ascii="Arial Narrow" w:hAnsi="Arial Narrow"/>
              </w:rPr>
            </w:pPr>
          </w:p>
        </w:tc>
        <w:tc>
          <w:tcPr>
            <w:tcW w:w="1493" w:type="pct"/>
            <w:tcBorders>
              <w:top w:val="single" w:sz="4" w:space="0" w:color="auto"/>
              <w:bottom w:val="single" w:sz="4" w:space="0" w:color="auto"/>
            </w:tcBorders>
            <w:vAlign w:val="center"/>
          </w:tcPr>
          <w:p w:rsidR="009E51AA" w:rsidRPr="00E13C72" w:rsidRDefault="009E51AA" w:rsidP="00367A74">
            <w:pPr>
              <w:pStyle w:val="TableHeadingRow"/>
              <w:keepLines/>
              <w:suppressLineNumbers/>
              <w:suppressAutoHyphens/>
              <w:jc w:val="center"/>
              <w:rPr>
                <w:rFonts w:ascii="Arial Narrow" w:hAnsi="Arial Narrow"/>
              </w:rPr>
            </w:pPr>
            <w:r w:rsidRPr="00E13C72">
              <w:rPr>
                <w:rFonts w:ascii="Arial Narrow" w:hAnsi="Arial Narrow"/>
              </w:rPr>
              <w:t>Atezolizumab 1200mg Q3W</w:t>
            </w:r>
          </w:p>
        </w:tc>
        <w:tc>
          <w:tcPr>
            <w:tcW w:w="1706" w:type="pct"/>
            <w:tcBorders>
              <w:top w:val="single" w:sz="4" w:space="0" w:color="auto"/>
              <w:bottom w:val="single" w:sz="4" w:space="0" w:color="auto"/>
            </w:tcBorders>
            <w:vAlign w:val="center"/>
          </w:tcPr>
          <w:p w:rsidR="009E51AA" w:rsidRPr="00E13C72" w:rsidRDefault="009E51AA" w:rsidP="00367A74">
            <w:pPr>
              <w:pStyle w:val="TableHeadingRow"/>
              <w:keepLines/>
              <w:suppressLineNumbers/>
              <w:suppressAutoHyphens/>
              <w:jc w:val="center"/>
              <w:rPr>
                <w:rFonts w:ascii="Arial Narrow" w:hAnsi="Arial Narrow"/>
              </w:rPr>
            </w:pPr>
            <w:r w:rsidRPr="00E13C72">
              <w:rPr>
                <w:rFonts w:ascii="Arial Narrow" w:hAnsi="Arial Narrow"/>
              </w:rPr>
              <w:t>Atezolizumab 1680mg Q4W</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EEMP per administration</w:t>
            </w:r>
            <w:r w:rsidR="00360CF0" w:rsidRPr="00E13C72">
              <w:rPr>
                <w:rFonts w:ascii="Arial Narrow" w:hAnsi="Arial Narrow"/>
                <w:vertAlign w:val="superscript"/>
              </w:rPr>
              <w:t>a</w:t>
            </w:r>
          </w:p>
        </w:tc>
        <w:tc>
          <w:tcPr>
            <w:tcW w:w="1493"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1706"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EEMP per month</w:t>
            </w:r>
            <w:r w:rsidR="004921EA" w:rsidRPr="00E13C72">
              <w:rPr>
                <w:rFonts w:ascii="Arial Narrow" w:hAnsi="Arial Narrow"/>
                <w:vertAlign w:val="superscript"/>
              </w:rPr>
              <w:t>b</w:t>
            </w:r>
          </w:p>
        </w:tc>
        <w:tc>
          <w:tcPr>
            <w:tcW w:w="1493"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1706"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Weighted</w:t>
            </w:r>
            <w:r w:rsidR="004921EA" w:rsidRPr="00E13C72">
              <w:rPr>
                <w:rFonts w:ascii="Arial Narrow" w:hAnsi="Arial Narrow"/>
                <w:vertAlign w:val="superscript"/>
              </w:rPr>
              <w:t>c</w:t>
            </w:r>
            <w:r w:rsidRPr="00E13C72">
              <w:rPr>
                <w:rFonts w:ascii="Arial Narrow" w:hAnsi="Arial Narrow"/>
              </w:rPr>
              <w:t xml:space="preserve"> DPMA per administration</w:t>
            </w:r>
            <w:r w:rsidR="004921EA" w:rsidRPr="00E13C72">
              <w:rPr>
                <w:rFonts w:ascii="Arial Narrow" w:hAnsi="Arial Narrow"/>
                <w:vertAlign w:val="superscript"/>
              </w:rPr>
              <w:t>d</w:t>
            </w:r>
          </w:p>
        </w:tc>
        <w:tc>
          <w:tcPr>
            <w:tcW w:w="1493"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1706"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Weighted DPMA per month</w:t>
            </w:r>
          </w:p>
        </w:tc>
        <w:tc>
          <w:tcPr>
            <w:tcW w:w="1493"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1706"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Cost of administration</w:t>
            </w:r>
            <w:r w:rsidR="00EA1208" w:rsidRPr="00E13C72">
              <w:rPr>
                <w:rFonts w:ascii="Arial Narrow" w:hAnsi="Arial Narrow"/>
              </w:rPr>
              <w:t xml:space="preserve"> (IV infusion)</w:t>
            </w:r>
            <w:r w:rsidR="004921EA" w:rsidRPr="00E13C72">
              <w:rPr>
                <w:rFonts w:ascii="Arial Narrow" w:hAnsi="Arial Narrow"/>
                <w:vertAlign w:val="superscript"/>
              </w:rPr>
              <w:t>e</w:t>
            </w:r>
          </w:p>
        </w:tc>
        <w:tc>
          <w:tcPr>
            <w:tcW w:w="1493"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$66.10</w:t>
            </w:r>
          </w:p>
        </w:tc>
        <w:tc>
          <w:tcPr>
            <w:tcW w:w="1706" w:type="pct"/>
            <w:tcBorders>
              <w:top w:val="single" w:sz="4" w:space="0" w:color="auto"/>
              <w:bottom w:val="single" w:sz="4" w:space="0" w:color="auto"/>
            </w:tcBorders>
            <w:vAlign w:val="center"/>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$66.10</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Cost of administration per month</w:t>
            </w:r>
          </w:p>
        </w:tc>
        <w:tc>
          <w:tcPr>
            <w:tcW w:w="1493"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$95.81</w:t>
            </w:r>
          </w:p>
        </w:tc>
        <w:tc>
          <w:tcPr>
            <w:tcW w:w="1706" w:type="pct"/>
            <w:tcBorders>
              <w:top w:val="single" w:sz="4" w:space="0" w:color="auto"/>
              <w:bottom w:val="single" w:sz="4" w:space="0" w:color="auto"/>
            </w:tcBorders>
            <w:vAlign w:val="center"/>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$71.85</w:t>
            </w:r>
          </w:p>
        </w:tc>
      </w:tr>
      <w:tr w:rsidR="009E51AA" w:rsidRPr="00E13C72" w:rsidTr="00E13C72">
        <w:trPr>
          <w:cantSplit/>
          <w:tblHeader/>
        </w:trPr>
        <w:tc>
          <w:tcPr>
            <w:tcW w:w="1801" w:type="pct"/>
            <w:tcBorders>
              <w:top w:val="single" w:sz="4" w:space="0" w:color="auto"/>
              <w:bottom w:val="single" w:sz="4" w:space="0" w:color="auto"/>
            </w:tcBorders>
          </w:tcPr>
          <w:p w:rsidR="009E51AA" w:rsidRPr="00E13C72" w:rsidRDefault="009E51AA" w:rsidP="00367A74">
            <w:pPr>
              <w:pStyle w:val="TableText1"/>
              <w:keepNext/>
              <w:keepLines/>
              <w:suppressLineNumbers/>
              <w:suppressAutoHyphens/>
              <w:rPr>
                <w:rFonts w:ascii="Arial Narrow" w:hAnsi="Arial Narrow"/>
              </w:rPr>
            </w:pPr>
            <w:r w:rsidRPr="00E13C72">
              <w:rPr>
                <w:rFonts w:ascii="Arial Narrow" w:hAnsi="Arial Narrow"/>
              </w:rPr>
              <w:t>Total cost per administration</w:t>
            </w:r>
          </w:p>
        </w:tc>
        <w:tc>
          <w:tcPr>
            <w:tcW w:w="1493" w:type="pct"/>
            <w:tcBorders>
              <w:top w:val="single" w:sz="4" w:space="0" w:color="auto"/>
              <w:bottom w:val="single" w:sz="4" w:space="0" w:color="auto"/>
            </w:tcBorders>
            <w:vAlign w:val="center"/>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c>
          <w:tcPr>
            <w:tcW w:w="1706" w:type="pct"/>
            <w:tcBorders>
              <w:top w:val="single" w:sz="4" w:space="0" w:color="auto"/>
              <w:bottom w:val="single" w:sz="4" w:space="0" w:color="auto"/>
            </w:tcBorders>
            <w:vAlign w:val="center"/>
          </w:tcPr>
          <w:p w:rsidR="009E51AA" w:rsidRPr="00E13C72" w:rsidRDefault="009E51AA" w:rsidP="00367A74">
            <w:pPr>
              <w:pStyle w:val="TableText1"/>
              <w:keepNext/>
              <w:keepLines/>
              <w:suppressLineNumbers/>
              <w:suppressAutoHyphens/>
              <w:jc w:val="center"/>
              <w:rPr>
                <w:rFonts w:ascii="Arial Narrow" w:hAnsi="Arial Narrow"/>
              </w:rPr>
            </w:pPr>
            <w:r w:rsidRPr="00E13C72">
              <w:rPr>
                <w:rFonts w:ascii="Arial Narrow" w:hAnsi="Arial Narrow"/>
              </w:rPr>
              <w:t>$</w:t>
            </w:r>
            <w:r w:rsidR="00F45ED5">
              <w:rPr>
                <w:rFonts w:ascii="Arial Narrow" w:hAnsi="Arial Narrow"/>
                <w:noProof/>
                <w:color w:val="000000"/>
                <w:highlight w:val="black"/>
              </w:rPr>
              <w:t>'''''''''''''''''''''</w:t>
            </w:r>
          </w:p>
        </w:tc>
      </w:tr>
      <w:tr w:rsidR="009E51AA" w:rsidRPr="00E13C72" w:rsidTr="00E13C72">
        <w:trPr>
          <w:cantSplit/>
          <w:tblHeader/>
        </w:trPr>
        <w:tc>
          <w:tcPr>
            <w:tcW w:w="1801" w:type="pct"/>
            <w:tcBorders>
              <w:top w:val="single" w:sz="4" w:space="0" w:color="auto"/>
              <w:bottom w:val="single" w:sz="4" w:space="0" w:color="auto"/>
            </w:tcBorders>
          </w:tcPr>
          <w:p w:rsidR="008E2106" w:rsidRPr="00E13C72" w:rsidRDefault="009E51AA" w:rsidP="00367A74">
            <w:pPr>
              <w:pStyle w:val="TableText1"/>
              <w:keepNext/>
              <w:keepLines/>
              <w:suppressLineNumbers/>
              <w:suppressAutoHyphens/>
              <w:rPr>
                <w:rFonts w:ascii="Arial Narrow" w:hAnsi="Arial Narrow"/>
                <w:b/>
              </w:rPr>
            </w:pPr>
            <w:r w:rsidRPr="00E13C72">
              <w:rPr>
                <w:rFonts w:ascii="Arial Narrow" w:hAnsi="Arial Narrow"/>
                <w:b/>
              </w:rPr>
              <w:t xml:space="preserve">Total cost per month </w:t>
            </w:r>
          </w:p>
          <w:p w:rsidR="009E51AA" w:rsidRPr="00E13C72" w:rsidRDefault="009E51AA" w:rsidP="00367A74">
            <w:pPr>
              <w:pStyle w:val="TableText1"/>
              <w:keepNext/>
              <w:keepLines/>
              <w:suppressLineNumbers/>
              <w:suppressAutoHyphens/>
              <w:rPr>
                <w:rFonts w:ascii="Arial Narrow" w:hAnsi="Arial Narrow"/>
                <w:b/>
              </w:rPr>
            </w:pPr>
            <w:r w:rsidRPr="00E13C72">
              <w:rPr>
                <w:rFonts w:ascii="Arial Narrow" w:hAnsi="Arial Narrow"/>
                <w:b/>
              </w:rPr>
              <w:t>(cost-minimised)</w:t>
            </w:r>
          </w:p>
        </w:tc>
        <w:tc>
          <w:tcPr>
            <w:tcW w:w="1493"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b/>
              </w:rPr>
            </w:pPr>
            <w:r w:rsidRPr="0061321A">
              <w:rPr>
                <w:rFonts w:ascii="Arial Narrow" w:hAnsi="Arial Narrow"/>
                <w:b/>
              </w:rPr>
              <w:t>$</w:t>
            </w:r>
            <w:r w:rsidR="00F45ED5">
              <w:rPr>
                <w:rFonts w:ascii="Arial Narrow" w:hAnsi="Arial Narrow"/>
                <w:b/>
                <w:noProof/>
                <w:color w:val="000000"/>
                <w:highlight w:val="black"/>
              </w:rPr>
              <w:t>''''''''''''''''</w:t>
            </w:r>
          </w:p>
        </w:tc>
        <w:tc>
          <w:tcPr>
            <w:tcW w:w="1706" w:type="pct"/>
            <w:tcBorders>
              <w:top w:val="single" w:sz="4" w:space="0" w:color="auto"/>
              <w:bottom w:val="single" w:sz="4" w:space="0" w:color="auto"/>
            </w:tcBorders>
            <w:vAlign w:val="center"/>
          </w:tcPr>
          <w:p w:rsidR="009E51AA" w:rsidRPr="00F45ED5" w:rsidRDefault="009E51AA" w:rsidP="00367A74">
            <w:pPr>
              <w:pStyle w:val="TableText1"/>
              <w:keepNext/>
              <w:keepLines/>
              <w:suppressLineNumbers/>
              <w:suppressAutoHyphens/>
              <w:jc w:val="center"/>
              <w:rPr>
                <w:rFonts w:ascii="Arial Narrow" w:hAnsi="Arial Narrow"/>
                <w:b/>
              </w:rPr>
            </w:pPr>
            <w:r w:rsidRPr="0061321A">
              <w:rPr>
                <w:rFonts w:ascii="Arial Narrow" w:hAnsi="Arial Narrow"/>
                <w:b/>
              </w:rPr>
              <w:t>$</w:t>
            </w:r>
            <w:r w:rsidR="00F45ED5">
              <w:rPr>
                <w:rFonts w:ascii="Arial Narrow" w:hAnsi="Arial Narrow"/>
                <w:b/>
                <w:noProof/>
                <w:color w:val="000000"/>
                <w:highlight w:val="black"/>
              </w:rPr>
              <w:t>''''''''''''''''</w:t>
            </w:r>
          </w:p>
        </w:tc>
      </w:tr>
    </w:tbl>
    <w:p w:rsidR="009E51AA" w:rsidRPr="00011ED1" w:rsidRDefault="004D15C2" w:rsidP="00E13C72">
      <w:pPr>
        <w:pStyle w:val="TableFooter"/>
        <w:rPr>
          <w:i/>
        </w:rPr>
      </w:pPr>
      <w:r w:rsidRPr="00011ED1">
        <w:t xml:space="preserve">Source: </w:t>
      </w:r>
      <w:r w:rsidR="00360CF0" w:rsidRPr="00011ED1">
        <w:t>Table 5.2, p16 of the submission</w:t>
      </w:r>
    </w:p>
    <w:p w:rsidR="004D15C2" w:rsidRPr="00011ED1" w:rsidRDefault="004D15C2" w:rsidP="00E13C72">
      <w:pPr>
        <w:pStyle w:val="TableFooter"/>
        <w:rPr>
          <w:rFonts w:eastAsiaTheme="minorHAnsi" w:cstheme="minorBidi"/>
        </w:rPr>
      </w:pPr>
      <w:r w:rsidRPr="00011ED1">
        <w:rPr>
          <w:rFonts w:eastAsiaTheme="minorHAnsi" w:cstheme="minorBidi"/>
        </w:rPr>
        <w:t>Abbreviations: EEMP: effective ex-manufacturer price; DPMA: dispensed price for maximum amount</w:t>
      </w:r>
    </w:p>
    <w:p w:rsidR="004D15C2" w:rsidRPr="00011ED1" w:rsidRDefault="004D15C2" w:rsidP="00E13C72">
      <w:pPr>
        <w:pStyle w:val="TableFooter"/>
        <w:rPr>
          <w:rFonts w:eastAsiaTheme="minorHAnsi" w:cstheme="minorBidi"/>
        </w:rPr>
      </w:pPr>
      <w:r w:rsidRPr="00011ED1">
        <w:rPr>
          <w:rFonts w:eastAsiaTheme="minorHAnsi" w:cstheme="minorBidi"/>
          <w:vertAlign w:val="superscript"/>
        </w:rPr>
        <w:t>a</w:t>
      </w:r>
      <w:r w:rsidRPr="00011ED1">
        <w:rPr>
          <w:rFonts w:eastAsiaTheme="minorHAnsi" w:cstheme="minorBidi"/>
        </w:rPr>
        <w:t xml:space="preserve"> Based on effective prices.</w:t>
      </w:r>
    </w:p>
    <w:p w:rsidR="003A5A88" w:rsidRPr="00011ED1" w:rsidRDefault="003A5A88" w:rsidP="00E13C72">
      <w:pPr>
        <w:pStyle w:val="TableFooter"/>
        <w:rPr>
          <w:rFonts w:eastAsiaTheme="minorHAnsi" w:cstheme="minorBidi"/>
        </w:rPr>
      </w:pPr>
      <w:r w:rsidRPr="00011ED1">
        <w:rPr>
          <w:rFonts w:eastAsiaTheme="minorHAnsi" w:cstheme="minorBidi"/>
          <w:vertAlign w:val="superscript"/>
        </w:rPr>
        <w:t>b</w:t>
      </w:r>
      <w:r w:rsidRPr="00011ED1">
        <w:rPr>
          <w:rFonts w:eastAsiaTheme="minorHAnsi" w:cstheme="minorBidi"/>
        </w:rPr>
        <w:t xml:space="preserve"> Based on 1.45 administrations per month for Q3W dosing and 1.09 for Q4W dosing </w:t>
      </w:r>
    </w:p>
    <w:p w:rsidR="003A5A88" w:rsidRPr="00011ED1" w:rsidRDefault="003A5A88" w:rsidP="00E13C72">
      <w:pPr>
        <w:pStyle w:val="TableFooter"/>
        <w:rPr>
          <w:rFonts w:eastAsiaTheme="minorHAnsi" w:cstheme="minorBidi"/>
          <w:i/>
        </w:rPr>
      </w:pPr>
      <w:r w:rsidRPr="00011ED1">
        <w:rPr>
          <w:rFonts w:eastAsiaTheme="minorHAnsi" w:cstheme="minorBidi"/>
          <w:vertAlign w:val="superscript"/>
        </w:rPr>
        <w:t xml:space="preserve">c </w:t>
      </w:r>
      <w:r w:rsidRPr="00011ED1">
        <w:rPr>
          <w:rFonts w:eastAsiaTheme="minorHAnsi" w:cstheme="minorBidi"/>
        </w:rPr>
        <w:t>The weightings across private (66.1%) and public (33.9%) hospital</w:t>
      </w:r>
      <w:r w:rsidR="00A21190" w:rsidRPr="00011ED1">
        <w:rPr>
          <w:rFonts w:eastAsiaTheme="minorHAnsi" w:cstheme="minorBidi"/>
        </w:rPr>
        <w:t xml:space="preserve"> settings</w:t>
      </w:r>
      <w:r w:rsidRPr="00011ED1">
        <w:rPr>
          <w:rFonts w:eastAsiaTheme="minorHAnsi" w:cstheme="minorBidi"/>
        </w:rPr>
        <w:t xml:space="preserve"> were derived based on PBS statistics from July 2018 to June 2019.</w:t>
      </w:r>
    </w:p>
    <w:p w:rsidR="003A5A88" w:rsidRPr="00011ED1" w:rsidRDefault="003A5A88" w:rsidP="00E13C72">
      <w:pPr>
        <w:pStyle w:val="TableFooter"/>
        <w:rPr>
          <w:rFonts w:eastAsiaTheme="minorHAnsi" w:cstheme="minorBidi"/>
        </w:rPr>
      </w:pPr>
      <w:r w:rsidRPr="00011ED1">
        <w:rPr>
          <w:rFonts w:eastAsiaTheme="minorHAnsi" w:cstheme="minorBidi"/>
          <w:vertAlign w:val="superscript"/>
        </w:rPr>
        <w:t xml:space="preserve">d </w:t>
      </w:r>
      <w:r w:rsidRPr="00011ED1">
        <w:t>DPMA was calculated using EEMP and applicable fees and mark-ups under the Efficient Funding of Chemotherapy (EFC) initiative in the public and private hospital settings, which included the preparation fee ($85.06) in the public and private settings, and the ready prepared dispensing fee ($7.39)</w:t>
      </w:r>
      <w:r w:rsidR="00E015CA" w:rsidRPr="00011ED1">
        <w:t xml:space="preserve">, distribution fee ($27.02), </w:t>
      </w:r>
      <w:r w:rsidRPr="00011ED1">
        <w:t>diluent fee ($5.35)</w:t>
      </w:r>
      <w:r w:rsidR="00E015CA" w:rsidRPr="00011ED1">
        <w:t xml:space="preserve"> and mark ups at 1.4% of </w:t>
      </w:r>
      <w:r w:rsidR="00E015CA" w:rsidRPr="0080589D">
        <w:t>the drug cost ($</w:t>
      </w:r>
      <w:r w:rsidR="00F45ED5">
        <w:rPr>
          <w:noProof/>
          <w:color w:val="000000"/>
          <w:highlight w:val="black"/>
        </w:rPr>
        <w:t>''''''''''''''</w:t>
      </w:r>
      <w:r w:rsidR="00E015CA" w:rsidRPr="0080589D">
        <w:t>)</w:t>
      </w:r>
      <w:r w:rsidRPr="0080589D">
        <w:t xml:space="preserve"> in the private</w:t>
      </w:r>
      <w:r w:rsidRPr="00011ED1">
        <w:t xml:space="preserve"> hospital setting only</w:t>
      </w:r>
    </w:p>
    <w:p w:rsidR="003A5A88" w:rsidRPr="00011ED1" w:rsidRDefault="003A5A88" w:rsidP="00E13C72">
      <w:pPr>
        <w:pStyle w:val="TableFooter"/>
        <w:rPr>
          <w:rFonts w:eastAsiaTheme="minorHAnsi" w:cstheme="minorBidi"/>
        </w:rPr>
      </w:pPr>
      <w:r w:rsidRPr="00011ED1">
        <w:rPr>
          <w:rFonts w:eastAsiaTheme="minorHAnsi" w:cstheme="minorBidi"/>
          <w:vertAlign w:val="superscript"/>
        </w:rPr>
        <w:t>e</w:t>
      </w:r>
      <w:r w:rsidRPr="00011ED1">
        <w:rPr>
          <w:rFonts w:eastAsiaTheme="minorHAnsi" w:cstheme="minorBidi"/>
        </w:rPr>
        <w:t xml:space="preserve"> Administration/infusion costs based on MBS item 13915</w:t>
      </w:r>
    </w:p>
    <w:p w:rsidR="0002487D" w:rsidRPr="00011ED1" w:rsidRDefault="009A67B9" w:rsidP="00367A74">
      <w:pPr>
        <w:pStyle w:val="Bodytextitalics"/>
        <w:spacing w:before="120"/>
        <w:jc w:val="both"/>
        <w:rPr>
          <w:rFonts w:cstheme="minorHAnsi"/>
          <w:i w:val="0"/>
          <w:iCs/>
        </w:rPr>
      </w:pPr>
      <w:r w:rsidRPr="00011ED1">
        <w:rPr>
          <w:i w:val="0"/>
          <w:iCs/>
        </w:rPr>
        <w:t>The</w:t>
      </w:r>
      <w:r w:rsidR="00D84295" w:rsidRPr="00011ED1">
        <w:rPr>
          <w:i w:val="0"/>
          <w:iCs/>
        </w:rPr>
        <w:t xml:space="preserve"> cost-minimisation </w:t>
      </w:r>
      <w:r w:rsidR="00C93130" w:rsidRPr="00011ED1">
        <w:rPr>
          <w:i w:val="0"/>
          <w:iCs/>
        </w:rPr>
        <w:t xml:space="preserve">analyses were </w:t>
      </w:r>
      <w:r w:rsidR="00D84295" w:rsidRPr="00011ED1">
        <w:rPr>
          <w:i w:val="0"/>
          <w:iCs/>
        </w:rPr>
        <w:t>conducted on a cost per month basis.</w:t>
      </w:r>
      <w:r w:rsidR="0013204D" w:rsidRPr="00011ED1">
        <w:rPr>
          <w:i w:val="0"/>
          <w:iCs/>
        </w:rPr>
        <w:t xml:space="preserve"> This appr</w:t>
      </w:r>
      <w:r w:rsidR="005B5F1F" w:rsidRPr="00011ED1">
        <w:rPr>
          <w:i w:val="0"/>
          <w:iCs/>
        </w:rPr>
        <w:t xml:space="preserve">oach assumed that duration of </w:t>
      </w:r>
      <w:r w:rsidR="0013204D" w:rsidRPr="00011ED1">
        <w:rPr>
          <w:i w:val="0"/>
          <w:iCs/>
        </w:rPr>
        <w:t xml:space="preserve">treatment of atezolizumab would be the same with the different dosing regimens. </w:t>
      </w:r>
      <w:r w:rsidR="00C77F80" w:rsidRPr="00011ED1">
        <w:rPr>
          <w:i w:val="0"/>
          <w:iCs/>
        </w:rPr>
        <w:t>The weighted DPMA</w:t>
      </w:r>
      <w:r w:rsidR="00A20E6D" w:rsidRPr="00011ED1">
        <w:rPr>
          <w:rFonts w:cstheme="minorHAnsi"/>
          <w:i w:val="0"/>
          <w:iCs/>
        </w:rPr>
        <w:t xml:space="preserve"> per 840 mg vial for 2L NSCLC </w:t>
      </w:r>
      <w:r w:rsidR="00C77F80" w:rsidRPr="00011ED1">
        <w:rPr>
          <w:rFonts w:cstheme="minorHAnsi"/>
          <w:i w:val="0"/>
          <w:iCs/>
        </w:rPr>
        <w:lastRenderedPageBreak/>
        <w:t>was $</w:t>
      </w:r>
      <w:r w:rsidR="00F45ED5">
        <w:rPr>
          <w:rFonts w:cstheme="minorHAnsi"/>
          <w:i w:val="0"/>
          <w:iCs/>
          <w:noProof/>
          <w:color w:val="000000"/>
          <w:highlight w:val="black"/>
        </w:rPr>
        <w:t>'''''''''''''''''</w:t>
      </w:r>
      <w:r w:rsidR="00C77F80" w:rsidRPr="00011ED1">
        <w:rPr>
          <w:rFonts w:cstheme="minorHAnsi"/>
          <w:i w:val="0"/>
          <w:iCs/>
        </w:rPr>
        <w:t xml:space="preserve"> and 1L NSCLC was $</w:t>
      </w:r>
      <w:r w:rsidR="00F45ED5">
        <w:rPr>
          <w:rFonts w:cstheme="minorHAnsi"/>
          <w:i w:val="0"/>
          <w:iCs/>
          <w:noProof/>
          <w:color w:val="000000"/>
          <w:highlight w:val="black"/>
        </w:rPr>
        <w:t>'''''''''''''''</w:t>
      </w:r>
      <w:r w:rsidR="00A20E6D" w:rsidRPr="00011ED1">
        <w:rPr>
          <w:rFonts w:cstheme="minorHAnsi"/>
          <w:i w:val="0"/>
          <w:iCs/>
        </w:rPr>
        <w:t>.</w:t>
      </w:r>
      <w:r w:rsidR="00A20E6D" w:rsidRPr="00011ED1">
        <w:rPr>
          <w:rFonts w:cstheme="minorHAnsi"/>
        </w:rPr>
        <w:t xml:space="preserve"> </w:t>
      </w:r>
      <w:r w:rsidR="007819CB" w:rsidRPr="00011ED1">
        <w:rPr>
          <w:rFonts w:cstheme="minorHAnsi"/>
          <w:i w:val="0"/>
          <w:iCs/>
        </w:rPr>
        <w:t xml:space="preserve">The </w:t>
      </w:r>
      <w:r w:rsidR="008037DA" w:rsidRPr="00011ED1">
        <w:rPr>
          <w:rFonts w:cstheme="minorHAnsi"/>
          <w:i w:val="0"/>
          <w:iCs/>
        </w:rPr>
        <w:t>cost-minimisation</w:t>
      </w:r>
      <w:r w:rsidR="00BE43DE" w:rsidRPr="00011ED1">
        <w:rPr>
          <w:rFonts w:cstheme="minorHAnsi"/>
          <w:i w:val="0"/>
          <w:iCs/>
        </w:rPr>
        <w:t xml:space="preserve"> analys</w:t>
      </w:r>
      <w:r w:rsidR="00CE5FF4" w:rsidRPr="00011ED1">
        <w:rPr>
          <w:rFonts w:cstheme="minorHAnsi"/>
          <w:i w:val="0"/>
          <w:iCs/>
        </w:rPr>
        <w:t>e</w:t>
      </w:r>
      <w:r w:rsidR="00BE43DE" w:rsidRPr="00011ED1">
        <w:rPr>
          <w:rFonts w:cstheme="minorHAnsi"/>
          <w:i w:val="0"/>
          <w:iCs/>
        </w:rPr>
        <w:t>s</w:t>
      </w:r>
      <w:r w:rsidR="008037DA" w:rsidRPr="00011ED1">
        <w:rPr>
          <w:rFonts w:cstheme="minorHAnsi"/>
          <w:i w:val="0"/>
          <w:iCs/>
        </w:rPr>
        <w:t xml:space="preserve"> </w:t>
      </w:r>
      <w:r w:rsidR="008E1FE5" w:rsidRPr="00011ED1">
        <w:rPr>
          <w:rFonts w:cstheme="minorHAnsi"/>
          <w:i w:val="0"/>
          <w:iCs/>
        </w:rPr>
        <w:t>w</w:t>
      </w:r>
      <w:r w:rsidR="00CE5FF4" w:rsidRPr="00011ED1">
        <w:rPr>
          <w:rFonts w:cstheme="minorHAnsi"/>
          <w:i w:val="0"/>
          <w:iCs/>
        </w:rPr>
        <w:t xml:space="preserve">ere calculated </w:t>
      </w:r>
      <w:r w:rsidR="00C93130" w:rsidRPr="00011ED1">
        <w:rPr>
          <w:rFonts w:cstheme="minorHAnsi"/>
          <w:i w:val="0"/>
          <w:iCs/>
        </w:rPr>
        <w:t>using the</w:t>
      </w:r>
      <w:r w:rsidR="008F5EAE" w:rsidRPr="00011ED1">
        <w:rPr>
          <w:rFonts w:cstheme="minorHAnsi"/>
          <w:i w:val="0"/>
          <w:iCs/>
        </w:rPr>
        <w:t xml:space="preserve"> DPMA per month (i.e. incorporating public/private hospital fees and private hospital mark-up)</w:t>
      </w:r>
      <w:r w:rsidR="00FD2483" w:rsidRPr="00011ED1">
        <w:rPr>
          <w:rFonts w:cstheme="minorHAnsi"/>
          <w:i w:val="0"/>
          <w:iCs/>
        </w:rPr>
        <w:t xml:space="preserve"> </w:t>
      </w:r>
      <w:r w:rsidR="00B33E91" w:rsidRPr="00011ED1">
        <w:rPr>
          <w:rFonts w:cstheme="minorHAnsi"/>
          <w:i w:val="0"/>
          <w:iCs/>
        </w:rPr>
        <w:t>and</w:t>
      </w:r>
      <w:r w:rsidR="00FD2483" w:rsidRPr="00011ED1">
        <w:rPr>
          <w:rFonts w:cstheme="minorHAnsi"/>
          <w:i w:val="0"/>
          <w:iCs/>
        </w:rPr>
        <w:t xml:space="preserve"> the administration cost (based on MBS item 13915)</w:t>
      </w:r>
      <w:r w:rsidR="005349E4" w:rsidRPr="00011ED1">
        <w:rPr>
          <w:rFonts w:cstheme="minorHAnsi"/>
          <w:i w:val="0"/>
          <w:iCs/>
        </w:rPr>
        <w:t xml:space="preserve">. </w:t>
      </w:r>
      <w:r w:rsidR="008F5EAE" w:rsidRPr="00011ED1">
        <w:rPr>
          <w:rFonts w:cstheme="minorHAnsi"/>
          <w:i w:val="0"/>
          <w:iCs/>
        </w:rPr>
        <w:t>T</w:t>
      </w:r>
      <w:r w:rsidR="00F52B13" w:rsidRPr="00011ED1">
        <w:rPr>
          <w:rFonts w:cstheme="minorHAnsi"/>
          <w:i w:val="0"/>
          <w:iCs/>
        </w:rPr>
        <w:t xml:space="preserve">he </w:t>
      </w:r>
      <w:r w:rsidR="00FD2483" w:rsidRPr="00011ED1">
        <w:rPr>
          <w:rFonts w:cstheme="minorHAnsi"/>
          <w:i w:val="0"/>
          <w:iCs/>
        </w:rPr>
        <w:t xml:space="preserve">alternative cost-minimisation analyses </w:t>
      </w:r>
      <w:r w:rsidR="00C93130" w:rsidRPr="00011ED1">
        <w:rPr>
          <w:rFonts w:cstheme="minorHAnsi"/>
          <w:i w:val="0"/>
          <w:iCs/>
        </w:rPr>
        <w:t>calculated at the ex-manufacturer level</w:t>
      </w:r>
      <w:r w:rsidR="00F52B13" w:rsidRPr="00011ED1">
        <w:rPr>
          <w:rFonts w:cstheme="minorHAnsi"/>
          <w:i w:val="0"/>
          <w:iCs/>
        </w:rPr>
        <w:t xml:space="preserve"> </w:t>
      </w:r>
      <w:r w:rsidR="00B33E91" w:rsidRPr="00011ED1">
        <w:rPr>
          <w:rFonts w:cstheme="minorHAnsi"/>
          <w:i w:val="0"/>
          <w:iCs/>
        </w:rPr>
        <w:t>with</w:t>
      </w:r>
      <w:r w:rsidR="00283A38" w:rsidRPr="00011ED1">
        <w:rPr>
          <w:rFonts w:cstheme="minorHAnsi"/>
          <w:i w:val="0"/>
          <w:iCs/>
        </w:rPr>
        <w:t xml:space="preserve"> the </w:t>
      </w:r>
      <w:r w:rsidR="00BA1A96" w:rsidRPr="00011ED1">
        <w:rPr>
          <w:rFonts w:cstheme="minorHAnsi"/>
          <w:i w:val="0"/>
          <w:iCs/>
        </w:rPr>
        <w:t>administration cost</w:t>
      </w:r>
      <w:r w:rsidR="00F84346" w:rsidRPr="00011ED1">
        <w:rPr>
          <w:rFonts w:cstheme="minorHAnsi"/>
          <w:i w:val="0"/>
          <w:iCs/>
        </w:rPr>
        <w:t xml:space="preserve"> and a </w:t>
      </w:r>
      <w:r w:rsidR="00320DFF" w:rsidRPr="00011ED1">
        <w:rPr>
          <w:rFonts w:cstheme="minorHAnsi"/>
          <w:i w:val="0"/>
          <w:iCs/>
        </w:rPr>
        <w:t xml:space="preserve">comparison </w:t>
      </w:r>
      <w:r w:rsidR="0002487D" w:rsidRPr="00011ED1">
        <w:rPr>
          <w:rFonts w:cstheme="minorHAnsi"/>
          <w:i w:val="0"/>
          <w:iCs/>
        </w:rPr>
        <w:t xml:space="preserve">of the costs per </w:t>
      </w:r>
      <w:r w:rsidR="00964D91" w:rsidRPr="00011ED1">
        <w:rPr>
          <w:rFonts w:cstheme="minorHAnsi"/>
          <w:i w:val="0"/>
          <w:iCs/>
        </w:rPr>
        <w:t xml:space="preserve">4 weeks </w:t>
      </w:r>
      <w:r w:rsidR="00F84346" w:rsidRPr="00011ED1">
        <w:rPr>
          <w:rFonts w:cstheme="minorHAnsi"/>
          <w:i w:val="0"/>
          <w:iCs/>
        </w:rPr>
        <w:t>are</w:t>
      </w:r>
      <w:r w:rsidR="00320DFF" w:rsidRPr="00011ED1">
        <w:rPr>
          <w:rFonts w:cstheme="minorHAnsi"/>
          <w:i w:val="0"/>
          <w:iCs/>
        </w:rPr>
        <w:t xml:space="preserve"> presented below in </w:t>
      </w:r>
      <w:r w:rsidR="005C75BC" w:rsidRPr="00011ED1">
        <w:rPr>
          <w:rFonts w:cstheme="minorHAnsi"/>
          <w:i w:val="0"/>
          <w:iCs/>
          <w:szCs w:val="24"/>
        </w:rPr>
        <w:t xml:space="preserve">Table </w:t>
      </w:r>
      <w:r w:rsidR="005C75BC" w:rsidRPr="00FC0F08">
        <w:rPr>
          <w:rFonts w:cstheme="minorHAnsi"/>
          <w:i w:val="0"/>
          <w:iCs/>
          <w:szCs w:val="24"/>
        </w:rPr>
        <w:t>3</w:t>
      </w:r>
      <w:r w:rsidR="00320DFF" w:rsidRPr="00011ED1">
        <w:rPr>
          <w:rFonts w:cstheme="minorHAnsi"/>
          <w:i w:val="0"/>
          <w:iCs/>
          <w:szCs w:val="24"/>
        </w:rPr>
        <w:t xml:space="preserve">. </w:t>
      </w:r>
    </w:p>
    <w:p w:rsidR="0018664B" w:rsidRPr="00011ED1" w:rsidRDefault="0018664B" w:rsidP="00E13C72">
      <w:pPr>
        <w:pStyle w:val="Tabletitles"/>
        <w:rPr>
          <w:i/>
          <w:iCs/>
        </w:rPr>
      </w:pPr>
      <w:bookmarkStart w:id="4" w:name="_Ref22120265"/>
      <w:r w:rsidRPr="00011ED1">
        <w:t xml:space="preserve">Table </w:t>
      </w:r>
      <w:r w:rsidR="00452433" w:rsidRPr="00FC0F08">
        <w:t>3</w:t>
      </w:r>
      <w:bookmarkEnd w:id="4"/>
      <w:r w:rsidRPr="00011ED1">
        <w:t xml:space="preserve">: A comparison of the costs per month using </w:t>
      </w:r>
      <w:r w:rsidR="005A4454" w:rsidRPr="00011ED1">
        <w:t xml:space="preserve">the effective ex-manufacturer price </w:t>
      </w:r>
      <w:r w:rsidRPr="00011ED1">
        <w:t xml:space="preserve">of atezolizumab </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Caption w:val="Table 4. A comparison of the costs per month using cost of atezolizumab at effective ex-manufacturer price"/>
      </w:tblPr>
      <w:tblGrid>
        <w:gridCol w:w="2958"/>
        <w:gridCol w:w="1513"/>
        <w:gridCol w:w="1515"/>
        <w:gridCol w:w="1515"/>
        <w:gridCol w:w="1515"/>
      </w:tblGrid>
      <w:tr w:rsidR="00961804" w:rsidRPr="00E13C72" w:rsidTr="00E13C72">
        <w:trPr>
          <w:cantSplit/>
          <w:tblHeader/>
        </w:trPr>
        <w:tc>
          <w:tcPr>
            <w:tcW w:w="1641" w:type="pct"/>
            <w:tcBorders>
              <w:top w:val="single" w:sz="4" w:space="0" w:color="auto"/>
              <w:bottom w:val="single" w:sz="4" w:space="0" w:color="auto"/>
            </w:tcBorders>
            <w:vAlign w:val="center"/>
          </w:tcPr>
          <w:p w:rsidR="00961804" w:rsidRPr="00E13C72" w:rsidRDefault="00961804" w:rsidP="00367A74">
            <w:pPr>
              <w:pStyle w:val="TableHeadingRow"/>
              <w:keepLines/>
              <w:rPr>
                <w:rFonts w:ascii="Arial Narrow" w:hAnsi="Arial Narrow"/>
              </w:rPr>
            </w:pPr>
          </w:p>
        </w:tc>
        <w:tc>
          <w:tcPr>
            <w:tcW w:w="1679" w:type="pct"/>
            <w:gridSpan w:val="2"/>
            <w:tcBorders>
              <w:top w:val="single" w:sz="4" w:space="0" w:color="auto"/>
              <w:bottom w:val="single" w:sz="4" w:space="0" w:color="auto"/>
            </w:tcBorders>
            <w:vAlign w:val="center"/>
          </w:tcPr>
          <w:p w:rsidR="00961804" w:rsidRPr="00E13C72" w:rsidRDefault="00961804" w:rsidP="00367A74">
            <w:pPr>
              <w:pStyle w:val="TableHeadingRow"/>
              <w:keepLines/>
              <w:jc w:val="center"/>
              <w:rPr>
                <w:rFonts w:ascii="Arial Narrow" w:hAnsi="Arial Narrow"/>
              </w:rPr>
            </w:pPr>
            <w:r w:rsidRPr="00E13C72">
              <w:rPr>
                <w:rFonts w:ascii="Arial Narrow" w:hAnsi="Arial Narrow"/>
              </w:rPr>
              <w:t>2L NSCLC</w:t>
            </w:r>
          </w:p>
        </w:tc>
        <w:tc>
          <w:tcPr>
            <w:tcW w:w="1680" w:type="pct"/>
            <w:gridSpan w:val="2"/>
            <w:tcBorders>
              <w:top w:val="single" w:sz="4" w:space="0" w:color="auto"/>
              <w:bottom w:val="single" w:sz="4" w:space="0" w:color="auto"/>
            </w:tcBorders>
            <w:vAlign w:val="center"/>
          </w:tcPr>
          <w:p w:rsidR="00961804" w:rsidRPr="00E13C72" w:rsidRDefault="00961804" w:rsidP="00367A74">
            <w:pPr>
              <w:pStyle w:val="TableHeadingRow"/>
              <w:keepLines/>
              <w:jc w:val="center"/>
              <w:rPr>
                <w:rFonts w:ascii="Arial Narrow" w:hAnsi="Arial Narrow"/>
              </w:rPr>
            </w:pPr>
            <w:r w:rsidRPr="00E13C72">
              <w:rPr>
                <w:rFonts w:ascii="Arial Narrow" w:hAnsi="Arial Narrow"/>
              </w:rPr>
              <w:t>1L NSCLC</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rPr>
            </w:pPr>
            <w:r w:rsidRPr="00E13C72">
              <w:rPr>
                <w:rFonts w:ascii="Arial Narrow" w:hAnsi="Arial Narrow"/>
              </w:rPr>
              <w:t xml:space="preserve">Strength and dose </w:t>
            </w:r>
          </w:p>
        </w:tc>
        <w:tc>
          <w:tcPr>
            <w:tcW w:w="839"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b/>
                <w:bCs w:val="0"/>
              </w:rPr>
            </w:pPr>
            <w:r w:rsidRPr="00E13C72">
              <w:rPr>
                <w:rFonts w:ascii="Arial Narrow" w:hAnsi="Arial Narrow"/>
                <w:b/>
                <w:bCs w:val="0"/>
              </w:rPr>
              <w:t>1200 mg Q3W</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b/>
                <w:bCs w:val="0"/>
              </w:rPr>
            </w:pPr>
            <w:r w:rsidRPr="00E13C72">
              <w:rPr>
                <w:rFonts w:ascii="Arial Narrow" w:hAnsi="Arial Narrow"/>
                <w:b/>
                <w:bCs w:val="0"/>
              </w:rPr>
              <w:t>1680 mg Q4W</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b/>
                <w:bCs w:val="0"/>
              </w:rPr>
            </w:pPr>
            <w:r w:rsidRPr="00E13C72">
              <w:rPr>
                <w:rFonts w:ascii="Arial Narrow" w:hAnsi="Arial Narrow"/>
                <w:b/>
                <w:bCs w:val="0"/>
              </w:rPr>
              <w:t>1200 mg Q3W</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b/>
                <w:bCs w:val="0"/>
              </w:rPr>
            </w:pPr>
            <w:r w:rsidRPr="00E13C72">
              <w:rPr>
                <w:rFonts w:ascii="Arial Narrow" w:hAnsi="Arial Narrow"/>
                <w:b/>
                <w:bCs w:val="0"/>
              </w:rPr>
              <w:t>1680 mg Q4W</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rPr>
            </w:pPr>
            <w:r w:rsidRPr="00E13C72">
              <w:rPr>
                <w:rFonts w:ascii="Arial Narrow" w:hAnsi="Arial Narrow"/>
              </w:rPr>
              <w:t>EEMP per administration</w:t>
            </w:r>
          </w:p>
        </w:tc>
        <w:tc>
          <w:tcPr>
            <w:tcW w:w="839"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i/>
                <w:iCs/>
              </w:rPr>
            </w:pPr>
            <w:r w:rsidRPr="0061321A">
              <w:rPr>
                <w:rFonts w:ascii="Arial Narrow" w:hAnsi="Arial Narrow"/>
                <w:i/>
                <w:iCs/>
              </w:rPr>
              <w:t>$</w:t>
            </w:r>
            <w:r w:rsidR="00F45ED5">
              <w:rPr>
                <w:rFonts w:ascii="Arial Narrow" w:hAnsi="Arial Narrow"/>
                <w:i/>
                <w:iCs/>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i/>
                <w:iCs/>
              </w:rPr>
            </w:pPr>
            <w:r w:rsidRPr="0061321A">
              <w:rPr>
                <w:rFonts w:ascii="Arial Narrow" w:hAnsi="Arial Narrow"/>
                <w:i/>
                <w:iCs/>
              </w:rPr>
              <w:t>$</w:t>
            </w:r>
            <w:r w:rsidR="00F45ED5">
              <w:rPr>
                <w:rFonts w:ascii="Arial Narrow" w:hAnsi="Arial Narrow"/>
                <w:i/>
                <w:iCs/>
                <w:noProof/>
                <w:color w:val="000000"/>
                <w:highlight w:val="black"/>
              </w:rPr>
              <w:t>'''''''''''''''''''''''</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rPr>
            </w:pPr>
            <w:r w:rsidRPr="00E13C72">
              <w:rPr>
                <w:rFonts w:ascii="Arial Narrow" w:hAnsi="Arial Narrow"/>
              </w:rPr>
              <w:t>EEMP per 4 weeks</w:t>
            </w:r>
          </w:p>
        </w:tc>
        <w:tc>
          <w:tcPr>
            <w:tcW w:w="839"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i/>
                <w:iCs/>
              </w:rPr>
            </w:pPr>
            <w:r w:rsidRPr="0061321A">
              <w:rPr>
                <w:rFonts w:ascii="Arial Narrow" w:hAnsi="Arial Narrow"/>
                <w:i/>
                <w:iCs/>
              </w:rPr>
              <w:t>$</w:t>
            </w:r>
            <w:r w:rsidR="00F45ED5">
              <w:rPr>
                <w:rFonts w:ascii="Arial Narrow" w:hAnsi="Arial Narrow"/>
                <w:i/>
                <w:iCs/>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rPr>
            </w:pPr>
            <w:r w:rsidRPr="0061321A">
              <w:rPr>
                <w:rFonts w:ascii="Arial Narrow" w:hAnsi="Arial Narrow"/>
              </w:rPr>
              <w:t>$</w:t>
            </w:r>
            <w:r w:rsidR="00F45ED5">
              <w:rPr>
                <w:rFonts w:ascii="Arial Narrow" w:hAnsi="Arial Narrow"/>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i/>
                <w:iCs/>
              </w:rPr>
            </w:pPr>
            <w:r w:rsidRPr="0061321A">
              <w:rPr>
                <w:rFonts w:ascii="Arial Narrow" w:hAnsi="Arial Narrow"/>
                <w:i/>
                <w:iCs/>
              </w:rPr>
              <w:t>$</w:t>
            </w:r>
            <w:r w:rsidR="00F45ED5">
              <w:rPr>
                <w:rFonts w:ascii="Arial Narrow" w:hAnsi="Arial Narrow"/>
                <w:i/>
                <w:iCs/>
                <w:noProof/>
                <w:color w:val="000000"/>
                <w:highlight w:val="black"/>
              </w:rPr>
              <w:t>'''''''''''''''''''''</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rPr>
            </w:pPr>
            <w:r w:rsidRPr="00E13C72">
              <w:rPr>
                <w:rFonts w:ascii="Arial Narrow" w:hAnsi="Arial Narrow"/>
              </w:rPr>
              <w:t>Cost of administration – 85% benefit (IV infusion)</w:t>
            </w:r>
            <w:r w:rsidR="006F0292" w:rsidRPr="00E13C72">
              <w:rPr>
                <w:rFonts w:ascii="Arial Narrow" w:hAnsi="Arial Narrow"/>
                <w:vertAlign w:val="superscript"/>
              </w:rPr>
              <w:t>b</w:t>
            </w:r>
          </w:p>
        </w:tc>
        <w:tc>
          <w:tcPr>
            <w:tcW w:w="1679" w:type="pct"/>
            <w:gridSpan w:val="2"/>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rPr>
            </w:pPr>
            <w:r w:rsidRPr="00E13C72">
              <w:rPr>
                <w:rFonts w:ascii="Arial Narrow" w:hAnsi="Arial Narrow"/>
              </w:rPr>
              <w:t>$56.20</w:t>
            </w:r>
          </w:p>
        </w:tc>
        <w:tc>
          <w:tcPr>
            <w:tcW w:w="1680" w:type="pct"/>
            <w:gridSpan w:val="2"/>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rPr>
            </w:pPr>
            <w:r w:rsidRPr="00E13C72">
              <w:rPr>
                <w:rFonts w:ascii="Arial Narrow" w:hAnsi="Arial Narrow"/>
              </w:rPr>
              <w:t>$56.20</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rPr>
            </w:pPr>
            <w:r w:rsidRPr="00E13C72">
              <w:rPr>
                <w:rFonts w:ascii="Arial Narrow" w:hAnsi="Arial Narrow"/>
              </w:rPr>
              <w:t>Cost of administration per 4 weeks</w:t>
            </w:r>
          </w:p>
        </w:tc>
        <w:tc>
          <w:tcPr>
            <w:tcW w:w="839"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i/>
                <w:iCs/>
              </w:rPr>
            </w:pPr>
            <w:r w:rsidRPr="00E13C72">
              <w:rPr>
                <w:rFonts w:ascii="Arial Narrow" w:hAnsi="Arial Narrow"/>
                <w:i/>
                <w:iCs/>
              </w:rPr>
              <w:t>$74.93</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i/>
                <w:iCs/>
              </w:rPr>
            </w:pPr>
            <w:r w:rsidRPr="00E13C72">
              <w:rPr>
                <w:rFonts w:ascii="Arial Narrow" w:hAnsi="Arial Narrow"/>
                <w:i/>
                <w:iCs/>
              </w:rPr>
              <w:t>$56.20</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i/>
                <w:iCs/>
              </w:rPr>
            </w:pPr>
            <w:r w:rsidRPr="00E13C72">
              <w:rPr>
                <w:rFonts w:ascii="Arial Narrow" w:hAnsi="Arial Narrow"/>
                <w:i/>
                <w:iCs/>
              </w:rPr>
              <w:t>$74.93</w:t>
            </w:r>
          </w:p>
        </w:tc>
        <w:tc>
          <w:tcPr>
            <w:tcW w:w="840" w:type="pct"/>
            <w:tcBorders>
              <w:top w:val="single" w:sz="4" w:space="0" w:color="auto"/>
              <w:bottom w:val="single" w:sz="4" w:space="0" w:color="auto"/>
            </w:tcBorders>
            <w:vAlign w:val="center"/>
          </w:tcPr>
          <w:p w:rsidR="00961804" w:rsidRPr="00E13C72" w:rsidRDefault="00961804" w:rsidP="00367A74">
            <w:pPr>
              <w:pStyle w:val="TableText1"/>
              <w:keepNext/>
              <w:keepLines/>
              <w:jc w:val="center"/>
              <w:rPr>
                <w:rFonts w:ascii="Arial Narrow" w:hAnsi="Arial Narrow"/>
                <w:i/>
                <w:iCs/>
              </w:rPr>
            </w:pPr>
            <w:r w:rsidRPr="00E13C72">
              <w:rPr>
                <w:rFonts w:ascii="Arial Narrow" w:hAnsi="Arial Narrow"/>
                <w:i/>
                <w:iCs/>
              </w:rPr>
              <w:t>$56.20</w:t>
            </w:r>
          </w:p>
        </w:tc>
      </w:tr>
      <w:tr w:rsidR="00961804" w:rsidRPr="00E13C72" w:rsidTr="00E13C72">
        <w:trPr>
          <w:cantSplit/>
          <w:tblHeader/>
        </w:trPr>
        <w:tc>
          <w:tcPr>
            <w:tcW w:w="1641" w:type="pct"/>
            <w:tcBorders>
              <w:top w:val="single" w:sz="4" w:space="0" w:color="auto"/>
              <w:bottom w:val="single" w:sz="4" w:space="0" w:color="auto"/>
            </w:tcBorders>
          </w:tcPr>
          <w:p w:rsidR="00961804" w:rsidRPr="00E13C72" w:rsidRDefault="00961804" w:rsidP="00367A74">
            <w:pPr>
              <w:pStyle w:val="TableText1"/>
              <w:keepNext/>
              <w:keepLines/>
              <w:rPr>
                <w:rFonts w:ascii="Arial Narrow" w:hAnsi="Arial Narrow"/>
                <w:b/>
              </w:rPr>
            </w:pPr>
            <w:r w:rsidRPr="00E13C72">
              <w:rPr>
                <w:rFonts w:ascii="Arial Narrow" w:hAnsi="Arial Narrow"/>
                <w:b/>
              </w:rPr>
              <w:t xml:space="preserve">Total cost per 4 weeks </w:t>
            </w:r>
          </w:p>
          <w:p w:rsidR="00961804" w:rsidRPr="00E13C72" w:rsidRDefault="00961804" w:rsidP="00367A74">
            <w:pPr>
              <w:pStyle w:val="TableText1"/>
              <w:keepNext/>
              <w:keepLines/>
              <w:rPr>
                <w:rFonts w:ascii="Arial Narrow" w:hAnsi="Arial Narrow"/>
                <w:b/>
              </w:rPr>
            </w:pPr>
            <w:r w:rsidRPr="00E13C72">
              <w:rPr>
                <w:rFonts w:ascii="Arial Narrow" w:hAnsi="Arial Narrow"/>
                <w:b/>
              </w:rPr>
              <w:t>(cost-minimised)</w:t>
            </w:r>
          </w:p>
        </w:tc>
        <w:tc>
          <w:tcPr>
            <w:tcW w:w="839"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b/>
                <w:i/>
                <w:iCs/>
              </w:rPr>
            </w:pPr>
            <w:r w:rsidRPr="0061321A">
              <w:rPr>
                <w:rFonts w:ascii="Arial Narrow" w:hAnsi="Arial Narrow"/>
                <w:b/>
                <w:i/>
                <w:iCs/>
              </w:rPr>
              <w:t>$</w:t>
            </w:r>
            <w:r w:rsidR="00F45ED5">
              <w:rPr>
                <w:rFonts w:ascii="Arial Narrow" w:hAnsi="Arial Narrow"/>
                <w:b/>
                <w:i/>
                <w:iCs/>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b/>
                <w:i/>
                <w:iCs/>
              </w:rPr>
            </w:pPr>
            <w:r w:rsidRPr="0061321A">
              <w:rPr>
                <w:rFonts w:ascii="Arial Narrow" w:hAnsi="Arial Narrow"/>
                <w:b/>
                <w:i/>
                <w:iCs/>
              </w:rPr>
              <w:t>$</w:t>
            </w:r>
            <w:r w:rsidR="00F45ED5">
              <w:rPr>
                <w:rFonts w:ascii="Arial Narrow" w:hAnsi="Arial Narrow"/>
                <w:b/>
                <w:i/>
                <w:iCs/>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b/>
                <w:i/>
                <w:iCs/>
              </w:rPr>
            </w:pPr>
            <w:r w:rsidRPr="0061321A">
              <w:rPr>
                <w:rFonts w:ascii="Arial Narrow" w:hAnsi="Arial Narrow"/>
                <w:b/>
                <w:i/>
                <w:iCs/>
              </w:rPr>
              <w:t>$</w:t>
            </w:r>
            <w:r w:rsidR="00F45ED5">
              <w:rPr>
                <w:rFonts w:ascii="Arial Narrow" w:hAnsi="Arial Narrow"/>
                <w:b/>
                <w:i/>
                <w:iCs/>
                <w:noProof/>
                <w:color w:val="000000"/>
                <w:highlight w:val="black"/>
              </w:rPr>
              <w:t>'''''''''''''''''</w:t>
            </w:r>
          </w:p>
        </w:tc>
        <w:tc>
          <w:tcPr>
            <w:tcW w:w="840" w:type="pct"/>
            <w:tcBorders>
              <w:top w:val="single" w:sz="4" w:space="0" w:color="auto"/>
              <w:bottom w:val="single" w:sz="4" w:space="0" w:color="auto"/>
            </w:tcBorders>
            <w:vAlign w:val="center"/>
          </w:tcPr>
          <w:p w:rsidR="00961804" w:rsidRPr="00F45ED5" w:rsidRDefault="00961804" w:rsidP="00367A74">
            <w:pPr>
              <w:pStyle w:val="TableText1"/>
              <w:keepNext/>
              <w:keepLines/>
              <w:jc w:val="center"/>
              <w:rPr>
                <w:rFonts w:ascii="Arial Narrow" w:hAnsi="Arial Narrow"/>
                <w:b/>
                <w:i/>
                <w:iCs/>
              </w:rPr>
            </w:pPr>
            <w:r w:rsidRPr="0061321A">
              <w:rPr>
                <w:rFonts w:ascii="Arial Narrow" w:hAnsi="Arial Narrow"/>
                <w:b/>
                <w:i/>
                <w:iCs/>
              </w:rPr>
              <w:t>$</w:t>
            </w:r>
            <w:r w:rsidR="00F45ED5">
              <w:rPr>
                <w:rFonts w:ascii="Arial Narrow" w:hAnsi="Arial Narrow"/>
                <w:b/>
                <w:i/>
                <w:iCs/>
                <w:noProof/>
                <w:color w:val="000000"/>
                <w:highlight w:val="black"/>
              </w:rPr>
              <w:t>'''''''''''''''''</w:t>
            </w:r>
          </w:p>
        </w:tc>
      </w:tr>
    </w:tbl>
    <w:p w:rsidR="00DD3191" w:rsidRPr="00011ED1" w:rsidRDefault="00DD3191" w:rsidP="00E13C72">
      <w:pPr>
        <w:pStyle w:val="TableFooter"/>
        <w:rPr>
          <w:i/>
        </w:rPr>
      </w:pPr>
      <w:r w:rsidRPr="00011ED1">
        <w:t xml:space="preserve">Source: </w:t>
      </w:r>
      <w:r w:rsidR="0037348F" w:rsidRPr="00011ED1">
        <w:t xml:space="preserve">Table 5.1, </w:t>
      </w:r>
      <w:r w:rsidRPr="00011ED1">
        <w:t xml:space="preserve">Table 5.2, </w:t>
      </w:r>
      <w:r w:rsidR="0037348F" w:rsidRPr="00011ED1">
        <w:t>p</w:t>
      </w:r>
      <w:r w:rsidRPr="00011ED1">
        <w:t>p</w:t>
      </w:r>
      <w:r w:rsidR="0037348F" w:rsidRPr="00011ED1">
        <w:t>15-</w:t>
      </w:r>
      <w:r w:rsidRPr="00011ED1">
        <w:t>16 of the submission</w:t>
      </w:r>
      <w:r w:rsidR="00690825" w:rsidRPr="00011ED1">
        <w:t xml:space="preserve">, compiled by the Secretariat </w:t>
      </w:r>
    </w:p>
    <w:p w:rsidR="00DD3191" w:rsidRPr="00011ED1" w:rsidRDefault="00DD3191" w:rsidP="00E13C72">
      <w:pPr>
        <w:pStyle w:val="TableFooter"/>
        <w:rPr>
          <w:rFonts w:eastAsiaTheme="minorHAnsi" w:cstheme="minorBidi"/>
        </w:rPr>
      </w:pPr>
      <w:r w:rsidRPr="00011ED1">
        <w:rPr>
          <w:rFonts w:eastAsiaTheme="minorHAnsi" w:cstheme="minorBidi"/>
        </w:rPr>
        <w:t>Abbreviations: EEMP: effective ex-manufacturer price; DPMA: dispensed price for maximum amount</w:t>
      </w:r>
    </w:p>
    <w:p w:rsidR="00DD3191" w:rsidRPr="00011ED1" w:rsidRDefault="00DD3191" w:rsidP="00E13C72">
      <w:pPr>
        <w:pStyle w:val="TableFooter"/>
        <w:rPr>
          <w:rFonts w:eastAsiaTheme="minorHAnsi" w:cstheme="minorBidi"/>
        </w:rPr>
      </w:pPr>
      <w:r w:rsidRPr="00011ED1">
        <w:rPr>
          <w:rFonts w:eastAsiaTheme="minorHAnsi" w:cstheme="minorBidi"/>
          <w:vertAlign w:val="superscript"/>
        </w:rPr>
        <w:t>a</w:t>
      </w:r>
      <w:r w:rsidR="00DF68E4" w:rsidRPr="00011ED1">
        <w:rPr>
          <w:rFonts w:eastAsiaTheme="minorHAnsi" w:cstheme="minorBidi"/>
        </w:rPr>
        <w:t xml:space="preserve"> Estimated effective ex-manufacturer price for atezolizumab 840 mg x 2 vials </w:t>
      </w:r>
    </w:p>
    <w:p w:rsidR="00DD3191" w:rsidRPr="00011ED1" w:rsidRDefault="006F0292" w:rsidP="00E13C72">
      <w:pPr>
        <w:pStyle w:val="TableFooter"/>
        <w:rPr>
          <w:rFonts w:eastAsiaTheme="minorHAnsi" w:cstheme="minorBidi"/>
        </w:rPr>
      </w:pPr>
      <w:r w:rsidRPr="00011ED1">
        <w:rPr>
          <w:rFonts w:eastAsiaTheme="minorHAnsi" w:cstheme="minorBidi"/>
          <w:vertAlign w:val="superscript"/>
        </w:rPr>
        <w:t>b</w:t>
      </w:r>
      <w:r w:rsidR="00DD3191" w:rsidRPr="00011ED1">
        <w:rPr>
          <w:rFonts w:eastAsiaTheme="minorHAnsi" w:cstheme="minorBidi"/>
          <w:vertAlign w:val="superscript"/>
        </w:rPr>
        <w:t xml:space="preserve"> </w:t>
      </w:r>
      <w:r w:rsidR="00DD3191" w:rsidRPr="00011ED1">
        <w:rPr>
          <w:rFonts w:eastAsiaTheme="minorHAnsi" w:cstheme="minorBidi"/>
        </w:rPr>
        <w:t>Administration/infusion costs based on MBS item 13915.</w:t>
      </w:r>
    </w:p>
    <w:p w:rsidR="003B07A7" w:rsidRPr="00011ED1" w:rsidRDefault="00F35AC1" w:rsidP="00367A74">
      <w:pPr>
        <w:pStyle w:val="Bodytextitalics"/>
        <w:spacing w:before="120"/>
        <w:jc w:val="both"/>
        <w:rPr>
          <w:i w:val="0"/>
          <w:iCs/>
        </w:rPr>
      </w:pPr>
      <w:r w:rsidRPr="00011ED1">
        <w:rPr>
          <w:i w:val="0"/>
          <w:iCs/>
        </w:rPr>
        <w:t xml:space="preserve">The </w:t>
      </w:r>
      <w:r w:rsidR="004205A5" w:rsidRPr="00011ED1">
        <w:rPr>
          <w:i w:val="0"/>
          <w:iCs/>
        </w:rPr>
        <w:t xml:space="preserve">alternative </w:t>
      </w:r>
      <w:r w:rsidR="00D66BD4" w:rsidRPr="00011ED1">
        <w:rPr>
          <w:i w:val="0"/>
          <w:iCs/>
        </w:rPr>
        <w:t>calculations</w:t>
      </w:r>
      <w:r w:rsidR="006B059A" w:rsidRPr="00011ED1">
        <w:rPr>
          <w:i w:val="0"/>
          <w:iCs/>
        </w:rPr>
        <w:t xml:space="preserve"> </w:t>
      </w:r>
      <w:r w:rsidRPr="00011ED1">
        <w:rPr>
          <w:i w:val="0"/>
          <w:iCs/>
        </w:rPr>
        <w:t>resulted in the</w:t>
      </w:r>
      <w:r w:rsidR="00044613" w:rsidRPr="00011ED1">
        <w:rPr>
          <w:i w:val="0"/>
          <w:iCs/>
        </w:rPr>
        <w:t xml:space="preserve"> </w:t>
      </w:r>
      <w:r w:rsidR="004205A5" w:rsidRPr="00011ED1">
        <w:rPr>
          <w:i w:val="0"/>
          <w:iCs/>
        </w:rPr>
        <w:t>cost-minimised</w:t>
      </w:r>
      <w:r w:rsidR="001317A3" w:rsidRPr="00011ED1">
        <w:rPr>
          <w:i w:val="0"/>
          <w:iCs/>
        </w:rPr>
        <w:t xml:space="preserve"> </w:t>
      </w:r>
      <w:r w:rsidR="00C93130" w:rsidRPr="00011ED1">
        <w:rPr>
          <w:i w:val="0"/>
          <w:iCs/>
        </w:rPr>
        <w:t xml:space="preserve">effective </w:t>
      </w:r>
      <w:r w:rsidR="001317A3" w:rsidRPr="00011ED1">
        <w:rPr>
          <w:i w:val="0"/>
          <w:iCs/>
        </w:rPr>
        <w:t>ex-manufacturer price</w:t>
      </w:r>
      <w:r w:rsidRPr="00011ED1">
        <w:rPr>
          <w:i w:val="0"/>
          <w:iCs/>
        </w:rPr>
        <w:t xml:space="preserve"> </w:t>
      </w:r>
      <w:r w:rsidR="006B059A" w:rsidRPr="00011ED1">
        <w:rPr>
          <w:i w:val="0"/>
          <w:iCs/>
        </w:rPr>
        <w:t>per 840</w:t>
      </w:r>
      <w:r w:rsidR="001317A3" w:rsidRPr="00011ED1">
        <w:rPr>
          <w:i w:val="0"/>
          <w:iCs/>
        </w:rPr>
        <w:t xml:space="preserve"> mg vial </w:t>
      </w:r>
      <w:r w:rsidRPr="00011ED1">
        <w:rPr>
          <w:i w:val="0"/>
          <w:iCs/>
        </w:rPr>
        <w:t>of</w:t>
      </w:r>
      <w:r w:rsidR="001317A3" w:rsidRPr="00011ED1">
        <w:rPr>
          <w:i w:val="0"/>
          <w:iCs/>
        </w:rPr>
        <w:t xml:space="preserve"> $</w:t>
      </w:r>
      <w:r w:rsidR="00F45ED5">
        <w:rPr>
          <w:i w:val="0"/>
          <w:iCs/>
          <w:noProof/>
          <w:color w:val="000000"/>
          <w:highlight w:val="black"/>
        </w:rPr>
        <w:t>''''''''''''''''</w:t>
      </w:r>
      <w:r w:rsidR="001317A3" w:rsidRPr="00011ED1">
        <w:rPr>
          <w:i w:val="0"/>
          <w:iCs/>
        </w:rPr>
        <w:t xml:space="preserve"> for 2L NSCLC and $</w:t>
      </w:r>
      <w:r w:rsidR="00F45ED5">
        <w:rPr>
          <w:i w:val="0"/>
          <w:iCs/>
          <w:noProof/>
          <w:color w:val="000000"/>
          <w:highlight w:val="black"/>
        </w:rPr>
        <w:t>''''''''''''''''</w:t>
      </w:r>
      <w:r w:rsidR="001317A3" w:rsidRPr="00011ED1">
        <w:rPr>
          <w:i w:val="0"/>
          <w:iCs/>
        </w:rPr>
        <w:t xml:space="preserve"> for 1L NSCLC. </w:t>
      </w:r>
      <w:r w:rsidR="00B427AD">
        <w:rPr>
          <w:i w:val="0"/>
          <w:iCs/>
        </w:rPr>
        <w:t>The pre-PBAC response</w:t>
      </w:r>
      <w:r w:rsidR="00637DB8" w:rsidRPr="00011ED1">
        <w:rPr>
          <w:i w:val="0"/>
          <w:iCs/>
        </w:rPr>
        <w:t xml:space="preserve"> argued that </w:t>
      </w:r>
      <w:r w:rsidR="00852256" w:rsidRPr="00011ED1">
        <w:rPr>
          <w:i w:val="0"/>
          <w:iCs/>
        </w:rPr>
        <w:t xml:space="preserve">basing the </w:t>
      </w:r>
      <w:r w:rsidR="00637DB8" w:rsidRPr="00011ED1">
        <w:rPr>
          <w:i w:val="0"/>
          <w:iCs/>
        </w:rPr>
        <w:t>cost-minimisation analyses on ex-manufacturer prices and the MBS administration fee at 85% of the item cost</w:t>
      </w:r>
      <w:r w:rsidR="00234F65" w:rsidRPr="00011ED1">
        <w:rPr>
          <w:i w:val="0"/>
          <w:iCs/>
        </w:rPr>
        <w:t xml:space="preserve"> were </w:t>
      </w:r>
      <w:r w:rsidR="00852256" w:rsidRPr="00011ED1">
        <w:rPr>
          <w:i w:val="0"/>
          <w:iCs/>
        </w:rPr>
        <w:t>not in accordance with PBAC recommended methodology for economic evaluations. The pre-PBAC response</w:t>
      </w:r>
      <w:r w:rsidR="00234F65" w:rsidRPr="00011ED1">
        <w:rPr>
          <w:i w:val="0"/>
          <w:iCs/>
        </w:rPr>
        <w:t xml:space="preserve"> </w:t>
      </w:r>
      <w:r w:rsidR="00325317" w:rsidRPr="00011ED1">
        <w:rPr>
          <w:i w:val="0"/>
          <w:iCs/>
        </w:rPr>
        <w:t>indicated that</w:t>
      </w:r>
      <w:r w:rsidR="00637DB8" w:rsidRPr="00011ED1">
        <w:rPr>
          <w:i w:val="0"/>
          <w:iCs/>
        </w:rPr>
        <w:t xml:space="preserve"> </w:t>
      </w:r>
      <w:r w:rsidR="00A1589E" w:rsidRPr="00011ED1">
        <w:rPr>
          <w:i w:val="0"/>
          <w:iCs/>
        </w:rPr>
        <w:t>t</w:t>
      </w:r>
      <w:r w:rsidR="00234F65" w:rsidRPr="00011ED1">
        <w:rPr>
          <w:i w:val="0"/>
          <w:iCs/>
        </w:rPr>
        <w:t>he Manual of resource items and their associated unit costs</w:t>
      </w:r>
      <w:r w:rsidR="00325317" w:rsidRPr="00011ED1">
        <w:rPr>
          <w:i w:val="0"/>
          <w:iCs/>
        </w:rPr>
        <w:t xml:space="preserve"> (version 5.0) infers that the full MBS schedule fee should be used when there is no explicit reference to the rebate amount and</w:t>
      </w:r>
      <w:r w:rsidR="00954A08" w:rsidRPr="00011ED1">
        <w:rPr>
          <w:i w:val="0"/>
          <w:iCs/>
        </w:rPr>
        <w:t xml:space="preserve"> that </w:t>
      </w:r>
      <w:r w:rsidR="00954A08" w:rsidRPr="00011ED1">
        <w:rPr>
          <w:i w:val="0"/>
        </w:rPr>
        <w:t>the price applied to the proposed medicine should be based on the DPMA</w:t>
      </w:r>
      <w:r w:rsidR="002E4204" w:rsidRPr="00011ED1">
        <w:rPr>
          <w:rFonts w:ascii="Times New Roman" w:eastAsia="Times New Roman" w:hAnsi="Times New Roman" w:cs="Times New Roman"/>
          <w:iCs/>
          <w:szCs w:val="24"/>
        </w:rPr>
        <w:t xml:space="preserve"> </w:t>
      </w:r>
      <w:r w:rsidR="002E4204" w:rsidRPr="00011ED1">
        <w:rPr>
          <w:i w:val="0"/>
          <w:iCs/>
        </w:rPr>
        <w:t>when a</w:t>
      </w:r>
      <w:r w:rsidR="002E4204" w:rsidRPr="00011ED1">
        <w:rPr>
          <w:i w:val="0"/>
        </w:rPr>
        <w:t xml:space="preserve"> Section 100 (Efficient Funding of Chemotherapy – Public and Private Hospital) is being sought.</w:t>
      </w:r>
      <w:r w:rsidR="00CA5D6F" w:rsidRPr="00011ED1">
        <w:rPr>
          <w:i w:val="0"/>
          <w:iCs/>
        </w:rPr>
        <w:t xml:space="preserve"> </w:t>
      </w:r>
      <w:r w:rsidR="002E4204" w:rsidRPr="00011ED1">
        <w:rPr>
          <w:i w:val="0"/>
          <w:iCs/>
        </w:rPr>
        <w:t xml:space="preserve">The Secretariat </w:t>
      </w:r>
      <w:r w:rsidR="00622433" w:rsidRPr="00011ED1">
        <w:rPr>
          <w:i w:val="0"/>
          <w:iCs/>
        </w:rPr>
        <w:t>noted that the</w:t>
      </w:r>
      <w:r w:rsidR="009E6FA5" w:rsidRPr="00011ED1">
        <w:rPr>
          <w:i w:val="0"/>
          <w:iCs/>
        </w:rPr>
        <w:t xml:space="preserve"> guidance in the </w:t>
      </w:r>
      <w:r w:rsidR="00622433" w:rsidRPr="00011ED1">
        <w:rPr>
          <w:i w:val="0"/>
          <w:iCs/>
        </w:rPr>
        <w:t xml:space="preserve">Manual of resource items and their associated unit </w:t>
      </w:r>
      <w:r w:rsidR="009E6FA5" w:rsidRPr="00011ED1">
        <w:rPr>
          <w:i w:val="0"/>
          <w:iCs/>
        </w:rPr>
        <w:t>costs is in the context of costs applied to economic models</w:t>
      </w:r>
      <w:r w:rsidR="003513A4" w:rsidRPr="00011ED1">
        <w:rPr>
          <w:i w:val="0"/>
          <w:iCs/>
        </w:rPr>
        <w:t>,</w:t>
      </w:r>
      <w:r w:rsidR="009E6FA5" w:rsidRPr="00011ED1">
        <w:rPr>
          <w:i w:val="0"/>
          <w:iCs/>
        </w:rPr>
        <w:t xml:space="preserve"> </w:t>
      </w:r>
      <w:r w:rsidR="003513A4" w:rsidRPr="00011ED1">
        <w:rPr>
          <w:i w:val="0"/>
          <w:iCs/>
        </w:rPr>
        <w:t>which differs from the basis upon</w:t>
      </w:r>
      <w:r w:rsidR="009E6FA5" w:rsidRPr="00011ED1">
        <w:rPr>
          <w:i w:val="0"/>
          <w:iCs/>
        </w:rPr>
        <w:t xml:space="preserve"> which </w:t>
      </w:r>
      <w:r w:rsidR="003513A4" w:rsidRPr="00011ED1">
        <w:rPr>
          <w:i w:val="0"/>
          <w:iCs/>
        </w:rPr>
        <w:t xml:space="preserve">prices for PBS listings are agreed. The Secretariat noted that pricing agreements are made under </w:t>
      </w:r>
      <w:r w:rsidR="003513A4" w:rsidRPr="00011ED1">
        <w:rPr>
          <w:iCs/>
        </w:rPr>
        <w:t xml:space="preserve">the National Health Act 1953 </w:t>
      </w:r>
      <w:r w:rsidR="003513A4" w:rsidRPr="00011ED1">
        <w:rPr>
          <w:i w:val="0"/>
          <w:iCs/>
        </w:rPr>
        <w:t xml:space="preserve">at the ex-manufacturer level. </w:t>
      </w:r>
    </w:p>
    <w:p w:rsidR="00FC5001" w:rsidRPr="00011ED1" w:rsidRDefault="00AC624B" w:rsidP="00367A74">
      <w:pPr>
        <w:pStyle w:val="Bodytextitalics"/>
        <w:spacing w:before="120"/>
        <w:jc w:val="both"/>
        <w:rPr>
          <w:rFonts w:cstheme="minorHAnsi"/>
          <w:i w:val="0"/>
          <w:iCs/>
        </w:rPr>
      </w:pPr>
      <w:r w:rsidRPr="00011ED1">
        <w:rPr>
          <w:rFonts w:cstheme="minorHAnsi"/>
          <w:i w:val="0"/>
          <w:iCs/>
        </w:rPr>
        <w:t>The Secretariat noted that t</w:t>
      </w:r>
      <w:r w:rsidR="00264758" w:rsidRPr="00011ED1">
        <w:rPr>
          <w:rFonts w:cstheme="minorHAnsi"/>
          <w:i w:val="0"/>
          <w:iCs/>
        </w:rPr>
        <w:t xml:space="preserve">he </w:t>
      </w:r>
      <w:r w:rsidR="00D66BD4" w:rsidRPr="00011ED1">
        <w:rPr>
          <w:rFonts w:cstheme="minorHAnsi"/>
          <w:i w:val="0"/>
          <w:iCs/>
        </w:rPr>
        <w:t>Q4W</w:t>
      </w:r>
      <w:r w:rsidR="00FC5001" w:rsidRPr="00011ED1">
        <w:rPr>
          <w:rFonts w:cstheme="minorHAnsi"/>
          <w:i w:val="0"/>
          <w:iCs/>
        </w:rPr>
        <w:t xml:space="preserve"> dosing regimen of nivolumab was available on the PBS from 1 September 2019</w:t>
      </w:r>
      <w:r w:rsidRPr="00011ED1">
        <w:rPr>
          <w:rFonts w:cstheme="minorHAnsi"/>
          <w:i w:val="0"/>
          <w:iCs/>
        </w:rPr>
        <w:t xml:space="preserve"> and</w:t>
      </w:r>
      <w:r w:rsidR="00FC5001" w:rsidRPr="00011ED1">
        <w:rPr>
          <w:rFonts w:cstheme="minorHAnsi"/>
          <w:i w:val="0"/>
          <w:iCs/>
        </w:rPr>
        <w:t xml:space="preserve"> </w:t>
      </w:r>
      <w:r w:rsidRPr="00011ED1">
        <w:rPr>
          <w:rFonts w:cstheme="minorHAnsi"/>
          <w:i w:val="0"/>
          <w:iCs/>
        </w:rPr>
        <w:t>i</w:t>
      </w:r>
      <w:r w:rsidR="00FC5001" w:rsidRPr="00011ED1">
        <w:rPr>
          <w:rFonts w:cstheme="minorHAnsi"/>
          <w:i w:val="0"/>
          <w:iCs/>
        </w:rPr>
        <w:t xml:space="preserve">t may be appropriate that atezolizumab </w:t>
      </w:r>
      <w:r w:rsidR="00E10A2F" w:rsidRPr="00011ED1">
        <w:rPr>
          <w:rFonts w:cstheme="minorHAnsi"/>
          <w:i w:val="0"/>
          <w:iCs/>
        </w:rPr>
        <w:t>1680</w:t>
      </w:r>
      <w:r w:rsidR="00C90D77" w:rsidRPr="00011ED1">
        <w:rPr>
          <w:rFonts w:cstheme="minorHAnsi"/>
          <w:i w:val="0"/>
          <w:iCs/>
        </w:rPr>
        <w:t xml:space="preserve"> </w:t>
      </w:r>
      <w:r w:rsidR="00E10A2F" w:rsidRPr="00011ED1">
        <w:rPr>
          <w:rFonts w:cstheme="minorHAnsi"/>
          <w:i w:val="0"/>
          <w:iCs/>
        </w:rPr>
        <w:t xml:space="preserve">mg </w:t>
      </w:r>
      <w:r w:rsidR="003C6CC7" w:rsidRPr="00011ED1">
        <w:rPr>
          <w:rFonts w:cstheme="minorHAnsi"/>
          <w:i w:val="0"/>
          <w:iCs/>
        </w:rPr>
        <w:t xml:space="preserve">Q4W </w:t>
      </w:r>
      <w:r w:rsidR="00E10A2F" w:rsidRPr="00011ED1">
        <w:rPr>
          <w:rFonts w:cstheme="minorHAnsi"/>
          <w:i w:val="0"/>
          <w:iCs/>
        </w:rPr>
        <w:t>for</w:t>
      </w:r>
      <w:r w:rsidR="00FC5001" w:rsidRPr="00011ED1">
        <w:rPr>
          <w:rFonts w:cstheme="minorHAnsi"/>
          <w:i w:val="0"/>
          <w:iCs/>
        </w:rPr>
        <w:t xml:space="preserve"> </w:t>
      </w:r>
      <w:r w:rsidR="009D43E9" w:rsidRPr="00011ED1">
        <w:rPr>
          <w:rFonts w:cstheme="minorHAnsi"/>
          <w:i w:val="0"/>
          <w:iCs/>
        </w:rPr>
        <w:t>2L</w:t>
      </w:r>
      <w:r w:rsidR="00FC5001" w:rsidRPr="00011ED1">
        <w:rPr>
          <w:rFonts w:cstheme="minorHAnsi"/>
          <w:i w:val="0"/>
          <w:iCs/>
        </w:rPr>
        <w:t xml:space="preserve"> NSCLC be cost-minimised to </w:t>
      </w:r>
      <w:r w:rsidR="00E10A2F" w:rsidRPr="00011ED1">
        <w:rPr>
          <w:rFonts w:cstheme="minorHAnsi"/>
          <w:i w:val="0"/>
          <w:iCs/>
        </w:rPr>
        <w:t>nivolumab 480 mg</w:t>
      </w:r>
      <w:r w:rsidR="00334EB9" w:rsidRPr="00011ED1">
        <w:rPr>
          <w:rFonts w:cstheme="minorHAnsi"/>
          <w:i w:val="0"/>
          <w:iCs/>
        </w:rPr>
        <w:t xml:space="preserve"> Q4W</w:t>
      </w:r>
      <w:r w:rsidR="0007778B" w:rsidRPr="00011ED1">
        <w:rPr>
          <w:rFonts w:cstheme="minorHAnsi"/>
          <w:i w:val="0"/>
          <w:iCs/>
        </w:rPr>
        <w:t>, noting that atezolizumab was listed for 2L NSCLC on a cost-minimisation basis with nivolumab</w:t>
      </w:r>
      <w:r w:rsidR="00FC5001" w:rsidRPr="00011ED1">
        <w:rPr>
          <w:rFonts w:cstheme="minorHAnsi"/>
          <w:i w:val="0"/>
          <w:iCs/>
        </w:rPr>
        <w:t>.</w:t>
      </w:r>
    </w:p>
    <w:p w:rsidR="00AF7BEA" w:rsidRPr="00011ED1" w:rsidRDefault="004E59DF" w:rsidP="00367A74">
      <w:pPr>
        <w:pStyle w:val="Bodytextitalics"/>
        <w:jc w:val="both"/>
        <w:rPr>
          <w:i w:val="0"/>
          <w:iCs/>
        </w:rPr>
      </w:pPr>
      <w:r w:rsidRPr="00011ED1">
        <w:rPr>
          <w:i w:val="0"/>
          <w:iCs/>
        </w:rPr>
        <w:t>The Secretariat also noted that p</w:t>
      </w:r>
      <w:r w:rsidR="00AF7BEA" w:rsidRPr="00011ED1">
        <w:rPr>
          <w:i w:val="0"/>
          <w:iCs/>
        </w:rPr>
        <w:t xml:space="preserve">embrolizumab in combination with cisplatin/carboplatin and pemetrexed was recommended for </w:t>
      </w:r>
      <w:r w:rsidR="00BC6B1F" w:rsidRPr="00011ED1">
        <w:rPr>
          <w:i w:val="0"/>
          <w:iCs/>
        </w:rPr>
        <w:t xml:space="preserve">1L </w:t>
      </w:r>
      <w:r w:rsidR="00AF7BEA" w:rsidRPr="00011ED1">
        <w:rPr>
          <w:i w:val="0"/>
          <w:iCs/>
        </w:rPr>
        <w:t>NSCLC at the July 2019 PBAC meeting</w:t>
      </w:r>
      <w:r w:rsidR="0001238B" w:rsidRPr="00011ED1">
        <w:rPr>
          <w:i w:val="0"/>
          <w:iCs/>
        </w:rPr>
        <w:t xml:space="preserve"> and </w:t>
      </w:r>
      <w:r w:rsidR="004A2B9E" w:rsidRPr="00011ED1">
        <w:rPr>
          <w:i w:val="0"/>
          <w:iCs/>
        </w:rPr>
        <w:t xml:space="preserve">a reduction in the pembrolizumab monotherapy price </w:t>
      </w:r>
      <w:r w:rsidR="00BC6B1F" w:rsidRPr="00011ED1">
        <w:rPr>
          <w:i w:val="0"/>
          <w:iCs/>
        </w:rPr>
        <w:t>for</w:t>
      </w:r>
      <w:r w:rsidR="004A2B9E" w:rsidRPr="00011ED1">
        <w:rPr>
          <w:i w:val="0"/>
          <w:iCs/>
        </w:rPr>
        <w:t xml:space="preserve"> 1L </w:t>
      </w:r>
      <w:r w:rsidR="004A2B9E" w:rsidRPr="00011ED1">
        <w:rPr>
          <w:i w:val="0"/>
          <w:iCs/>
        </w:rPr>
        <w:lastRenderedPageBreak/>
        <w:t>NSCLC</w:t>
      </w:r>
      <w:r w:rsidR="0001238B" w:rsidRPr="00011ED1">
        <w:rPr>
          <w:i w:val="0"/>
          <w:iCs/>
        </w:rPr>
        <w:t xml:space="preserve"> </w:t>
      </w:r>
      <w:r w:rsidR="004A2B9E" w:rsidRPr="00011ED1">
        <w:rPr>
          <w:i w:val="0"/>
          <w:iCs/>
        </w:rPr>
        <w:t xml:space="preserve">at its March 2019 </w:t>
      </w:r>
      <w:r w:rsidR="005D19FC" w:rsidRPr="00011ED1">
        <w:rPr>
          <w:i w:val="0"/>
          <w:iCs/>
        </w:rPr>
        <w:t>meeting. Therefore</w:t>
      </w:r>
      <w:r w:rsidR="00AB2DEF" w:rsidRPr="00011ED1">
        <w:rPr>
          <w:i w:val="0"/>
          <w:iCs/>
        </w:rPr>
        <w:t>,</w:t>
      </w:r>
      <w:r w:rsidR="00BA6963" w:rsidRPr="00011ED1">
        <w:rPr>
          <w:i w:val="0"/>
          <w:iCs/>
        </w:rPr>
        <w:t xml:space="preserve"> </w:t>
      </w:r>
      <w:r w:rsidR="004A2B9E" w:rsidRPr="00011ED1">
        <w:rPr>
          <w:i w:val="0"/>
          <w:iCs/>
        </w:rPr>
        <w:t xml:space="preserve">these pembrolizumab listings, if implemented, are </w:t>
      </w:r>
      <w:r w:rsidR="00FD5A5A" w:rsidRPr="00011ED1">
        <w:rPr>
          <w:i w:val="0"/>
          <w:iCs/>
        </w:rPr>
        <w:t xml:space="preserve">also </w:t>
      </w:r>
      <w:r w:rsidR="002D36A1" w:rsidRPr="00011ED1">
        <w:rPr>
          <w:i w:val="0"/>
          <w:iCs/>
        </w:rPr>
        <w:t xml:space="preserve">relevant </w:t>
      </w:r>
      <w:r w:rsidR="004A2B9E" w:rsidRPr="00011ED1">
        <w:rPr>
          <w:i w:val="0"/>
          <w:iCs/>
        </w:rPr>
        <w:t xml:space="preserve">for </w:t>
      </w:r>
      <w:r w:rsidR="002D36A1" w:rsidRPr="00011ED1">
        <w:rPr>
          <w:i w:val="0"/>
          <w:iCs/>
        </w:rPr>
        <w:t>the purpose of the cost-minimisation basis of</w:t>
      </w:r>
      <w:r w:rsidR="004A2B9E" w:rsidRPr="00011ED1">
        <w:rPr>
          <w:i w:val="0"/>
          <w:iCs/>
        </w:rPr>
        <w:t xml:space="preserve"> </w:t>
      </w:r>
      <w:r w:rsidR="004A2B9E" w:rsidRPr="00011ED1">
        <w:rPr>
          <w:rFonts w:cstheme="minorHAnsi"/>
          <w:i w:val="0"/>
          <w:iCs/>
        </w:rPr>
        <w:t xml:space="preserve">the proposed </w:t>
      </w:r>
      <w:r w:rsidR="00BC6B1F" w:rsidRPr="00011ED1">
        <w:rPr>
          <w:rFonts w:cstheme="minorHAnsi"/>
          <w:i w:val="0"/>
          <w:iCs/>
        </w:rPr>
        <w:t xml:space="preserve">Q4W dosing </w:t>
      </w:r>
      <w:r w:rsidR="004A2B9E" w:rsidRPr="00011ED1">
        <w:rPr>
          <w:rFonts w:cstheme="minorHAnsi"/>
          <w:i w:val="0"/>
          <w:iCs/>
        </w:rPr>
        <w:t>regimen</w:t>
      </w:r>
      <w:r w:rsidR="00BC6B1F" w:rsidRPr="00011ED1">
        <w:rPr>
          <w:rFonts w:cstheme="minorHAnsi"/>
          <w:i w:val="0"/>
          <w:iCs/>
        </w:rPr>
        <w:t xml:space="preserve"> of </w:t>
      </w:r>
      <w:r w:rsidR="004A2B9E" w:rsidRPr="00011ED1">
        <w:rPr>
          <w:rFonts w:cstheme="minorHAnsi"/>
          <w:i w:val="0"/>
          <w:iCs/>
        </w:rPr>
        <w:t xml:space="preserve">atezolizumab </w:t>
      </w:r>
      <w:r w:rsidR="00782BC0" w:rsidRPr="00011ED1">
        <w:rPr>
          <w:rFonts w:cstheme="minorHAnsi"/>
          <w:i w:val="0"/>
          <w:iCs/>
        </w:rPr>
        <w:t>in the</w:t>
      </w:r>
      <w:r w:rsidR="004A2B9E" w:rsidRPr="00011ED1">
        <w:rPr>
          <w:rFonts w:cstheme="minorHAnsi"/>
          <w:i w:val="0"/>
          <w:iCs/>
        </w:rPr>
        <w:t xml:space="preserve"> 1L NSCLC</w:t>
      </w:r>
      <w:r w:rsidR="00782BC0" w:rsidRPr="00011ED1">
        <w:rPr>
          <w:rFonts w:cstheme="minorHAnsi"/>
          <w:i w:val="0"/>
          <w:iCs/>
        </w:rPr>
        <w:t xml:space="preserve"> setting</w:t>
      </w:r>
      <w:r w:rsidR="004A2B9E" w:rsidRPr="00011ED1">
        <w:rPr>
          <w:rFonts w:cstheme="minorHAnsi"/>
          <w:i w:val="0"/>
          <w:iCs/>
        </w:rPr>
        <w:t>.</w:t>
      </w:r>
    </w:p>
    <w:p w:rsidR="00196D52" w:rsidRPr="00011ED1" w:rsidRDefault="00196D52" w:rsidP="00367A74">
      <w:pPr>
        <w:pStyle w:val="Bodytextitalics"/>
        <w:spacing w:before="120"/>
        <w:jc w:val="both"/>
        <w:rPr>
          <w:rFonts w:cstheme="minorHAnsi"/>
          <w:i w:val="0"/>
          <w:iCs/>
        </w:rPr>
      </w:pPr>
      <w:r w:rsidRPr="00011ED1">
        <w:rPr>
          <w:rFonts w:cstheme="minorHAnsi"/>
          <w:i w:val="0"/>
          <w:iCs/>
        </w:rPr>
        <w:t>The requested published price of the 840 mg vial is consistent with the price per mg of the currently listed 1200 mg form</w:t>
      </w:r>
      <w:r w:rsidR="00782237" w:rsidRPr="00011ED1">
        <w:rPr>
          <w:rFonts w:cstheme="minorHAnsi"/>
          <w:i w:val="0"/>
          <w:iCs/>
        </w:rPr>
        <w:t xml:space="preserve"> for all existing indications</w:t>
      </w:r>
      <w:r w:rsidRPr="00011ED1">
        <w:rPr>
          <w:rFonts w:cstheme="minorHAnsi"/>
          <w:i w:val="0"/>
          <w:iCs/>
        </w:rPr>
        <w:t xml:space="preserve">. </w:t>
      </w:r>
    </w:p>
    <w:p w:rsidR="005A3173" w:rsidRPr="00011ED1" w:rsidRDefault="005A3173" w:rsidP="00367A74">
      <w:pPr>
        <w:pStyle w:val="Heading2"/>
        <w:keepLines/>
        <w:spacing w:before="120"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Estimated PBS usage &amp; financial implications</w:t>
      </w:r>
    </w:p>
    <w:p w:rsidR="001C5DA7" w:rsidRPr="00011ED1" w:rsidRDefault="001F6F9E" w:rsidP="00367A74">
      <w:pPr>
        <w:pStyle w:val="Bodytextitalics"/>
        <w:spacing w:before="120"/>
        <w:jc w:val="both"/>
        <w:rPr>
          <w:rFonts w:cstheme="minorHAnsi"/>
          <w:i w:val="0"/>
          <w:iCs/>
          <w:szCs w:val="24"/>
        </w:rPr>
      </w:pPr>
      <w:r w:rsidRPr="00011ED1">
        <w:rPr>
          <w:i w:val="0"/>
          <w:iCs/>
        </w:rPr>
        <w:t xml:space="preserve">The </w:t>
      </w:r>
      <w:r w:rsidR="00B0549B" w:rsidRPr="00011ED1">
        <w:rPr>
          <w:i w:val="0"/>
          <w:iCs/>
        </w:rPr>
        <w:t xml:space="preserve">minor </w:t>
      </w:r>
      <w:r w:rsidRPr="00011ED1">
        <w:rPr>
          <w:i w:val="0"/>
          <w:iCs/>
        </w:rPr>
        <w:t>submission</w:t>
      </w:r>
      <w:r w:rsidR="006476E9" w:rsidRPr="00011ED1">
        <w:rPr>
          <w:i w:val="0"/>
          <w:iCs/>
        </w:rPr>
        <w:t xml:space="preserve"> used </w:t>
      </w:r>
      <w:r w:rsidRPr="00011ED1">
        <w:rPr>
          <w:i w:val="0"/>
          <w:iCs/>
        </w:rPr>
        <w:t xml:space="preserve">a market share approach </w:t>
      </w:r>
      <w:r w:rsidR="006476E9" w:rsidRPr="00011ED1">
        <w:rPr>
          <w:i w:val="0"/>
          <w:iCs/>
        </w:rPr>
        <w:t>to estimate the extent of use and financial impact of listing atezolizumab 840 mg on the PBS/RPBS.</w:t>
      </w:r>
      <w:r w:rsidR="009124E1" w:rsidRPr="00011ED1">
        <w:rPr>
          <w:i w:val="0"/>
          <w:iCs/>
        </w:rPr>
        <w:t xml:space="preserve"> </w:t>
      </w:r>
      <w:r w:rsidR="0017393F" w:rsidRPr="00011ED1">
        <w:rPr>
          <w:i w:val="0"/>
          <w:iCs/>
        </w:rPr>
        <w:t>The estimated utilisation</w:t>
      </w:r>
      <w:r w:rsidR="009124E1" w:rsidRPr="00011ED1">
        <w:rPr>
          <w:i w:val="0"/>
          <w:iCs/>
        </w:rPr>
        <w:t xml:space="preserve"> and financia</w:t>
      </w:r>
      <w:r w:rsidR="006E2FDC" w:rsidRPr="00011ED1">
        <w:rPr>
          <w:i w:val="0"/>
          <w:iCs/>
        </w:rPr>
        <w:t xml:space="preserve">l implications for </w:t>
      </w:r>
      <w:r w:rsidR="008C70E6" w:rsidRPr="00011ED1">
        <w:rPr>
          <w:i w:val="0"/>
          <w:iCs/>
        </w:rPr>
        <w:t xml:space="preserve">1L NSCLC and </w:t>
      </w:r>
      <w:r w:rsidR="006E2FDC" w:rsidRPr="00011ED1">
        <w:rPr>
          <w:i w:val="0"/>
          <w:iCs/>
        </w:rPr>
        <w:t>2L NSCLC indication</w:t>
      </w:r>
      <w:r w:rsidR="008C70E6" w:rsidRPr="00011ED1">
        <w:rPr>
          <w:i w:val="0"/>
          <w:iCs/>
        </w:rPr>
        <w:t>s</w:t>
      </w:r>
      <w:r w:rsidR="0017393F" w:rsidRPr="00011ED1">
        <w:rPr>
          <w:i w:val="0"/>
          <w:iCs/>
        </w:rPr>
        <w:t>,</w:t>
      </w:r>
      <w:r w:rsidR="008C70E6" w:rsidRPr="00011ED1">
        <w:rPr>
          <w:i w:val="0"/>
          <w:iCs/>
        </w:rPr>
        <w:t xml:space="preserve"> </w:t>
      </w:r>
      <w:r w:rsidR="009D52CA" w:rsidRPr="00011ED1">
        <w:rPr>
          <w:i w:val="0"/>
          <w:iCs/>
        </w:rPr>
        <w:t>based on bot</w:t>
      </w:r>
      <w:r w:rsidR="0017393F" w:rsidRPr="00011ED1">
        <w:rPr>
          <w:i w:val="0"/>
          <w:iCs/>
        </w:rPr>
        <w:t>h published and effective DPMA</w:t>
      </w:r>
      <w:r w:rsidR="00A81900" w:rsidRPr="00011ED1">
        <w:rPr>
          <w:i w:val="0"/>
          <w:iCs/>
        </w:rPr>
        <w:t xml:space="preserve"> </w:t>
      </w:r>
      <w:r w:rsidR="00F50D2F" w:rsidRPr="00011ED1">
        <w:rPr>
          <w:rFonts w:cstheme="minorHAnsi"/>
          <w:i w:val="0"/>
          <w:iCs/>
          <w:szCs w:val="24"/>
        </w:rPr>
        <w:t xml:space="preserve">are presented in </w:t>
      </w:r>
      <w:r w:rsidR="00CB7F12" w:rsidRPr="00011ED1">
        <w:rPr>
          <w:rFonts w:cstheme="minorHAnsi"/>
          <w:i w:val="0"/>
          <w:iCs/>
          <w:szCs w:val="24"/>
        </w:rPr>
        <w:t xml:space="preserve">Table </w:t>
      </w:r>
      <w:r w:rsidR="00CB7F12" w:rsidRPr="00FC0F08">
        <w:rPr>
          <w:rFonts w:cstheme="minorHAnsi"/>
          <w:i w:val="0"/>
          <w:iCs/>
          <w:szCs w:val="24"/>
        </w:rPr>
        <w:t>4</w:t>
      </w:r>
      <w:r w:rsidR="00A81900" w:rsidRPr="00011ED1">
        <w:rPr>
          <w:rFonts w:cstheme="minorHAnsi"/>
          <w:i w:val="0"/>
          <w:iCs/>
          <w:szCs w:val="24"/>
        </w:rPr>
        <w:t xml:space="preserve"> and </w:t>
      </w:r>
      <w:r w:rsidR="00CB7F12" w:rsidRPr="00011ED1">
        <w:rPr>
          <w:rFonts w:cstheme="minorHAnsi"/>
          <w:i w:val="0"/>
          <w:iCs/>
          <w:szCs w:val="24"/>
        </w:rPr>
        <w:t xml:space="preserve">Table </w:t>
      </w:r>
      <w:r w:rsidR="00CB7F12" w:rsidRPr="00FC0F08">
        <w:rPr>
          <w:rFonts w:cstheme="minorHAnsi"/>
          <w:i w:val="0"/>
          <w:iCs/>
          <w:szCs w:val="24"/>
        </w:rPr>
        <w:t>5</w:t>
      </w:r>
      <w:r w:rsidR="009D52CA" w:rsidRPr="00011ED1">
        <w:rPr>
          <w:rFonts w:cstheme="minorHAnsi"/>
          <w:i w:val="0"/>
          <w:iCs/>
          <w:szCs w:val="24"/>
        </w:rPr>
        <w:t>.</w:t>
      </w:r>
    </w:p>
    <w:p w:rsidR="00833F8D" w:rsidRPr="00011ED1" w:rsidRDefault="00833F8D" w:rsidP="00B811FD">
      <w:pPr>
        <w:pStyle w:val="Bodytextitalics"/>
        <w:spacing w:before="120"/>
        <w:jc w:val="both"/>
        <w:rPr>
          <w:i w:val="0"/>
          <w:iCs/>
        </w:rPr>
      </w:pPr>
      <w:r w:rsidRPr="00011ED1">
        <w:rPr>
          <w:i w:val="0"/>
          <w:iCs/>
        </w:rPr>
        <w:t xml:space="preserve">The </w:t>
      </w:r>
      <w:r w:rsidR="00B0549B" w:rsidRPr="00011ED1">
        <w:rPr>
          <w:i w:val="0"/>
          <w:iCs/>
        </w:rPr>
        <w:t xml:space="preserve">minor </w:t>
      </w:r>
      <w:r w:rsidR="002A0B5E" w:rsidRPr="00011ED1">
        <w:rPr>
          <w:i w:val="0"/>
          <w:iCs/>
        </w:rPr>
        <w:t>subm</w:t>
      </w:r>
      <w:r w:rsidR="00E02752" w:rsidRPr="00011ED1">
        <w:rPr>
          <w:i w:val="0"/>
          <w:iCs/>
        </w:rPr>
        <w:t>ission assumed that atezolizumab</w:t>
      </w:r>
      <w:r w:rsidR="002A0B5E" w:rsidRPr="00011ED1">
        <w:rPr>
          <w:i w:val="0"/>
          <w:iCs/>
        </w:rPr>
        <w:t xml:space="preserve"> 840 mg</w:t>
      </w:r>
      <w:r w:rsidR="00497D33" w:rsidRPr="00011ED1">
        <w:rPr>
          <w:i w:val="0"/>
          <w:iCs/>
        </w:rPr>
        <w:t xml:space="preserve"> Q4W</w:t>
      </w:r>
      <w:r w:rsidR="002A0B5E" w:rsidRPr="00011ED1">
        <w:rPr>
          <w:i w:val="0"/>
          <w:iCs/>
        </w:rPr>
        <w:t xml:space="preserve"> would only substitute for atezolizumab 1200 mg </w:t>
      </w:r>
      <w:r w:rsidR="008C70E6" w:rsidRPr="00011ED1">
        <w:rPr>
          <w:i w:val="0"/>
          <w:iCs/>
        </w:rPr>
        <w:t xml:space="preserve">in the </w:t>
      </w:r>
      <w:r w:rsidR="008D6C49" w:rsidRPr="00011ED1">
        <w:rPr>
          <w:i w:val="0"/>
          <w:iCs/>
        </w:rPr>
        <w:t>2L</w:t>
      </w:r>
      <w:r w:rsidR="008C70E6" w:rsidRPr="00011ED1">
        <w:rPr>
          <w:i w:val="0"/>
          <w:iCs/>
        </w:rPr>
        <w:t xml:space="preserve"> setting,</w:t>
      </w:r>
      <w:r w:rsidR="002A0B5E" w:rsidRPr="00011ED1">
        <w:rPr>
          <w:i w:val="0"/>
          <w:iCs/>
        </w:rPr>
        <w:t xml:space="preserve"> </w:t>
      </w:r>
      <w:r w:rsidR="008D6C49" w:rsidRPr="00011ED1">
        <w:rPr>
          <w:i w:val="0"/>
          <w:iCs/>
        </w:rPr>
        <w:t xml:space="preserve">estimating that </w:t>
      </w:r>
      <w:r w:rsidR="00B811FD">
        <w:rPr>
          <w:i w:val="0"/>
          <w:iCs/>
        </w:rPr>
        <w:t>100</w:t>
      </w:r>
      <w:r w:rsidR="001016E9" w:rsidRPr="00011ED1">
        <w:rPr>
          <w:i w:val="0"/>
          <w:iCs/>
        </w:rPr>
        <w:t xml:space="preserve">% of eligible patients for 2L NSCLC </w:t>
      </w:r>
      <w:r w:rsidR="00E83A90" w:rsidRPr="00011ED1">
        <w:rPr>
          <w:i w:val="0"/>
          <w:iCs/>
        </w:rPr>
        <w:t xml:space="preserve">would </w:t>
      </w:r>
      <w:r w:rsidR="008D6C49" w:rsidRPr="00011ED1">
        <w:rPr>
          <w:i w:val="0"/>
          <w:iCs/>
        </w:rPr>
        <w:t>use the</w:t>
      </w:r>
      <w:r w:rsidR="006F4437" w:rsidRPr="00011ED1">
        <w:rPr>
          <w:i w:val="0"/>
          <w:iCs/>
        </w:rPr>
        <w:t xml:space="preserve"> 1680 mg Q4W dosing regimen if recommended for listing. </w:t>
      </w:r>
      <w:r w:rsidR="00264758" w:rsidRPr="00011ED1">
        <w:rPr>
          <w:i w:val="0"/>
          <w:iCs/>
        </w:rPr>
        <w:t xml:space="preserve">The </w:t>
      </w:r>
      <w:r w:rsidR="00B0549B" w:rsidRPr="00011ED1">
        <w:rPr>
          <w:i w:val="0"/>
          <w:iCs/>
        </w:rPr>
        <w:t xml:space="preserve">minor </w:t>
      </w:r>
      <w:r w:rsidR="004B3499" w:rsidRPr="00011ED1">
        <w:rPr>
          <w:i w:val="0"/>
          <w:iCs/>
        </w:rPr>
        <w:t xml:space="preserve">submission did not consider the proportion of </w:t>
      </w:r>
      <w:r w:rsidR="005E20BB" w:rsidRPr="00011ED1">
        <w:rPr>
          <w:i w:val="0"/>
          <w:iCs/>
        </w:rPr>
        <w:t>nivolumab that may be</w:t>
      </w:r>
      <w:r w:rsidR="004B3499" w:rsidRPr="00011ED1">
        <w:rPr>
          <w:i w:val="0"/>
          <w:iCs/>
        </w:rPr>
        <w:t xml:space="preserve"> replaced. However, the Secretariat considered that </w:t>
      </w:r>
      <w:r w:rsidR="00DF42B9" w:rsidRPr="00011ED1">
        <w:rPr>
          <w:i w:val="0"/>
          <w:iCs/>
        </w:rPr>
        <w:t xml:space="preserve">substitution of </w:t>
      </w:r>
      <w:r w:rsidR="005E20BB" w:rsidRPr="00011ED1">
        <w:rPr>
          <w:i w:val="0"/>
          <w:iCs/>
        </w:rPr>
        <w:t>nivolumab</w:t>
      </w:r>
      <w:r w:rsidR="00DF42B9" w:rsidRPr="00011ED1">
        <w:rPr>
          <w:i w:val="0"/>
          <w:iCs/>
        </w:rPr>
        <w:t xml:space="preserve">, associated with the reduced dosing frequency would most likely be minor as </w:t>
      </w:r>
      <w:r w:rsidR="00DF63DB" w:rsidRPr="00011ED1">
        <w:rPr>
          <w:i w:val="0"/>
          <w:iCs/>
        </w:rPr>
        <w:t xml:space="preserve">nivolumab is PBS listed for the same condition </w:t>
      </w:r>
      <w:r w:rsidR="00DF42B9" w:rsidRPr="00011ED1">
        <w:rPr>
          <w:i w:val="0"/>
          <w:iCs/>
        </w:rPr>
        <w:t xml:space="preserve">under a </w:t>
      </w:r>
      <w:r w:rsidR="00DF63DB" w:rsidRPr="00011ED1">
        <w:rPr>
          <w:i w:val="0"/>
          <w:iCs/>
        </w:rPr>
        <w:t>Q4W flat dosing regimen</w:t>
      </w:r>
      <w:r w:rsidR="00011ED1">
        <w:rPr>
          <w:i w:val="0"/>
          <w:iCs/>
        </w:rPr>
        <w:t xml:space="preserve">. </w:t>
      </w:r>
    </w:p>
    <w:p w:rsidR="00043ED4" w:rsidRPr="00011ED1" w:rsidRDefault="00420C3F" w:rsidP="00367A74">
      <w:pPr>
        <w:pStyle w:val="Bodytextitalics"/>
        <w:spacing w:before="120"/>
        <w:jc w:val="both"/>
        <w:rPr>
          <w:i w:val="0"/>
          <w:iCs/>
        </w:rPr>
      </w:pPr>
      <w:r w:rsidRPr="00011ED1">
        <w:rPr>
          <w:i w:val="0"/>
          <w:iCs/>
        </w:rPr>
        <w:t xml:space="preserve">The </w:t>
      </w:r>
      <w:r w:rsidR="00B0549B" w:rsidRPr="00011ED1">
        <w:rPr>
          <w:i w:val="0"/>
          <w:iCs/>
        </w:rPr>
        <w:t xml:space="preserve">minor </w:t>
      </w:r>
      <w:r w:rsidRPr="00011ED1">
        <w:rPr>
          <w:i w:val="0"/>
          <w:iCs/>
        </w:rPr>
        <w:t xml:space="preserve">submission </w:t>
      </w:r>
      <w:r w:rsidR="00D22F21" w:rsidRPr="00011ED1">
        <w:rPr>
          <w:i w:val="0"/>
          <w:iCs/>
        </w:rPr>
        <w:t xml:space="preserve">also </w:t>
      </w:r>
      <w:r w:rsidRPr="00011ED1">
        <w:rPr>
          <w:i w:val="0"/>
          <w:iCs/>
        </w:rPr>
        <w:t xml:space="preserve">assumed that the use of atezolizumab in the </w:t>
      </w:r>
      <w:r w:rsidR="005E20BB" w:rsidRPr="00011ED1">
        <w:rPr>
          <w:i w:val="0"/>
          <w:iCs/>
        </w:rPr>
        <w:t>2L</w:t>
      </w:r>
      <w:r w:rsidRPr="00011ED1">
        <w:rPr>
          <w:i w:val="0"/>
          <w:iCs/>
        </w:rPr>
        <w:t xml:space="preserve"> setting is expected to decline significantly over time following the PBS listing </w:t>
      </w:r>
      <w:r w:rsidR="00D22F21" w:rsidRPr="00011ED1">
        <w:rPr>
          <w:i w:val="0"/>
          <w:iCs/>
        </w:rPr>
        <w:t xml:space="preserve">for 1L NSCLC </w:t>
      </w:r>
      <w:r w:rsidR="00183015" w:rsidRPr="00011ED1">
        <w:rPr>
          <w:i w:val="0"/>
          <w:iCs/>
        </w:rPr>
        <w:t xml:space="preserve">given that </w:t>
      </w:r>
      <w:r w:rsidR="007B2D48" w:rsidRPr="00011ED1">
        <w:rPr>
          <w:i w:val="0"/>
          <w:iCs/>
        </w:rPr>
        <w:t xml:space="preserve">patients may </w:t>
      </w:r>
      <w:r w:rsidR="00BB578C" w:rsidRPr="00011ED1">
        <w:rPr>
          <w:i w:val="0"/>
          <w:iCs/>
        </w:rPr>
        <w:t>receive a PD-1 or PD-L1 inhibitor once</w:t>
      </w:r>
      <w:r w:rsidR="00183015" w:rsidRPr="00011ED1">
        <w:rPr>
          <w:i w:val="0"/>
          <w:iCs/>
        </w:rPr>
        <w:t xml:space="preserve"> </w:t>
      </w:r>
      <w:r w:rsidR="007B2D48" w:rsidRPr="00011ED1">
        <w:rPr>
          <w:i w:val="0"/>
          <w:iCs/>
        </w:rPr>
        <w:t xml:space="preserve">only </w:t>
      </w:r>
      <w:r w:rsidR="00183015" w:rsidRPr="00011ED1">
        <w:rPr>
          <w:i w:val="0"/>
          <w:iCs/>
        </w:rPr>
        <w:t>under the PBS restrictions</w:t>
      </w:r>
      <w:r w:rsidR="00AC746F" w:rsidRPr="00011ED1">
        <w:rPr>
          <w:i w:val="0"/>
          <w:iCs/>
        </w:rPr>
        <w:t xml:space="preserve">. </w:t>
      </w:r>
      <w:r w:rsidR="00C83A16" w:rsidRPr="00011ED1">
        <w:rPr>
          <w:i w:val="0"/>
          <w:iCs/>
        </w:rPr>
        <w:t xml:space="preserve">Decrease in the use of the </w:t>
      </w:r>
      <w:r w:rsidR="00C90D77" w:rsidRPr="00011ED1">
        <w:rPr>
          <w:i w:val="0"/>
          <w:iCs/>
        </w:rPr>
        <w:t xml:space="preserve">2L </w:t>
      </w:r>
      <w:r w:rsidR="00C83A16" w:rsidRPr="00011ED1">
        <w:rPr>
          <w:i w:val="0"/>
          <w:iCs/>
        </w:rPr>
        <w:t xml:space="preserve">atezolizumab was predicted to be 20% each year. </w:t>
      </w:r>
    </w:p>
    <w:p w:rsidR="007977EC" w:rsidRPr="00011ED1" w:rsidRDefault="00793432" w:rsidP="00367A74">
      <w:pPr>
        <w:pStyle w:val="Bodytextitalics"/>
        <w:spacing w:before="120"/>
        <w:jc w:val="both"/>
        <w:rPr>
          <w:i w:val="0"/>
          <w:iCs/>
        </w:rPr>
      </w:pPr>
      <w:r w:rsidRPr="00011ED1">
        <w:rPr>
          <w:i w:val="0"/>
          <w:iCs/>
        </w:rPr>
        <w:t>The estimated financial implications to the Government of the addition of a</w:t>
      </w:r>
      <w:r w:rsidR="007977EC" w:rsidRPr="00011ED1">
        <w:rPr>
          <w:i w:val="0"/>
          <w:iCs/>
        </w:rPr>
        <w:t>tezoli</w:t>
      </w:r>
      <w:r w:rsidR="00D15EEE" w:rsidRPr="00011ED1">
        <w:rPr>
          <w:i w:val="0"/>
          <w:iCs/>
        </w:rPr>
        <w:t>zumab 840 mg</w:t>
      </w:r>
      <w:r w:rsidR="00AF06F5" w:rsidRPr="00011ED1">
        <w:rPr>
          <w:i w:val="0"/>
          <w:iCs/>
        </w:rPr>
        <w:t xml:space="preserve"> for </w:t>
      </w:r>
      <w:r w:rsidR="00C90D77" w:rsidRPr="00011ED1">
        <w:rPr>
          <w:i w:val="0"/>
          <w:iCs/>
        </w:rPr>
        <w:t>2L</w:t>
      </w:r>
      <w:r w:rsidR="00AF06F5" w:rsidRPr="00011ED1">
        <w:rPr>
          <w:i w:val="0"/>
          <w:iCs/>
        </w:rPr>
        <w:t xml:space="preserve"> treatment </w:t>
      </w:r>
      <w:r w:rsidR="00D15EEE" w:rsidRPr="00011ED1">
        <w:rPr>
          <w:i w:val="0"/>
          <w:iCs/>
        </w:rPr>
        <w:t>is</w:t>
      </w:r>
      <w:r w:rsidR="007977EC" w:rsidRPr="00011ED1">
        <w:rPr>
          <w:i w:val="0"/>
          <w:iCs/>
        </w:rPr>
        <w:t xml:space="preserve"> presented in Table </w:t>
      </w:r>
      <w:r w:rsidR="00E13C72">
        <w:rPr>
          <w:i w:val="0"/>
          <w:iCs/>
        </w:rPr>
        <w:t xml:space="preserve">4 </w:t>
      </w:r>
      <w:r w:rsidR="007977EC" w:rsidRPr="00011ED1">
        <w:rPr>
          <w:i w:val="0"/>
          <w:iCs/>
        </w:rPr>
        <w:t>below</w:t>
      </w:r>
      <w:r w:rsidR="00011ED1">
        <w:rPr>
          <w:i w:val="0"/>
          <w:iCs/>
        </w:rPr>
        <w:t xml:space="preserve">. </w:t>
      </w:r>
    </w:p>
    <w:p w:rsidR="00A81900" w:rsidRPr="00011ED1" w:rsidRDefault="00A81900" w:rsidP="00E13C72">
      <w:pPr>
        <w:pStyle w:val="Tabletitles"/>
        <w:keepNext/>
        <w:keepLines/>
        <w:widowControl w:val="0"/>
        <w:rPr>
          <w:i/>
          <w:iCs/>
        </w:rPr>
      </w:pPr>
      <w:bookmarkStart w:id="5" w:name="_Ref22126493"/>
      <w:r w:rsidRPr="00011ED1">
        <w:lastRenderedPageBreak/>
        <w:t xml:space="preserve">Table </w:t>
      </w:r>
      <w:r w:rsidR="00452433" w:rsidRPr="00FC0F08">
        <w:t>4</w:t>
      </w:r>
      <w:bookmarkEnd w:id="5"/>
      <w:r w:rsidRPr="00011ED1">
        <w:t xml:space="preserve">: </w:t>
      </w:r>
      <w:r w:rsidRPr="00011ED1">
        <w:rPr>
          <w:rStyle w:val="CommentReference"/>
          <w:bCs/>
          <w:sz w:val="20"/>
          <w:szCs w:val="20"/>
        </w:rPr>
        <w:t>Estimated use and financial implications for 2L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Estimated use and financial implications for 2L NSCLC"/>
      </w:tblPr>
      <w:tblGrid>
        <w:gridCol w:w="2001"/>
        <w:gridCol w:w="1179"/>
        <w:gridCol w:w="1179"/>
        <w:gridCol w:w="1179"/>
        <w:gridCol w:w="1179"/>
        <w:gridCol w:w="1150"/>
        <w:gridCol w:w="1149"/>
      </w:tblGrid>
      <w:tr w:rsidR="001F45F1" w:rsidRPr="00E13C72" w:rsidTr="00E13C72">
        <w:trPr>
          <w:tblHeader/>
        </w:trPr>
        <w:tc>
          <w:tcPr>
            <w:tcW w:w="1109" w:type="pct"/>
            <w:shd w:val="clear" w:color="auto" w:fill="auto"/>
            <w:vAlign w:val="center"/>
          </w:tcPr>
          <w:p w:rsidR="00C7409E" w:rsidRPr="00E13C72" w:rsidRDefault="00C7409E" w:rsidP="00E13C72">
            <w:pPr>
              <w:pStyle w:val="Tabletext"/>
              <w:keepNext/>
              <w:keepLines/>
              <w:widowControl w:val="0"/>
              <w:spacing w:after="0"/>
              <w:rPr>
                <w:rFonts w:ascii="Arial Narrow" w:hAnsi="Arial Narrow"/>
              </w:rPr>
            </w:pPr>
          </w:p>
        </w:tc>
        <w:tc>
          <w:tcPr>
            <w:tcW w:w="654" w:type="pct"/>
            <w:shd w:val="clear" w:color="auto" w:fill="auto"/>
            <w:vAlign w:val="center"/>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1</w:t>
            </w:r>
          </w:p>
        </w:tc>
        <w:tc>
          <w:tcPr>
            <w:tcW w:w="654" w:type="pct"/>
            <w:shd w:val="clear" w:color="auto" w:fill="auto"/>
            <w:vAlign w:val="center"/>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2</w:t>
            </w:r>
          </w:p>
        </w:tc>
        <w:tc>
          <w:tcPr>
            <w:tcW w:w="654" w:type="pct"/>
            <w:shd w:val="clear" w:color="auto" w:fill="auto"/>
            <w:vAlign w:val="center"/>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3</w:t>
            </w:r>
          </w:p>
        </w:tc>
        <w:tc>
          <w:tcPr>
            <w:tcW w:w="654" w:type="pct"/>
            <w:shd w:val="clear" w:color="auto" w:fill="auto"/>
            <w:vAlign w:val="center"/>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4</w:t>
            </w:r>
          </w:p>
        </w:tc>
        <w:tc>
          <w:tcPr>
            <w:tcW w:w="638" w:type="pct"/>
            <w:shd w:val="clear" w:color="auto" w:fill="auto"/>
            <w:vAlign w:val="center"/>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5</w:t>
            </w:r>
          </w:p>
        </w:tc>
        <w:tc>
          <w:tcPr>
            <w:tcW w:w="637" w:type="pct"/>
          </w:tcPr>
          <w:p w:rsidR="00C7409E" w:rsidRPr="00E13C72" w:rsidRDefault="00C7409E" w:rsidP="00E13C72">
            <w:pPr>
              <w:pStyle w:val="Tabletext"/>
              <w:keepNext/>
              <w:keepLines/>
              <w:widowControl w:val="0"/>
              <w:spacing w:after="0"/>
              <w:jc w:val="center"/>
              <w:rPr>
                <w:rFonts w:ascii="Arial Narrow" w:hAnsi="Arial Narrow"/>
                <w:b/>
                <w:bCs/>
              </w:rPr>
            </w:pPr>
            <w:r w:rsidRPr="00E13C72">
              <w:rPr>
                <w:rFonts w:ascii="Arial Narrow" w:hAnsi="Arial Narrow"/>
                <w:b/>
                <w:bCs/>
              </w:rPr>
              <w:t>Year 6</w:t>
            </w:r>
          </w:p>
        </w:tc>
      </w:tr>
      <w:tr w:rsidR="00C7409E" w:rsidRPr="00E13C72" w:rsidTr="00E13C72">
        <w:tc>
          <w:tcPr>
            <w:tcW w:w="5000" w:type="pct"/>
            <w:gridSpan w:val="7"/>
            <w:shd w:val="clear" w:color="auto" w:fill="auto"/>
            <w:vAlign w:val="center"/>
          </w:tcPr>
          <w:p w:rsidR="00C7409E" w:rsidRPr="00E13C72" w:rsidRDefault="00C7409E" w:rsidP="00E13C72">
            <w:pPr>
              <w:pStyle w:val="Tabletext"/>
              <w:keepNext/>
              <w:keepLines/>
              <w:widowControl w:val="0"/>
              <w:spacing w:after="0"/>
              <w:rPr>
                <w:rFonts w:ascii="Arial Narrow" w:hAnsi="Arial Narrow"/>
                <w:b/>
                <w:bCs/>
              </w:rPr>
            </w:pPr>
            <w:r w:rsidRPr="00E13C72">
              <w:rPr>
                <w:rFonts w:ascii="Arial Narrow" w:hAnsi="Arial Narrow"/>
                <w:b/>
                <w:bCs/>
              </w:rPr>
              <w:t>Estimated extent of use</w:t>
            </w:r>
          </w:p>
        </w:tc>
      </w:tr>
      <w:tr w:rsidR="001F45F1" w:rsidRPr="00E13C72" w:rsidTr="00E13C72">
        <w:tc>
          <w:tcPr>
            <w:tcW w:w="1109" w:type="pct"/>
            <w:shd w:val="clear" w:color="auto" w:fill="auto"/>
            <w:vAlign w:val="center"/>
          </w:tcPr>
          <w:p w:rsidR="00D5557C" w:rsidRPr="00E13C72" w:rsidRDefault="00D5557C" w:rsidP="00E13C72">
            <w:pPr>
              <w:pStyle w:val="Tabletext"/>
              <w:keepNext/>
              <w:keepLines/>
              <w:widowControl w:val="0"/>
              <w:spacing w:after="0"/>
              <w:rPr>
                <w:rFonts w:ascii="Arial Narrow" w:hAnsi="Arial Narrow"/>
              </w:rPr>
            </w:pPr>
            <w:r w:rsidRPr="00E13C72">
              <w:rPr>
                <w:rFonts w:ascii="Arial Narrow" w:hAnsi="Arial Narrow"/>
              </w:rPr>
              <w:t>Number of scripts dispensed</w:t>
            </w:r>
            <w:r w:rsidRPr="00E13C72">
              <w:rPr>
                <w:rFonts w:ascii="Arial Narrow" w:hAnsi="Arial Narrow"/>
                <w:vertAlign w:val="superscript"/>
              </w:rPr>
              <w:t>a</w:t>
            </w:r>
          </w:p>
        </w:tc>
        <w:tc>
          <w:tcPr>
            <w:tcW w:w="654" w:type="pct"/>
            <w:shd w:val="clear" w:color="auto" w:fill="auto"/>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38" w:type="pct"/>
            <w:shd w:val="clear" w:color="auto" w:fill="auto"/>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37" w:type="pct"/>
            <w:vAlign w:val="center"/>
          </w:tcPr>
          <w:p w:rsidR="00D5557C" w:rsidRPr="00F45ED5" w:rsidRDefault="00F45ED5" w:rsidP="00E13C72">
            <w:pPr>
              <w:pStyle w:val="Tabletext"/>
              <w:keepNext/>
              <w:keepLines/>
              <w:widowControl w:val="0"/>
              <w:spacing w:after="0"/>
              <w:jc w:val="center"/>
              <w:rPr>
                <w:rFonts w:ascii="Arial Narrow" w:hAnsi="Arial Narrow"/>
                <w:highlight w:val="black"/>
              </w:rPr>
            </w:pPr>
            <w:r>
              <w:rPr>
                <w:rFonts w:ascii="Arial Narrow" w:hAnsi="Arial Narrow" w:cs="Arial"/>
                <w:noProof/>
                <w:color w:val="000000"/>
                <w:highlight w:val="black"/>
              </w:rPr>
              <w:t xml:space="preserve">'''''''' </w:t>
            </w:r>
          </w:p>
        </w:tc>
      </w:tr>
      <w:tr w:rsidR="00C7409E" w:rsidRPr="00E13C72" w:rsidTr="00E13C72">
        <w:tc>
          <w:tcPr>
            <w:tcW w:w="5000" w:type="pct"/>
            <w:gridSpan w:val="7"/>
            <w:shd w:val="clear" w:color="auto" w:fill="auto"/>
            <w:vAlign w:val="center"/>
          </w:tcPr>
          <w:p w:rsidR="00C7409E" w:rsidRPr="00E13C72" w:rsidRDefault="00C7409E" w:rsidP="00E13C72">
            <w:pPr>
              <w:pStyle w:val="Tabletext"/>
              <w:keepNext/>
              <w:keepLines/>
              <w:widowControl w:val="0"/>
              <w:spacing w:after="0"/>
              <w:rPr>
                <w:rFonts w:ascii="Arial Narrow" w:hAnsi="Arial Narrow"/>
                <w:b/>
                <w:bCs/>
              </w:rPr>
            </w:pPr>
            <w:r w:rsidRPr="00E13C72">
              <w:rPr>
                <w:rFonts w:ascii="Arial Narrow" w:hAnsi="Arial Narrow"/>
                <w:b/>
                <w:bCs/>
              </w:rPr>
              <w:t>Estimated financial implica</w:t>
            </w:r>
            <w:r w:rsidR="00CF3E12" w:rsidRPr="00E13C72">
              <w:rPr>
                <w:rFonts w:ascii="Arial Narrow" w:hAnsi="Arial Narrow"/>
                <w:b/>
                <w:bCs/>
              </w:rPr>
              <w:t>tions of atezolizumab 1680 mg Q4W</w:t>
            </w:r>
          </w:p>
        </w:tc>
      </w:tr>
      <w:tr w:rsidR="001F45F1" w:rsidRPr="00E13C72" w:rsidTr="00E13C72">
        <w:tc>
          <w:tcPr>
            <w:tcW w:w="1109" w:type="pct"/>
            <w:shd w:val="clear" w:color="auto" w:fill="auto"/>
            <w:vAlign w:val="center"/>
          </w:tcPr>
          <w:p w:rsidR="005F742F" w:rsidRPr="00E13C72" w:rsidRDefault="005F742F" w:rsidP="00E13C72">
            <w:pPr>
              <w:pStyle w:val="Tabletext"/>
              <w:keepNext/>
              <w:keepLines/>
              <w:widowControl w:val="0"/>
              <w:spacing w:after="0"/>
              <w:rPr>
                <w:rFonts w:ascii="Arial Narrow" w:hAnsi="Arial Narrow"/>
              </w:rPr>
            </w:pPr>
            <w:r w:rsidRPr="00E13C72">
              <w:rPr>
                <w:rFonts w:ascii="Arial Narrow" w:hAnsi="Arial Narrow"/>
              </w:rPr>
              <w:t>Cost to PBS/RPBS</w:t>
            </w:r>
            <w:r w:rsidR="004A6A43" w:rsidRPr="00E13C72">
              <w:rPr>
                <w:rFonts w:ascii="Arial Narrow" w:hAnsi="Arial Narrow"/>
                <w:vertAlign w:val="superscript"/>
              </w:rPr>
              <w:t>b</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r>
      <w:tr w:rsidR="001F45F1" w:rsidRPr="00E13C72" w:rsidTr="00E13C72">
        <w:tc>
          <w:tcPr>
            <w:tcW w:w="1109" w:type="pct"/>
            <w:shd w:val="clear" w:color="auto" w:fill="auto"/>
            <w:vAlign w:val="center"/>
          </w:tcPr>
          <w:p w:rsidR="005F742F" w:rsidRPr="00E13C72" w:rsidRDefault="00E30DD6" w:rsidP="00E13C72">
            <w:pPr>
              <w:pStyle w:val="Tabletext"/>
              <w:keepNext/>
              <w:keepLines/>
              <w:widowControl w:val="0"/>
              <w:spacing w:after="0"/>
              <w:rPr>
                <w:rFonts w:ascii="Arial Narrow" w:hAnsi="Arial Narrow"/>
              </w:rPr>
            </w:pPr>
            <w:r w:rsidRPr="00E13C72">
              <w:rPr>
                <w:rFonts w:ascii="Arial Narrow" w:hAnsi="Arial Narrow"/>
              </w:rPr>
              <w:t xml:space="preserve">Less </w:t>
            </w:r>
            <w:r w:rsidR="005F742F" w:rsidRPr="00E13C72">
              <w:rPr>
                <w:rFonts w:ascii="Arial Narrow" w:hAnsi="Arial Narrow"/>
              </w:rPr>
              <w:t>Copayments</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r>
      <w:tr w:rsidR="001F45F1" w:rsidRPr="00E13C72" w:rsidTr="00E13C72">
        <w:tc>
          <w:tcPr>
            <w:tcW w:w="1109" w:type="pct"/>
            <w:shd w:val="clear" w:color="auto" w:fill="auto"/>
            <w:vAlign w:val="center"/>
          </w:tcPr>
          <w:p w:rsidR="005F742F" w:rsidRPr="00E13C72" w:rsidRDefault="005F742F" w:rsidP="00E13C72">
            <w:pPr>
              <w:pStyle w:val="Tabletext"/>
              <w:keepNext/>
              <w:keepLines/>
              <w:widowControl w:val="0"/>
              <w:spacing w:after="0"/>
              <w:rPr>
                <w:rFonts w:ascii="Arial Narrow" w:hAnsi="Arial Narrow"/>
              </w:rPr>
            </w:pPr>
            <w:r w:rsidRPr="00E13C72">
              <w:rPr>
                <w:rFonts w:ascii="Arial Narrow" w:hAnsi="Arial Narrow"/>
              </w:rPr>
              <w:t>Cost to PBS/RPBS less copayments</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5F742F" w:rsidRPr="00F45ED5" w:rsidRDefault="005F742F"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r>
      <w:tr w:rsidR="00C7409E" w:rsidRPr="00E13C72" w:rsidTr="00E13C72">
        <w:tc>
          <w:tcPr>
            <w:tcW w:w="5000" w:type="pct"/>
            <w:gridSpan w:val="7"/>
            <w:shd w:val="clear" w:color="auto" w:fill="auto"/>
            <w:vAlign w:val="center"/>
          </w:tcPr>
          <w:p w:rsidR="00C7409E" w:rsidRPr="00E13C72" w:rsidRDefault="00C7409E" w:rsidP="00E13C72">
            <w:pPr>
              <w:pStyle w:val="Tabletext"/>
              <w:keepNext/>
              <w:keepLines/>
              <w:widowControl w:val="0"/>
              <w:spacing w:after="0"/>
              <w:rPr>
                <w:rFonts w:ascii="Arial Narrow" w:hAnsi="Arial Narrow"/>
                <w:b/>
                <w:bCs/>
              </w:rPr>
            </w:pPr>
            <w:r w:rsidRPr="00E13C72">
              <w:rPr>
                <w:rFonts w:ascii="Arial Narrow" w:hAnsi="Arial Narrow"/>
                <w:b/>
                <w:bCs/>
              </w:rPr>
              <w:t>Estimated financial im</w:t>
            </w:r>
            <w:r w:rsidR="00CF3E12" w:rsidRPr="00E13C72">
              <w:rPr>
                <w:rFonts w:ascii="Arial Narrow" w:hAnsi="Arial Narrow"/>
                <w:b/>
                <w:bCs/>
              </w:rPr>
              <w:t>plications for atezolizumab 1200 mg Q3W</w:t>
            </w:r>
          </w:p>
        </w:tc>
      </w:tr>
      <w:tr w:rsidR="001F45F1" w:rsidRPr="00E13C72" w:rsidTr="00E13C72">
        <w:tc>
          <w:tcPr>
            <w:tcW w:w="1109" w:type="pct"/>
            <w:shd w:val="clear" w:color="auto" w:fill="auto"/>
            <w:vAlign w:val="center"/>
          </w:tcPr>
          <w:p w:rsidR="00DE7491" w:rsidRPr="00E13C72" w:rsidRDefault="00DE7491" w:rsidP="00E13C72">
            <w:pPr>
              <w:pStyle w:val="Tabletext"/>
              <w:keepNext/>
              <w:keepLines/>
              <w:widowControl w:val="0"/>
              <w:spacing w:after="0"/>
              <w:rPr>
                <w:rFonts w:ascii="Arial Narrow" w:hAnsi="Arial Narrow"/>
              </w:rPr>
            </w:pPr>
            <w:r w:rsidRPr="00E13C72">
              <w:rPr>
                <w:rFonts w:ascii="Arial Narrow" w:hAnsi="Arial Narrow"/>
              </w:rPr>
              <w:t>Cost to PBS/RPBS</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r>
      <w:tr w:rsidR="001F45F1" w:rsidRPr="00E13C72" w:rsidTr="00E13C72">
        <w:tc>
          <w:tcPr>
            <w:tcW w:w="1109" w:type="pct"/>
            <w:shd w:val="clear" w:color="auto" w:fill="auto"/>
            <w:vAlign w:val="center"/>
          </w:tcPr>
          <w:p w:rsidR="00DE7491" w:rsidRPr="00E13C72" w:rsidRDefault="00E30DD6" w:rsidP="00E13C72">
            <w:pPr>
              <w:pStyle w:val="Tabletext"/>
              <w:keepNext/>
              <w:keepLines/>
              <w:widowControl w:val="0"/>
              <w:spacing w:after="0"/>
              <w:rPr>
                <w:rFonts w:ascii="Arial Narrow" w:hAnsi="Arial Narrow"/>
              </w:rPr>
            </w:pPr>
            <w:r w:rsidRPr="00E13C72">
              <w:rPr>
                <w:rFonts w:ascii="Arial Narrow" w:hAnsi="Arial Narrow"/>
              </w:rPr>
              <w:t xml:space="preserve">Less </w:t>
            </w:r>
            <w:r w:rsidR="00DE7491" w:rsidRPr="00E13C72">
              <w:rPr>
                <w:rFonts w:ascii="Arial Narrow" w:hAnsi="Arial Narrow"/>
              </w:rPr>
              <w:t>Copayments</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r>
      <w:tr w:rsidR="001F45F1" w:rsidRPr="00E13C72" w:rsidTr="00E13C72">
        <w:tc>
          <w:tcPr>
            <w:tcW w:w="1109" w:type="pct"/>
            <w:shd w:val="clear" w:color="auto" w:fill="auto"/>
            <w:vAlign w:val="center"/>
          </w:tcPr>
          <w:p w:rsidR="00DE7491" w:rsidRPr="00E13C72" w:rsidRDefault="00DE7491" w:rsidP="00E13C72">
            <w:pPr>
              <w:pStyle w:val="Tabletext"/>
              <w:keepNext/>
              <w:keepLines/>
              <w:widowControl w:val="0"/>
              <w:spacing w:after="0"/>
              <w:rPr>
                <w:rFonts w:ascii="Arial Narrow" w:hAnsi="Arial Narrow"/>
              </w:rPr>
            </w:pPr>
            <w:r w:rsidRPr="00E13C72">
              <w:rPr>
                <w:rFonts w:ascii="Arial Narrow" w:hAnsi="Arial Narrow"/>
              </w:rPr>
              <w:t>Cost to PBS/RPBS less copayments</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r>
      <w:tr w:rsidR="00C7409E" w:rsidRPr="00E13C72" w:rsidTr="00E13C72">
        <w:tc>
          <w:tcPr>
            <w:tcW w:w="5000" w:type="pct"/>
            <w:gridSpan w:val="7"/>
            <w:shd w:val="clear" w:color="auto" w:fill="auto"/>
            <w:vAlign w:val="center"/>
          </w:tcPr>
          <w:p w:rsidR="00C7409E" w:rsidRPr="00E13C72" w:rsidRDefault="00C7409E" w:rsidP="00E13C72">
            <w:pPr>
              <w:pStyle w:val="Tabletext"/>
              <w:keepNext/>
              <w:keepLines/>
              <w:widowControl w:val="0"/>
              <w:spacing w:after="0"/>
              <w:rPr>
                <w:rFonts w:ascii="Arial Narrow" w:hAnsi="Arial Narrow"/>
              </w:rPr>
            </w:pPr>
            <w:r w:rsidRPr="00E13C72">
              <w:rPr>
                <w:rFonts w:ascii="Arial Narrow" w:hAnsi="Arial Narrow"/>
                <w:b/>
                <w:bCs/>
              </w:rPr>
              <w:t>Net financial implications</w:t>
            </w:r>
            <w:r w:rsidRPr="00E13C72">
              <w:rPr>
                <w:rFonts w:ascii="Arial Narrow" w:hAnsi="Arial Narrow"/>
              </w:rPr>
              <w:t xml:space="preserve"> </w:t>
            </w:r>
          </w:p>
        </w:tc>
      </w:tr>
      <w:tr w:rsidR="001F45F1" w:rsidRPr="00E13C72" w:rsidTr="00E13C72">
        <w:tc>
          <w:tcPr>
            <w:tcW w:w="1109" w:type="pct"/>
            <w:shd w:val="clear" w:color="auto" w:fill="auto"/>
            <w:vAlign w:val="center"/>
          </w:tcPr>
          <w:p w:rsidR="00DE7491" w:rsidRPr="00E13C72" w:rsidRDefault="00DE7491" w:rsidP="00E13C72">
            <w:pPr>
              <w:pStyle w:val="Tabletext"/>
              <w:keepNext/>
              <w:keepLines/>
              <w:widowControl w:val="0"/>
              <w:spacing w:after="0"/>
              <w:rPr>
                <w:rFonts w:ascii="Arial Narrow" w:hAnsi="Arial Narrow"/>
              </w:rPr>
            </w:pPr>
            <w:r w:rsidRPr="00E13C72">
              <w:rPr>
                <w:rFonts w:ascii="Arial Narrow" w:hAnsi="Arial Narrow"/>
              </w:rPr>
              <w:t>Net cost to PBS/RPBS</w:t>
            </w:r>
            <w:r w:rsidR="002B7B17" w:rsidRPr="00E13C72">
              <w:rPr>
                <w:rFonts w:ascii="Arial Narrow" w:hAnsi="Arial Narrow"/>
              </w:rPr>
              <w:t xml:space="preserve"> (Published</w:t>
            </w:r>
            <w:r w:rsidR="001756EA" w:rsidRPr="00E13C72">
              <w:rPr>
                <w:rFonts w:ascii="Arial Narrow" w:hAnsi="Arial Narrow"/>
              </w:rPr>
              <w:t>)</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DE7491" w:rsidRPr="00F45ED5" w:rsidRDefault="00DE7491"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 xml:space="preserve">'''''''''''''''''' </w:t>
            </w:r>
          </w:p>
        </w:tc>
      </w:tr>
      <w:tr w:rsidR="00DF3475" w:rsidRPr="00E13C72" w:rsidTr="00E13C72">
        <w:tc>
          <w:tcPr>
            <w:tcW w:w="1109" w:type="pct"/>
            <w:shd w:val="clear" w:color="auto" w:fill="auto"/>
            <w:vAlign w:val="center"/>
          </w:tcPr>
          <w:p w:rsidR="00DF3475" w:rsidRPr="00E13C72" w:rsidRDefault="00DF3475" w:rsidP="00E13C72">
            <w:pPr>
              <w:pStyle w:val="Tabletext"/>
              <w:keepNext/>
              <w:keepLines/>
              <w:widowControl w:val="0"/>
              <w:spacing w:after="0"/>
              <w:rPr>
                <w:rFonts w:ascii="Arial Narrow" w:hAnsi="Arial Narrow"/>
              </w:rPr>
            </w:pPr>
            <w:r w:rsidRPr="00E13C72">
              <w:rPr>
                <w:rFonts w:ascii="Arial Narrow" w:hAnsi="Arial Narrow"/>
              </w:rPr>
              <w:t>Net c</w:t>
            </w:r>
            <w:r w:rsidR="002B7B17" w:rsidRPr="00E13C72">
              <w:rPr>
                <w:rFonts w:ascii="Arial Narrow" w:hAnsi="Arial Narrow"/>
              </w:rPr>
              <w:t>ost to PBS/RPBS (Effective</w:t>
            </w:r>
            <w:r w:rsidRPr="00E13C72">
              <w:rPr>
                <w:rFonts w:ascii="Arial Narrow" w:hAnsi="Arial Narrow"/>
              </w:rPr>
              <w:t>)</w:t>
            </w:r>
          </w:p>
        </w:tc>
        <w:tc>
          <w:tcPr>
            <w:tcW w:w="654" w:type="pct"/>
            <w:shd w:val="clear" w:color="auto" w:fill="auto"/>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DF3475" w:rsidRPr="00F45ED5" w:rsidRDefault="00DF3475"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F45ED5">
              <w:rPr>
                <w:rFonts w:ascii="Arial Narrow" w:hAnsi="Arial Narrow" w:cs="Arial"/>
                <w:noProof/>
                <w:color w:val="000000"/>
                <w:highlight w:val="black"/>
              </w:rPr>
              <w:t xml:space="preserve">'''''''''''''''' </w:t>
            </w:r>
          </w:p>
        </w:tc>
      </w:tr>
      <w:tr w:rsidR="001F45F1" w:rsidRPr="00E13C72" w:rsidTr="00E13C72">
        <w:tc>
          <w:tcPr>
            <w:tcW w:w="1109" w:type="pct"/>
            <w:shd w:val="clear" w:color="auto" w:fill="auto"/>
            <w:vAlign w:val="center"/>
          </w:tcPr>
          <w:p w:rsidR="001756EA" w:rsidRPr="00E13C72" w:rsidRDefault="001756EA" w:rsidP="00E13C72">
            <w:pPr>
              <w:pStyle w:val="Tabletext"/>
              <w:keepNext/>
              <w:keepLines/>
              <w:widowControl w:val="0"/>
              <w:spacing w:after="0"/>
              <w:rPr>
                <w:rFonts w:ascii="Arial Narrow" w:hAnsi="Arial Narrow"/>
              </w:rPr>
            </w:pPr>
            <w:r w:rsidRPr="00E13C72">
              <w:rPr>
                <w:rFonts w:ascii="Arial Narrow" w:hAnsi="Arial Narrow"/>
              </w:rPr>
              <w:t xml:space="preserve">Net </w:t>
            </w:r>
            <w:r w:rsidR="007F5DEB" w:rsidRPr="00E13C72">
              <w:rPr>
                <w:rFonts w:ascii="Arial Narrow" w:hAnsi="Arial Narrow"/>
              </w:rPr>
              <w:t>cost to MBS</w:t>
            </w:r>
          </w:p>
        </w:tc>
        <w:tc>
          <w:tcPr>
            <w:tcW w:w="654" w:type="pct"/>
            <w:shd w:val="clear" w:color="auto" w:fill="auto"/>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1756EA" w:rsidRPr="00F45ED5" w:rsidRDefault="00060A12"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1756EA" w:rsidRPr="0061321A">
              <w:rPr>
                <w:rFonts w:ascii="Arial Narrow" w:hAnsi="Arial Narrow" w:cs="Arial"/>
              </w:rPr>
              <w:t>$</w:t>
            </w:r>
            <w:r w:rsidR="00F45ED5">
              <w:rPr>
                <w:rFonts w:ascii="Arial Narrow" w:hAnsi="Arial Narrow" w:cs="Arial"/>
                <w:noProof/>
                <w:color w:val="000000"/>
                <w:highlight w:val="black"/>
              </w:rPr>
              <w:t>''''''''''''''''''</w:t>
            </w:r>
          </w:p>
        </w:tc>
      </w:tr>
      <w:tr w:rsidR="001F45F1" w:rsidRPr="00E13C72" w:rsidTr="00E13C72">
        <w:tc>
          <w:tcPr>
            <w:tcW w:w="1109" w:type="pct"/>
            <w:shd w:val="clear" w:color="auto" w:fill="auto"/>
            <w:vAlign w:val="center"/>
          </w:tcPr>
          <w:p w:rsidR="001756EA" w:rsidRPr="00E13C72" w:rsidRDefault="007F5DEB" w:rsidP="00E13C72">
            <w:pPr>
              <w:pStyle w:val="Tabletext"/>
              <w:keepNext/>
              <w:keepLines/>
              <w:widowControl w:val="0"/>
              <w:spacing w:after="0"/>
              <w:rPr>
                <w:rFonts w:ascii="Arial Narrow" w:hAnsi="Arial Narrow"/>
              </w:rPr>
            </w:pPr>
            <w:r w:rsidRPr="00E13C72">
              <w:rPr>
                <w:rFonts w:ascii="Arial Narrow" w:hAnsi="Arial Narrow"/>
              </w:rPr>
              <w:t>Net cost to Government</w:t>
            </w:r>
            <w:r w:rsidR="001756EA" w:rsidRPr="00E13C72">
              <w:rPr>
                <w:rFonts w:ascii="Arial Narrow" w:hAnsi="Arial Narrow"/>
              </w:rPr>
              <w:t xml:space="preserve"> (Published)</w:t>
            </w:r>
          </w:p>
        </w:tc>
        <w:tc>
          <w:tcPr>
            <w:tcW w:w="654" w:type="pct"/>
            <w:shd w:val="clear" w:color="auto" w:fill="auto"/>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1756EA" w:rsidRPr="00F45ED5" w:rsidRDefault="001756EA" w:rsidP="00E13C72">
            <w:pPr>
              <w:pStyle w:val="Tabletext"/>
              <w:keepNext/>
              <w:keepLines/>
              <w:widowControl w:val="0"/>
              <w:spacing w:after="0"/>
              <w:jc w:val="center"/>
              <w:rPr>
                <w:rFonts w:ascii="Arial Narrow" w:hAnsi="Arial Narrow"/>
              </w:rPr>
            </w:pPr>
            <w:r w:rsidRPr="0061321A">
              <w:rPr>
                <w:rFonts w:ascii="Arial Narrow" w:hAnsi="Arial Narrow" w:cs="Arial"/>
              </w:rPr>
              <w:t>$</w:t>
            </w:r>
            <w:r w:rsidR="00F45ED5">
              <w:rPr>
                <w:rFonts w:ascii="Arial Narrow" w:hAnsi="Arial Narrow" w:cs="Arial"/>
                <w:noProof/>
                <w:color w:val="000000"/>
                <w:highlight w:val="black"/>
              </w:rPr>
              <w:t>'''''''''''''''''</w:t>
            </w:r>
          </w:p>
        </w:tc>
      </w:tr>
      <w:tr w:rsidR="00E30DD6" w:rsidRPr="00E13C72" w:rsidTr="00E13C72">
        <w:tc>
          <w:tcPr>
            <w:tcW w:w="1109" w:type="pct"/>
            <w:shd w:val="clear" w:color="auto" w:fill="auto"/>
            <w:vAlign w:val="center"/>
          </w:tcPr>
          <w:p w:rsidR="00E30DD6" w:rsidRPr="00E13C72" w:rsidRDefault="007F5DEB" w:rsidP="00E13C72">
            <w:pPr>
              <w:pStyle w:val="Tabletext"/>
              <w:keepNext/>
              <w:keepLines/>
              <w:widowControl w:val="0"/>
              <w:spacing w:after="0"/>
              <w:rPr>
                <w:rFonts w:ascii="Arial Narrow" w:hAnsi="Arial Narrow"/>
              </w:rPr>
            </w:pPr>
            <w:r w:rsidRPr="00E13C72">
              <w:rPr>
                <w:rFonts w:ascii="Arial Narrow" w:hAnsi="Arial Narrow"/>
              </w:rPr>
              <w:t>Net cost to Government</w:t>
            </w:r>
            <w:r w:rsidR="00E30DD6" w:rsidRPr="00E13C72">
              <w:rPr>
                <w:rFonts w:ascii="Arial Narrow" w:hAnsi="Arial Narrow"/>
              </w:rPr>
              <w:t xml:space="preserve"> (Effective)</w:t>
            </w:r>
          </w:p>
        </w:tc>
        <w:tc>
          <w:tcPr>
            <w:tcW w:w="654" w:type="pct"/>
            <w:shd w:val="clear" w:color="auto" w:fill="auto"/>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E30DD6" w:rsidRPr="00F45ED5" w:rsidRDefault="00060A12" w:rsidP="00E13C72">
            <w:pPr>
              <w:pStyle w:val="Tabletext"/>
              <w:keepNext/>
              <w:keepLines/>
              <w:widowControl w:val="0"/>
              <w:spacing w:after="0"/>
              <w:jc w:val="center"/>
              <w:rPr>
                <w:rFonts w:ascii="Arial Narrow" w:hAnsi="Arial Narrow" w:cs="Arial"/>
              </w:rPr>
            </w:pPr>
            <w:r w:rsidRPr="0061321A">
              <w:rPr>
                <w:rFonts w:ascii="Arial Narrow" w:hAnsi="Arial Narrow" w:cs="Arial"/>
              </w:rPr>
              <w:t>-</w:t>
            </w:r>
            <w:r w:rsidR="00E30DD6" w:rsidRPr="0061321A">
              <w:rPr>
                <w:rFonts w:ascii="Arial Narrow" w:hAnsi="Arial Narrow" w:cs="Arial"/>
              </w:rPr>
              <w:t>$</w:t>
            </w:r>
            <w:r w:rsidR="00F45ED5">
              <w:rPr>
                <w:rFonts w:ascii="Arial Narrow" w:hAnsi="Arial Narrow" w:cs="Arial"/>
                <w:noProof/>
                <w:color w:val="000000"/>
                <w:highlight w:val="black"/>
              </w:rPr>
              <w:t>'''''''''</w:t>
            </w:r>
          </w:p>
        </w:tc>
      </w:tr>
    </w:tbl>
    <w:p w:rsidR="00C7409E" w:rsidRPr="00011ED1" w:rsidRDefault="00C7409E" w:rsidP="00E13C72">
      <w:pPr>
        <w:pStyle w:val="TableFooter"/>
      </w:pPr>
      <w:r w:rsidRPr="00011ED1">
        <w:rPr>
          <w:sz w:val="20"/>
          <w:szCs w:val="20"/>
          <w:vertAlign w:val="superscript"/>
        </w:rPr>
        <w:t>a</w:t>
      </w:r>
      <w:r w:rsidR="00E13C72">
        <w:t xml:space="preserve"> </w:t>
      </w:r>
      <w:r w:rsidRPr="00011ED1">
        <w:t xml:space="preserve">Assuming number of scripts </w:t>
      </w:r>
      <w:r w:rsidR="001434EC" w:rsidRPr="00011ED1">
        <w:t xml:space="preserve">dispensed for a calendar year </w:t>
      </w:r>
      <w:r w:rsidR="00502433" w:rsidRPr="00011ED1">
        <w:t xml:space="preserve">based on the </w:t>
      </w:r>
      <w:r w:rsidR="001434EC" w:rsidRPr="00011ED1">
        <w:t>PBS data</w:t>
      </w:r>
      <w:r w:rsidR="00502433" w:rsidRPr="00011ED1">
        <w:t>set</w:t>
      </w:r>
      <w:r w:rsidR="001434EC" w:rsidRPr="00011ED1">
        <w:t xml:space="preserve"> from 2019 </w:t>
      </w:r>
      <w:r w:rsidR="00502433" w:rsidRPr="00011ED1">
        <w:t xml:space="preserve">as estimated by the submission; note that the submission did not specify the period that PBS data was collected. </w:t>
      </w:r>
    </w:p>
    <w:p w:rsidR="004A6A43" w:rsidRPr="00011ED1" w:rsidRDefault="004A6A43" w:rsidP="00E13C72">
      <w:pPr>
        <w:pStyle w:val="TableFooter"/>
      </w:pPr>
      <w:r w:rsidRPr="00011ED1">
        <w:rPr>
          <w:vertAlign w:val="superscript"/>
        </w:rPr>
        <w:t xml:space="preserve">b </w:t>
      </w:r>
      <w:r w:rsidRPr="00011ED1">
        <w:t xml:space="preserve">The financial estimates incorporated the weighted DPMA of $10,675.02, derived from the AEMP (published) of $5,233.41 per 840 mg vial for public hospital ($10,551.88 weighted at 33.9%) and private hospital ($10,738.18 weighted at 66.1%) in the first-line and second-line settings. </w:t>
      </w:r>
    </w:p>
    <w:p w:rsidR="00BB7EC3" w:rsidRPr="00011ED1" w:rsidRDefault="00C7409E" w:rsidP="00E13C72">
      <w:pPr>
        <w:pStyle w:val="TableFooter"/>
      </w:pPr>
      <w:r w:rsidRPr="00011ED1">
        <w:t xml:space="preserve">Source: </w:t>
      </w:r>
      <w:r w:rsidR="00E17C01" w:rsidRPr="00011ED1">
        <w:t xml:space="preserve">Section </w:t>
      </w:r>
      <w:r w:rsidR="00FF0B4C" w:rsidRPr="00011ED1">
        <w:t>4 workbook 2</w:t>
      </w:r>
      <w:r w:rsidR="00E17C01" w:rsidRPr="00011ED1">
        <w:t>L NSCLC</w:t>
      </w:r>
      <w:r w:rsidR="008B518C" w:rsidRPr="00011ED1">
        <w:t xml:space="preserve"> supplied with the submission</w:t>
      </w:r>
      <w:r w:rsidRPr="00011ED1">
        <w:t>.</w:t>
      </w:r>
    </w:p>
    <w:p w:rsidR="00BB578C" w:rsidRPr="00011ED1" w:rsidRDefault="00815670" w:rsidP="00B811FD">
      <w:pPr>
        <w:pStyle w:val="Bodytextitalics"/>
        <w:spacing w:before="120"/>
        <w:jc w:val="both"/>
        <w:rPr>
          <w:rFonts w:ascii="Arial Narrow" w:hAnsi="Arial Narrow"/>
          <w:i w:val="0"/>
          <w:iCs/>
          <w:sz w:val="20"/>
          <w:szCs w:val="20"/>
        </w:rPr>
      </w:pPr>
      <w:r w:rsidRPr="00011ED1">
        <w:rPr>
          <w:i w:val="0"/>
          <w:iCs/>
        </w:rPr>
        <w:t xml:space="preserve">The </w:t>
      </w:r>
      <w:r w:rsidR="00B0549B" w:rsidRPr="00011ED1">
        <w:rPr>
          <w:i w:val="0"/>
          <w:iCs/>
        </w:rPr>
        <w:t xml:space="preserve">minor </w:t>
      </w:r>
      <w:r w:rsidRPr="00011ED1">
        <w:rPr>
          <w:i w:val="0"/>
          <w:iCs/>
        </w:rPr>
        <w:t xml:space="preserve">submission assumed that </w:t>
      </w:r>
      <w:r w:rsidR="00B811FD">
        <w:rPr>
          <w:i w:val="0"/>
          <w:iCs/>
        </w:rPr>
        <w:t>100</w:t>
      </w:r>
      <w:r w:rsidRPr="00011ED1">
        <w:rPr>
          <w:i w:val="0"/>
          <w:iCs/>
        </w:rPr>
        <w:t>% of eligible patients would r</w:t>
      </w:r>
      <w:r w:rsidR="007A08FF" w:rsidRPr="00011ED1">
        <w:rPr>
          <w:i w:val="0"/>
          <w:iCs/>
        </w:rPr>
        <w:t>eceive combination therapy</w:t>
      </w:r>
      <w:r w:rsidRPr="00011ED1">
        <w:rPr>
          <w:i w:val="0"/>
          <w:iCs/>
        </w:rPr>
        <w:t xml:space="preserve"> with bevacizumab for continuing treatment</w:t>
      </w:r>
      <w:r w:rsidR="00C44A6B" w:rsidRPr="00011ED1">
        <w:rPr>
          <w:i w:val="0"/>
          <w:iCs/>
        </w:rPr>
        <w:t xml:space="preserve"> in the 1L setting</w:t>
      </w:r>
      <w:r w:rsidRPr="00011ED1">
        <w:rPr>
          <w:i w:val="0"/>
          <w:iCs/>
        </w:rPr>
        <w:t xml:space="preserve">, and </w:t>
      </w:r>
      <w:r w:rsidR="00204FF3" w:rsidRPr="00011ED1">
        <w:rPr>
          <w:i w:val="0"/>
          <w:iCs/>
        </w:rPr>
        <w:t xml:space="preserve"> that</w:t>
      </w:r>
      <w:r w:rsidRPr="00011ED1">
        <w:rPr>
          <w:i w:val="0"/>
          <w:iCs/>
        </w:rPr>
        <w:t xml:space="preserve"> 10% of these patients </w:t>
      </w:r>
      <w:r w:rsidR="00204FF3" w:rsidRPr="00011ED1">
        <w:rPr>
          <w:i w:val="0"/>
          <w:iCs/>
        </w:rPr>
        <w:t>would use</w:t>
      </w:r>
      <w:r w:rsidRPr="00011ED1">
        <w:rPr>
          <w:i w:val="0"/>
          <w:iCs/>
        </w:rPr>
        <w:t xml:space="preserve"> atezolizumab 1680 mg Q4W as monotherapy</w:t>
      </w:r>
      <w:r w:rsidR="00B75869" w:rsidRPr="00011ED1">
        <w:rPr>
          <w:i w:val="0"/>
          <w:iCs/>
        </w:rPr>
        <w:t xml:space="preserve"> </w:t>
      </w:r>
      <w:r w:rsidR="00B75869" w:rsidRPr="00011ED1">
        <w:rPr>
          <w:rFonts w:cstheme="minorHAnsi"/>
          <w:i w:val="0"/>
          <w:iCs/>
          <w:szCs w:val="24"/>
        </w:rPr>
        <w:t xml:space="preserve">after cessation of bevacizumab and </w:t>
      </w:r>
      <w:r w:rsidR="007A08FF" w:rsidRPr="00011ED1">
        <w:rPr>
          <w:rFonts w:cstheme="minorHAnsi"/>
          <w:i w:val="0"/>
          <w:iCs/>
          <w:szCs w:val="24"/>
        </w:rPr>
        <w:t>PDC</w:t>
      </w:r>
      <w:r w:rsidRPr="00011ED1">
        <w:rPr>
          <w:i w:val="0"/>
          <w:iCs/>
        </w:rPr>
        <w:t>.</w:t>
      </w:r>
      <w:r w:rsidR="00F75068" w:rsidRPr="00011ED1">
        <w:rPr>
          <w:i w:val="0"/>
          <w:iCs/>
        </w:rPr>
        <w:t xml:space="preserve"> The Secretariat considered the estimated proportion of patients who would use atezolizumab 1680 mg Q4W as monotherapy was uncertain</w:t>
      </w:r>
      <w:r w:rsidR="00C65592" w:rsidRPr="00011ED1">
        <w:rPr>
          <w:i w:val="0"/>
          <w:iCs/>
        </w:rPr>
        <w:t>.</w:t>
      </w:r>
    </w:p>
    <w:p w:rsidR="00AF06F5" w:rsidRPr="00011ED1" w:rsidRDefault="00AF06F5" w:rsidP="00367A74">
      <w:pPr>
        <w:pStyle w:val="Bodytextitalics"/>
        <w:spacing w:before="120"/>
        <w:jc w:val="both"/>
        <w:rPr>
          <w:i w:val="0"/>
          <w:iCs/>
        </w:rPr>
      </w:pPr>
      <w:r w:rsidRPr="00011ED1">
        <w:rPr>
          <w:i w:val="0"/>
          <w:iCs/>
        </w:rPr>
        <w:t xml:space="preserve">The estimated financial implications to the Government of the addition of atezolizumab 840 mg </w:t>
      </w:r>
      <w:r w:rsidR="00CA5B2B" w:rsidRPr="00011ED1">
        <w:rPr>
          <w:i w:val="0"/>
          <w:iCs/>
        </w:rPr>
        <w:t xml:space="preserve">for the </w:t>
      </w:r>
      <w:r w:rsidR="00C90D77" w:rsidRPr="00011ED1">
        <w:rPr>
          <w:i w:val="0"/>
          <w:iCs/>
        </w:rPr>
        <w:t>1L</w:t>
      </w:r>
      <w:r w:rsidR="00CA5B2B" w:rsidRPr="00011ED1">
        <w:rPr>
          <w:i w:val="0"/>
          <w:iCs/>
        </w:rPr>
        <w:t xml:space="preserve"> treatment </w:t>
      </w:r>
      <w:r w:rsidRPr="00011ED1">
        <w:rPr>
          <w:i w:val="0"/>
          <w:iCs/>
        </w:rPr>
        <w:t xml:space="preserve">is presented in Table </w:t>
      </w:r>
      <w:r w:rsidR="00E13C72">
        <w:rPr>
          <w:i w:val="0"/>
          <w:iCs/>
        </w:rPr>
        <w:t xml:space="preserve">5 </w:t>
      </w:r>
      <w:r w:rsidRPr="00011ED1">
        <w:rPr>
          <w:i w:val="0"/>
          <w:iCs/>
        </w:rPr>
        <w:t>below</w:t>
      </w:r>
      <w:r w:rsidR="00011ED1">
        <w:rPr>
          <w:i w:val="0"/>
          <w:iCs/>
        </w:rPr>
        <w:t xml:space="preserve">. </w:t>
      </w:r>
    </w:p>
    <w:p w:rsidR="00584956" w:rsidRPr="00011ED1" w:rsidRDefault="00584956" w:rsidP="00E13C72">
      <w:pPr>
        <w:pStyle w:val="Tabletitles"/>
        <w:keepNext/>
        <w:keepLines/>
        <w:rPr>
          <w:i/>
          <w:iCs/>
        </w:rPr>
      </w:pPr>
      <w:bookmarkStart w:id="6" w:name="_Ref22126501"/>
      <w:r w:rsidRPr="00011ED1">
        <w:lastRenderedPageBreak/>
        <w:t xml:space="preserve">Table </w:t>
      </w:r>
      <w:r w:rsidR="00452433" w:rsidRPr="00FC0F08">
        <w:t>5</w:t>
      </w:r>
      <w:bookmarkEnd w:id="6"/>
      <w:r w:rsidRPr="00011ED1">
        <w:t xml:space="preserve">: </w:t>
      </w:r>
      <w:r w:rsidRPr="00011ED1">
        <w:rPr>
          <w:rStyle w:val="CommentReference"/>
          <w:bCs/>
          <w:sz w:val="20"/>
          <w:szCs w:val="20"/>
        </w:rPr>
        <w:t>Estimated use and financial implications for 1L NSCLC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Estimated use and financial implications for 1L NSCLC"/>
      </w:tblPr>
      <w:tblGrid>
        <w:gridCol w:w="2001"/>
        <w:gridCol w:w="1179"/>
        <w:gridCol w:w="1179"/>
        <w:gridCol w:w="1179"/>
        <w:gridCol w:w="1179"/>
        <w:gridCol w:w="1150"/>
        <w:gridCol w:w="1149"/>
      </w:tblGrid>
      <w:tr w:rsidR="008464F4" w:rsidRPr="00E13C72" w:rsidTr="00E13C72">
        <w:trPr>
          <w:tblHeader/>
        </w:trPr>
        <w:tc>
          <w:tcPr>
            <w:tcW w:w="1109" w:type="pct"/>
            <w:shd w:val="clear" w:color="auto" w:fill="auto"/>
            <w:vAlign w:val="center"/>
          </w:tcPr>
          <w:p w:rsidR="008464F4" w:rsidRPr="00E13C72" w:rsidRDefault="008464F4" w:rsidP="00E13C72">
            <w:pPr>
              <w:pStyle w:val="Tabletext"/>
              <w:keepNext/>
              <w:keepLines/>
              <w:spacing w:after="0"/>
              <w:rPr>
                <w:rFonts w:ascii="Arial Narrow" w:hAnsi="Arial Narrow"/>
              </w:rPr>
            </w:pPr>
          </w:p>
        </w:tc>
        <w:tc>
          <w:tcPr>
            <w:tcW w:w="654" w:type="pct"/>
            <w:shd w:val="clear" w:color="auto" w:fill="auto"/>
            <w:vAlign w:val="center"/>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1</w:t>
            </w:r>
          </w:p>
        </w:tc>
        <w:tc>
          <w:tcPr>
            <w:tcW w:w="654" w:type="pct"/>
            <w:shd w:val="clear" w:color="auto" w:fill="auto"/>
            <w:vAlign w:val="center"/>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2</w:t>
            </w:r>
          </w:p>
        </w:tc>
        <w:tc>
          <w:tcPr>
            <w:tcW w:w="654" w:type="pct"/>
            <w:shd w:val="clear" w:color="auto" w:fill="auto"/>
            <w:vAlign w:val="center"/>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3</w:t>
            </w:r>
          </w:p>
        </w:tc>
        <w:tc>
          <w:tcPr>
            <w:tcW w:w="654" w:type="pct"/>
            <w:shd w:val="clear" w:color="auto" w:fill="auto"/>
            <w:vAlign w:val="center"/>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4</w:t>
            </w:r>
          </w:p>
        </w:tc>
        <w:tc>
          <w:tcPr>
            <w:tcW w:w="638" w:type="pct"/>
            <w:shd w:val="clear" w:color="auto" w:fill="auto"/>
            <w:vAlign w:val="center"/>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5</w:t>
            </w:r>
          </w:p>
        </w:tc>
        <w:tc>
          <w:tcPr>
            <w:tcW w:w="637" w:type="pct"/>
          </w:tcPr>
          <w:p w:rsidR="008464F4" w:rsidRPr="00E13C72" w:rsidRDefault="008464F4" w:rsidP="00E13C72">
            <w:pPr>
              <w:pStyle w:val="Tabletext"/>
              <w:keepNext/>
              <w:keepLines/>
              <w:spacing w:after="0"/>
              <w:jc w:val="center"/>
              <w:rPr>
                <w:rFonts w:ascii="Arial Narrow" w:hAnsi="Arial Narrow"/>
                <w:b/>
                <w:bCs/>
              </w:rPr>
            </w:pPr>
            <w:r w:rsidRPr="00E13C72">
              <w:rPr>
                <w:rFonts w:ascii="Arial Narrow" w:hAnsi="Arial Narrow"/>
                <w:b/>
                <w:bCs/>
              </w:rPr>
              <w:t>Year 6</w:t>
            </w:r>
          </w:p>
        </w:tc>
      </w:tr>
      <w:tr w:rsidR="008464F4" w:rsidRPr="00E13C72" w:rsidTr="00E13C72">
        <w:tc>
          <w:tcPr>
            <w:tcW w:w="5000" w:type="pct"/>
            <w:gridSpan w:val="7"/>
            <w:shd w:val="clear" w:color="auto" w:fill="auto"/>
            <w:vAlign w:val="center"/>
          </w:tcPr>
          <w:p w:rsidR="008464F4" w:rsidRPr="00E13C72" w:rsidRDefault="008464F4" w:rsidP="00E13C72">
            <w:pPr>
              <w:pStyle w:val="Tabletext"/>
              <w:keepNext/>
              <w:keepLines/>
              <w:spacing w:after="0"/>
              <w:rPr>
                <w:rFonts w:ascii="Arial Narrow" w:hAnsi="Arial Narrow"/>
                <w:b/>
                <w:bCs/>
              </w:rPr>
            </w:pPr>
            <w:r w:rsidRPr="00E13C72">
              <w:rPr>
                <w:rFonts w:ascii="Arial Narrow" w:hAnsi="Arial Narrow"/>
                <w:b/>
                <w:bCs/>
              </w:rPr>
              <w:t>Estimated extent of use</w:t>
            </w:r>
          </w:p>
        </w:tc>
      </w:tr>
      <w:tr w:rsidR="00967CDE" w:rsidRPr="00E13C72" w:rsidTr="00E13C72">
        <w:tc>
          <w:tcPr>
            <w:tcW w:w="1109" w:type="pct"/>
            <w:shd w:val="clear" w:color="auto" w:fill="auto"/>
            <w:vAlign w:val="center"/>
          </w:tcPr>
          <w:p w:rsidR="00967CDE" w:rsidRPr="00E13C72" w:rsidRDefault="00967CDE" w:rsidP="00E13C72">
            <w:pPr>
              <w:pStyle w:val="Tabletext"/>
              <w:keepNext/>
              <w:keepLines/>
              <w:spacing w:after="0"/>
              <w:rPr>
                <w:rFonts w:ascii="Arial Narrow" w:hAnsi="Arial Narrow"/>
              </w:rPr>
            </w:pPr>
            <w:r w:rsidRPr="00E13C72">
              <w:rPr>
                <w:rFonts w:ascii="Arial Narrow" w:hAnsi="Arial Narrow"/>
              </w:rPr>
              <w:t>Number of patients treated</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38"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37" w:type="pct"/>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r>
      <w:tr w:rsidR="00967CDE" w:rsidRPr="00E13C72" w:rsidTr="00E13C72">
        <w:tc>
          <w:tcPr>
            <w:tcW w:w="1109" w:type="pct"/>
            <w:shd w:val="clear" w:color="auto" w:fill="auto"/>
            <w:vAlign w:val="center"/>
          </w:tcPr>
          <w:p w:rsidR="00967CDE" w:rsidRPr="00E13C72" w:rsidRDefault="00967CDE" w:rsidP="00E13C72">
            <w:pPr>
              <w:pStyle w:val="Tabletext"/>
              <w:keepNext/>
              <w:keepLines/>
              <w:spacing w:after="0"/>
              <w:rPr>
                <w:rFonts w:ascii="Arial Narrow" w:hAnsi="Arial Narrow"/>
              </w:rPr>
            </w:pPr>
            <w:r w:rsidRPr="00E13C72">
              <w:rPr>
                <w:rFonts w:ascii="Arial Narrow" w:hAnsi="Arial Narrow"/>
              </w:rPr>
              <w:t>Number of scripts dispensed</w:t>
            </w:r>
            <w:r w:rsidRPr="00E13C72">
              <w:rPr>
                <w:rFonts w:ascii="Arial Narrow" w:hAnsi="Arial Narrow"/>
                <w:vertAlign w:val="superscript"/>
              </w:rPr>
              <w:t>a</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54"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38" w:type="pct"/>
            <w:shd w:val="clear" w:color="auto" w:fill="auto"/>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c>
          <w:tcPr>
            <w:tcW w:w="637" w:type="pct"/>
            <w:vAlign w:val="center"/>
          </w:tcPr>
          <w:p w:rsidR="00967CD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 xml:space="preserve">'''''''''' </w:t>
            </w:r>
          </w:p>
        </w:tc>
      </w:tr>
      <w:tr w:rsidR="008464F4" w:rsidRPr="00E13C72" w:rsidTr="00E13C72">
        <w:tc>
          <w:tcPr>
            <w:tcW w:w="5000" w:type="pct"/>
            <w:gridSpan w:val="7"/>
            <w:shd w:val="clear" w:color="auto" w:fill="auto"/>
            <w:vAlign w:val="center"/>
          </w:tcPr>
          <w:p w:rsidR="008464F4" w:rsidRPr="00E13C72" w:rsidRDefault="008464F4" w:rsidP="00E13C72">
            <w:pPr>
              <w:pStyle w:val="Tabletext"/>
              <w:keepNext/>
              <w:keepLines/>
              <w:spacing w:after="0"/>
              <w:rPr>
                <w:rFonts w:ascii="Arial Narrow" w:hAnsi="Arial Narrow"/>
                <w:b/>
                <w:bCs/>
              </w:rPr>
            </w:pPr>
            <w:r w:rsidRPr="00E13C72">
              <w:rPr>
                <w:rFonts w:ascii="Arial Narrow" w:hAnsi="Arial Narrow"/>
                <w:b/>
                <w:bCs/>
              </w:rPr>
              <w:t>Estimated financial implica</w:t>
            </w:r>
            <w:r w:rsidR="00CF3E12" w:rsidRPr="00E13C72">
              <w:rPr>
                <w:rFonts w:ascii="Arial Narrow" w:hAnsi="Arial Narrow"/>
                <w:b/>
                <w:bCs/>
              </w:rPr>
              <w:t>tions of atezolizumab 1680 mg Q4W</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Cost to PBS/RPBS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Less Copayments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Cost to PBS/RPBS less copayments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8464F4" w:rsidRPr="00E13C72" w:rsidTr="00E13C72">
        <w:tc>
          <w:tcPr>
            <w:tcW w:w="5000" w:type="pct"/>
            <w:gridSpan w:val="7"/>
            <w:shd w:val="clear" w:color="auto" w:fill="auto"/>
            <w:vAlign w:val="center"/>
          </w:tcPr>
          <w:p w:rsidR="008464F4" w:rsidRPr="00E13C72" w:rsidRDefault="008464F4" w:rsidP="00E13C72">
            <w:pPr>
              <w:pStyle w:val="Tabletext"/>
              <w:keepNext/>
              <w:keepLines/>
              <w:spacing w:after="0"/>
              <w:rPr>
                <w:rFonts w:ascii="Arial Narrow" w:hAnsi="Arial Narrow"/>
                <w:b/>
                <w:bCs/>
              </w:rPr>
            </w:pPr>
            <w:r w:rsidRPr="00E13C72">
              <w:rPr>
                <w:rFonts w:ascii="Arial Narrow" w:hAnsi="Arial Narrow"/>
                <w:b/>
                <w:bCs/>
              </w:rPr>
              <w:t>Estimated financial im</w:t>
            </w:r>
            <w:r w:rsidR="00CF3E12" w:rsidRPr="00E13C72">
              <w:rPr>
                <w:rFonts w:ascii="Arial Narrow" w:hAnsi="Arial Narrow"/>
                <w:b/>
                <w:bCs/>
              </w:rPr>
              <w:t>plications for atezolizumab 1200 mg Q3W</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Cost to PBS/RPBS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Less Copayments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F45ED5" w:rsidP="00E13C72">
            <w:pPr>
              <w:pStyle w:val="Tabletext"/>
              <w:keepNext/>
              <w:keepLines/>
              <w:spacing w:after="0"/>
              <w:jc w:val="center"/>
              <w:rPr>
                <w:rFonts w:ascii="Arial Narrow" w:hAnsi="Arial Narrow"/>
                <w:highlight w:val="black"/>
              </w:rPr>
            </w:pPr>
            <w:r>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Cost to PBS/RPBS less copayments</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8464F4" w:rsidRPr="00E13C72" w:rsidTr="00E13C72">
        <w:tc>
          <w:tcPr>
            <w:tcW w:w="5000" w:type="pct"/>
            <w:gridSpan w:val="7"/>
            <w:shd w:val="clear" w:color="auto" w:fill="auto"/>
            <w:vAlign w:val="center"/>
          </w:tcPr>
          <w:p w:rsidR="008464F4" w:rsidRPr="00E13C72" w:rsidRDefault="008464F4" w:rsidP="00E13C72">
            <w:pPr>
              <w:pStyle w:val="Tabletext"/>
              <w:keepNext/>
              <w:keepLines/>
              <w:spacing w:after="0"/>
              <w:rPr>
                <w:rFonts w:ascii="Arial Narrow" w:hAnsi="Arial Narrow"/>
              </w:rPr>
            </w:pPr>
            <w:r w:rsidRPr="00E13C72">
              <w:rPr>
                <w:rFonts w:ascii="Arial Narrow" w:hAnsi="Arial Narrow"/>
                <w:b/>
                <w:bCs/>
              </w:rPr>
              <w:t>Net financial implications</w:t>
            </w:r>
            <w:r w:rsidRPr="00E13C72">
              <w:rPr>
                <w:rFonts w:ascii="Arial Narrow" w:hAnsi="Arial Narrow"/>
              </w:rPr>
              <w:t xml:space="preserve"> </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Net cost to PBS/RPBS (Published price)</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BE1FC1">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c>
          <w:tcPr>
            <w:tcW w:w="637" w:type="pct"/>
            <w:vAlign w:val="center"/>
          </w:tcPr>
          <w:p w:rsidR="00071CFE" w:rsidRPr="00F45ED5" w:rsidRDefault="00071CFE" w:rsidP="00E13C72">
            <w:pPr>
              <w:pStyle w:val="Tabletext"/>
              <w:keepNext/>
              <w:keepLines/>
              <w:spacing w:after="0"/>
              <w:jc w:val="center"/>
              <w:rPr>
                <w:rFonts w:ascii="Arial Narrow" w:hAnsi="Arial Narrow"/>
              </w:rPr>
            </w:pPr>
            <w:r w:rsidRPr="00EF5FA8">
              <w:rPr>
                <w:rFonts w:ascii="Arial Narrow" w:hAnsi="Arial Narrow" w:cs="Arial"/>
              </w:rPr>
              <w:t>$</w:t>
            </w:r>
            <w:r w:rsidR="00F45ED5">
              <w:rPr>
                <w:rFonts w:ascii="Arial Narrow" w:hAnsi="Arial Narrow" w:cs="Arial"/>
                <w:noProof/>
                <w:color w:val="000000"/>
                <w:highlight w:val="black"/>
              </w:rPr>
              <w:t>'''''''''''''''''''</w:t>
            </w:r>
          </w:p>
        </w:tc>
      </w:tr>
      <w:tr w:rsidR="00071CFE" w:rsidRPr="00E13C72" w:rsidTr="00E13C72">
        <w:tc>
          <w:tcPr>
            <w:tcW w:w="1109" w:type="pct"/>
            <w:shd w:val="clear" w:color="auto" w:fill="auto"/>
            <w:vAlign w:val="center"/>
          </w:tcPr>
          <w:p w:rsidR="00071CFE" w:rsidRPr="00E13C72" w:rsidRDefault="00071CFE" w:rsidP="00E13C72">
            <w:pPr>
              <w:pStyle w:val="Tabletext"/>
              <w:keepNext/>
              <w:keepLines/>
              <w:spacing w:after="0"/>
              <w:rPr>
                <w:rFonts w:ascii="Arial Narrow" w:hAnsi="Arial Narrow"/>
              </w:rPr>
            </w:pPr>
            <w:r w:rsidRPr="00E13C72">
              <w:rPr>
                <w:rFonts w:ascii="Arial Narrow" w:hAnsi="Arial Narrow"/>
              </w:rPr>
              <w:t>Net cost to PBS/RPBS (Effective price)</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rPr>
            </w:pPr>
            <w:r w:rsidRPr="00BE1FC1">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rPr>
            </w:pPr>
            <w:r w:rsidRPr="00BE1FC1">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rPr>
            </w:pPr>
            <w:r w:rsidRPr="00EF5FA8">
              <w:rPr>
                <w:rFonts w:ascii="Arial Narrow" w:hAnsi="Arial Narrow" w:cs="Arial"/>
              </w:rPr>
              <w:t>$</w:t>
            </w:r>
            <w:r w:rsidR="00F45ED5">
              <w:rPr>
                <w:rFonts w:ascii="Arial Narrow" w:hAnsi="Arial Narrow" w:cs="Arial"/>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rPr>
            </w:pPr>
            <w:r w:rsidRPr="00EF5FA8">
              <w:rPr>
                <w:rFonts w:ascii="Arial Narrow" w:hAnsi="Arial Narrow" w:cs="Arial"/>
              </w:rPr>
              <w:t>$</w:t>
            </w:r>
            <w:r w:rsidR="00F45ED5">
              <w:rPr>
                <w:rFonts w:ascii="Arial Narrow" w:hAnsi="Arial Narrow" w:cs="Arial"/>
                <w:noProof/>
                <w:color w:val="000000"/>
                <w:highlight w:val="black"/>
              </w:rPr>
              <w:t xml:space="preserve">''''''''''''''''' </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rPr>
            </w:pPr>
            <w:r w:rsidRPr="00EF5FA8">
              <w:rPr>
                <w:rFonts w:ascii="Arial Narrow" w:hAnsi="Arial Narrow" w:cs="Arial"/>
              </w:rPr>
              <w:t>$</w:t>
            </w:r>
            <w:r w:rsidR="00F45ED5">
              <w:rPr>
                <w:rFonts w:ascii="Arial Narrow" w:hAnsi="Arial Narrow" w:cs="Arial"/>
                <w:noProof/>
                <w:color w:val="000000"/>
                <w:highlight w:val="black"/>
              </w:rPr>
              <w:t xml:space="preserve">''''''''''''''' </w:t>
            </w:r>
          </w:p>
        </w:tc>
        <w:tc>
          <w:tcPr>
            <w:tcW w:w="637" w:type="pct"/>
            <w:vAlign w:val="center"/>
          </w:tcPr>
          <w:p w:rsidR="00071CFE" w:rsidRPr="00F45ED5" w:rsidRDefault="00071CFE" w:rsidP="00E13C72">
            <w:pPr>
              <w:pStyle w:val="Tabletext"/>
              <w:keepNext/>
              <w:keepLines/>
              <w:spacing w:after="0"/>
              <w:jc w:val="center"/>
              <w:rPr>
                <w:rFonts w:ascii="Arial Narrow" w:hAnsi="Arial Narrow" w:cs="Arial"/>
              </w:rPr>
            </w:pPr>
            <w:r w:rsidRPr="00EF5FA8">
              <w:rPr>
                <w:rFonts w:ascii="Arial Narrow" w:hAnsi="Arial Narrow" w:cs="Arial"/>
              </w:rPr>
              <w:t>$</w:t>
            </w:r>
            <w:r w:rsidR="00F45ED5">
              <w:rPr>
                <w:rFonts w:ascii="Arial Narrow" w:hAnsi="Arial Narrow" w:cs="Arial"/>
                <w:noProof/>
                <w:color w:val="000000"/>
                <w:highlight w:val="black"/>
              </w:rPr>
              <w:t xml:space="preserve">''''''''''''''' </w:t>
            </w:r>
          </w:p>
        </w:tc>
      </w:tr>
      <w:tr w:rsidR="00071CFE" w:rsidRPr="00E13C72" w:rsidTr="00E13C72">
        <w:tc>
          <w:tcPr>
            <w:tcW w:w="1109" w:type="pct"/>
            <w:shd w:val="clear" w:color="auto" w:fill="auto"/>
            <w:vAlign w:val="center"/>
          </w:tcPr>
          <w:p w:rsidR="00071CFE" w:rsidRPr="00E13C72" w:rsidRDefault="00445DA0" w:rsidP="00E13C72">
            <w:pPr>
              <w:pStyle w:val="Tabletext"/>
              <w:keepNext/>
              <w:keepLines/>
              <w:spacing w:after="0"/>
              <w:rPr>
                <w:rFonts w:ascii="Arial Narrow" w:hAnsi="Arial Narrow"/>
              </w:rPr>
            </w:pPr>
            <w:r w:rsidRPr="00E13C72">
              <w:rPr>
                <w:rFonts w:ascii="Arial Narrow" w:hAnsi="Arial Narrow"/>
              </w:rPr>
              <w:t>Net cost to MBS</w:t>
            </w:r>
            <w:r w:rsidR="002D3BC0" w:rsidRPr="00E13C72">
              <w:rPr>
                <w:rFonts w:ascii="Arial Narrow" w:hAnsi="Arial Narrow"/>
                <w:vertAlign w:val="superscript"/>
              </w:rPr>
              <w:t>b</w:t>
            </w:r>
          </w:p>
        </w:tc>
        <w:tc>
          <w:tcPr>
            <w:tcW w:w="654" w:type="pct"/>
            <w:shd w:val="clear" w:color="auto" w:fill="auto"/>
            <w:vAlign w:val="center"/>
          </w:tcPr>
          <w:p w:rsidR="00071CFE" w:rsidRPr="00F45ED5" w:rsidRDefault="00E53E22" w:rsidP="00E13C72">
            <w:pPr>
              <w:pStyle w:val="Tabletext"/>
              <w:keepNext/>
              <w:keepLines/>
              <w:spacing w:after="0"/>
              <w:jc w:val="center"/>
              <w:rPr>
                <w:rFonts w:ascii="Arial Narrow" w:hAnsi="Arial Narrow"/>
                <w:i/>
                <w:iCs/>
              </w:rPr>
            </w:pPr>
            <w:r w:rsidRPr="00BE1FC1">
              <w:rPr>
                <w:rFonts w:ascii="Arial Narrow" w:hAnsi="Arial Narrow" w:cs="Arial"/>
                <w:i/>
                <w:iCs/>
              </w:rPr>
              <w:t>-</w:t>
            </w:r>
            <w:r w:rsidR="00071CFE" w:rsidRPr="00BE1FC1">
              <w:rPr>
                <w:rFonts w:ascii="Arial Narrow" w:hAnsi="Arial Narrow" w:cs="Arial"/>
                <w:i/>
                <w:iCs/>
              </w:rPr>
              <w:t>$</w:t>
            </w:r>
            <w:r w:rsidR="00F45ED5">
              <w:rPr>
                <w:rFonts w:ascii="Arial Narrow" w:hAnsi="Arial Narrow" w:cs="Arial"/>
                <w:i/>
                <w:iCs/>
                <w:noProof/>
                <w:color w:val="000000"/>
                <w:highlight w:val="black"/>
              </w:rPr>
              <w:t>'''''''''''''''''</w:t>
            </w:r>
          </w:p>
        </w:tc>
        <w:tc>
          <w:tcPr>
            <w:tcW w:w="654" w:type="pct"/>
            <w:shd w:val="clear" w:color="auto" w:fill="auto"/>
            <w:vAlign w:val="center"/>
          </w:tcPr>
          <w:p w:rsidR="00071CFE" w:rsidRPr="00F45ED5" w:rsidRDefault="00E53E22" w:rsidP="00E13C72">
            <w:pPr>
              <w:pStyle w:val="Tabletext"/>
              <w:keepNext/>
              <w:keepLines/>
              <w:spacing w:after="0"/>
              <w:jc w:val="center"/>
              <w:rPr>
                <w:rFonts w:ascii="Arial Narrow" w:hAnsi="Arial Narrow"/>
                <w:i/>
                <w:iCs/>
              </w:rPr>
            </w:pPr>
            <w:r w:rsidRPr="00BE1FC1">
              <w:rPr>
                <w:rFonts w:ascii="Arial Narrow" w:hAnsi="Arial Narrow" w:cs="Arial"/>
                <w:i/>
                <w:iCs/>
              </w:rPr>
              <w:t>-</w:t>
            </w:r>
            <w:r w:rsidR="00071CFE" w:rsidRPr="00BE1FC1">
              <w:rPr>
                <w:rFonts w:ascii="Arial Narrow" w:hAnsi="Arial Narrow" w:cs="Arial"/>
                <w:i/>
                <w:iCs/>
              </w:rPr>
              <w:t>$</w:t>
            </w:r>
            <w:r w:rsidR="00F45ED5">
              <w:rPr>
                <w:rFonts w:ascii="Arial Narrow" w:hAnsi="Arial Narrow" w:cs="Arial"/>
                <w:i/>
                <w:iCs/>
                <w:noProof/>
                <w:color w:val="000000"/>
                <w:highlight w:val="black"/>
              </w:rPr>
              <w:t>'''''''''''''''''</w:t>
            </w:r>
          </w:p>
        </w:tc>
        <w:tc>
          <w:tcPr>
            <w:tcW w:w="654" w:type="pct"/>
            <w:shd w:val="clear" w:color="auto" w:fill="auto"/>
            <w:vAlign w:val="center"/>
          </w:tcPr>
          <w:p w:rsidR="00071CFE" w:rsidRPr="00F45ED5" w:rsidRDefault="00E53E22" w:rsidP="00E13C72">
            <w:pPr>
              <w:pStyle w:val="Tabletext"/>
              <w:keepNext/>
              <w:keepLines/>
              <w:spacing w:after="0"/>
              <w:jc w:val="center"/>
              <w:rPr>
                <w:rFonts w:ascii="Arial Narrow" w:hAnsi="Arial Narrow"/>
                <w:i/>
                <w:iCs/>
              </w:rPr>
            </w:pPr>
            <w:r w:rsidRPr="00EF5FA8">
              <w:rPr>
                <w:rFonts w:ascii="Arial Narrow" w:hAnsi="Arial Narrow" w:cs="Arial"/>
                <w:i/>
                <w:iCs/>
              </w:rPr>
              <w:t>-</w:t>
            </w:r>
            <w:r w:rsidR="00071CFE" w:rsidRPr="00EF5FA8">
              <w:rPr>
                <w:rFonts w:ascii="Arial Narrow" w:hAnsi="Arial Narrow" w:cs="Arial"/>
                <w:i/>
                <w:iCs/>
              </w:rPr>
              <w:t>$</w:t>
            </w:r>
            <w:r w:rsidR="00F45ED5">
              <w:rPr>
                <w:rFonts w:ascii="Arial Narrow" w:hAnsi="Arial Narrow" w:cs="Arial"/>
                <w:i/>
                <w:iCs/>
                <w:noProof/>
                <w:color w:val="000000"/>
                <w:highlight w:val="black"/>
              </w:rPr>
              <w:t>''''''''''''''''</w:t>
            </w:r>
          </w:p>
        </w:tc>
        <w:tc>
          <w:tcPr>
            <w:tcW w:w="654" w:type="pct"/>
            <w:shd w:val="clear" w:color="auto" w:fill="auto"/>
            <w:vAlign w:val="center"/>
          </w:tcPr>
          <w:p w:rsidR="00071CFE" w:rsidRPr="00F45ED5" w:rsidRDefault="00E53E22" w:rsidP="00E13C72">
            <w:pPr>
              <w:pStyle w:val="Tabletext"/>
              <w:keepNext/>
              <w:keepLines/>
              <w:spacing w:after="0"/>
              <w:jc w:val="center"/>
              <w:rPr>
                <w:rFonts w:ascii="Arial Narrow" w:hAnsi="Arial Narrow"/>
                <w:i/>
                <w:iCs/>
              </w:rPr>
            </w:pPr>
            <w:r w:rsidRPr="00EF5FA8">
              <w:rPr>
                <w:rFonts w:ascii="Arial Narrow" w:hAnsi="Arial Narrow" w:cs="Arial"/>
                <w:i/>
                <w:iCs/>
              </w:rPr>
              <w:t>-</w:t>
            </w:r>
            <w:r w:rsidR="00071CFE" w:rsidRPr="00EF5FA8">
              <w:rPr>
                <w:rFonts w:ascii="Arial Narrow" w:hAnsi="Arial Narrow" w:cs="Arial"/>
                <w:i/>
                <w:iCs/>
              </w:rPr>
              <w:t>$</w:t>
            </w:r>
            <w:r w:rsidR="00F45ED5">
              <w:rPr>
                <w:rFonts w:ascii="Arial Narrow" w:hAnsi="Arial Narrow" w:cs="Arial"/>
                <w:i/>
                <w:iCs/>
                <w:noProof/>
                <w:color w:val="000000"/>
                <w:highlight w:val="black"/>
              </w:rPr>
              <w:t>'''''''''''''''</w:t>
            </w:r>
          </w:p>
        </w:tc>
        <w:tc>
          <w:tcPr>
            <w:tcW w:w="638" w:type="pct"/>
            <w:shd w:val="clear" w:color="auto" w:fill="auto"/>
            <w:vAlign w:val="center"/>
          </w:tcPr>
          <w:p w:rsidR="00071CFE" w:rsidRPr="00F45ED5" w:rsidRDefault="00E53E22" w:rsidP="00E13C72">
            <w:pPr>
              <w:pStyle w:val="Tabletext"/>
              <w:keepNext/>
              <w:keepLines/>
              <w:spacing w:after="0"/>
              <w:jc w:val="center"/>
              <w:rPr>
                <w:rFonts w:ascii="Arial Narrow" w:hAnsi="Arial Narrow"/>
                <w:i/>
                <w:iCs/>
              </w:rPr>
            </w:pPr>
            <w:r w:rsidRPr="00EF5FA8">
              <w:rPr>
                <w:rFonts w:ascii="Arial Narrow" w:hAnsi="Arial Narrow" w:cs="Arial"/>
                <w:i/>
                <w:iCs/>
              </w:rPr>
              <w:t>-</w:t>
            </w:r>
            <w:r w:rsidR="00071CFE" w:rsidRPr="00EF5FA8">
              <w:rPr>
                <w:rFonts w:ascii="Arial Narrow" w:hAnsi="Arial Narrow" w:cs="Arial"/>
                <w:i/>
                <w:iCs/>
              </w:rPr>
              <w:t>$</w:t>
            </w:r>
            <w:r w:rsidR="00F45ED5">
              <w:rPr>
                <w:rFonts w:ascii="Arial Narrow" w:hAnsi="Arial Narrow" w:cs="Arial"/>
                <w:i/>
                <w:iCs/>
                <w:noProof/>
                <w:color w:val="000000"/>
                <w:highlight w:val="black"/>
              </w:rPr>
              <w:t>''''''''''''''''</w:t>
            </w:r>
          </w:p>
        </w:tc>
        <w:tc>
          <w:tcPr>
            <w:tcW w:w="637" w:type="pct"/>
            <w:vAlign w:val="center"/>
          </w:tcPr>
          <w:p w:rsidR="00071CFE" w:rsidRPr="00F45ED5" w:rsidRDefault="00E53E22" w:rsidP="00E13C72">
            <w:pPr>
              <w:pStyle w:val="Tabletext"/>
              <w:keepNext/>
              <w:keepLines/>
              <w:spacing w:after="0"/>
              <w:jc w:val="center"/>
              <w:rPr>
                <w:rFonts w:ascii="Arial Narrow" w:hAnsi="Arial Narrow"/>
                <w:i/>
                <w:iCs/>
              </w:rPr>
            </w:pPr>
            <w:r w:rsidRPr="00EF5FA8">
              <w:rPr>
                <w:rFonts w:ascii="Arial Narrow" w:hAnsi="Arial Narrow" w:cs="Arial"/>
                <w:i/>
                <w:iCs/>
              </w:rPr>
              <w:t>-</w:t>
            </w:r>
            <w:r w:rsidR="00071CFE" w:rsidRPr="00EF5FA8">
              <w:rPr>
                <w:rFonts w:ascii="Arial Narrow" w:hAnsi="Arial Narrow" w:cs="Arial"/>
                <w:i/>
                <w:iCs/>
              </w:rPr>
              <w:t>$</w:t>
            </w:r>
            <w:r w:rsidR="00F45ED5">
              <w:rPr>
                <w:rFonts w:ascii="Arial Narrow" w:hAnsi="Arial Narrow" w:cs="Arial"/>
                <w:i/>
                <w:iCs/>
                <w:noProof/>
                <w:color w:val="000000"/>
                <w:highlight w:val="black"/>
              </w:rPr>
              <w:t>''''''''''''''''</w:t>
            </w:r>
          </w:p>
        </w:tc>
      </w:tr>
      <w:tr w:rsidR="00071CFE" w:rsidRPr="00E13C72" w:rsidTr="00E13C72">
        <w:tc>
          <w:tcPr>
            <w:tcW w:w="1109" w:type="pct"/>
            <w:shd w:val="clear" w:color="auto" w:fill="auto"/>
            <w:vAlign w:val="center"/>
          </w:tcPr>
          <w:p w:rsidR="00071CFE" w:rsidRPr="00E13C72" w:rsidRDefault="00445DA0" w:rsidP="00E13C72">
            <w:pPr>
              <w:pStyle w:val="Tabletext"/>
              <w:keepNext/>
              <w:keepLines/>
              <w:spacing w:after="0"/>
              <w:rPr>
                <w:rFonts w:ascii="Arial Narrow" w:hAnsi="Arial Narrow"/>
              </w:rPr>
            </w:pPr>
            <w:r w:rsidRPr="00E13C72">
              <w:rPr>
                <w:rFonts w:ascii="Arial Narrow" w:hAnsi="Arial Narrow"/>
              </w:rPr>
              <w:t>Net cost to Government</w:t>
            </w:r>
            <w:r w:rsidR="00071CFE" w:rsidRPr="00E13C72">
              <w:rPr>
                <w:rFonts w:ascii="Arial Narrow" w:hAnsi="Arial Narrow"/>
              </w:rPr>
              <w:t xml:space="preserve"> (Published)</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i/>
                <w:iCs/>
              </w:rPr>
            </w:pPr>
            <w:r w:rsidRPr="00BE1FC1">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i/>
                <w:iCs/>
              </w:rPr>
            </w:pPr>
            <w:r w:rsidRPr="00BE1FC1">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37" w:type="pct"/>
            <w:vAlign w:val="center"/>
          </w:tcPr>
          <w:p w:rsidR="00071CFE" w:rsidRPr="00F45ED5" w:rsidRDefault="00071CFE" w:rsidP="00E13C72">
            <w:pPr>
              <w:pStyle w:val="Tabletext"/>
              <w:keepNext/>
              <w:keepLines/>
              <w:spacing w:after="0"/>
              <w:jc w:val="center"/>
              <w:rPr>
                <w:rFonts w:ascii="Arial Narrow" w:hAnsi="Arial Narrow"/>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r>
      <w:tr w:rsidR="00071CFE" w:rsidRPr="00E13C72" w:rsidTr="00E13C72">
        <w:tc>
          <w:tcPr>
            <w:tcW w:w="1109" w:type="pct"/>
            <w:shd w:val="clear" w:color="auto" w:fill="auto"/>
            <w:vAlign w:val="center"/>
          </w:tcPr>
          <w:p w:rsidR="00071CFE" w:rsidRPr="00E13C72" w:rsidRDefault="00445DA0" w:rsidP="00E13C72">
            <w:pPr>
              <w:pStyle w:val="Tabletext"/>
              <w:keepNext/>
              <w:keepLines/>
              <w:spacing w:after="0"/>
              <w:rPr>
                <w:rFonts w:ascii="Arial Narrow" w:hAnsi="Arial Narrow"/>
              </w:rPr>
            </w:pPr>
            <w:r w:rsidRPr="00E13C72">
              <w:rPr>
                <w:rFonts w:ascii="Arial Narrow" w:hAnsi="Arial Narrow"/>
              </w:rPr>
              <w:t>Net cost to Government</w:t>
            </w:r>
            <w:r w:rsidR="00071CFE" w:rsidRPr="00E13C72">
              <w:rPr>
                <w:rFonts w:ascii="Arial Narrow" w:hAnsi="Arial Narrow"/>
              </w:rPr>
              <w:t xml:space="preserve"> (Effective)</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i/>
                <w:iCs/>
              </w:rPr>
            </w:pPr>
            <w:r w:rsidRPr="00BE1FC1">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i/>
                <w:iCs/>
              </w:rPr>
            </w:pPr>
            <w:r w:rsidRPr="00BE1FC1">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54"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38" w:type="pct"/>
            <w:shd w:val="clear" w:color="auto" w:fill="auto"/>
            <w:vAlign w:val="center"/>
          </w:tcPr>
          <w:p w:rsidR="00071CFE" w:rsidRPr="00F45ED5" w:rsidRDefault="00071CFE" w:rsidP="00E13C72">
            <w:pPr>
              <w:pStyle w:val="Tabletext"/>
              <w:keepNext/>
              <w:keepLines/>
              <w:spacing w:after="0"/>
              <w:jc w:val="center"/>
              <w:rPr>
                <w:rFonts w:ascii="Arial Narrow" w:hAnsi="Arial Narrow" w:cs="Arial"/>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c>
          <w:tcPr>
            <w:tcW w:w="637" w:type="pct"/>
            <w:vAlign w:val="center"/>
          </w:tcPr>
          <w:p w:rsidR="00071CFE" w:rsidRPr="00F45ED5" w:rsidRDefault="00071CFE" w:rsidP="00E13C72">
            <w:pPr>
              <w:pStyle w:val="Tabletext"/>
              <w:keepNext/>
              <w:keepLines/>
              <w:spacing w:after="0"/>
              <w:jc w:val="center"/>
              <w:rPr>
                <w:rFonts w:ascii="Arial Narrow" w:hAnsi="Arial Narrow" w:cs="Arial"/>
                <w:i/>
                <w:iCs/>
              </w:rPr>
            </w:pPr>
            <w:r w:rsidRPr="00EF5FA8">
              <w:rPr>
                <w:rFonts w:ascii="Arial Narrow" w:hAnsi="Arial Narrow" w:cs="Arial"/>
                <w:i/>
                <w:iCs/>
              </w:rPr>
              <w:t>$</w:t>
            </w:r>
            <w:r w:rsidR="00F45ED5">
              <w:rPr>
                <w:rFonts w:ascii="Arial Narrow" w:hAnsi="Arial Narrow" w:cs="Arial"/>
                <w:i/>
                <w:iCs/>
                <w:noProof/>
                <w:color w:val="000000"/>
                <w:highlight w:val="black"/>
              </w:rPr>
              <w:t xml:space="preserve">''' </w:t>
            </w:r>
          </w:p>
        </w:tc>
      </w:tr>
    </w:tbl>
    <w:p w:rsidR="00A2768D" w:rsidRPr="00011ED1" w:rsidRDefault="00A2768D" w:rsidP="00E13C72">
      <w:pPr>
        <w:pStyle w:val="TableFooter"/>
      </w:pPr>
      <w:r w:rsidRPr="00011ED1">
        <w:rPr>
          <w:vertAlign w:val="superscript"/>
        </w:rPr>
        <w:t>a</w:t>
      </w:r>
      <w:r w:rsidR="00E13C72">
        <w:t xml:space="preserve"> </w:t>
      </w:r>
      <w:r w:rsidR="00CA3D76" w:rsidRPr="00011ED1">
        <w:t>Assuming that n</w:t>
      </w:r>
      <w:r w:rsidRPr="00011ED1">
        <w:t xml:space="preserve">umber of scripts per patient </w:t>
      </w:r>
      <w:r w:rsidR="00CA3D76" w:rsidRPr="00011ED1">
        <w:t xml:space="preserve">was 7.88 based on the </w:t>
      </w:r>
      <w:r w:rsidR="0029466D" w:rsidRPr="00011ED1">
        <w:t xml:space="preserve">treatment duration </w:t>
      </w:r>
      <w:r w:rsidR="00CA3D76" w:rsidRPr="00011ED1">
        <w:t>of 31.50 weeks</w:t>
      </w:r>
      <w:r w:rsidRPr="00011ED1">
        <w:t xml:space="preserve"> as estimated by the submission.</w:t>
      </w:r>
    </w:p>
    <w:p w:rsidR="002D3BC0" w:rsidRPr="00011ED1" w:rsidRDefault="002D3BC0" w:rsidP="00E13C72">
      <w:pPr>
        <w:pStyle w:val="TableFooter"/>
      </w:pPr>
      <w:r w:rsidRPr="00011ED1">
        <w:rPr>
          <w:vertAlign w:val="superscript"/>
        </w:rPr>
        <w:t xml:space="preserve">b </w:t>
      </w:r>
      <w:r w:rsidRPr="00011ED1">
        <w:t xml:space="preserve"> A minor calculation error in ‘net cost to MBS’ in Section 4 workbook 1L NSCLC. The corrected estimates are presented. </w:t>
      </w:r>
    </w:p>
    <w:p w:rsidR="00A2768D" w:rsidRDefault="00A2768D" w:rsidP="00E13C72">
      <w:pPr>
        <w:pStyle w:val="TableFooter"/>
      </w:pPr>
      <w:r w:rsidRPr="00011ED1">
        <w:t xml:space="preserve">Source: </w:t>
      </w:r>
      <w:r w:rsidR="0056148F" w:rsidRPr="00011ED1">
        <w:t>Section 4 workbook 1</w:t>
      </w:r>
      <w:r w:rsidRPr="00011ED1">
        <w:t>L NSCLC</w:t>
      </w:r>
      <w:r w:rsidR="008B518C" w:rsidRPr="00011ED1">
        <w:t xml:space="preserve"> supplied with the submission</w:t>
      </w:r>
      <w:r w:rsidRPr="00011ED1">
        <w:t>.</w:t>
      </w:r>
    </w:p>
    <w:p w:rsidR="00D25192" w:rsidRDefault="00D25192" w:rsidP="00E13C72">
      <w:pPr>
        <w:pStyle w:val="TableFooter"/>
      </w:pPr>
    </w:p>
    <w:p w:rsidR="00D25192" w:rsidRPr="00D25192" w:rsidRDefault="00D25192" w:rsidP="00E13C72">
      <w:pPr>
        <w:pStyle w:val="TableFooter"/>
        <w:rPr>
          <w:rFonts w:asciiTheme="minorHAnsi" w:hAnsiTheme="minorHAnsi" w:cstheme="minorHAnsi"/>
          <w:sz w:val="24"/>
          <w:szCs w:val="24"/>
        </w:rPr>
      </w:pPr>
      <w:r>
        <w:rPr>
          <w:rFonts w:asciiTheme="minorHAnsi" w:hAnsiTheme="minorHAnsi" w:cstheme="minorHAnsi"/>
          <w:sz w:val="24"/>
          <w:szCs w:val="24"/>
        </w:rPr>
        <w:t xml:space="preserve">The redacted table shows that at year 6, the estimated number of patients was less than 10,000 per year </w:t>
      </w:r>
      <w:r w:rsidR="007C179A">
        <w:rPr>
          <w:rFonts w:asciiTheme="minorHAnsi" w:hAnsiTheme="minorHAnsi" w:cstheme="minorHAnsi"/>
          <w:sz w:val="24"/>
          <w:szCs w:val="24"/>
        </w:rPr>
        <w:t>and the net cost to the PBS would be less than $10 million per year.</w:t>
      </w:r>
    </w:p>
    <w:p w:rsidR="00C0583F" w:rsidRPr="00011ED1" w:rsidRDefault="00237F27" w:rsidP="00367A74">
      <w:pPr>
        <w:pStyle w:val="Bodytextitalics"/>
        <w:spacing w:before="120"/>
        <w:jc w:val="both"/>
        <w:rPr>
          <w:i w:val="0"/>
          <w:iCs/>
        </w:rPr>
      </w:pPr>
      <w:r w:rsidRPr="00011ED1">
        <w:rPr>
          <w:i w:val="0"/>
          <w:iCs/>
        </w:rPr>
        <w:t>Overall, t</w:t>
      </w:r>
      <w:r w:rsidR="00C0583F" w:rsidRPr="00011ED1">
        <w:rPr>
          <w:i w:val="0"/>
          <w:iCs/>
        </w:rPr>
        <w:t>he minor sub</w:t>
      </w:r>
      <w:r w:rsidR="008C3718" w:rsidRPr="00011ED1">
        <w:rPr>
          <w:i w:val="0"/>
          <w:iCs/>
        </w:rPr>
        <w:t>mission claimed that the addition</w:t>
      </w:r>
      <w:r w:rsidR="00C0583F" w:rsidRPr="00011ED1">
        <w:rPr>
          <w:i w:val="0"/>
          <w:iCs/>
        </w:rPr>
        <w:t xml:space="preserve"> of atezolizumab 840 mg injection for Q4W dosing regimen would have no</w:t>
      </w:r>
      <w:r w:rsidR="001E2EF7" w:rsidRPr="00011ED1">
        <w:rPr>
          <w:i w:val="0"/>
          <w:iCs/>
        </w:rPr>
        <w:t xml:space="preserve"> net</w:t>
      </w:r>
      <w:r w:rsidR="00C0583F" w:rsidRPr="00011ED1">
        <w:rPr>
          <w:i w:val="0"/>
          <w:iCs/>
        </w:rPr>
        <w:t xml:space="preserve"> financial </w:t>
      </w:r>
      <w:r w:rsidR="00654474" w:rsidRPr="00011ED1">
        <w:rPr>
          <w:i w:val="0"/>
          <w:iCs/>
        </w:rPr>
        <w:t>impact</w:t>
      </w:r>
      <w:r w:rsidR="00C0583F" w:rsidRPr="00011ED1">
        <w:rPr>
          <w:i w:val="0"/>
          <w:iCs/>
        </w:rPr>
        <w:t xml:space="preserve"> to the </w:t>
      </w:r>
      <w:r w:rsidR="00873560" w:rsidRPr="00011ED1">
        <w:rPr>
          <w:i w:val="0"/>
          <w:iCs/>
        </w:rPr>
        <w:t>Government.</w:t>
      </w:r>
    </w:p>
    <w:p w:rsidR="00BA347C" w:rsidRPr="00011ED1" w:rsidRDefault="00BA347C" w:rsidP="00367A74">
      <w:pPr>
        <w:pStyle w:val="Bodytextitalics"/>
        <w:spacing w:before="120"/>
        <w:jc w:val="both"/>
        <w:rPr>
          <w:rFonts w:cstheme="minorHAnsi"/>
          <w:i w:val="0"/>
          <w:iCs/>
        </w:rPr>
      </w:pPr>
      <w:r w:rsidRPr="00011ED1">
        <w:rPr>
          <w:rFonts w:cstheme="minorHAnsi"/>
          <w:i w:val="0"/>
          <w:iCs/>
        </w:rPr>
        <w:t>As a minor submission, the financial estimates have not been independently evaluated.</w:t>
      </w:r>
    </w:p>
    <w:p w:rsidR="006C5023" w:rsidRPr="00011ED1" w:rsidRDefault="006C5023" w:rsidP="00367A74">
      <w:pPr>
        <w:pStyle w:val="Heading2"/>
        <w:keepLines/>
        <w:spacing w:before="120" w:after="120"/>
        <w:rPr>
          <w:rFonts w:asciiTheme="minorHAnsi" w:eastAsiaTheme="majorEastAsia" w:hAnsiTheme="minorHAnsi" w:cstheme="majorBidi"/>
          <w:sz w:val="28"/>
          <w:szCs w:val="28"/>
          <w:lang w:eastAsia="en-US"/>
        </w:rPr>
      </w:pPr>
      <w:r w:rsidRPr="00011ED1">
        <w:rPr>
          <w:rFonts w:asciiTheme="minorHAnsi" w:eastAsiaTheme="majorEastAsia" w:hAnsiTheme="minorHAnsi" w:cstheme="majorBidi"/>
          <w:sz w:val="28"/>
          <w:szCs w:val="28"/>
          <w:lang w:eastAsia="en-US"/>
        </w:rPr>
        <w:t>Financial Management – Risk Sharing Arrangement</w:t>
      </w:r>
    </w:p>
    <w:p w:rsidR="00C53B2B" w:rsidRPr="00011ED1" w:rsidRDefault="006C5023" w:rsidP="00367A74">
      <w:pPr>
        <w:pStyle w:val="Bodytextitalics"/>
        <w:spacing w:before="120"/>
        <w:jc w:val="both"/>
        <w:rPr>
          <w:i w:val="0"/>
          <w:iCs/>
        </w:rPr>
      </w:pPr>
      <w:r w:rsidRPr="00011ED1">
        <w:rPr>
          <w:i w:val="0"/>
          <w:iCs/>
        </w:rPr>
        <w:t xml:space="preserve">Atezolizumab is currently subject to Deeds of Agreement </w:t>
      </w:r>
      <w:r w:rsidR="00827944" w:rsidRPr="00011ED1">
        <w:rPr>
          <w:i w:val="0"/>
          <w:iCs/>
        </w:rPr>
        <w:t>for both</w:t>
      </w:r>
      <w:r w:rsidRPr="00011ED1">
        <w:rPr>
          <w:i w:val="0"/>
          <w:iCs/>
        </w:rPr>
        <w:t xml:space="preserve"> 1L and 2L NSCLC</w:t>
      </w:r>
      <w:r w:rsidR="00827944" w:rsidRPr="00011ED1">
        <w:rPr>
          <w:i w:val="0"/>
          <w:iCs/>
        </w:rPr>
        <w:t xml:space="preserve"> indications</w:t>
      </w:r>
      <w:r w:rsidRPr="00011ED1">
        <w:rPr>
          <w:i w:val="0"/>
          <w:iCs/>
        </w:rPr>
        <w:t xml:space="preserve">, which encompass </w:t>
      </w:r>
      <w:r w:rsidR="00827944" w:rsidRPr="00011ED1">
        <w:rPr>
          <w:i w:val="0"/>
          <w:iCs/>
        </w:rPr>
        <w:t>Special Pricing Arrangements (</w:t>
      </w:r>
      <w:r w:rsidRPr="00011ED1">
        <w:rPr>
          <w:i w:val="0"/>
          <w:iCs/>
        </w:rPr>
        <w:t>SPA</w:t>
      </w:r>
      <w:r w:rsidR="00827944" w:rsidRPr="00011ED1">
        <w:rPr>
          <w:i w:val="0"/>
          <w:iCs/>
        </w:rPr>
        <w:t>)</w:t>
      </w:r>
      <w:r w:rsidR="00BD6940" w:rsidRPr="00011ED1">
        <w:rPr>
          <w:i w:val="0"/>
          <w:iCs/>
        </w:rPr>
        <w:t xml:space="preserve"> and subsidisation caps, and that i</w:t>
      </w:r>
      <w:r w:rsidR="00EC11CF" w:rsidRPr="00011ED1">
        <w:rPr>
          <w:i w:val="0"/>
          <w:iCs/>
        </w:rPr>
        <w:t xml:space="preserve">t </w:t>
      </w:r>
      <w:r w:rsidRPr="00011ED1">
        <w:rPr>
          <w:i w:val="0"/>
          <w:iCs/>
        </w:rPr>
        <w:t xml:space="preserve">would be appropriate that the </w:t>
      </w:r>
      <w:r w:rsidR="008738EB" w:rsidRPr="00011ED1">
        <w:rPr>
          <w:i w:val="0"/>
          <w:iCs/>
        </w:rPr>
        <w:t xml:space="preserve">new form and </w:t>
      </w:r>
      <w:r w:rsidR="00827944" w:rsidRPr="00011ED1">
        <w:rPr>
          <w:i w:val="0"/>
          <w:iCs/>
        </w:rPr>
        <w:t xml:space="preserve">the </w:t>
      </w:r>
      <w:r w:rsidRPr="00011ED1">
        <w:rPr>
          <w:i w:val="0"/>
          <w:iCs/>
        </w:rPr>
        <w:t xml:space="preserve">requested listing be </w:t>
      </w:r>
      <w:r w:rsidR="00B14140" w:rsidRPr="00011ED1">
        <w:rPr>
          <w:i w:val="0"/>
          <w:iCs/>
        </w:rPr>
        <w:t xml:space="preserve">managed under </w:t>
      </w:r>
      <w:r w:rsidRPr="00011ED1">
        <w:rPr>
          <w:i w:val="0"/>
          <w:iCs/>
        </w:rPr>
        <w:t xml:space="preserve">the same RSAs. </w:t>
      </w:r>
    </w:p>
    <w:p w:rsidR="00D644F9" w:rsidRPr="00011ED1" w:rsidRDefault="00D644F9" w:rsidP="00367A74">
      <w:pPr>
        <w:pStyle w:val="3Bodytext"/>
        <w:numPr>
          <w:ilvl w:val="0"/>
          <w:numId w:val="0"/>
        </w:numPr>
        <w:ind w:left="720"/>
        <w:rPr>
          <w:i/>
          <w:iCs/>
        </w:rPr>
      </w:pPr>
      <w:r w:rsidRPr="00011ED1">
        <w:rPr>
          <w:i/>
          <w:iCs/>
        </w:rPr>
        <w:t>For more deta</w:t>
      </w:r>
      <w:r w:rsidR="00D6337D" w:rsidRPr="00011ED1">
        <w:rPr>
          <w:i/>
          <w:iCs/>
        </w:rPr>
        <w:t>il on PBAC’s view, see section 6</w:t>
      </w:r>
      <w:r w:rsidRPr="00011ED1">
        <w:rPr>
          <w:i/>
          <w:iCs/>
        </w:rPr>
        <w:t xml:space="preserve"> PBAC outcome.</w:t>
      </w:r>
    </w:p>
    <w:p w:rsidR="001D0FA6" w:rsidRPr="00011ED1" w:rsidRDefault="001D0FA6" w:rsidP="00D82D4F">
      <w:pPr>
        <w:pStyle w:val="2Sections"/>
        <w:keepNext/>
        <w:spacing w:before="0"/>
      </w:pPr>
      <w:r w:rsidRPr="00011ED1">
        <w:lastRenderedPageBreak/>
        <w:t>PBAC Outcome</w:t>
      </w:r>
    </w:p>
    <w:p w:rsidR="002A1B9D" w:rsidRPr="00011ED1" w:rsidRDefault="001D0FA6" w:rsidP="00367A74">
      <w:pPr>
        <w:pStyle w:val="ListParagraph"/>
        <w:widowControl/>
        <w:numPr>
          <w:ilvl w:val="1"/>
          <w:numId w:val="1"/>
        </w:numPr>
        <w:spacing w:after="120"/>
        <w:contextualSpacing w:val="0"/>
        <w:rPr>
          <w:rFonts w:asciiTheme="minorHAnsi" w:hAnsiTheme="minorHAnsi"/>
          <w:sz w:val="24"/>
          <w:szCs w:val="24"/>
        </w:rPr>
      </w:pPr>
      <w:r w:rsidRPr="00FC0F08">
        <w:rPr>
          <w:rFonts w:asciiTheme="minorHAnsi" w:hAnsiTheme="minorHAnsi"/>
          <w:bCs/>
          <w:sz w:val="24"/>
          <w:szCs w:val="24"/>
        </w:rPr>
        <w:t xml:space="preserve">The </w:t>
      </w:r>
      <w:r w:rsidR="00A51273" w:rsidRPr="00FC0F08">
        <w:rPr>
          <w:rFonts w:asciiTheme="minorHAnsi" w:hAnsiTheme="minorHAnsi"/>
          <w:bCs/>
          <w:sz w:val="24"/>
          <w:szCs w:val="24"/>
        </w:rPr>
        <w:t xml:space="preserve">PBAC recommended </w:t>
      </w:r>
      <w:r w:rsidR="004310F1" w:rsidRPr="00011ED1">
        <w:rPr>
          <w:rFonts w:asciiTheme="minorHAnsi" w:eastAsiaTheme="minorHAnsi" w:hAnsiTheme="minorHAnsi" w:cstheme="minorBidi"/>
          <w:snapToGrid/>
          <w:sz w:val="24"/>
          <w:szCs w:val="24"/>
        </w:rPr>
        <w:t>the</w:t>
      </w:r>
      <w:r w:rsidR="00A51273" w:rsidRPr="00011ED1">
        <w:rPr>
          <w:rFonts w:asciiTheme="minorHAnsi" w:eastAsiaTheme="minorHAnsi" w:hAnsiTheme="minorHAnsi" w:cstheme="minorBidi"/>
          <w:snapToGrid/>
          <w:sz w:val="24"/>
          <w:szCs w:val="24"/>
        </w:rPr>
        <w:t xml:space="preserve"> Section 100 (Efficient Funding of Chemotherapy – Public and Private Hospital) Authority Req</w:t>
      </w:r>
      <w:r w:rsidR="004310F1" w:rsidRPr="00011ED1">
        <w:rPr>
          <w:rFonts w:asciiTheme="minorHAnsi" w:eastAsiaTheme="minorHAnsi" w:hAnsiTheme="minorHAnsi" w:cstheme="minorBidi"/>
          <w:snapToGrid/>
          <w:sz w:val="24"/>
          <w:szCs w:val="24"/>
        </w:rPr>
        <w:t xml:space="preserve">uired (STREAMLINED) listing of </w:t>
      </w:r>
      <w:r w:rsidR="00A51273" w:rsidRPr="00011ED1">
        <w:rPr>
          <w:rFonts w:asciiTheme="minorHAnsi" w:eastAsiaTheme="minorHAnsi" w:hAnsiTheme="minorHAnsi" w:cstheme="minorBidi"/>
          <w:snapToGrid/>
          <w:sz w:val="24"/>
          <w:szCs w:val="24"/>
        </w:rPr>
        <w:t xml:space="preserve">a new form of atezolizumab (840 mg in 14 mL) and addition of </w:t>
      </w:r>
      <w:r w:rsidR="00D368B4" w:rsidRPr="00011ED1">
        <w:rPr>
          <w:rFonts w:asciiTheme="minorHAnsi" w:eastAsiaTheme="minorHAnsi" w:hAnsiTheme="minorHAnsi" w:cstheme="minorBidi"/>
          <w:snapToGrid/>
          <w:sz w:val="24"/>
          <w:szCs w:val="24"/>
        </w:rPr>
        <w:t>the</w:t>
      </w:r>
      <w:r w:rsidR="00A51273" w:rsidRPr="00011ED1">
        <w:rPr>
          <w:rFonts w:asciiTheme="minorHAnsi" w:eastAsiaTheme="minorHAnsi" w:hAnsiTheme="minorHAnsi" w:cstheme="minorBidi"/>
          <w:snapToGrid/>
          <w:sz w:val="24"/>
          <w:szCs w:val="24"/>
        </w:rPr>
        <w:t xml:space="preserve"> 1680 mg every four weeks (Q4W)</w:t>
      </w:r>
      <w:r w:rsidR="00D9216D" w:rsidRPr="00011ED1">
        <w:rPr>
          <w:rFonts w:asciiTheme="minorHAnsi" w:eastAsiaTheme="minorHAnsi" w:hAnsiTheme="minorHAnsi" w:cstheme="minorBidi"/>
          <w:snapToGrid/>
          <w:sz w:val="24"/>
          <w:szCs w:val="24"/>
        </w:rPr>
        <w:t xml:space="preserve"> </w:t>
      </w:r>
      <w:r w:rsidR="00A51273" w:rsidRPr="00011ED1">
        <w:rPr>
          <w:rFonts w:asciiTheme="minorHAnsi" w:eastAsiaTheme="minorHAnsi" w:hAnsiTheme="minorHAnsi" w:cstheme="minorBidi"/>
          <w:snapToGrid/>
          <w:sz w:val="24"/>
          <w:szCs w:val="24"/>
        </w:rPr>
        <w:t xml:space="preserve">dosing regimen </w:t>
      </w:r>
      <w:r w:rsidR="00D9216D" w:rsidRPr="00011ED1">
        <w:rPr>
          <w:rFonts w:asciiTheme="minorHAnsi" w:eastAsiaTheme="minorHAnsi" w:hAnsiTheme="minorHAnsi" w:cstheme="minorBidi"/>
          <w:snapToGrid/>
          <w:sz w:val="24"/>
          <w:szCs w:val="24"/>
        </w:rPr>
        <w:t xml:space="preserve">to the </w:t>
      </w:r>
      <w:r w:rsidR="00D368B4" w:rsidRPr="00011ED1">
        <w:rPr>
          <w:rFonts w:asciiTheme="minorHAnsi" w:eastAsiaTheme="minorHAnsi" w:hAnsiTheme="minorHAnsi" w:cstheme="minorBidi"/>
          <w:snapToGrid/>
          <w:sz w:val="24"/>
          <w:szCs w:val="24"/>
        </w:rPr>
        <w:t xml:space="preserve">existing </w:t>
      </w:r>
      <w:r w:rsidR="00D9216D" w:rsidRPr="00011ED1">
        <w:rPr>
          <w:rFonts w:asciiTheme="minorHAnsi" w:eastAsiaTheme="minorHAnsi" w:hAnsiTheme="minorHAnsi" w:cstheme="minorBidi"/>
          <w:snapToGrid/>
          <w:sz w:val="24"/>
          <w:szCs w:val="24"/>
        </w:rPr>
        <w:t xml:space="preserve">1200 mg every three weeks (Q3W) dosing regimen </w:t>
      </w:r>
      <w:r w:rsidR="00A17829" w:rsidRPr="00011ED1">
        <w:rPr>
          <w:rFonts w:asciiTheme="minorHAnsi" w:eastAsiaTheme="minorHAnsi" w:hAnsiTheme="minorHAnsi" w:cstheme="minorBidi"/>
          <w:snapToGrid/>
          <w:sz w:val="24"/>
          <w:szCs w:val="24"/>
        </w:rPr>
        <w:t xml:space="preserve">for </w:t>
      </w:r>
      <w:r w:rsidR="00D368B4" w:rsidRPr="00011ED1">
        <w:rPr>
          <w:rFonts w:asciiTheme="minorHAnsi" w:eastAsiaTheme="minorHAnsi" w:hAnsiTheme="minorHAnsi" w:cstheme="minorBidi"/>
          <w:snapToGrid/>
          <w:sz w:val="24"/>
          <w:szCs w:val="24"/>
        </w:rPr>
        <w:t xml:space="preserve">the </w:t>
      </w:r>
      <w:r w:rsidR="00A17829" w:rsidRPr="00011ED1">
        <w:rPr>
          <w:rFonts w:asciiTheme="minorHAnsi" w:eastAsiaTheme="minorHAnsi" w:hAnsiTheme="minorHAnsi" w:cstheme="minorBidi"/>
          <w:snapToGrid/>
          <w:sz w:val="24"/>
          <w:szCs w:val="24"/>
        </w:rPr>
        <w:t>PBS indications</w:t>
      </w:r>
      <w:r w:rsidR="00D368B4" w:rsidRPr="00011ED1">
        <w:rPr>
          <w:rFonts w:asciiTheme="minorHAnsi" w:eastAsiaTheme="minorHAnsi" w:hAnsiTheme="minorHAnsi" w:cstheme="minorBidi"/>
          <w:snapToGrid/>
          <w:sz w:val="24"/>
          <w:szCs w:val="24"/>
        </w:rPr>
        <w:t xml:space="preserve"> for second-line (2L) treatment </w:t>
      </w:r>
      <w:r w:rsidR="00433EEF" w:rsidRPr="00011ED1">
        <w:rPr>
          <w:rFonts w:asciiTheme="minorHAnsi" w:eastAsiaTheme="minorHAnsi" w:hAnsiTheme="minorHAnsi" w:cstheme="minorBidi"/>
          <w:snapToGrid/>
          <w:sz w:val="24"/>
          <w:szCs w:val="24"/>
        </w:rPr>
        <w:t>of</w:t>
      </w:r>
      <w:r w:rsidR="00D368B4" w:rsidRPr="00011ED1">
        <w:rPr>
          <w:rFonts w:asciiTheme="minorHAnsi" w:eastAsiaTheme="minorHAnsi" w:hAnsiTheme="minorHAnsi" w:cstheme="minorBidi"/>
          <w:snapToGrid/>
          <w:sz w:val="24"/>
          <w:szCs w:val="24"/>
        </w:rPr>
        <w:t xml:space="preserve"> locally </w:t>
      </w:r>
      <w:r w:rsidR="00433EEF" w:rsidRPr="00011ED1">
        <w:rPr>
          <w:rFonts w:asciiTheme="minorHAnsi" w:eastAsiaTheme="minorHAnsi" w:hAnsiTheme="minorHAnsi" w:cstheme="minorBidi"/>
          <w:snapToGrid/>
          <w:sz w:val="24"/>
          <w:szCs w:val="24"/>
        </w:rPr>
        <w:t>advanced</w:t>
      </w:r>
      <w:r w:rsidR="00D368B4" w:rsidRPr="00011ED1">
        <w:rPr>
          <w:rFonts w:asciiTheme="minorHAnsi" w:eastAsiaTheme="minorHAnsi" w:hAnsiTheme="minorHAnsi" w:cstheme="minorBidi"/>
          <w:snapToGrid/>
          <w:sz w:val="24"/>
          <w:szCs w:val="24"/>
        </w:rPr>
        <w:t xml:space="preserve"> or metastatic non-small cell lung cancer (NSCLC) and first-line (1L) treatment of stage IV metastatic non-squamous (NSQ) NSCLC.</w:t>
      </w:r>
      <w:r w:rsidR="00B81672" w:rsidRPr="00011ED1">
        <w:rPr>
          <w:rFonts w:asciiTheme="minorHAnsi" w:eastAsiaTheme="minorHAnsi" w:hAnsiTheme="minorHAnsi" w:cstheme="minorBidi"/>
          <w:snapToGrid/>
          <w:sz w:val="24"/>
          <w:szCs w:val="24"/>
        </w:rPr>
        <w:t xml:space="preserve"> </w:t>
      </w:r>
      <w:r w:rsidR="008D1346" w:rsidRPr="00011ED1">
        <w:rPr>
          <w:rFonts w:asciiTheme="minorHAnsi" w:eastAsiaTheme="minorHAnsi" w:hAnsiTheme="minorHAnsi" w:cstheme="minorBidi"/>
          <w:snapToGrid/>
          <w:sz w:val="24"/>
          <w:szCs w:val="24"/>
        </w:rPr>
        <w:t>The PBAC recommended 1680 mg Q4W dosing</w:t>
      </w:r>
      <w:r w:rsidR="00191CCD" w:rsidRPr="00011ED1">
        <w:rPr>
          <w:rFonts w:asciiTheme="minorHAnsi" w:eastAsiaTheme="minorHAnsi" w:hAnsiTheme="minorHAnsi" w:cstheme="minorBidi"/>
          <w:snapToGrid/>
          <w:sz w:val="24"/>
          <w:szCs w:val="24"/>
        </w:rPr>
        <w:t xml:space="preserve"> </w:t>
      </w:r>
      <w:r w:rsidR="008D1346" w:rsidRPr="00011ED1">
        <w:rPr>
          <w:rFonts w:asciiTheme="minorHAnsi" w:eastAsiaTheme="minorHAnsi" w:hAnsiTheme="minorHAnsi" w:cstheme="minorBidi"/>
          <w:snapToGrid/>
          <w:sz w:val="24"/>
          <w:szCs w:val="24"/>
        </w:rPr>
        <w:t xml:space="preserve">of atezolizumab </w:t>
      </w:r>
      <w:r w:rsidR="00DB7E64" w:rsidRPr="00011ED1">
        <w:rPr>
          <w:rFonts w:asciiTheme="minorHAnsi" w:eastAsiaTheme="minorHAnsi" w:hAnsiTheme="minorHAnsi" w:cstheme="minorBidi"/>
          <w:snapToGrid/>
          <w:sz w:val="24"/>
          <w:szCs w:val="24"/>
        </w:rPr>
        <w:t>when</w:t>
      </w:r>
      <w:r w:rsidR="008D1346" w:rsidRPr="00011ED1">
        <w:rPr>
          <w:rFonts w:asciiTheme="minorHAnsi" w:eastAsiaTheme="minorHAnsi" w:hAnsiTheme="minorHAnsi" w:cstheme="minorBidi"/>
          <w:snapToGrid/>
          <w:sz w:val="24"/>
          <w:szCs w:val="24"/>
        </w:rPr>
        <w:t xml:space="preserve"> </w:t>
      </w:r>
      <w:r w:rsidR="00DB7E64" w:rsidRPr="00011ED1">
        <w:rPr>
          <w:rFonts w:asciiTheme="minorHAnsi" w:eastAsiaTheme="minorHAnsi" w:hAnsiTheme="minorHAnsi" w:cstheme="minorBidi"/>
          <w:snapToGrid/>
          <w:sz w:val="24"/>
          <w:szCs w:val="24"/>
        </w:rPr>
        <w:t xml:space="preserve"> administered as monotherapy </w:t>
      </w:r>
      <w:r w:rsidR="008D1346" w:rsidRPr="00011ED1">
        <w:rPr>
          <w:rFonts w:asciiTheme="minorHAnsi" w:eastAsiaTheme="minorHAnsi" w:hAnsiTheme="minorHAnsi" w:cstheme="minorBidi"/>
          <w:snapToGrid/>
          <w:sz w:val="24"/>
          <w:szCs w:val="24"/>
        </w:rPr>
        <w:t xml:space="preserve"> in 2L </w:t>
      </w:r>
      <w:r w:rsidR="00A17829" w:rsidRPr="00011ED1">
        <w:rPr>
          <w:rFonts w:asciiTheme="minorHAnsi" w:eastAsiaTheme="minorHAnsi" w:hAnsiTheme="minorHAnsi" w:cstheme="minorBidi"/>
          <w:snapToGrid/>
          <w:sz w:val="24"/>
          <w:szCs w:val="24"/>
        </w:rPr>
        <w:t>NSCLC and</w:t>
      </w:r>
      <w:r w:rsidR="00D368B4" w:rsidRPr="00011ED1">
        <w:rPr>
          <w:rFonts w:asciiTheme="minorHAnsi" w:eastAsiaTheme="minorHAnsi" w:hAnsiTheme="minorHAnsi" w:cstheme="minorBidi"/>
          <w:snapToGrid/>
          <w:sz w:val="24"/>
          <w:szCs w:val="24"/>
        </w:rPr>
        <w:t xml:space="preserve"> </w:t>
      </w:r>
      <w:r w:rsidR="00433EEF" w:rsidRPr="00011ED1">
        <w:rPr>
          <w:rFonts w:asciiTheme="minorHAnsi" w:eastAsiaTheme="minorHAnsi" w:hAnsiTheme="minorHAnsi" w:cstheme="minorBidi"/>
          <w:snapToGrid/>
          <w:sz w:val="24"/>
          <w:szCs w:val="24"/>
        </w:rPr>
        <w:t>for</w:t>
      </w:r>
      <w:r w:rsidR="00B81672" w:rsidRPr="00011ED1">
        <w:rPr>
          <w:rFonts w:asciiTheme="minorHAnsi" w:eastAsiaTheme="minorHAnsi" w:hAnsiTheme="minorHAnsi" w:cstheme="minorBidi"/>
          <w:snapToGrid/>
          <w:sz w:val="24"/>
          <w:szCs w:val="24"/>
        </w:rPr>
        <w:t xml:space="preserve"> </w:t>
      </w:r>
      <w:r w:rsidR="00D368B4" w:rsidRPr="00011ED1">
        <w:rPr>
          <w:rFonts w:asciiTheme="minorHAnsi" w:eastAsiaTheme="minorHAnsi" w:hAnsiTheme="minorHAnsi" w:cstheme="minorBidi"/>
          <w:snapToGrid/>
          <w:sz w:val="24"/>
          <w:szCs w:val="24"/>
        </w:rPr>
        <w:t>continuing treatment</w:t>
      </w:r>
      <w:r w:rsidR="00433EEF" w:rsidRPr="00011ED1">
        <w:rPr>
          <w:rFonts w:asciiTheme="minorHAnsi" w:eastAsiaTheme="minorHAnsi" w:hAnsiTheme="minorHAnsi" w:cstheme="minorBidi"/>
          <w:snapToGrid/>
          <w:sz w:val="24"/>
          <w:szCs w:val="24"/>
        </w:rPr>
        <w:t>,</w:t>
      </w:r>
      <w:r w:rsidR="00D368B4" w:rsidRPr="00011ED1">
        <w:rPr>
          <w:rFonts w:asciiTheme="minorHAnsi" w:eastAsiaTheme="minorHAnsi" w:hAnsiTheme="minorHAnsi" w:cstheme="minorBidi"/>
          <w:snapToGrid/>
          <w:sz w:val="24"/>
          <w:szCs w:val="24"/>
        </w:rPr>
        <w:t xml:space="preserve"> after cessation of platinum doublet-chemotherapy (PDC) and bevacizumab,</w:t>
      </w:r>
      <w:r w:rsidR="008D1346" w:rsidRPr="00011ED1">
        <w:rPr>
          <w:rFonts w:asciiTheme="minorHAnsi" w:eastAsiaTheme="minorHAnsi" w:hAnsiTheme="minorHAnsi" w:cstheme="minorBidi"/>
          <w:snapToGrid/>
          <w:sz w:val="24"/>
          <w:szCs w:val="24"/>
        </w:rPr>
        <w:t xml:space="preserve"> in </w:t>
      </w:r>
      <w:r w:rsidR="00A17829" w:rsidRPr="00011ED1">
        <w:rPr>
          <w:rFonts w:asciiTheme="minorHAnsi" w:eastAsiaTheme="minorHAnsi" w:hAnsiTheme="minorHAnsi" w:cstheme="minorBidi"/>
          <w:snapToGrid/>
          <w:sz w:val="24"/>
          <w:szCs w:val="24"/>
        </w:rPr>
        <w:t>1L NSCLC</w:t>
      </w:r>
      <w:r w:rsidR="00D368B4" w:rsidRPr="00011ED1">
        <w:rPr>
          <w:rFonts w:asciiTheme="minorHAnsi" w:eastAsiaTheme="minorHAnsi" w:hAnsiTheme="minorHAnsi" w:cstheme="minorBidi"/>
          <w:snapToGrid/>
          <w:sz w:val="24"/>
          <w:szCs w:val="24"/>
        </w:rPr>
        <w:t>.</w:t>
      </w:r>
    </w:p>
    <w:p w:rsidR="005E760F" w:rsidRPr="00011ED1" w:rsidRDefault="00494C2D" w:rsidP="00367A74">
      <w:pPr>
        <w:pStyle w:val="ListParagraph"/>
        <w:widowControl/>
        <w:numPr>
          <w:ilvl w:val="1"/>
          <w:numId w:val="1"/>
        </w:numPr>
        <w:spacing w:after="120"/>
        <w:contextualSpacing w:val="0"/>
        <w:rPr>
          <w:rFonts w:asciiTheme="minorHAnsi" w:eastAsiaTheme="minorHAnsi" w:hAnsiTheme="minorHAnsi" w:cstheme="minorHAnsi"/>
          <w:snapToGrid/>
          <w:sz w:val="24"/>
          <w:szCs w:val="24"/>
        </w:rPr>
      </w:pPr>
      <w:r w:rsidRPr="00011ED1">
        <w:rPr>
          <w:rFonts w:asciiTheme="minorHAnsi" w:eastAsiaTheme="minorHAnsi" w:hAnsiTheme="minorHAnsi" w:cstheme="minorBidi"/>
          <w:snapToGrid/>
          <w:sz w:val="24"/>
          <w:szCs w:val="22"/>
        </w:rPr>
        <w:t xml:space="preserve">The PBAC noted that </w:t>
      </w:r>
      <w:r w:rsidR="005929A8" w:rsidRPr="00011ED1">
        <w:rPr>
          <w:rFonts w:asciiTheme="minorHAnsi" w:eastAsiaTheme="minorHAnsi" w:hAnsiTheme="minorHAnsi" w:cstheme="minorBidi"/>
          <w:snapToGrid/>
          <w:sz w:val="24"/>
          <w:szCs w:val="22"/>
        </w:rPr>
        <w:t>no</w:t>
      </w:r>
      <w:r w:rsidRPr="00011ED1">
        <w:rPr>
          <w:rFonts w:asciiTheme="minorHAnsi" w:eastAsiaTheme="minorHAnsi" w:hAnsiTheme="minorHAnsi" w:cstheme="minorBidi"/>
          <w:snapToGrid/>
          <w:sz w:val="24"/>
          <w:szCs w:val="22"/>
        </w:rPr>
        <w:t xml:space="preserve"> clinical data</w:t>
      </w:r>
      <w:r w:rsidR="005929A8" w:rsidRPr="00011ED1">
        <w:rPr>
          <w:rFonts w:asciiTheme="minorHAnsi" w:eastAsiaTheme="minorHAnsi" w:hAnsiTheme="minorHAnsi" w:cstheme="minorBidi"/>
          <w:snapToGrid/>
          <w:sz w:val="24"/>
          <w:szCs w:val="22"/>
        </w:rPr>
        <w:t xml:space="preserve"> was provided</w:t>
      </w:r>
      <w:r w:rsidRPr="00011ED1">
        <w:rPr>
          <w:rFonts w:asciiTheme="minorHAnsi" w:eastAsiaTheme="minorHAnsi" w:hAnsiTheme="minorHAnsi" w:cstheme="minorBidi"/>
          <w:snapToGrid/>
          <w:sz w:val="24"/>
          <w:szCs w:val="22"/>
        </w:rPr>
        <w:t xml:space="preserve"> to support the claim of non-inferiority in terms of efficacy and safety </w:t>
      </w:r>
      <w:r w:rsidR="004F34C2" w:rsidRPr="00011ED1">
        <w:rPr>
          <w:rFonts w:asciiTheme="minorHAnsi" w:eastAsiaTheme="minorHAnsi" w:hAnsiTheme="minorHAnsi" w:cstheme="minorBidi"/>
          <w:snapToGrid/>
          <w:sz w:val="24"/>
          <w:szCs w:val="22"/>
        </w:rPr>
        <w:t>compared to</w:t>
      </w:r>
      <w:r w:rsidR="00F75776" w:rsidRPr="00011ED1">
        <w:rPr>
          <w:rFonts w:asciiTheme="minorHAnsi" w:eastAsiaTheme="minorHAnsi" w:hAnsiTheme="minorHAnsi" w:cstheme="minorBidi"/>
          <w:snapToGrid/>
          <w:sz w:val="24"/>
          <w:szCs w:val="22"/>
        </w:rPr>
        <w:t xml:space="preserve"> the</w:t>
      </w:r>
      <w:r w:rsidR="004F34C2" w:rsidRPr="00011ED1">
        <w:rPr>
          <w:rFonts w:asciiTheme="minorHAnsi" w:eastAsiaTheme="minorHAnsi" w:hAnsiTheme="minorHAnsi" w:cstheme="minorBidi"/>
          <w:snapToGrid/>
          <w:sz w:val="24"/>
          <w:szCs w:val="22"/>
        </w:rPr>
        <w:t xml:space="preserve"> 1200 mg Q3W dosing regimen. </w:t>
      </w:r>
      <w:r w:rsidR="00B15A49" w:rsidRPr="00011ED1">
        <w:rPr>
          <w:rFonts w:asciiTheme="minorHAnsi" w:eastAsiaTheme="minorHAnsi" w:hAnsiTheme="minorHAnsi" w:cstheme="minorBidi"/>
          <w:snapToGrid/>
          <w:sz w:val="24"/>
          <w:szCs w:val="22"/>
        </w:rPr>
        <w:t>However, the PBAC</w:t>
      </w:r>
      <w:r w:rsidR="002A1B9D" w:rsidRPr="00011ED1">
        <w:rPr>
          <w:rFonts w:asciiTheme="minorHAnsi" w:eastAsiaTheme="minorHAnsi" w:hAnsiTheme="minorHAnsi" w:cstheme="minorBidi"/>
          <w:snapToGrid/>
          <w:sz w:val="24"/>
          <w:szCs w:val="22"/>
        </w:rPr>
        <w:t xml:space="preserve"> considered that based on </w:t>
      </w:r>
      <w:r w:rsidR="00553B0A" w:rsidRPr="00011ED1">
        <w:rPr>
          <w:rFonts w:asciiTheme="minorHAnsi" w:eastAsiaTheme="minorHAnsi" w:hAnsiTheme="minorHAnsi" w:cstheme="minorBidi"/>
          <w:snapToGrid/>
          <w:sz w:val="24"/>
          <w:szCs w:val="22"/>
        </w:rPr>
        <w:t>the evidence presented, the 1680</w:t>
      </w:r>
      <w:r w:rsidR="002A1B9D" w:rsidRPr="00011ED1">
        <w:rPr>
          <w:rFonts w:asciiTheme="minorHAnsi" w:eastAsiaTheme="minorHAnsi" w:hAnsiTheme="minorHAnsi" w:cstheme="minorBidi"/>
          <w:snapToGrid/>
          <w:sz w:val="24"/>
          <w:szCs w:val="22"/>
        </w:rPr>
        <w:t xml:space="preserve"> mg Q4W dosing regimen was likely comparable to the 1200 mg Q3W dosing regimen</w:t>
      </w:r>
      <w:r w:rsidR="00011ED1">
        <w:rPr>
          <w:rFonts w:asciiTheme="minorHAnsi" w:eastAsiaTheme="minorHAnsi" w:hAnsiTheme="minorHAnsi" w:cstheme="minorBidi"/>
          <w:snapToGrid/>
          <w:sz w:val="24"/>
          <w:szCs w:val="22"/>
        </w:rPr>
        <w:t xml:space="preserve">. </w:t>
      </w:r>
    </w:p>
    <w:p w:rsidR="00ED4B03" w:rsidRPr="00011ED1" w:rsidRDefault="00550FA5" w:rsidP="00367A74">
      <w:pPr>
        <w:pStyle w:val="Bodytextitalics"/>
        <w:jc w:val="both"/>
        <w:rPr>
          <w:i w:val="0"/>
          <w:iCs/>
        </w:rPr>
      </w:pPr>
      <w:r w:rsidRPr="00011ED1">
        <w:rPr>
          <w:rFonts w:cstheme="minorHAnsi"/>
          <w:i w:val="0"/>
          <w:iCs/>
          <w:szCs w:val="24"/>
        </w:rPr>
        <w:t xml:space="preserve">The PBAC considered </w:t>
      </w:r>
      <w:r w:rsidR="00FC0332" w:rsidRPr="00011ED1">
        <w:rPr>
          <w:rFonts w:cstheme="minorHAnsi"/>
          <w:i w:val="0"/>
          <w:iCs/>
          <w:szCs w:val="24"/>
        </w:rPr>
        <w:t xml:space="preserve">that </w:t>
      </w:r>
      <w:r w:rsidR="00A64E8A" w:rsidRPr="00011ED1">
        <w:rPr>
          <w:rFonts w:cstheme="minorHAnsi"/>
          <w:i w:val="0"/>
          <w:iCs/>
          <w:szCs w:val="24"/>
        </w:rPr>
        <w:t>atezolizumab 1200 mg Q3W</w:t>
      </w:r>
      <w:r w:rsidR="003E7F30" w:rsidRPr="00011ED1">
        <w:rPr>
          <w:rFonts w:cstheme="minorHAnsi"/>
          <w:i w:val="0"/>
          <w:iCs/>
          <w:szCs w:val="24"/>
        </w:rPr>
        <w:t xml:space="preserve"> was the appropriate main comparator</w:t>
      </w:r>
      <w:r w:rsidRPr="00011ED1">
        <w:rPr>
          <w:rFonts w:cstheme="minorHAnsi"/>
          <w:i w:val="0"/>
          <w:iCs/>
          <w:szCs w:val="24"/>
        </w:rPr>
        <w:t xml:space="preserve"> </w:t>
      </w:r>
      <w:r w:rsidR="00ED4B03" w:rsidRPr="00011ED1">
        <w:rPr>
          <w:i w:val="0"/>
          <w:iCs/>
        </w:rPr>
        <w:t xml:space="preserve">as </w:t>
      </w:r>
      <w:r w:rsidR="003E7F30" w:rsidRPr="00011ED1">
        <w:rPr>
          <w:i w:val="0"/>
          <w:iCs/>
        </w:rPr>
        <w:t xml:space="preserve">it would </w:t>
      </w:r>
      <w:r w:rsidR="00FC0332" w:rsidRPr="00011ED1">
        <w:rPr>
          <w:i w:val="0"/>
          <w:iCs/>
        </w:rPr>
        <w:t xml:space="preserve">most likely to be replaced </w:t>
      </w:r>
      <w:r w:rsidR="003E7F30" w:rsidRPr="00011ED1">
        <w:rPr>
          <w:i w:val="0"/>
          <w:iCs/>
        </w:rPr>
        <w:t>if atezolizumab 1680 m</w:t>
      </w:r>
      <w:r w:rsidR="00433EEF" w:rsidRPr="00011ED1">
        <w:rPr>
          <w:i w:val="0"/>
          <w:iCs/>
        </w:rPr>
        <w:t>g</w:t>
      </w:r>
      <w:r w:rsidR="003E7F30" w:rsidRPr="00011ED1">
        <w:rPr>
          <w:i w:val="0"/>
          <w:iCs/>
        </w:rPr>
        <w:t xml:space="preserve"> Q4W dosing was available on the PBS</w:t>
      </w:r>
      <w:r w:rsidR="00ED4B03" w:rsidRPr="00011ED1">
        <w:rPr>
          <w:i w:val="0"/>
          <w:iCs/>
        </w:rPr>
        <w:t xml:space="preserve">. The </w:t>
      </w:r>
      <w:r w:rsidR="00FC0332" w:rsidRPr="00011ED1">
        <w:rPr>
          <w:i w:val="0"/>
          <w:iCs/>
        </w:rPr>
        <w:t xml:space="preserve">PBAC also considered </w:t>
      </w:r>
      <w:r w:rsidR="00ED4B03" w:rsidRPr="00011ED1">
        <w:rPr>
          <w:i w:val="0"/>
          <w:iCs/>
        </w:rPr>
        <w:t>nivolumab</w:t>
      </w:r>
      <w:r w:rsidR="00FC0332" w:rsidRPr="00011ED1">
        <w:rPr>
          <w:i w:val="0"/>
          <w:iCs/>
        </w:rPr>
        <w:t xml:space="preserve"> to be </w:t>
      </w:r>
      <w:r w:rsidR="00364761" w:rsidRPr="00011ED1">
        <w:rPr>
          <w:i w:val="0"/>
          <w:iCs/>
        </w:rPr>
        <w:t xml:space="preserve">an </w:t>
      </w:r>
      <w:r w:rsidR="00FC0332" w:rsidRPr="00011ED1">
        <w:rPr>
          <w:i w:val="0"/>
          <w:iCs/>
        </w:rPr>
        <w:t>appropriate comparator</w:t>
      </w:r>
      <w:r w:rsidR="00501B70" w:rsidRPr="00011ED1">
        <w:rPr>
          <w:i w:val="0"/>
          <w:iCs/>
        </w:rPr>
        <w:t xml:space="preserve"> </w:t>
      </w:r>
      <w:r w:rsidR="00364761" w:rsidRPr="00011ED1">
        <w:rPr>
          <w:i w:val="0"/>
          <w:iCs/>
        </w:rPr>
        <w:t xml:space="preserve">in </w:t>
      </w:r>
      <w:r w:rsidR="005078B9" w:rsidRPr="00011ED1">
        <w:rPr>
          <w:i w:val="0"/>
          <w:iCs/>
        </w:rPr>
        <w:t xml:space="preserve">2L </w:t>
      </w:r>
      <w:r w:rsidR="00501B70" w:rsidRPr="00011ED1">
        <w:rPr>
          <w:i w:val="0"/>
          <w:iCs/>
        </w:rPr>
        <w:t>NSCLC</w:t>
      </w:r>
      <w:r w:rsidR="00433EEF" w:rsidRPr="00011ED1">
        <w:rPr>
          <w:i w:val="0"/>
          <w:iCs/>
        </w:rPr>
        <w:t>,</w:t>
      </w:r>
      <w:r w:rsidR="00364761" w:rsidRPr="00011ED1">
        <w:rPr>
          <w:i w:val="0"/>
          <w:iCs/>
        </w:rPr>
        <w:t xml:space="preserve"> noting that</w:t>
      </w:r>
      <w:r w:rsidR="0081720C" w:rsidRPr="00011ED1">
        <w:rPr>
          <w:i w:val="0"/>
          <w:iCs/>
        </w:rPr>
        <w:t xml:space="preserve"> </w:t>
      </w:r>
      <w:r w:rsidR="00364761" w:rsidRPr="00011ED1">
        <w:rPr>
          <w:i w:val="0"/>
          <w:iCs/>
        </w:rPr>
        <w:t>atezolizumab</w:t>
      </w:r>
      <w:r w:rsidR="0081720C" w:rsidRPr="00011ED1">
        <w:rPr>
          <w:i w:val="0"/>
          <w:iCs/>
        </w:rPr>
        <w:t xml:space="preserve"> </w:t>
      </w:r>
      <w:r w:rsidR="00433EEF" w:rsidRPr="00011ED1">
        <w:rPr>
          <w:i w:val="0"/>
          <w:iCs/>
        </w:rPr>
        <w:t xml:space="preserve">was recommended </w:t>
      </w:r>
      <w:r w:rsidR="0081720C" w:rsidRPr="00011ED1">
        <w:rPr>
          <w:i w:val="0"/>
          <w:iCs/>
        </w:rPr>
        <w:t xml:space="preserve">for 2L NSCLC on a cost-minimisation basis against nivolumab. The PBAC </w:t>
      </w:r>
      <w:r w:rsidR="007A25E0" w:rsidRPr="00011ED1">
        <w:rPr>
          <w:i w:val="0"/>
          <w:iCs/>
        </w:rPr>
        <w:t>considered the argument in the</w:t>
      </w:r>
      <w:r w:rsidR="003560EE" w:rsidRPr="00011ED1">
        <w:rPr>
          <w:i w:val="0"/>
          <w:iCs/>
        </w:rPr>
        <w:t xml:space="preserve"> pre-PBAC response, </w:t>
      </w:r>
      <w:r w:rsidR="007A25E0" w:rsidRPr="00011ED1">
        <w:rPr>
          <w:i w:val="0"/>
          <w:iCs/>
        </w:rPr>
        <w:t>that</w:t>
      </w:r>
      <w:r w:rsidR="003560EE" w:rsidRPr="00011ED1">
        <w:rPr>
          <w:i w:val="0"/>
          <w:iCs/>
        </w:rPr>
        <w:t xml:space="preserve"> nivolumab is not a relevant comparator as it is unlikely to be substituted by atezolizumab</w:t>
      </w:r>
      <w:r w:rsidR="003343AA" w:rsidRPr="00011ED1">
        <w:rPr>
          <w:i w:val="0"/>
          <w:iCs/>
        </w:rPr>
        <w:t xml:space="preserve"> 1680 mg</w:t>
      </w:r>
      <w:r w:rsidR="003560EE" w:rsidRPr="00011ED1">
        <w:rPr>
          <w:i w:val="0"/>
          <w:iCs/>
        </w:rPr>
        <w:t xml:space="preserve"> Q4W dosing.</w:t>
      </w:r>
      <w:r w:rsidR="00412465" w:rsidRPr="00011ED1">
        <w:rPr>
          <w:i w:val="0"/>
          <w:iCs/>
        </w:rPr>
        <w:t xml:space="preserve"> However, the PBAC </w:t>
      </w:r>
      <w:r w:rsidR="007A25E0" w:rsidRPr="00011ED1">
        <w:rPr>
          <w:i w:val="0"/>
          <w:iCs/>
        </w:rPr>
        <w:t xml:space="preserve">maintained its consideration that nivolumab </w:t>
      </w:r>
      <w:r w:rsidR="003343AA" w:rsidRPr="00011ED1">
        <w:rPr>
          <w:i w:val="0"/>
          <w:iCs/>
        </w:rPr>
        <w:t>is</w:t>
      </w:r>
      <w:r w:rsidR="007A25E0" w:rsidRPr="00011ED1">
        <w:rPr>
          <w:i w:val="0"/>
          <w:iCs/>
        </w:rPr>
        <w:t xml:space="preserve"> also an appropriate comparator given it is an alternative therapy in this treatment setting.</w:t>
      </w:r>
      <w:r w:rsidR="000A2ADB" w:rsidRPr="00011ED1">
        <w:rPr>
          <w:i w:val="0"/>
          <w:iCs/>
        </w:rPr>
        <w:t xml:space="preserve"> The PBAC considered it would be appropriate for</w:t>
      </w:r>
      <w:r w:rsidR="009D49B9" w:rsidRPr="00011ED1">
        <w:rPr>
          <w:i w:val="0"/>
          <w:iCs/>
        </w:rPr>
        <w:t xml:space="preserve"> atezolizumab 840 mg injection to be cost-minimised to the lowest cost alternative therapy in the 2L NSCLC setting. </w:t>
      </w:r>
      <w:r w:rsidR="003343AA" w:rsidRPr="00011ED1">
        <w:rPr>
          <w:i w:val="0"/>
          <w:iCs/>
        </w:rPr>
        <w:t>The PBAC</w:t>
      </w:r>
      <w:r w:rsidR="00664BA8" w:rsidRPr="00011ED1">
        <w:rPr>
          <w:i w:val="0"/>
          <w:iCs/>
        </w:rPr>
        <w:t xml:space="preserve"> recalled it considered pembrolizumab monotherapy followed by PDC </w:t>
      </w:r>
      <w:r w:rsidR="00FF5A82" w:rsidRPr="00011ED1">
        <w:rPr>
          <w:i w:val="0"/>
          <w:iCs/>
        </w:rPr>
        <w:t>to be</w:t>
      </w:r>
      <w:r w:rsidR="00664BA8" w:rsidRPr="00011ED1">
        <w:rPr>
          <w:i w:val="0"/>
          <w:iCs/>
        </w:rPr>
        <w:t xml:space="preserve"> an appropriate comparator for the EGFR wild type/ALK negative</w:t>
      </w:r>
      <w:r w:rsidR="00FF5A82" w:rsidRPr="00011ED1">
        <w:rPr>
          <w:i w:val="0"/>
          <w:iCs/>
        </w:rPr>
        <w:t xml:space="preserve"> population</w:t>
      </w:r>
      <w:r w:rsidR="00664BA8" w:rsidRPr="00011ED1">
        <w:rPr>
          <w:i w:val="0"/>
          <w:iCs/>
        </w:rPr>
        <w:t xml:space="preserve"> in its considerati</w:t>
      </w:r>
      <w:r w:rsidR="00B0571B" w:rsidRPr="00011ED1">
        <w:rPr>
          <w:i w:val="0"/>
          <w:iCs/>
        </w:rPr>
        <w:t xml:space="preserve">on of atezolizumab for 1L NSCLC in November 2017. The PBAC further recalled that it considered on balance, the cost-effectiveness of atezolizumab + bevacizumab + PDC is likely to be similar across the patient populations proposed and therefore, </w:t>
      </w:r>
      <w:r w:rsidR="00FF5A82" w:rsidRPr="00011ED1">
        <w:rPr>
          <w:i w:val="0"/>
          <w:iCs/>
        </w:rPr>
        <w:t>was of the view that the cost of treatment with the atezolizumab + bevacizumab components of the quadruple therapy should not exceed the cost of pembrolizumab monotherapy for any patient group receiving treatment for NSQ NSCLC.</w:t>
      </w:r>
      <w:r w:rsidR="00E24FCB" w:rsidRPr="00011ED1">
        <w:rPr>
          <w:i w:val="0"/>
          <w:iCs/>
        </w:rPr>
        <w:t xml:space="preserve"> In this regard, the PBAC considered that i</w:t>
      </w:r>
      <w:r w:rsidR="00CD2BD0" w:rsidRPr="00011ED1">
        <w:rPr>
          <w:i w:val="0"/>
          <w:iCs/>
        </w:rPr>
        <w:t xml:space="preserve">n the absence of evidence </w:t>
      </w:r>
      <w:r w:rsidR="00E24FCB" w:rsidRPr="00011ED1">
        <w:rPr>
          <w:i w:val="0"/>
          <w:iCs/>
        </w:rPr>
        <w:t>demonstrating that</w:t>
      </w:r>
      <w:r w:rsidR="00CD2BD0" w:rsidRPr="00011ED1">
        <w:rPr>
          <w:i w:val="0"/>
          <w:iCs/>
        </w:rPr>
        <w:t xml:space="preserve"> atezolizumab 1680 mg Q4W monotherapy dosing is superior in terms of efficacy and safety compared to pembrolizumab monotherapy i</w:t>
      </w:r>
      <w:r w:rsidR="00E24FCB" w:rsidRPr="00011ED1">
        <w:rPr>
          <w:i w:val="0"/>
          <w:iCs/>
        </w:rPr>
        <w:t>n patients treated for 1L NSCLC, the cost</w:t>
      </w:r>
      <w:r w:rsidR="008F5205" w:rsidRPr="00011ED1">
        <w:rPr>
          <w:i w:val="0"/>
          <w:iCs/>
        </w:rPr>
        <w:t xml:space="preserve"> of</w:t>
      </w:r>
      <w:r w:rsidR="00E24FCB" w:rsidRPr="00011ED1">
        <w:rPr>
          <w:i w:val="0"/>
          <w:iCs/>
        </w:rPr>
        <w:t xml:space="preserve"> 1680 mg Q4W dosing should not exceed that of pembrolizumab monotherapy</w:t>
      </w:r>
      <w:r w:rsidR="008F5205" w:rsidRPr="00011ED1">
        <w:rPr>
          <w:i w:val="0"/>
          <w:iCs/>
        </w:rPr>
        <w:t xml:space="preserve"> in this treatment setting</w:t>
      </w:r>
      <w:r w:rsidR="00E24FCB" w:rsidRPr="00011ED1">
        <w:rPr>
          <w:i w:val="0"/>
          <w:iCs/>
        </w:rPr>
        <w:t>.</w:t>
      </w:r>
    </w:p>
    <w:p w:rsidR="0008018D" w:rsidRPr="00011ED1" w:rsidRDefault="00111072" w:rsidP="00367A74">
      <w:pPr>
        <w:pStyle w:val="ListParagraph"/>
        <w:widowControl/>
        <w:numPr>
          <w:ilvl w:val="1"/>
          <w:numId w:val="1"/>
        </w:numPr>
        <w:spacing w:after="120"/>
        <w:contextualSpacing w:val="0"/>
        <w:rPr>
          <w:rFonts w:asciiTheme="minorHAnsi" w:hAnsiTheme="minorHAnsi" w:cstheme="minorHAnsi"/>
          <w:sz w:val="24"/>
          <w:szCs w:val="24"/>
        </w:rPr>
      </w:pPr>
      <w:r w:rsidRPr="00011ED1">
        <w:rPr>
          <w:rFonts w:asciiTheme="minorHAnsi" w:eastAsiaTheme="minorHAnsi" w:hAnsiTheme="minorHAnsi" w:cstheme="minorBidi"/>
          <w:snapToGrid/>
          <w:sz w:val="24"/>
          <w:szCs w:val="22"/>
        </w:rPr>
        <w:lastRenderedPageBreak/>
        <w:t xml:space="preserve">The PBAC </w:t>
      </w:r>
      <w:r w:rsidR="0008018D" w:rsidRPr="00011ED1">
        <w:rPr>
          <w:rFonts w:asciiTheme="minorHAnsi" w:eastAsiaTheme="minorHAnsi" w:hAnsiTheme="minorHAnsi" w:cstheme="minorBidi"/>
          <w:snapToGrid/>
          <w:sz w:val="24"/>
          <w:szCs w:val="22"/>
        </w:rPr>
        <w:t>noted the</w:t>
      </w:r>
      <w:r w:rsidRPr="00011ED1">
        <w:rPr>
          <w:rFonts w:asciiTheme="minorHAnsi" w:eastAsiaTheme="minorHAnsi" w:hAnsiTheme="minorHAnsi" w:cstheme="minorBidi"/>
          <w:snapToGrid/>
          <w:sz w:val="24"/>
          <w:szCs w:val="22"/>
        </w:rPr>
        <w:t xml:space="preserve"> </w:t>
      </w:r>
      <w:r w:rsidR="006046A5" w:rsidRPr="00011ED1">
        <w:rPr>
          <w:rFonts w:asciiTheme="minorHAnsi" w:eastAsiaTheme="minorHAnsi" w:hAnsiTheme="minorHAnsi" w:cstheme="minorBidi"/>
          <w:snapToGrid/>
          <w:sz w:val="24"/>
          <w:szCs w:val="22"/>
        </w:rPr>
        <w:t xml:space="preserve">uncertainty </w:t>
      </w:r>
      <w:r w:rsidRPr="00011ED1">
        <w:rPr>
          <w:rFonts w:asciiTheme="minorHAnsi" w:eastAsiaTheme="minorHAnsi" w:hAnsiTheme="minorHAnsi" w:cstheme="minorBidi"/>
          <w:snapToGrid/>
          <w:sz w:val="24"/>
          <w:szCs w:val="22"/>
        </w:rPr>
        <w:t xml:space="preserve">around </w:t>
      </w:r>
      <w:r w:rsidR="00AF7EED" w:rsidRPr="00011ED1">
        <w:rPr>
          <w:rFonts w:asciiTheme="minorHAnsi" w:eastAsiaTheme="minorHAnsi" w:hAnsiTheme="minorHAnsi" w:cstheme="minorBidi"/>
          <w:snapToGrid/>
          <w:sz w:val="24"/>
          <w:szCs w:val="22"/>
        </w:rPr>
        <w:t xml:space="preserve">the estimated uptake </w:t>
      </w:r>
      <w:r w:rsidRPr="00011ED1">
        <w:rPr>
          <w:rFonts w:asciiTheme="minorHAnsi" w:eastAsiaTheme="minorHAnsi" w:hAnsiTheme="minorHAnsi" w:cstheme="minorBidi"/>
          <w:snapToGrid/>
          <w:sz w:val="24"/>
          <w:szCs w:val="22"/>
        </w:rPr>
        <w:t xml:space="preserve">and </w:t>
      </w:r>
      <w:r w:rsidR="0008018D" w:rsidRPr="00011ED1">
        <w:rPr>
          <w:rFonts w:asciiTheme="minorHAnsi" w:eastAsiaTheme="minorHAnsi" w:hAnsiTheme="minorHAnsi" w:cstheme="minorBidi"/>
          <w:snapToGrid/>
          <w:sz w:val="24"/>
          <w:szCs w:val="22"/>
        </w:rPr>
        <w:t xml:space="preserve">utilisation of the 1680 mg Q4W dosing regimen however, the PBAC considered there may be some cost-savings to Government associated with the addition of the Q4W dosing regimen due to reduced infusion administrations. </w:t>
      </w:r>
    </w:p>
    <w:p w:rsidR="00026A85" w:rsidRPr="00011ED1" w:rsidRDefault="0049511B" w:rsidP="00367A74">
      <w:pPr>
        <w:pStyle w:val="ListParagraph"/>
        <w:widowControl/>
        <w:numPr>
          <w:ilvl w:val="1"/>
          <w:numId w:val="1"/>
        </w:numPr>
        <w:spacing w:after="120"/>
        <w:contextualSpacing w:val="0"/>
        <w:rPr>
          <w:rFonts w:asciiTheme="minorHAnsi" w:hAnsiTheme="minorHAnsi" w:cstheme="minorHAnsi"/>
          <w:sz w:val="24"/>
          <w:szCs w:val="24"/>
        </w:rPr>
      </w:pPr>
      <w:r w:rsidRPr="00011ED1">
        <w:rPr>
          <w:rFonts w:asciiTheme="minorHAnsi" w:eastAsiaTheme="minorHAnsi" w:hAnsiTheme="minorHAnsi" w:cstheme="minorBidi"/>
          <w:snapToGrid/>
          <w:sz w:val="24"/>
          <w:szCs w:val="22"/>
        </w:rPr>
        <w:t xml:space="preserve">The PBAC considered </w:t>
      </w:r>
      <w:r w:rsidR="00800B35" w:rsidRPr="00011ED1">
        <w:rPr>
          <w:rFonts w:asciiTheme="minorHAnsi" w:eastAsiaTheme="minorHAnsi" w:hAnsiTheme="minorHAnsi" w:cstheme="minorBidi"/>
          <w:snapToGrid/>
          <w:sz w:val="24"/>
          <w:szCs w:val="22"/>
        </w:rPr>
        <w:t>that atezolizumab 840</w:t>
      </w:r>
      <w:r w:rsidRPr="00011ED1">
        <w:rPr>
          <w:rFonts w:asciiTheme="minorHAnsi" w:eastAsiaTheme="minorHAnsi" w:hAnsiTheme="minorHAnsi" w:cstheme="minorBidi"/>
          <w:snapToGrid/>
          <w:sz w:val="24"/>
          <w:szCs w:val="22"/>
        </w:rPr>
        <w:t xml:space="preserve"> mg </w:t>
      </w:r>
      <w:r w:rsidR="00800B35" w:rsidRPr="00011ED1">
        <w:rPr>
          <w:rFonts w:asciiTheme="minorHAnsi" w:eastAsiaTheme="minorHAnsi" w:hAnsiTheme="minorHAnsi" w:cstheme="minorBidi"/>
          <w:snapToGrid/>
          <w:sz w:val="24"/>
          <w:szCs w:val="22"/>
        </w:rPr>
        <w:t>injection</w:t>
      </w:r>
      <w:r w:rsidR="00111072" w:rsidRPr="00011ED1">
        <w:rPr>
          <w:rFonts w:asciiTheme="minorHAnsi" w:eastAsiaTheme="minorHAnsi" w:hAnsiTheme="minorHAnsi" w:cstheme="minorBidi"/>
          <w:snapToGrid/>
          <w:sz w:val="24"/>
          <w:szCs w:val="22"/>
        </w:rPr>
        <w:t xml:space="preserve"> would need to be </w:t>
      </w:r>
      <w:r w:rsidR="00800B35" w:rsidRPr="00011ED1">
        <w:rPr>
          <w:rFonts w:asciiTheme="minorHAnsi" w:eastAsiaTheme="minorHAnsi" w:hAnsiTheme="minorHAnsi" w:cstheme="minorBidi"/>
          <w:snapToGrid/>
          <w:sz w:val="24"/>
          <w:szCs w:val="22"/>
        </w:rPr>
        <w:t xml:space="preserve">included </w:t>
      </w:r>
      <w:r w:rsidR="00111072" w:rsidRPr="00011ED1">
        <w:rPr>
          <w:rFonts w:asciiTheme="minorHAnsi" w:eastAsiaTheme="minorHAnsi" w:hAnsiTheme="minorHAnsi" w:cstheme="minorBidi"/>
          <w:snapToGrid/>
          <w:sz w:val="24"/>
          <w:szCs w:val="22"/>
        </w:rPr>
        <w:t xml:space="preserve">within the </w:t>
      </w:r>
      <w:r w:rsidR="00711649" w:rsidRPr="00011ED1">
        <w:rPr>
          <w:rFonts w:asciiTheme="minorHAnsi" w:eastAsiaTheme="minorHAnsi" w:hAnsiTheme="minorHAnsi" w:cstheme="minorBidi"/>
          <w:snapToGrid/>
          <w:sz w:val="24"/>
          <w:szCs w:val="22"/>
        </w:rPr>
        <w:t xml:space="preserve">existing </w:t>
      </w:r>
      <w:r w:rsidRPr="00011ED1">
        <w:rPr>
          <w:rFonts w:asciiTheme="minorHAnsi" w:eastAsiaTheme="minorHAnsi" w:hAnsiTheme="minorHAnsi" w:cstheme="minorBidi"/>
          <w:snapToGrid/>
          <w:sz w:val="24"/>
          <w:szCs w:val="22"/>
        </w:rPr>
        <w:t xml:space="preserve">financial caps of the </w:t>
      </w:r>
      <w:r w:rsidR="00111072" w:rsidRPr="00011ED1">
        <w:rPr>
          <w:rFonts w:asciiTheme="minorHAnsi" w:eastAsiaTheme="minorHAnsi" w:hAnsiTheme="minorHAnsi" w:cstheme="minorBidi"/>
          <w:snapToGrid/>
          <w:sz w:val="24"/>
          <w:szCs w:val="22"/>
        </w:rPr>
        <w:t xml:space="preserve">risk share arrangement </w:t>
      </w:r>
      <w:r w:rsidR="008F1B9A" w:rsidRPr="00011ED1">
        <w:rPr>
          <w:rFonts w:asciiTheme="minorHAnsi" w:eastAsiaTheme="minorHAnsi" w:hAnsiTheme="minorHAnsi" w:cstheme="minorBidi"/>
          <w:snapToGrid/>
          <w:sz w:val="24"/>
          <w:szCs w:val="22"/>
        </w:rPr>
        <w:t xml:space="preserve">(RSA) </w:t>
      </w:r>
      <w:r w:rsidR="00111072" w:rsidRPr="00011ED1">
        <w:rPr>
          <w:rFonts w:asciiTheme="minorHAnsi" w:eastAsiaTheme="minorHAnsi" w:hAnsiTheme="minorHAnsi" w:cstheme="minorBidi"/>
          <w:snapToGrid/>
          <w:sz w:val="24"/>
          <w:szCs w:val="22"/>
        </w:rPr>
        <w:t xml:space="preserve">in place for </w:t>
      </w:r>
      <w:r w:rsidR="00AF7EED" w:rsidRPr="00011ED1">
        <w:rPr>
          <w:rFonts w:asciiTheme="minorHAnsi" w:eastAsiaTheme="minorHAnsi" w:hAnsiTheme="minorHAnsi" w:cstheme="minorBidi"/>
          <w:snapToGrid/>
          <w:sz w:val="24"/>
          <w:szCs w:val="22"/>
        </w:rPr>
        <w:t xml:space="preserve">the </w:t>
      </w:r>
      <w:r w:rsidR="00711649" w:rsidRPr="00011ED1">
        <w:rPr>
          <w:rFonts w:asciiTheme="minorHAnsi" w:eastAsiaTheme="minorHAnsi" w:hAnsiTheme="minorHAnsi" w:cstheme="minorBidi"/>
          <w:snapToGrid/>
          <w:sz w:val="24"/>
          <w:szCs w:val="22"/>
        </w:rPr>
        <w:t xml:space="preserve">currently listed </w:t>
      </w:r>
      <w:r w:rsidR="00AF7EED" w:rsidRPr="00011ED1">
        <w:rPr>
          <w:rFonts w:asciiTheme="minorHAnsi" w:eastAsiaTheme="minorHAnsi" w:hAnsiTheme="minorHAnsi" w:cstheme="minorBidi"/>
          <w:snapToGrid/>
          <w:sz w:val="24"/>
          <w:szCs w:val="22"/>
        </w:rPr>
        <w:t>indications</w:t>
      </w:r>
      <w:r w:rsidRPr="00011ED1">
        <w:rPr>
          <w:rFonts w:asciiTheme="minorHAnsi" w:eastAsiaTheme="minorHAnsi" w:hAnsiTheme="minorHAnsi" w:cstheme="minorBidi"/>
          <w:snapToGrid/>
          <w:sz w:val="24"/>
          <w:szCs w:val="22"/>
        </w:rPr>
        <w:t>.</w:t>
      </w:r>
    </w:p>
    <w:p w:rsidR="0011155E" w:rsidRPr="00011ED1" w:rsidRDefault="00B41059" w:rsidP="00367A74">
      <w:pPr>
        <w:pStyle w:val="ListParagraph"/>
        <w:widowControl/>
        <w:numPr>
          <w:ilvl w:val="1"/>
          <w:numId w:val="1"/>
        </w:numPr>
        <w:spacing w:after="120"/>
        <w:contextualSpacing w:val="0"/>
        <w:rPr>
          <w:rFonts w:asciiTheme="minorHAnsi" w:hAnsiTheme="minorHAnsi" w:cstheme="minorHAnsi"/>
          <w:sz w:val="24"/>
          <w:szCs w:val="24"/>
        </w:rPr>
      </w:pPr>
      <w:r w:rsidRPr="00011ED1">
        <w:rPr>
          <w:rFonts w:asciiTheme="minorHAnsi" w:eastAsiaTheme="minorHAnsi" w:hAnsiTheme="minorHAnsi" w:cstheme="minorBidi"/>
          <w:snapToGrid/>
          <w:sz w:val="24"/>
          <w:szCs w:val="22"/>
        </w:rPr>
        <w:t xml:space="preserve">The PBAC </w:t>
      </w:r>
      <w:r w:rsidR="001F77D4" w:rsidRPr="00011ED1">
        <w:rPr>
          <w:rFonts w:asciiTheme="minorHAnsi" w:eastAsiaTheme="minorHAnsi" w:hAnsiTheme="minorHAnsi" w:cstheme="minorBidi"/>
          <w:snapToGrid/>
          <w:sz w:val="24"/>
          <w:szCs w:val="22"/>
        </w:rPr>
        <w:t xml:space="preserve">considered that the change from atezolizumab 1200 mg </w:t>
      </w:r>
      <w:r w:rsidR="00A0064D" w:rsidRPr="00011ED1">
        <w:rPr>
          <w:rFonts w:asciiTheme="minorHAnsi" w:eastAsiaTheme="minorHAnsi" w:hAnsiTheme="minorHAnsi" w:cstheme="minorBidi"/>
          <w:snapToGrid/>
          <w:sz w:val="24"/>
          <w:szCs w:val="22"/>
        </w:rPr>
        <w:t>Q3W</w:t>
      </w:r>
      <w:r w:rsidR="007C0D3B">
        <w:rPr>
          <w:rFonts w:asciiTheme="minorHAnsi" w:eastAsiaTheme="minorHAnsi" w:hAnsiTheme="minorHAnsi" w:cstheme="minorBidi"/>
          <w:snapToGrid/>
          <w:sz w:val="24"/>
          <w:szCs w:val="22"/>
        </w:rPr>
        <w:t xml:space="preserve"> dosing</w:t>
      </w:r>
      <w:r w:rsidR="001F77D4" w:rsidRPr="00011ED1">
        <w:rPr>
          <w:rFonts w:asciiTheme="minorHAnsi" w:eastAsiaTheme="minorHAnsi" w:hAnsiTheme="minorHAnsi" w:cstheme="minorBidi"/>
          <w:snapToGrid/>
          <w:sz w:val="24"/>
          <w:szCs w:val="22"/>
        </w:rPr>
        <w:t xml:space="preserve"> in combination with bevacizumab and PDC to atezolizumab</w:t>
      </w:r>
      <w:r w:rsidR="00A0064D" w:rsidRPr="00011ED1">
        <w:rPr>
          <w:rFonts w:asciiTheme="minorHAnsi" w:eastAsiaTheme="minorHAnsi" w:hAnsiTheme="minorHAnsi" w:cstheme="minorBidi"/>
          <w:snapToGrid/>
          <w:sz w:val="24"/>
          <w:szCs w:val="22"/>
        </w:rPr>
        <w:t xml:space="preserve"> monotherapy at 1680</w:t>
      </w:r>
      <w:r w:rsidR="001F77D4" w:rsidRPr="00011ED1">
        <w:rPr>
          <w:rFonts w:asciiTheme="minorHAnsi" w:eastAsiaTheme="minorHAnsi" w:hAnsiTheme="minorHAnsi" w:cstheme="minorBidi"/>
          <w:snapToGrid/>
          <w:sz w:val="24"/>
          <w:szCs w:val="22"/>
        </w:rPr>
        <w:t xml:space="preserve"> </w:t>
      </w:r>
      <w:r w:rsidR="00A0064D" w:rsidRPr="00011ED1">
        <w:rPr>
          <w:rFonts w:asciiTheme="minorHAnsi" w:eastAsiaTheme="minorHAnsi" w:hAnsiTheme="minorHAnsi" w:cstheme="minorBidi"/>
          <w:snapToGrid/>
          <w:sz w:val="24"/>
          <w:szCs w:val="22"/>
        </w:rPr>
        <w:t>mg Q4W for patients who experience intolerance to combination treatment</w:t>
      </w:r>
      <w:r w:rsidR="00C30B08">
        <w:rPr>
          <w:rFonts w:asciiTheme="minorHAnsi" w:eastAsiaTheme="minorHAnsi" w:hAnsiTheme="minorHAnsi" w:cstheme="minorBidi"/>
          <w:snapToGrid/>
          <w:sz w:val="24"/>
          <w:szCs w:val="22"/>
        </w:rPr>
        <w:t xml:space="preserve"> with bevacizumab</w:t>
      </w:r>
      <w:r w:rsidR="00A0064D" w:rsidRPr="00011ED1">
        <w:rPr>
          <w:rFonts w:asciiTheme="minorHAnsi" w:eastAsiaTheme="minorHAnsi" w:hAnsiTheme="minorHAnsi" w:cstheme="minorBidi"/>
          <w:snapToGrid/>
          <w:sz w:val="24"/>
          <w:szCs w:val="22"/>
        </w:rPr>
        <w:t xml:space="preserve"> </w:t>
      </w:r>
      <w:r w:rsidR="00385200" w:rsidRPr="00011ED1">
        <w:rPr>
          <w:rFonts w:asciiTheme="minorHAnsi" w:eastAsiaTheme="minorHAnsi" w:hAnsiTheme="minorHAnsi" w:cstheme="minorBidi"/>
          <w:snapToGrid/>
          <w:sz w:val="24"/>
          <w:szCs w:val="22"/>
        </w:rPr>
        <w:t>was potentially complex and could cause confusion</w:t>
      </w:r>
      <w:r w:rsidR="00011ED1">
        <w:rPr>
          <w:rFonts w:asciiTheme="minorHAnsi" w:eastAsiaTheme="minorHAnsi" w:hAnsiTheme="minorHAnsi" w:cstheme="minorBidi"/>
          <w:snapToGrid/>
          <w:sz w:val="24"/>
          <w:szCs w:val="22"/>
        </w:rPr>
        <w:t>.</w:t>
      </w:r>
    </w:p>
    <w:p w:rsidR="0011155E" w:rsidRPr="00011ED1" w:rsidRDefault="0011155E" w:rsidP="00367A74">
      <w:pPr>
        <w:pStyle w:val="Bodytextitalics"/>
        <w:jc w:val="both"/>
        <w:rPr>
          <w:i w:val="0"/>
          <w:iCs/>
        </w:rPr>
      </w:pPr>
      <w:r w:rsidRPr="00011ED1">
        <w:rPr>
          <w:i w:val="0"/>
          <w:iCs/>
        </w:rPr>
        <w:t xml:space="preserve">The PBAC considered it would be appropriate to </w:t>
      </w:r>
      <w:r w:rsidR="00160DE0" w:rsidRPr="00011ED1">
        <w:rPr>
          <w:i w:val="0"/>
          <w:iCs/>
        </w:rPr>
        <w:t>include a</w:t>
      </w:r>
      <w:r w:rsidRPr="00011ED1">
        <w:rPr>
          <w:i w:val="0"/>
          <w:iCs/>
        </w:rPr>
        <w:t xml:space="preserve"> criterion specifying that the “Patient must have experienced intolerance to combination treatment with bevacizumab” to the continuing treatment restriction for 1L NSCLC to </w:t>
      </w:r>
      <w:r w:rsidR="00160DE0" w:rsidRPr="00011ED1">
        <w:rPr>
          <w:i w:val="0"/>
          <w:iCs/>
        </w:rPr>
        <w:t>restrict use</w:t>
      </w:r>
      <w:r w:rsidRPr="00011ED1">
        <w:rPr>
          <w:i w:val="0"/>
          <w:iCs/>
        </w:rPr>
        <w:t xml:space="preserve"> of the 1680 mg Q4W dosing regimen to patients who have ceased treatment with bevacizumab and PDC. </w:t>
      </w:r>
    </w:p>
    <w:p w:rsidR="00B41059" w:rsidRDefault="0011155E" w:rsidP="00367A74">
      <w:pPr>
        <w:pStyle w:val="Bodytextitalics"/>
        <w:jc w:val="both"/>
        <w:rPr>
          <w:i w:val="0"/>
          <w:iCs/>
        </w:rPr>
      </w:pPr>
      <w:r w:rsidRPr="00011ED1">
        <w:rPr>
          <w:i w:val="0"/>
          <w:iCs/>
        </w:rPr>
        <w:t xml:space="preserve">The PBAC considered that the proposed number of repeats (3) for initial treatment of 2L NSCLC which would provide 16 weeks of therapy, was </w:t>
      </w:r>
      <w:r w:rsidR="00160DE0" w:rsidRPr="00011ED1">
        <w:rPr>
          <w:i w:val="0"/>
          <w:iCs/>
        </w:rPr>
        <w:t>appropriate</w:t>
      </w:r>
      <w:r w:rsidR="00011ED1">
        <w:rPr>
          <w:i w:val="0"/>
          <w:iCs/>
        </w:rPr>
        <w:t xml:space="preserve">. </w:t>
      </w:r>
    </w:p>
    <w:p w:rsidR="00D459A5" w:rsidRPr="00D459A5" w:rsidRDefault="00D459A5" w:rsidP="00D459A5">
      <w:pPr>
        <w:pStyle w:val="Bodytextitalics"/>
        <w:jc w:val="both"/>
        <w:rPr>
          <w:rFonts w:cstheme="minorHAnsi"/>
          <w:bCs/>
          <w:i w:val="0"/>
          <w:iCs/>
          <w:snapToGrid w:val="0"/>
          <w:szCs w:val="24"/>
          <w:lang w:val="en-GB"/>
        </w:rPr>
      </w:pPr>
      <w:r w:rsidRPr="00D459A5">
        <w:rPr>
          <w:i w:val="0"/>
          <w:iCs/>
          <w:lang w:bidi="ar-JO"/>
        </w:rPr>
        <w:t xml:space="preserve">The PBAC advised that, because </w:t>
      </w:r>
      <w:r>
        <w:rPr>
          <w:i w:val="0"/>
          <w:iCs/>
          <w:lang w:bidi="ar-JO"/>
        </w:rPr>
        <w:t xml:space="preserve">atezolizumab 840 mg </w:t>
      </w:r>
      <w:r w:rsidRPr="00D459A5">
        <w:rPr>
          <w:i w:val="0"/>
          <w:iCs/>
          <w:lang w:bidi="ar-JO"/>
        </w:rPr>
        <w:t>is not expected to provide a substantial and clinically relevant improvement in efficacy, or reduction of toxicity, over curr</w:t>
      </w:r>
      <w:r>
        <w:rPr>
          <w:i w:val="0"/>
          <w:iCs/>
          <w:lang w:bidi="ar-JO"/>
        </w:rPr>
        <w:t>ent</w:t>
      </w:r>
      <w:r w:rsidR="00F27009">
        <w:rPr>
          <w:i w:val="0"/>
          <w:iCs/>
          <w:lang w:bidi="ar-JO"/>
        </w:rPr>
        <w:t>ly listed form</w:t>
      </w:r>
      <w:r>
        <w:rPr>
          <w:i w:val="0"/>
          <w:iCs/>
          <w:lang w:bidi="ar-JO"/>
        </w:rPr>
        <w:t xml:space="preserve"> of atezolizumab 1200 mg</w:t>
      </w:r>
      <w:r w:rsidRPr="00D459A5">
        <w:rPr>
          <w:i w:val="0"/>
          <w:iCs/>
          <w:lang w:bidi="ar-JO"/>
        </w:rPr>
        <w:t xml:space="preserve">, or address a high and urgent unmet clinical need, the criteria prescribed by the </w:t>
      </w:r>
      <w:r w:rsidRPr="00D459A5">
        <w:rPr>
          <w:lang w:bidi="ar-JO"/>
        </w:rPr>
        <w:t xml:space="preserve">National Health (Pharmaceuticals and Vaccines – Cost Recovery) Regulations 2009 </w:t>
      </w:r>
      <w:r w:rsidRPr="00D459A5">
        <w:rPr>
          <w:i w:val="0"/>
          <w:iCs/>
          <w:lang w:bidi="ar-JO"/>
        </w:rPr>
        <w:t>for Pricing Pathway A were not met.</w:t>
      </w:r>
    </w:p>
    <w:p w:rsidR="00C735E5" w:rsidRPr="00011ED1" w:rsidRDefault="00C735E5" w:rsidP="00367A74">
      <w:pPr>
        <w:numPr>
          <w:ilvl w:val="1"/>
          <w:numId w:val="1"/>
        </w:numPr>
        <w:spacing w:after="120"/>
        <w:jc w:val="both"/>
        <w:rPr>
          <w:rFonts w:asciiTheme="minorHAnsi" w:hAnsiTheme="minorHAnsi"/>
          <w:bCs/>
        </w:rPr>
      </w:pPr>
      <w:r w:rsidRPr="00011ED1">
        <w:rPr>
          <w:rFonts w:asciiTheme="minorHAnsi" w:hAnsiTheme="minorHAnsi"/>
          <w:bCs/>
        </w:rPr>
        <w:t xml:space="preserve">The PBAC advised that under Section 101(3BA) of the </w:t>
      </w:r>
      <w:r w:rsidRPr="00011ED1">
        <w:rPr>
          <w:rFonts w:asciiTheme="minorHAnsi" w:hAnsiTheme="minorHAnsi"/>
          <w:bCs/>
          <w:i/>
        </w:rPr>
        <w:t>National Health Act 1953</w:t>
      </w:r>
      <w:r w:rsidRPr="00011ED1">
        <w:rPr>
          <w:rFonts w:asciiTheme="minorHAnsi" w:hAnsiTheme="minorHAnsi"/>
          <w:bCs/>
        </w:rPr>
        <w:t xml:space="preserve"> atezolizumab should not be treated as interchangeable with any other drugs o</w:t>
      </w:r>
      <w:r w:rsidR="003F4AD7" w:rsidRPr="00011ED1">
        <w:rPr>
          <w:rFonts w:asciiTheme="minorHAnsi" w:hAnsiTheme="minorHAnsi"/>
          <w:bCs/>
        </w:rPr>
        <w:t xml:space="preserve">n an individual patient basis. </w:t>
      </w:r>
    </w:p>
    <w:p w:rsidR="001D0FA6" w:rsidRPr="00FC0F08" w:rsidRDefault="001D0FA6" w:rsidP="00367A74">
      <w:pPr>
        <w:numPr>
          <w:ilvl w:val="1"/>
          <w:numId w:val="1"/>
        </w:numPr>
        <w:spacing w:after="120"/>
        <w:jc w:val="both"/>
        <w:rPr>
          <w:rFonts w:asciiTheme="minorHAnsi" w:hAnsiTheme="minorHAnsi" w:cs="Arial"/>
          <w:bCs/>
          <w:snapToGrid w:val="0"/>
        </w:rPr>
      </w:pPr>
      <w:r w:rsidRPr="00FC0F08">
        <w:rPr>
          <w:rFonts w:asciiTheme="minorHAnsi" w:hAnsiTheme="minorHAnsi" w:cs="Arial"/>
          <w:bCs/>
          <w:snapToGrid w:val="0"/>
        </w:rPr>
        <w:t xml:space="preserve">The PBAC advised that </w:t>
      </w:r>
      <w:r w:rsidR="00851A45" w:rsidRPr="00FC0F08">
        <w:rPr>
          <w:rFonts w:asciiTheme="minorHAnsi" w:hAnsiTheme="minorHAnsi" w:cs="Arial"/>
          <w:bCs/>
          <w:snapToGrid w:val="0"/>
        </w:rPr>
        <w:t xml:space="preserve">atezolizumab </w:t>
      </w:r>
      <w:r w:rsidR="00A670CD" w:rsidRPr="00FC0F08">
        <w:rPr>
          <w:rFonts w:asciiTheme="minorHAnsi" w:hAnsiTheme="minorHAnsi" w:cs="Arial"/>
          <w:bCs/>
          <w:snapToGrid w:val="0"/>
        </w:rPr>
        <w:t xml:space="preserve">is </w:t>
      </w:r>
      <w:r w:rsidRPr="00FC0F08">
        <w:rPr>
          <w:rFonts w:asciiTheme="minorHAnsi" w:hAnsiTheme="minorHAnsi" w:cs="Arial"/>
          <w:bCs/>
          <w:snapToGrid w:val="0"/>
        </w:rPr>
        <w:t>not suitable for prescribing by nurse practitioners</w:t>
      </w:r>
      <w:r w:rsidR="00011ED1">
        <w:rPr>
          <w:rFonts w:asciiTheme="minorHAnsi" w:hAnsiTheme="minorHAnsi" w:cs="Arial"/>
          <w:bCs/>
          <w:snapToGrid w:val="0"/>
        </w:rPr>
        <w:t xml:space="preserve">. </w:t>
      </w:r>
    </w:p>
    <w:p w:rsidR="001D0FA6" w:rsidRPr="00FC0F08" w:rsidRDefault="001D0FA6" w:rsidP="00367A74">
      <w:pPr>
        <w:numPr>
          <w:ilvl w:val="1"/>
          <w:numId w:val="1"/>
        </w:numPr>
        <w:spacing w:after="120"/>
        <w:jc w:val="both"/>
        <w:rPr>
          <w:rFonts w:asciiTheme="minorHAnsi" w:hAnsiTheme="minorHAnsi" w:cs="Arial"/>
          <w:bCs/>
          <w:snapToGrid w:val="0"/>
        </w:rPr>
      </w:pPr>
      <w:r w:rsidRPr="00FC0F08">
        <w:rPr>
          <w:rFonts w:asciiTheme="minorHAnsi" w:hAnsiTheme="minorHAnsi" w:cs="Arial"/>
          <w:bCs/>
          <w:snapToGrid w:val="0"/>
        </w:rPr>
        <w:t>The PBAC recommended th</w:t>
      </w:r>
      <w:r w:rsidR="00851A45" w:rsidRPr="00FC0F08">
        <w:rPr>
          <w:rFonts w:asciiTheme="minorHAnsi" w:hAnsiTheme="minorHAnsi" w:cs="Arial"/>
          <w:bCs/>
          <w:snapToGrid w:val="0"/>
        </w:rPr>
        <w:t xml:space="preserve">at the Early Supply Rule </w:t>
      </w:r>
      <w:r w:rsidRPr="00FC0F08">
        <w:rPr>
          <w:rFonts w:asciiTheme="minorHAnsi" w:hAnsiTheme="minorHAnsi" w:cs="Arial"/>
          <w:bCs/>
          <w:snapToGrid w:val="0"/>
        </w:rPr>
        <w:t>should not apply</w:t>
      </w:r>
      <w:r w:rsidR="00A670CD" w:rsidRPr="00FC0F08">
        <w:rPr>
          <w:rFonts w:asciiTheme="minorHAnsi" w:hAnsiTheme="minorHAnsi" w:cs="Arial"/>
          <w:bCs/>
          <w:snapToGrid w:val="0"/>
        </w:rPr>
        <w:t xml:space="preserve"> as this is a Section 100 listing</w:t>
      </w:r>
      <w:r w:rsidRPr="00FC0F08">
        <w:rPr>
          <w:rFonts w:asciiTheme="minorHAnsi" w:hAnsiTheme="minorHAnsi" w:cs="Arial"/>
          <w:bCs/>
          <w:snapToGrid w:val="0"/>
        </w:rPr>
        <w:t xml:space="preserve">. </w:t>
      </w:r>
    </w:p>
    <w:p w:rsidR="00851A45" w:rsidRPr="00FC0F08" w:rsidRDefault="001D0FA6" w:rsidP="00367A74">
      <w:pPr>
        <w:numPr>
          <w:ilvl w:val="1"/>
          <w:numId w:val="1"/>
        </w:numPr>
        <w:spacing w:after="120"/>
        <w:jc w:val="both"/>
        <w:rPr>
          <w:rFonts w:asciiTheme="minorHAnsi" w:hAnsiTheme="minorHAnsi" w:cs="Arial"/>
          <w:b/>
          <w:bCs/>
          <w:snapToGrid w:val="0"/>
        </w:rPr>
      </w:pPr>
      <w:r w:rsidRPr="00FC0F08">
        <w:rPr>
          <w:rFonts w:asciiTheme="minorHAnsi" w:hAnsiTheme="minorHAnsi" w:cs="Arial"/>
          <w:bCs/>
          <w:snapToGrid w:val="0"/>
        </w:rPr>
        <w:t>The PBA</w:t>
      </w:r>
      <w:r w:rsidR="00851A45" w:rsidRPr="00FC0F08">
        <w:rPr>
          <w:rFonts w:asciiTheme="minorHAnsi" w:hAnsiTheme="minorHAnsi" w:cs="Arial"/>
          <w:bCs/>
          <w:snapToGrid w:val="0"/>
        </w:rPr>
        <w:t xml:space="preserve">C noted that this submission </w:t>
      </w:r>
      <w:r w:rsidRPr="00FC0F08">
        <w:rPr>
          <w:rFonts w:asciiTheme="minorHAnsi" w:hAnsiTheme="minorHAnsi" w:cs="Arial"/>
          <w:bCs/>
          <w:snapToGrid w:val="0"/>
        </w:rPr>
        <w:t>is not eligible for an Independent Review</w:t>
      </w:r>
      <w:r w:rsidR="00851A45" w:rsidRPr="00FC0F08">
        <w:rPr>
          <w:rFonts w:asciiTheme="minorHAnsi" w:hAnsiTheme="minorHAnsi" w:cs="Arial"/>
          <w:bCs/>
          <w:snapToGrid w:val="0"/>
        </w:rPr>
        <w:t xml:space="preserve"> as it received a positive recommendation</w:t>
      </w:r>
      <w:r w:rsidRPr="00FC0F08">
        <w:rPr>
          <w:rFonts w:asciiTheme="minorHAnsi" w:hAnsiTheme="minorHAnsi" w:cs="Arial"/>
          <w:bCs/>
          <w:snapToGrid w:val="0"/>
        </w:rPr>
        <w:t xml:space="preserve">. </w:t>
      </w:r>
    </w:p>
    <w:p w:rsidR="001D0FA6" w:rsidRPr="00FC0F08" w:rsidRDefault="001D0FA6" w:rsidP="00367A74">
      <w:pPr>
        <w:spacing w:after="120"/>
        <w:jc w:val="both"/>
        <w:rPr>
          <w:rFonts w:asciiTheme="minorHAnsi" w:hAnsiTheme="minorHAnsi" w:cs="Arial"/>
          <w:b/>
          <w:bCs/>
          <w:snapToGrid w:val="0"/>
        </w:rPr>
      </w:pPr>
      <w:r w:rsidRPr="00FC0F08">
        <w:rPr>
          <w:rFonts w:asciiTheme="minorHAnsi" w:hAnsiTheme="minorHAnsi" w:cs="Arial"/>
          <w:b/>
          <w:bCs/>
          <w:snapToGrid w:val="0"/>
        </w:rPr>
        <w:t>Outcome:</w:t>
      </w:r>
    </w:p>
    <w:p w:rsidR="001D0FA6" w:rsidRPr="00FC0F08" w:rsidRDefault="003A39AB" w:rsidP="00367A74">
      <w:pPr>
        <w:jc w:val="both"/>
        <w:rPr>
          <w:rFonts w:asciiTheme="minorHAnsi" w:hAnsiTheme="minorHAnsi" w:cs="Arial"/>
          <w:bCs/>
          <w:snapToGrid w:val="0"/>
        </w:rPr>
      </w:pPr>
      <w:r w:rsidRPr="00FC0F08">
        <w:rPr>
          <w:rFonts w:asciiTheme="minorHAnsi" w:hAnsiTheme="minorHAnsi" w:cs="Arial"/>
          <w:bCs/>
          <w:snapToGrid w:val="0"/>
        </w:rPr>
        <w:t>Recommended</w:t>
      </w:r>
    </w:p>
    <w:p w:rsidR="001D0FA6" w:rsidRPr="00011ED1" w:rsidRDefault="001D0FA6" w:rsidP="00367A74">
      <w:pPr>
        <w:jc w:val="both"/>
        <w:rPr>
          <w:rFonts w:asciiTheme="minorHAnsi" w:hAnsiTheme="minorHAnsi" w:cs="Arial"/>
          <w:b/>
          <w:bCs/>
          <w:snapToGrid w:val="0"/>
        </w:rPr>
      </w:pPr>
    </w:p>
    <w:p w:rsidR="00D644F9" w:rsidRPr="00011ED1" w:rsidRDefault="001D0FA6" w:rsidP="00D82D4F">
      <w:pPr>
        <w:pStyle w:val="2Sections"/>
        <w:keepNext/>
        <w:spacing w:before="0"/>
      </w:pPr>
      <w:r w:rsidRPr="00011ED1">
        <w:lastRenderedPageBreak/>
        <w:t>Recommended listing</w:t>
      </w:r>
    </w:p>
    <w:p w:rsidR="001C3687" w:rsidRPr="00011ED1" w:rsidRDefault="001C3687" w:rsidP="00D82D4F">
      <w:pPr>
        <w:pStyle w:val="3Bodytext"/>
        <w:keepNext/>
        <w:rPr>
          <w:snapToGrid w:val="0"/>
        </w:rPr>
      </w:pPr>
      <w:r w:rsidRPr="00011ED1">
        <w:rPr>
          <w:snapToGrid w:val="0"/>
        </w:rPr>
        <w:t>Add new item:</w:t>
      </w:r>
    </w:p>
    <w:p w:rsidR="00EF40E6" w:rsidRPr="00011ED1" w:rsidRDefault="00EF40E6" w:rsidP="00E13C72">
      <w:pPr>
        <w:pStyle w:val="Tabletitles"/>
        <w:rPr>
          <w:i/>
        </w:rPr>
      </w:pPr>
      <w:r w:rsidRPr="00011ED1">
        <w:t>Second-line treatment of locally advanced or metastatic NSCLC</w:t>
      </w:r>
    </w:p>
    <w:tbl>
      <w:tblPr>
        <w:tblW w:w="5000" w:type="pct"/>
        <w:tblLook w:val="0000" w:firstRow="0" w:lastRow="0" w:firstColumn="0" w:lastColumn="0" w:noHBand="0" w:noVBand="0"/>
      </w:tblPr>
      <w:tblGrid>
        <w:gridCol w:w="2777"/>
        <w:gridCol w:w="1110"/>
        <w:gridCol w:w="973"/>
        <w:gridCol w:w="276"/>
        <w:gridCol w:w="973"/>
        <w:gridCol w:w="137"/>
        <w:gridCol w:w="2780"/>
      </w:tblGrid>
      <w:tr w:rsidR="00E413F1" w:rsidRPr="00E127B0" w:rsidTr="00E13C72">
        <w:trPr>
          <w:cantSplit/>
          <w:trHeight w:val="471"/>
        </w:trPr>
        <w:tc>
          <w:tcPr>
            <w:tcW w:w="1538" w:type="pct"/>
            <w:tcBorders>
              <w:bottom w:val="single" w:sz="4" w:space="0" w:color="auto"/>
            </w:tcBorders>
          </w:tcPr>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Name, Restriction,</w:t>
            </w: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Manner of administration and form</w:t>
            </w:r>
          </w:p>
        </w:tc>
        <w:tc>
          <w:tcPr>
            <w:tcW w:w="615" w:type="pct"/>
            <w:tcBorders>
              <w:bottom w:val="single" w:sz="4" w:space="0" w:color="auto"/>
            </w:tcBorders>
          </w:tcPr>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Max.</w:t>
            </w: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amount</w:t>
            </w:r>
          </w:p>
        </w:tc>
        <w:tc>
          <w:tcPr>
            <w:tcW w:w="692" w:type="pct"/>
            <w:gridSpan w:val="2"/>
            <w:tcBorders>
              <w:bottom w:val="single" w:sz="4" w:space="0" w:color="auto"/>
            </w:tcBorders>
          </w:tcPr>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№.of</w:t>
            </w: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Rpts</w:t>
            </w:r>
          </w:p>
        </w:tc>
        <w:tc>
          <w:tcPr>
            <w:tcW w:w="2154" w:type="pct"/>
            <w:gridSpan w:val="3"/>
            <w:tcBorders>
              <w:bottom w:val="single" w:sz="4" w:space="0" w:color="auto"/>
            </w:tcBorders>
          </w:tcPr>
          <w:p w:rsidR="00E413F1" w:rsidRPr="00E13C72" w:rsidRDefault="00E413F1" w:rsidP="00367A74">
            <w:pPr>
              <w:keepNext/>
              <w:jc w:val="both"/>
              <w:rPr>
                <w:rFonts w:ascii="Arial Narrow" w:hAnsi="Arial Narrow" w:cs="Arial"/>
                <w:sz w:val="20"/>
                <w:szCs w:val="20"/>
              </w:rPr>
            </w:pPr>
            <w:r w:rsidRPr="00E13C72">
              <w:rPr>
                <w:rFonts w:ascii="Arial Narrow" w:hAnsi="Arial Narrow" w:cs="Arial"/>
                <w:sz w:val="20"/>
                <w:szCs w:val="20"/>
              </w:rPr>
              <w:t>Proprietary Name and Manufacturer</w:t>
            </w:r>
          </w:p>
        </w:tc>
      </w:tr>
      <w:tr w:rsidR="00E413F1" w:rsidRPr="00E127B0" w:rsidTr="00E13C72">
        <w:trPr>
          <w:cantSplit/>
          <w:trHeight w:val="577"/>
        </w:trPr>
        <w:tc>
          <w:tcPr>
            <w:tcW w:w="1538" w:type="pct"/>
          </w:tcPr>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mallCaps/>
                <w:sz w:val="20"/>
                <w:szCs w:val="20"/>
              </w:rPr>
              <w:t>atezolizumab</w:t>
            </w: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840 mg/14 mL injection, 14 mL vial</w:t>
            </w:r>
          </w:p>
        </w:tc>
        <w:tc>
          <w:tcPr>
            <w:tcW w:w="615" w:type="pct"/>
          </w:tcPr>
          <w:p w:rsidR="00E413F1" w:rsidRPr="00E13C72" w:rsidRDefault="00E413F1" w:rsidP="00367A74">
            <w:pPr>
              <w:keepNext/>
              <w:ind w:left="-108"/>
              <w:jc w:val="both"/>
              <w:rPr>
                <w:rFonts w:ascii="Arial Narrow" w:hAnsi="Arial Narrow" w:cs="Arial"/>
                <w:sz w:val="20"/>
                <w:szCs w:val="20"/>
              </w:rPr>
            </w:pP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1680 mg</w:t>
            </w:r>
          </w:p>
        </w:tc>
        <w:tc>
          <w:tcPr>
            <w:tcW w:w="692" w:type="pct"/>
            <w:gridSpan w:val="2"/>
          </w:tcPr>
          <w:p w:rsidR="00E413F1" w:rsidRPr="00E13C72" w:rsidRDefault="00E413F1" w:rsidP="00367A74">
            <w:pPr>
              <w:keepNext/>
              <w:ind w:left="-108"/>
              <w:jc w:val="both"/>
              <w:rPr>
                <w:rFonts w:ascii="Arial Narrow" w:hAnsi="Arial Narrow" w:cs="Arial"/>
                <w:sz w:val="20"/>
                <w:szCs w:val="20"/>
              </w:rPr>
            </w:pPr>
          </w:p>
          <w:p w:rsidR="00E413F1" w:rsidRPr="00E13C72" w:rsidRDefault="00E413F1" w:rsidP="00367A74">
            <w:pPr>
              <w:keepNext/>
              <w:ind w:left="-108"/>
              <w:jc w:val="both"/>
              <w:rPr>
                <w:rFonts w:ascii="Arial Narrow" w:hAnsi="Arial Narrow" w:cs="Arial"/>
                <w:sz w:val="20"/>
                <w:szCs w:val="20"/>
              </w:rPr>
            </w:pPr>
            <w:r w:rsidRPr="00E13C72">
              <w:rPr>
                <w:rFonts w:ascii="Arial Narrow" w:hAnsi="Arial Narrow" w:cs="Arial"/>
                <w:sz w:val="20"/>
                <w:szCs w:val="20"/>
              </w:rPr>
              <w:t>3</w:t>
            </w:r>
          </w:p>
        </w:tc>
        <w:tc>
          <w:tcPr>
            <w:tcW w:w="615" w:type="pct"/>
            <w:gridSpan w:val="2"/>
          </w:tcPr>
          <w:p w:rsidR="00E413F1" w:rsidRPr="00E13C72" w:rsidRDefault="00E413F1" w:rsidP="00367A74">
            <w:pPr>
              <w:keepNext/>
              <w:jc w:val="both"/>
              <w:rPr>
                <w:rFonts w:ascii="Arial Narrow" w:hAnsi="Arial Narrow" w:cs="Arial"/>
                <w:sz w:val="20"/>
                <w:szCs w:val="20"/>
              </w:rPr>
            </w:pPr>
            <w:r w:rsidRPr="00E13C72">
              <w:rPr>
                <w:rFonts w:ascii="Arial Narrow" w:hAnsi="Arial Narrow" w:cs="Arial"/>
                <w:sz w:val="20"/>
                <w:szCs w:val="20"/>
              </w:rPr>
              <w:t>Tecentriq®</w:t>
            </w:r>
          </w:p>
        </w:tc>
        <w:tc>
          <w:tcPr>
            <w:tcW w:w="1538" w:type="pct"/>
          </w:tcPr>
          <w:p w:rsidR="00E413F1" w:rsidRPr="00E13C72" w:rsidRDefault="00E413F1" w:rsidP="00367A74">
            <w:pPr>
              <w:keepNext/>
              <w:jc w:val="both"/>
              <w:rPr>
                <w:rFonts w:ascii="Arial Narrow" w:hAnsi="Arial Narrow" w:cs="Arial"/>
                <w:sz w:val="20"/>
                <w:szCs w:val="20"/>
              </w:rPr>
            </w:pPr>
            <w:r w:rsidRPr="00E13C72">
              <w:rPr>
                <w:rFonts w:ascii="Arial Narrow" w:hAnsi="Arial Narrow" w:cs="Arial"/>
                <w:sz w:val="20"/>
                <w:szCs w:val="20"/>
              </w:rPr>
              <w:t>Roche Products Pty Ltd</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Section 100 – Efficient Funding of Chemotherapy</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Prescriber type:</w:t>
            </w:r>
          </w:p>
          <w:p w:rsidR="00EF40E6" w:rsidRPr="00E13C72" w:rsidRDefault="00EF40E6" w:rsidP="00367A74">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Dental  </w:t>
            </w:r>
            <w:r w:rsidRPr="00E13C72">
              <w:rPr>
                <w:rFonts w:ascii="Arial Narrow" w:hAnsi="Arial Narrow" w:cs="Arial"/>
                <w:sz w:val="20"/>
                <w:szCs w:val="20"/>
              </w:rPr>
              <w:fldChar w:fldCharType="begin">
                <w:ffData>
                  <w:name w:val=""/>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Medical Practitioners  </w:t>
            </w: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Nurse practitioners  </w:t>
            </w: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Optometrists</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Midwives</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 xml:space="preserve">Locally advanced or metastatic </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non-small cell lung cancer</w:t>
            </w:r>
          </w:p>
        </w:tc>
      </w:tr>
      <w:tr w:rsidR="00EF40E6" w:rsidRPr="00E127B0" w:rsidTr="00E13C72">
        <w:trPr>
          <w:cantSplit/>
          <w:trHeight w:val="369"/>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PBS Indication:</w:t>
            </w: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Locally advanced or metastatic non-small cell lung cancer</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Initial treatment</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Restriction Level / Method:</w:t>
            </w: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Restricted benefit</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In Writing</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Telephone/Electronic/Emergency</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Streamlined</w:t>
            </w:r>
          </w:p>
        </w:tc>
      </w:tr>
      <w:tr w:rsidR="00EF40E6" w:rsidRPr="00E127B0" w:rsidTr="00E13C72">
        <w:trPr>
          <w:cantSplit/>
          <w:trHeight w:val="657"/>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Clinical criteria:</w:t>
            </w:r>
          </w:p>
          <w:p w:rsidR="00EF40E6" w:rsidRPr="00E13C72" w:rsidRDefault="00EF40E6"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rPr>
            </w:pPr>
            <w:r w:rsidRPr="00E13C72">
              <w:rPr>
                <w:rFonts w:ascii="Arial Narrow" w:hAnsi="Arial Narrow"/>
              </w:rPr>
              <w:t>Patient must not have received prior treatment with a programmed cell death-1 (PD-1) inhibitor or a programmed cell death ligand-1 (PD-L1) inhibitor for this condition,</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pStyle w:val="TableText1"/>
              <w:rPr>
                <w:rFonts w:ascii="Arial Narrow" w:hAnsi="Arial Narrow"/>
              </w:rPr>
            </w:pPr>
            <w:r w:rsidRPr="00E13C72">
              <w:rPr>
                <w:rFonts w:ascii="Arial Narrow" w:hAnsi="Arial Narrow"/>
              </w:rPr>
              <w:t>Patient must have a WHO performance status of 0 or 1,</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pStyle w:val="TableText1"/>
              <w:rPr>
                <w:rFonts w:ascii="Arial Narrow" w:hAnsi="Arial Narrow"/>
              </w:rPr>
            </w:pPr>
            <w:r w:rsidRPr="00E13C72">
              <w:rPr>
                <w:rFonts w:ascii="Arial Narrow" w:hAnsi="Arial Narrow"/>
              </w:rPr>
              <w:t>The treatment must be the sole PBS subsidised therapy for this condition,</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The condition must have progressed on or after prior platinum based chemotherapy.</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Administrative Advice:</w:t>
            </w: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rPr>
            </w:pPr>
            <w:r w:rsidRPr="00E13C72">
              <w:rPr>
                <w:rFonts w:ascii="Arial Narrow" w:hAnsi="Arial Narrow"/>
              </w:rPr>
              <w:t>No increase in the maximum number of repeats may be authorised.</w:t>
            </w:r>
          </w:p>
          <w:p w:rsidR="00EF40E6" w:rsidRPr="00E13C72" w:rsidRDefault="00EF40E6" w:rsidP="00367A74">
            <w:pPr>
              <w:pStyle w:val="TableText1"/>
              <w:rPr>
                <w:rFonts w:ascii="Arial Narrow" w:hAnsi="Arial Narrow"/>
              </w:rPr>
            </w:pPr>
          </w:p>
          <w:p w:rsidR="00EF40E6" w:rsidRPr="00E13C72" w:rsidRDefault="00EF40E6" w:rsidP="00367A74">
            <w:pPr>
              <w:pStyle w:val="TableText1"/>
              <w:rPr>
                <w:rFonts w:ascii="Arial Narrow" w:hAnsi="Arial Narrow"/>
              </w:rPr>
            </w:pPr>
            <w:r w:rsidRPr="00E13C72">
              <w:rPr>
                <w:rFonts w:ascii="Arial Narrow" w:hAnsi="Arial Narrow"/>
              </w:rPr>
              <w:t>In the first few months after start of immunotherapy, some patients can have a transient tumour flare with subsequent disease response. When progression is suspected, this should be confirmed through a confirmatory scan, taken at least 4 weeks later.</w:t>
            </w:r>
          </w:p>
          <w:p w:rsidR="00EF40E6" w:rsidRPr="00E13C72" w:rsidRDefault="00EF40E6" w:rsidP="00367A74">
            <w:pPr>
              <w:pStyle w:val="TableText1"/>
              <w:rPr>
                <w:rFonts w:ascii="Arial Narrow" w:hAnsi="Arial Narrow"/>
              </w:rPr>
            </w:pPr>
          </w:p>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Special Pricing Arrangements apply.</w:t>
            </w:r>
          </w:p>
        </w:tc>
      </w:tr>
      <w:tr w:rsidR="00E478DE" w:rsidRPr="00E127B0" w:rsidTr="00E13C72">
        <w:trPr>
          <w:cantSplit/>
          <w:trHeight w:val="360"/>
        </w:trPr>
        <w:tc>
          <w:tcPr>
            <w:tcW w:w="1538" w:type="pct"/>
            <w:tcBorders>
              <w:top w:val="single" w:sz="4" w:space="0" w:color="auto"/>
            </w:tcBorders>
          </w:tcPr>
          <w:p w:rsidR="00E478DE" w:rsidRPr="00E13C72" w:rsidRDefault="00E478DE" w:rsidP="00367A74">
            <w:pPr>
              <w:jc w:val="both"/>
              <w:rPr>
                <w:rFonts w:ascii="Arial Narrow" w:hAnsi="Arial Narrow" w:cs="Arial"/>
                <w:b/>
                <w:sz w:val="20"/>
                <w:szCs w:val="20"/>
              </w:rPr>
            </w:pPr>
          </w:p>
        </w:tc>
        <w:tc>
          <w:tcPr>
            <w:tcW w:w="3462" w:type="pct"/>
            <w:gridSpan w:val="6"/>
            <w:tcBorders>
              <w:top w:val="single" w:sz="4" w:space="0" w:color="auto"/>
            </w:tcBorders>
          </w:tcPr>
          <w:p w:rsidR="00E478DE" w:rsidRPr="00E13C72" w:rsidRDefault="00E478DE" w:rsidP="00367A74">
            <w:pPr>
              <w:pStyle w:val="TableText1"/>
              <w:rPr>
                <w:rFonts w:ascii="Arial Narrow" w:hAnsi="Arial Narrow"/>
              </w:rPr>
            </w:pPr>
          </w:p>
        </w:tc>
      </w:tr>
      <w:tr w:rsidR="00E478DE" w:rsidRPr="00E127B0" w:rsidTr="00E13C72">
        <w:trPr>
          <w:cantSplit/>
          <w:trHeight w:val="471"/>
        </w:trPr>
        <w:tc>
          <w:tcPr>
            <w:tcW w:w="1538" w:type="pct"/>
            <w:tcBorders>
              <w:bottom w:val="single" w:sz="4" w:space="0" w:color="auto"/>
            </w:tcBorders>
          </w:tcPr>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Name, Restriction,</w:t>
            </w: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Manner of administration and form</w:t>
            </w:r>
          </w:p>
        </w:tc>
        <w:tc>
          <w:tcPr>
            <w:tcW w:w="615" w:type="pct"/>
            <w:tcBorders>
              <w:bottom w:val="single" w:sz="4" w:space="0" w:color="auto"/>
            </w:tcBorders>
          </w:tcPr>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Max.</w:t>
            </w: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amount</w:t>
            </w:r>
          </w:p>
        </w:tc>
        <w:tc>
          <w:tcPr>
            <w:tcW w:w="539" w:type="pct"/>
            <w:tcBorders>
              <w:bottom w:val="single" w:sz="4" w:space="0" w:color="auto"/>
            </w:tcBorders>
          </w:tcPr>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№.of</w:t>
            </w: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Rpts</w:t>
            </w:r>
          </w:p>
        </w:tc>
        <w:tc>
          <w:tcPr>
            <w:tcW w:w="2307" w:type="pct"/>
            <w:gridSpan w:val="4"/>
            <w:tcBorders>
              <w:bottom w:val="single" w:sz="4" w:space="0" w:color="auto"/>
            </w:tcBorders>
          </w:tcPr>
          <w:p w:rsidR="00E478DE" w:rsidRPr="00E13C72" w:rsidRDefault="00E478DE" w:rsidP="00367A74">
            <w:pPr>
              <w:keepNext/>
              <w:jc w:val="both"/>
              <w:rPr>
                <w:rFonts w:ascii="Arial Narrow" w:hAnsi="Arial Narrow" w:cs="Arial"/>
                <w:sz w:val="20"/>
                <w:szCs w:val="20"/>
              </w:rPr>
            </w:pPr>
            <w:r w:rsidRPr="00E13C72">
              <w:rPr>
                <w:rFonts w:ascii="Arial Narrow" w:hAnsi="Arial Narrow" w:cs="Arial"/>
                <w:sz w:val="20"/>
                <w:szCs w:val="20"/>
              </w:rPr>
              <w:t>Proprietary Name and Manufacturer</w:t>
            </w:r>
          </w:p>
        </w:tc>
      </w:tr>
      <w:tr w:rsidR="00E478DE" w:rsidRPr="00E127B0" w:rsidTr="00E13C72">
        <w:trPr>
          <w:cantSplit/>
          <w:trHeight w:val="577"/>
        </w:trPr>
        <w:tc>
          <w:tcPr>
            <w:tcW w:w="1538" w:type="pct"/>
          </w:tcPr>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mallCaps/>
                <w:sz w:val="20"/>
                <w:szCs w:val="20"/>
              </w:rPr>
              <w:t>atezolizumab</w:t>
            </w: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840 mg/14 mL injection, 14 mL vial</w:t>
            </w:r>
          </w:p>
        </w:tc>
        <w:tc>
          <w:tcPr>
            <w:tcW w:w="615" w:type="pct"/>
          </w:tcPr>
          <w:p w:rsidR="00E478DE" w:rsidRPr="00E13C72" w:rsidRDefault="00E478DE" w:rsidP="00367A74">
            <w:pPr>
              <w:keepNext/>
              <w:ind w:left="-108"/>
              <w:jc w:val="both"/>
              <w:rPr>
                <w:rFonts w:ascii="Arial Narrow" w:hAnsi="Arial Narrow" w:cs="Arial"/>
                <w:sz w:val="20"/>
                <w:szCs w:val="20"/>
              </w:rPr>
            </w:pP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1680 mg</w:t>
            </w:r>
          </w:p>
        </w:tc>
        <w:tc>
          <w:tcPr>
            <w:tcW w:w="539" w:type="pct"/>
          </w:tcPr>
          <w:p w:rsidR="00E478DE" w:rsidRPr="00E13C72" w:rsidRDefault="00E478DE" w:rsidP="00367A74">
            <w:pPr>
              <w:keepNext/>
              <w:ind w:left="-108"/>
              <w:jc w:val="both"/>
              <w:rPr>
                <w:rFonts w:ascii="Arial Narrow" w:hAnsi="Arial Narrow" w:cs="Arial"/>
                <w:sz w:val="20"/>
                <w:szCs w:val="20"/>
              </w:rPr>
            </w:pPr>
          </w:p>
          <w:p w:rsidR="00E478DE" w:rsidRPr="00E13C72" w:rsidRDefault="00E478DE" w:rsidP="00367A74">
            <w:pPr>
              <w:keepNext/>
              <w:ind w:left="-108"/>
              <w:jc w:val="both"/>
              <w:rPr>
                <w:rFonts w:ascii="Arial Narrow" w:hAnsi="Arial Narrow" w:cs="Arial"/>
                <w:sz w:val="20"/>
                <w:szCs w:val="20"/>
              </w:rPr>
            </w:pPr>
            <w:r w:rsidRPr="00E13C72">
              <w:rPr>
                <w:rFonts w:ascii="Arial Narrow" w:hAnsi="Arial Narrow" w:cs="Arial"/>
                <w:sz w:val="20"/>
                <w:szCs w:val="20"/>
              </w:rPr>
              <w:t>5</w:t>
            </w:r>
          </w:p>
        </w:tc>
        <w:tc>
          <w:tcPr>
            <w:tcW w:w="692" w:type="pct"/>
            <w:gridSpan w:val="2"/>
          </w:tcPr>
          <w:p w:rsidR="00E478DE" w:rsidRPr="00E13C72" w:rsidRDefault="00E478DE" w:rsidP="00367A74">
            <w:pPr>
              <w:keepNext/>
              <w:jc w:val="both"/>
              <w:rPr>
                <w:rFonts w:ascii="Arial Narrow" w:hAnsi="Arial Narrow" w:cs="Arial"/>
                <w:sz w:val="20"/>
                <w:szCs w:val="20"/>
              </w:rPr>
            </w:pPr>
            <w:r w:rsidRPr="00E13C72">
              <w:rPr>
                <w:rFonts w:ascii="Arial Narrow" w:hAnsi="Arial Narrow" w:cs="Arial"/>
                <w:sz w:val="20"/>
                <w:szCs w:val="20"/>
              </w:rPr>
              <w:t>Tecentriq®</w:t>
            </w:r>
          </w:p>
        </w:tc>
        <w:tc>
          <w:tcPr>
            <w:tcW w:w="1615" w:type="pct"/>
            <w:gridSpan w:val="2"/>
          </w:tcPr>
          <w:p w:rsidR="00E478DE" w:rsidRPr="00E13C72" w:rsidRDefault="00E478DE" w:rsidP="00367A74">
            <w:pPr>
              <w:keepNext/>
              <w:jc w:val="both"/>
              <w:rPr>
                <w:rFonts w:ascii="Arial Narrow" w:hAnsi="Arial Narrow" w:cs="Arial"/>
                <w:sz w:val="20"/>
                <w:szCs w:val="20"/>
              </w:rPr>
            </w:pPr>
            <w:r w:rsidRPr="00E13C72">
              <w:rPr>
                <w:rFonts w:ascii="Arial Narrow" w:hAnsi="Arial Narrow" w:cs="Arial"/>
                <w:sz w:val="20"/>
                <w:szCs w:val="20"/>
              </w:rPr>
              <w:t>Roche Products Pty Ltd</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 xml:space="preserve">Section 100 – Efficient Funding of Chemotherapy </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Prescriber type:</w:t>
            </w:r>
          </w:p>
          <w:p w:rsidR="00EF40E6" w:rsidRPr="00E13C72" w:rsidRDefault="00EF40E6" w:rsidP="00367A74">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Dental  </w:t>
            </w:r>
            <w:r w:rsidRPr="00E13C72">
              <w:rPr>
                <w:rFonts w:ascii="Arial Narrow" w:hAnsi="Arial Narrow" w:cs="Arial"/>
                <w:sz w:val="20"/>
                <w:szCs w:val="20"/>
              </w:rPr>
              <w:fldChar w:fldCharType="begin">
                <w:ffData>
                  <w:name w:val=""/>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Medical Practitioners  </w:t>
            </w: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Nurse practitioners  </w:t>
            </w: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Optometrists</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Midwives</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lastRenderedPageBreak/>
              <w:t>Severity:</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 xml:space="preserve">Locally advanced or metastatic </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non-small cell lung cancer</w:t>
            </w:r>
          </w:p>
        </w:tc>
      </w:tr>
      <w:tr w:rsidR="00EF40E6" w:rsidRPr="00E127B0" w:rsidTr="00E13C72">
        <w:trPr>
          <w:cantSplit/>
          <w:trHeight w:val="369"/>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PBS Indication:</w:t>
            </w: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Locally advanced or metastatic non-small cell lung cancer</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Treatment phase:</w:t>
            </w: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Continuing treatment</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Restriction Level / Method:</w:t>
            </w: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Restricted benefit</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In Writing</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Telephone/Electronic/Emergency</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Streamlined</w:t>
            </w:r>
          </w:p>
        </w:tc>
      </w:tr>
      <w:tr w:rsidR="00EF40E6" w:rsidRPr="00E127B0" w:rsidTr="00E13C72">
        <w:trPr>
          <w:cantSplit/>
          <w:trHeight w:val="657"/>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Clinical criteria:</w:t>
            </w:r>
          </w:p>
          <w:p w:rsidR="00EF40E6" w:rsidRPr="00E13C72" w:rsidRDefault="00EF40E6" w:rsidP="00367A74">
            <w:pPr>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rPr>
            </w:pPr>
            <w:r w:rsidRPr="00E13C72">
              <w:rPr>
                <w:rFonts w:ascii="Arial Narrow" w:hAnsi="Arial Narrow"/>
              </w:rPr>
              <w:t>Patient must have previously received PBS-subsidised treatment with this drug for this condition,</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pStyle w:val="TableText1"/>
              <w:rPr>
                <w:rFonts w:ascii="Arial Narrow" w:hAnsi="Arial Narrow"/>
              </w:rPr>
            </w:pPr>
            <w:r w:rsidRPr="00E13C72">
              <w:rPr>
                <w:rFonts w:ascii="Arial Narrow" w:hAnsi="Arial Narrow"/>
              </w:rPr>
              <w:t>The treatment must be the sole PBS-subsidised treatment for this condition,</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Patient must have stable or responding disease.</w:t>
            </w:r>
          </w:p>
        </w:tc>
      </w:tr>
      <w:tr w:rsidR="00EF40E6" w:rsidRPr="00E127B0" w:rsidTr="00E13C72">
        <w:trPr>
          <w:cantSplit/>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Administrative Advice:</w:t>
            </w:r>
          </w:p>
          <w:p w:rsidR="00EF40E6" w:rsidRPr="00E13C72" w:rsidRDefault="00EF40E6" w:rsidP="00367A74">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rPr>
            </w:pPr>
            <w:r w:rsidRPr="00E13C72">
              <w:rPr>
                <w:rFonts w:ascii="Arial Narrow" w:hAnsi="Arial Narrow"/>
              </w:rPr>
              <w:t>No increase in the maximum number of repeats may be authorised.</w:t>
            </w:r>
          </w:p>
          <w:p w:rsidR="00EF40E6" w:rsidRPr="00E13C72" w:rsidRDefault="00EF40E6" w:rsidP="00367A74">
            <w:pPr>
              <w:pStyle w:val="TableText1"/>
              <w:rPr>
                <w:rFonts w:ascii="Arial Narrow" w:hAnsi="Arial Narrow"/>
              </w:rPr>
            </w:pPr>
          </w:p>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Special Pricing Arrangements apply.</w:t>
            </w:r>
          </w:p>
        </w:tc>
      </w:tr>
    </w:tbl>
    <w:p w:rsidR="002D190B" w:rsidRPr="00011ED1" w:rsidRDefault="002D190B" w:rsidP="00367A74">
      <w:pPr>
        <w:jc w:val="both"/>
        <w:rPr>
          <w:rFonts w:asciiTheme="minorHAnsi" w:hAnsiTheme="minorHAnsi" w:cs="Arial"/>
          <w:bCs/>
          <w:snapToGrid w:val="0"/>
        </w:rPr>
      </w:pPr>
    </w:p>
    <w:p w:rsidR="00EF40E6" w:rsidRPr="00011ED1" w:rsidRDefault="00EF40E6" w:rsidP="00E13C72">
      <w:pPr>
        <w:pStyle w:val="Tabletitles"/>
        <w:rPr>
          <w:rFonts w:eastAsiaTheme="minorHAnsi"/>
          <w:lang w:eastAsia="en-US"/>
        </w:rPr>
      </w:pPr>
      <w:r w:rsidRPr="00011ED1">
        <w:rPr>
          <w:rFonts w:eastAsiaTheme="minorHAnsi"/>
          <w:lang w:eastAsia="en-US"/>
        </w:rPr>
        <w:t>First-line treatment of metastatic NSQ NSCLC</w:t>
      </w:r>
    </w:p>
    <w:tbl>
      <w:tblPr>
        <w:tblW w:w="5000" w:type="pct"/>
        <w:tblLook w:val="0000" w:firstRow="0" w:lastRow="0" w:firstColumn="0" w:lastColumn="0" w:noHBand="0" w:noVBand="0"/>
      </w:tblPr>
      <w:tblGrid>
        <w:gridCol w:w="2777"/>
        <w:gridCol w:w="1110"/>
        <w:gridCol w:w="973"/>
        <w:gridCol w:w="1249"/>
        <w:gridCol w:w="2917"/>
      </w:tblGrid>
      <w:tr w:rsidR="00BE1B9E" w:rsidRPr="00E13C72" w:rsidTr="00E13C72">
        <w:trPr>
          <w:trHeight w:val="471"/>
        </w:trPr>
        <w:tc>
          <w:tcPr>
            <w:tcW w:w="1538" w:type="pct"/>
            <w:tcBorders>
              <w:bottom w:val="single" w:sz="4" w:space="0" w:color="auto"/>
            </w:tcBorders>
          </w:tcPr>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Name, Restriction,</w:t>
            </w: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Manner of administration and form</w:t>
            </w:r>
          </w:p>
        </w:tc>
        <w:tc>
          <w:tcPr>
            <w:tcW w:w="615" w:type="pct"/>
            <w:tcBorders>
              <w:bottom w:val="single" w:sz="4" w:space="0" w:color="auto"/>
            </w:tcBorders>
          </w:tcPr>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Max.</w:t>
            </w: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amount</w:t>
            </w:r>
          </w:p>
        </w:tc>
        <w:tc>
          <w:tcPr>
            <w:tcW w:w="539" w:type="pct"/>
            <w:tcBorders>
              <w:bottom w:val="single" w:sz="4" w:space="0" w:color="auto"/>
            </w:tcBorders>
          </w:tcPr>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№.of</w:t>
            </w: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Rpts</w:t>
            </w:r>
          </w:p>
        </w:tc>
        <w:tc>
          <w:tcPr>
            <w:tcW w:w="2307" w:type="pct"/>
            <w:gridSpan w:val="2"/>
            <w:tcBorders>
              <w:bottom w:val="single" w:sz="4" w:space="0" w:color="auto"/>
            </w:tcBorders>
          </w:tcPr>
          <w:p w:rsidR="00BE1B9E" w:rsidRPr="00E13C72" w:rsidRDefault="00BE1B9E" w:rsidP="00367A74">
            <w:pPr>
              <w:keepNext/>
              <w:jc w:val="both"/>
              <w:rPr>
                <w:rFonts w:ascii="Arial Narrow" w:hAnsi="Arial Narrow" w:cs="Arial"/>
                <w:sz w:val="20"/>
                <w:szCs w:val="20"/>
              </w:rPr>
            </w:pPr>
            <w:r w:rsidRPr="00E13C72">
              <w:rPr>
                <w:rFonts w:ascii="Arial Narrow" w:hAnsi="Arial Narrow" w:cs="Arial"/>
                <w:sz w:val="20"/>
                <w:szCs w:val="20"/>
              </w:rPr>
              <w:t>Proprietary Name and Manufacturer</w:t>
            </w:r>
          </w:p>
        </w:tc>
      </w:tr>
      <w:tr w:rsidR="00BE1B9E" w:rsidRPr="00E13C72" w:rsidTr="00E13C72">
        <w:trPr>
          <w:trHeight w:val="577"/>
        </w:trPr>
        <w:tc>
          <w:tcPr>
            <w:tcW w:w="1538" w:type="pct"/>
          </w:tcPr>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mallCaps/>
                <w:sz w:val="20"/>
                <w:szCs w:val="20"/>
              </w:rPr>
              <w:t>atezolizumab</w:t>
            </w: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840 mg/14 mL injection, 14 mL vial</w:t>
            </w:r>
          </w:p>
        </w:tc>
        <w:tc>
          <w:tcPr>
            <w:tcW w:w="615" w:type="pct"/>
          </w:tcPr>
          <w:p w:rsidR="00BE1B9E" w:rsidRPr="00E13C72" w:rsidRDefault="00BE1B9E" w:rsidP="00367A74">
            <w:pPr>
              <w:keepNext/>
              <w:ind w:left="-108"/>
              <w:jc w:val="both"/>
              <w:rPr>
                <w:rFonts w:ascii="Arial Narrow" w:hAnsi="Arial Narrow" w:cs="Arial"/>
                <w:sz w:val="20"/>
                <w:szCs w:val="20"/>
              </w:rPr>
            </w:pP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1680 mg</w:t>
            </w:r>
          </w:p>
        </w:tc>
        <w:tc>
          <w:tcPr>
            <w:tcW w:w="539" w:type="pct"/>
          </w:tcPr>
          <w:p w:rsidR="00BE1B9E" w:rsidRPr="00E13C72" w:rsidRDefault="00BE1B9E" w:rsidP="00367A74">
            <w:pPr>
              <w:keepNext/>
              <w:ind w:left="-108"/>
              <w:jc w:val="both"/>
              <w:rPr>
                <w:rFonts w:ascii="Arial Narrow" w:hAnsi="Arial Narrow" w:cs="Arial"/>
                <w:sz w:val="20"/>
                <w:szCs w:val="20"/>
              </w:rPr>
            </w:pPr>
          </w:p>
          <w:p w:rsidR="00BE1B9E" w:rsidRPr="00E13C72" w:rsidRDefault="00BE1B9E" w:rsidP="00367A74">
            <w:pPr>
              <w:keepNext/>
              <w:ind w:left="-108"/>
              <w:jc w:val="both"/>
              <w:rPr>
                <w:rFonts w:ascii="Arial Narrow" w:hAnsi="Arial Narrow" w:cs="Arial"/>
                <w:sz w:val="20"/>
                <w:szCs w:val="20"/>
              </w:rPr>
            </w:pPr>
            <w:r w:rsidRPr="00E13C72">
              <w:rPr>
                <w:rFonts w:ascii="Arial Narrow" w:hAnsi="Arial Narrow" w:cs="Arial"/>
                <w:sz w:val="20"/>
                <w:szCs w:val="20"/>
              </w:rPr>
              <w:t>5</w:t>
            </w:r>
          </w:p>
        </w:tc>
        <w:tc>
          <w:tcPr>
            <w:tcW w:w="692" w:type="pct"/>
          </w:tcPr>
          <w:p w:rsidR="00BE1B9E" w:rsidRPr="00E13C72" w:rsidRDefault="00BE1B9E" w:rsidP="00367A74">
            <w:pPr>
              <w:keepNext/>
              <w:jc w:val="both"/>
              <w:rPr>
                <w:rFonts w:ascii="Arial Narrow" w:hAnsi="Arial Narrow" w:cs="Arial"/>
                <w:sz w:val="20"/>
                <w:szCs w:val="20"/>
              </w:rPr>
            </w:pPr>
            <w:r w:rsidRPr="00E13C72">
              <w:rPr>
                <w:rFonts w:ascii="Arial Narrow" w:hAnsi="Arial Narrow" w:cs="Arial"/>
                <w:sz w:val="20"/>
                <w:szCs w:val="20"/>
              </w:rPr>
              <w:t>Tecentriq®</w:t>
            </w:r>
          </w:p>
        </w:tc>
        <w:tc>
          <w:tcPr>
            <w:tcW w:w="1615" w:type="pct"/>
          </w:tcPr>
          <w:p w:rsidR="00BE1B9E" w:rsidRPr="00E13C72" w:rsidRDefault="00BE1B9E" w:rsidP="00367A74">
            <w:pPr>
              <w:keepNext/>
              <w:jc w:val="both"/>
              <w:rPr>
                <w:rFonts w:ascii="Arial Narrow" w:hAnsi="Arial Narrow" w:cs="Arial"/>
                <w:sz w:val="20"/>
                <w:szCs w:val="20"/>
              </w:rPr>
            </w:pPr>
            <w:r w:rsidRPr="00E13C72">
              <w:rPr>
                <w:rFonts w:ascii="Arial Narrow" w:hAnsi="Arial Narrow" w:cs="Arial"/>
                <w:sz w:val="20"/>
                <w:szCs w:val="20"/>
              </w:rPr>
              <w:t>Roche Products Pty Ltd</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Category / Program:</w:t>
            </w: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Section 100 – Efficient Funding of Chemotherapy</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Prescriber type:</w:t>
            </w:r>
          </w:p>
          <w:p w:rsidR="00EF40E6" w:rsidRPr="00E13C72" w:rsidRDefault="00EF40E6" w:rsidP="00367A74">
            <w:pPr>
              <w:jc w:val="both"/>
              <w:rPr>
                <w:rFonts w:ascii="Arial Narrow" w:hAnsi="Arial Narrow" w:cs="Arial"/>
                <w:b/>
                <w:sz w:val="20"/>
                <w:szCs w:val="20"/>
              </w:rPr>
            </w:pP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Dental  </w:t>
            </w:r>
            <w:r w:rsidRPr="00E13C72">
              <w:rPr>
                <w:rFonts w:ascii="Arial Narrow" w:hAnsi="Arial Narrow" w:cs="Arial"/>
                <w:sz w:val="20"/>
                <w:szCs w:val="20"/>
              </w:rPr>
              <w:fldChar w:fldCharType="begin">
                <w:ffData>
                  <w:name w:val=""/>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Medical Practitioners  </w:t>
            </w: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 xml:space="preserve">Nurse practitioners  </w:t>
            </w: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Optometrists</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Midwives</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Severity:</w:t>
            </w: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Stage IV (metastatic)</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Condition:</w:t>
            </w: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non-small cell lung cancer</w:t>
            </w:r>
          </w:p>
        </w:tc>
      </w:tr>
      <w:tr w:rsidR="00EF40E6" w:rsidRPr="00E13C72" w:rsidTr="00E13C72">
        <w:trPr>
          <w:trHeight w:val="369"/>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PBS Indication:</w:t>
            </w:r>
          </w:p>
          <w:p w:rsidR="00EF40E6" w:rsidRPr="00E13C72" w:rsidRDefault="00EF40E6" w:rsidP="00367A74">
            <w:pPr>
              <w:jc w:val="both"/>
              <w:rPr>
                <w:rFonts w:ascii="Arial Narrow" w:hAnsi="Arial Narrow" w:cs="Arial"/>
                <w:i/>
                <w:sz w:val="20"/>
                <w:szCs w:val="20"/>
              </w:rPr>
            </w:pP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Stage IV (metastatic) non-small cell lung cancer</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Treatment phase:</w:t>
            </w: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Continuing treatment</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Restriction Level / Method:</w:t>
            </w: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p w:rsidR="00EF40E6" w:rsidRPr="00E13C72" w:rsidRDefault="00EF40E6" w:rsidP="00367A74">
            <w:pPr>
              <w:jc w:val="both"/>
              <w:rPr>
                <w:rFonts w:ascii="Arial Narrow" w:hAnsi="Arial Narrow" w:cs="Arial"/>
                <w:i/>
                <w:sz w:val="20"/>
                <w:szCs w:val="20"/>
              </w:rPr>
            </w:pP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1"/>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Restricted benefit</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In Writing</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3"/>
                  <w:enabled/>
                  <w:calcOnExit w:val="0"/>
                  <w:checkBox>
                    <w:sizeAuto/>
                    <w:default w:val="0"/>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Authority Required – Telephone/Electronic/Emergency</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fldChar w:fldCharType="begin">
                <w:ffData>
                  <w:name w:val="Check5"/>
                  <w:enabled/>
                  <w:calcOnExit w:val="0"/>
                  <w:checkBox>
                    <w:sizeAuto/>
                    <w:default w:val="1"/>
                  </w:checkBox>
                </w:ffData>
              </w:fldChar>
            </w:r>
            <w:r w:rsidRPr="00E13C72">
              <w:rPr>
                <w:rFonts w:ascii="Arial Narrow" w:hAnsi="Arial Narrow" w:cs="Arial"/>
                <w:sz w:val="20"/>
                <w:szCs w:val="20"/>
              </w:rPr>
              <w:instrText xml:space="preserve"> FORMCHECKBOX </w:instrText>
            </w:r>
            <w:r w:rsidR="00F45ED5">
              <w:rPr>
                <w:rFonts w:ascii="Arial Narrow" w:hAnsi="Arial Narrow" w:cs="Arial"/>
                <w:sz w:val="20"/>
                <w:szCs w:val="20"/>
              </w:rPr>
            </w:r>
            <w:r w:rsidR="00F45ED5">
              <w:rPr>
                <w:rFonts w:ascii="Arial Narrow" w:hAnsi="Arial Narrow" w:cs="Arial"/>
                <w:sz w:val="20"/>
                <w:szCs w:val="20"/>
              </w:rPr>
              <w:fldChar w:fldCharType="separate"/>
            </w:r>
            <w:r w:rsidRPr="00E13C72">
              <w:rPr>
                <w:rFonts w:ascii="Arial Narrow" w:hAnsi="Arial Narrow" w:cs="Arial"/>
                <w:sz w:val="20"/>
                <w:szCs w:val="20"/>
              </w:rPr>
              <w:fldChar w:fldCharType="end"/>
            </w:r>
            <w:r w:rsidRPr="00E13C72">
              <w:rPr>
                <w:rFonts w:ascii="Arial Narrow" w:hAnsi="Arial Narrow" w:cs="Arial"/>
                <w:sz w:val="20"/>
                <w:szCs w:val="20"/>
              </w:rPr>
              <w:t>Streamlined</w:t>
            </w:r>
          </w:p>
        </w:tc>
      </w:tr>
      <w:tr w:rsidR="00EF40E6" w:rsidRPr="00E13C72" w:rsidTr="00E13C72">
        <w:trPr>
          <w:trHeight w:val="657"/>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t>Clinical criteria:</w:t>
            </w:r>
          </w:p>
          <w:p w:rsidR="00EF40E6" w:rsidRPr="00E13C72" w:rsidRDefault="00EF40E6" w:rsidP="00367A74">
            <w:pPr>
              <w:rPr>
                <w:rFonts w:ascii="Arial Narrow" w:hAnsi="Arial Narrow" w:cs="Arial"/>
                <w:b/>
                <w:sz w:val="20"/>
                <w:szCs w:val="20"/>
              </w:rPr>
            </w:pP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iCs/>
              </w:rPr>
            </w:pPr>
            <w:r w:rsidRPr="00E13C72">
              <w:rPr>
                <w:rFonts w:ascii="Arial Narrow" w:hAnsi="Arial Narrow"/>
                <w:iCs/>
              </w:rPr>
              <w:t>Patient must have experienced intolerance to combination treatment with bevacizumab</w:t>
            </w:r>
            <w:r w:rsidR="00F172AF" w:rsidRPr="00E13C72">
              <w:rPr>
                <w:rFonts w:ascii="Arial Narrow" w:hAnsi="Arial Narrow"/>
                <w:iCs/>
              </w:rPr>
              <w:t>,</w:t>
            </w:r>
          </w:p>
          <w:p w:rsidR="00EF40E6" w:rsidRPr="00E13C72" w:rsidRDefault="00EF40E6" w:rsidP="00367A74">
            <w:pPr>
              <w:pStyle w:val="TableText1"/>
              <w:rPr>
                <w:rFonts w:ascii="Arial Narrow" w:hAnsi="Arial Narrow"/>
                <w:iCs/>
              </w:rPr>
            </w:pPr>
            <w:r w:rsidRPr="00E13C72">
              <w:rPr>
                <w:rFonts w:ascii="Arial Narrow" w:hAnsi="Arial Narrow"/>
                <w:iCs/>
              </w:rPr>
              <w:t xml:space="preserve">AND </w:t>
            </w:r>
          </w:p>
          <w:p w:rsidR="00EF40E6" w:rsidRPr="00E13C72" w:rsidRDefault="00EF40E6" w:rsidP="00367A74">
            <w:pPr>
              <w:pStyle w:val="TableText1"/>
              <w:rPr>
                <w:rFonts w:ascii="Arial Narrow" w:hAnsi="Arial Narrow"/>
              </w:rPr>
            </w:pPr>
            <w:r w:rsidRPr="00E13C72">
              <w:rPr>
                <w:rFonts w:ascii="Arial Narrow" w:hAnsi="Arial Narrow"/>
              </w:rPr>
              <w:t>Patient must have previously received PBS-subsidised treatment with this drug in this line of treatment,</w:t>
            </w:r>
          </w:p>
          <w:p w:rsidR="00EF40E6" w:rsidRPr="00E13C72" w:rsidRDefault="00EF40E6" w:rsidP="00367A74">
            <w:pPr>
              <w:pStyle w:val="TableText1"/>
              <w:rPr>
                <w:rFonts w:ascii="Arial Narrow" w:hAnsi="Arial Narrow"/>
              </w:rPr>
            </w:pPr>
            <w:r w:rsidRPr="00E13C72">
              <w:rPr>
                <w:rFonts w:ascii="Arial Narrow" w:hAnsi="Arial Narrow"/>
              </w:rPr>
              <w:t>AND</w:t>
            </w:r>
          </w:p>
          <w:p w:rsidR="00EF40E6" w:rsidRPr="00E13C72" w:rsidRDefault="00EF40E6" w:rsidP="00367A74">
            <w:pPr>
              <w:jc w:val="both"/>
              <w:rPr>
                <w:rFonts w:ascii="Arial Narrow" w:hAnsi="Arial Narrow"/>
                <w:sz w:val="20"/>
                <w:szCs w:val="20"/>
              </w:rPr>
            </w:pPr>
            <w:r w:rsidRPr="00E13C72">
              <w:rPr>
                <w:rFonts w:ascii="Arial Narrow" w:hAnsi="Arial Narrow"/>
                <w:sz w:val="20"/>
                <w:szCs w:val="20"/>
              </w:rPr>
              <w:t>Patient must ha</w:t>
            </w:r>
            <w:r w:rsidR="00F172AF" w:rsidRPr="00E13C72">
              <w:rPr>
                <w:rFonts w:ascii="Arial Narrow" w:hAnsi="Arial Narrow"/>
                <w:sz w:val="20"/>
                <w:szCs w:val="20"/>
              </w:rPr>
              <w:t>ve stable or responding disease,</w:t>
            </w:r>
          </w:p>
          <w:p w:rsidR="00EF40E6" w:rsidRPr="00E13C72" w:rsidRDefault="00EF40E6" w:rsidP="00367A74">
            <w:pPr>
              <w:jc w:val="both"/>
              <w:rPr>
                <w:rFonts w:ascii="Arial Narrow" w:hAnsi="Arial Narrow"/>
                <w:sz w:val="20"/>
                <w:szCs w:val="20"/>
              </w:rPr>
            </w:pPr>
            <w:r w:rsidRPr="00E13C72">
              <w:rPr>
                <w:rFonts w:ascii="Arial Narrow" w:hAnsi="Arial Narrow"/>
                <w:sz w:val="20"/>
                <w:szCs w:val="20"/>
              </w:rPr>
              <w:t>AND</w:t>
            </w:r>
          </w:p>
          <w:p w:rsidR="00EF40E6" w:rsidRPr="00E13C72" w:rsidRDefault="00EF40E6" w:rsidP="00367A74">
            <w:pPr>
              <w:jc w:val="both"/>
              <w:rPr>
                <w:rFonts w:ascii="Arial Narrow" w:hAnsi="Arial Narrow" w:cs="Arial"/>
                <w:sz w:val="20"/>
                <w:szCs w:val="20"/>
              </w:rPr>
            </w:pPr>
            <w:r w:rsidRPr="00E13C72">
              <w:rPr>
                <w:rFonts w:ascii="Arial Narrow" w:hAnsi="Arial Narrow" w:cs="Arial"/>
                <w:sz w:val="20"/>
                <w:szCs w:val="20"/>
              </w:rPr>
              <w:t xml:space="preserve">The treatment must be the sole PBS subsidised treatment for this condition under this restriction. </w:t>
            </w:r>
          </w:p>
        </w:tc>
      </w:tr>
      <w:tr w:rsidR="00EF40E6" w:rsidRPr="00E13C72" w:rsidTr="00E13C72">
        <w:trPr>
          <w:trHeight w:val="360"/>
        </w:trPr>
        <w:tc>
          <w:tcPr>
            <w:tcW w:w="1538" w:type="pct"/>
            <w:tcBorders>
              <w:top w:val="single" w:sz="4" w:space="0" w:color="auto"/>
              <w:left w:val="single" w:sz="4" w:space="0" w:color="auto"/>
              <w:bottom w:val="single" w:sz="4" w:space="0" w:color="auto"/>
              <w:right w:val="single" w:sz="4" w:space="0" w:color="auto"/>
            </w:tcBorders>
          </w:tcPr>
          <w:p w:rsidR="00EF40E6" w:rsidRPr="00E13C72" w:rsidRDefault="00EF40E6" w:rsidP="00367A74">
            <w:pPr>
              <w:jc w:val="both"/>
              <w:rPr>
                <w:rFonts w:ascii="Arial Narrow" w:hAnsi="Arial Narrow" w:cs="Arial"/>
                <w:b/>
                <w:sz w:val="20"/>
                <w:szCs w:val="20"/>
              </w:rPr>
            </w:pPr>
            <w:r w:rsidRPr="00E13C72">
              <w:rPr>
                <w:rFonts w:ascii="Arial Narrow" w:hAnsi="Arial Narrow" w:cs="Arial"/>
                <w:b/>
                <w:sz w:val="20"/>
                <w:szCs w:val="20"/>
              </w:rPr>
              <w:lastRenderedPageBreak/>
              <w:t>Administrative Advice:</w:t>
            </w:r>
          </w:p>
          <w:p w:rsidR="00EF40E6" w:rsidRPr="00E13C72" w:rsidRDefault="00EF40E6" w:rsidP="00367A74">
            <w:pPr>
              <w:jc w:val="both"/>
              <w:rPr>
                <w:rFonts w:ascii="Arial Narrow" w:hAnsi="Arial Narrow" w:cs="Arial"/>
                <w:i/>
                <w:sz w:val="20"/>
                <w:szCs w:val="20"/>
              </w:rPr>
            </w:pPr>
          </w:p>
        </w:tc>
        <w:tc>
          <w:tcPr>
            <w:tcW w:w="3462" w:type="pct"/>
            <w:gridSpan w:val="4"/>
            <w:tcBorders>
              <w:top w:val="single" w:sz="4" w:space="0" w:color="auto"/>
              <w:left w:val="single" w:sz="4" w:space="0" w:color="auto"/>
              <w:bottom w:val="single" w:sz="4" w:space="0" w:color="auto"/>
              <w:right w:val="single" w:sz="4" w:space="0" w:color="auto"/>
            </w:tcBorders>
          </w:tcPr>
          <w:p w:rsidR="00EF40E6" w:rsidRPr="00E13C72" w:rsidRDefault="00EF40E6" w:rsidP="00367A74">
            <w:pPr>
              <w:pStyle w:val="TableText1"/>
              <w:rPr>
                <w:rFonts w:ascii="Arial Narrow" w:hAnsi="Arial Narrow"/>
              </w:rPr>
            </w:pPr>
            <w:r w:rsidRPr="00E13C72">
              <w:rPr>
                <w:rFonts w:ascii="Arial Narrow" w:hAnsi="Arial Narrow"/>
              </w:rPr>
              <w:t>No increase in the maximum number of repeats may be authorised.</w:t>
            </w:r>
          </w:p>
          <w:p w:rsidR="00EF40E6" w:rsidRPr="00E13C72" w:rsidRDefault="00EF40E6" w:rsidP="00367A74">
            <w:pPr>
              <w:pStyle w:val="TableText1"/>
              <w:rPr>
                <w:rFonts w:ascii="Arial Narrow" w:hAnsi="Arial Narrow"/>
              </w:rPr>
            </w:pPr>
          </w:p>
          <w:p w:rsidR="00EF40E6" w:rsidRPr="00E13C72" w:rsidRDefault="00EF40E6" w:rsidP="00367A74">
            <w:pPr>
              <w:jc w:val="both"/>
              <w:rPr>
                <w:rFonts w:ascii="Arial Narrow" w:hAnsi="Arial Narrow" w:cs="Arial"/>
                <w:sz w:val="20"/>
                <w:szCs w:val="20"/>
              </w:rPr>
            </w:pPr>
            <w:r w:rsidRPr="00E13C72">
              <w:rPr>
                <w:rFonts w:ascii="Arial Narrow" w:hAnsi="Arial Narrow"/>
                <w:sz w:val="20"/>
                <w:szCs w:val="20"/>
              </w:rPr>
              <w:t>Special Pricing Arrangements apply.</w:t>
            </w:r>
          </w:p>
        </w:tc>
      </w:tr>
    </w:tbl>
    <w:p w:rsidR="001C3687" w:rsidRPr="00011ED1" w:rsidRDefault="001C3687" w:rsidP="00367A74">
      <w:pPr>
        <w:ind w:firstLine="720"/>
        <w:jc w:val="both"/>
        <w:rPr>
          <w:rFonts w:asciiTheme="minorHAnsi" w:hAnsiTheme="minorHAnsi" w:cs="Arial"/>
          <w:bCs/>
          <w:snapToGrid w:val="0"/>
        </w:rPr>
      </w:pPr>
    </w:p>
    <w:p w:rsidR="000C0ADD" w:rsidRDefault="000C0ADD" w:rsidP="00367A74">
      <w:pPr>
        <w:pStyle w:val="3Bodytext"/>
        <w:numPr>
          <w:ilvl w:val="0"/>
          <w:numId w:val="0"/>
        </w:numPr>
        <w:rPr>
          <w:i/>
        </w:rPr>
      </w:pPr>
      <w:r w:rsidRPr="000C0ADD">
        <w:rPr>
          <w:i/>
        </w:rPr>
        <w:t>This restriction may be subject to further review. Should there be any changes made to the restriction the Sponsor will be informed.</w:t>
      </w:r>
    </w:p>
    <w:p w:rsidR="00B70C2F" w:rsidRDefault="00B70C2F" w:rsidP="00B70C2F">
      <w:pPr>
        <w:pStyle w:val="2Sections"/>
        <w:numPr>
          <w:ilvl w:val="0"/>
          <w:numId w:val="1"/>
        </w:numPr>
        <w:rPr>
          <w:rFonts w:cstheme="minorHAnsi"/>
        </w:rPr>
      </w:pPr>
      <w:r>
        <w:t xml:space="preserve">Context for Decision </w:t>
      </w:r>
    </w:p>
    <w:p w:rsidR="00C17895" w:rsidRPr="00C17895" w:rsidRDefault="00C17895" w:rsidP="00C17895">
      <w:pPr>
        <w:pStyle w:val="3Bodytext"/>
        <w:numPr>
          <w:ilvl w:val="0"/>
          <w:numId w:val="0"/>
        </w:numPr>
        <w:jc w:val="both"/>
        <w:rPr>
          <w:rFonts w:cs="Arial"/>
          <w:bCs/>
          <w:lang w:eastAsia="en-US"/>
        </w:rPr>
      </w:pPr>
      <w:r w:rsidRPr="00C17895">
        <w:rPr>
          <w:rFonts w:cs="Arial"/>
          <w:bCs/>
          <w:lang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70C2F" w:rsidRPr="00D53BD3" w:rsidRDefault="00B70C2F" w:rsidP="00B70C2F">
      <w:pPr>
        <w:pStyle w:val="2Sections"/>
        <w:numPr>
          <w:ilvl w:val="0"/>
          <w:numId w:val="1"/>
        </w:numPr>
      </w:pPr>
      <w:r w:rsidRPr="00D53BD3">
        <w:t>Sponsor’s Comment</w:t>
      </w:r>
    </w:p>
    <w:p w:rsidR="00B70C2F" w:rsidRPr="000C0ADD" w:rsidRDefault="00B70C2F" w:rsidP="00B70C2F">
      <w:pPr>
        <w:pStyle w:val="3Bodytext"/>
        <w:numPr>
          <w:ilvl w:val="0"/>
          <w:numId w:val="0"/>
        </w:numPr>
        <w:rPr>
          <w:i/>
        </w:rPr>
      </w:pPr>
      <w:r w:rsidRPr="00D53BD3">
        <w:rPr>
          <w:rFonts w:cs="Arial"/>
          <w:bCs/>
          <w:lang w:eastAsia="en-US"/>
        </w:rPr>
        <w:t>The sponsor had no comment</w:t>
      </w:r>
      <w:r w:rsidR="00C17895">
        <w:rPr>
          <w:rFonts w:cs="Arial"/>
          <w:bCs/>
          <w:lang w:eastAsia="en-US"/>
        </w:rPr>
        <w:t>.</w:t>
      </w:r>
    </w:p>
    <w:sectPr w:rsidR="00B70C2F" w:rsidRPr="000C0ADD" w:rsidSect="00C27B5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D5" w:rsidRDefault="00F45ED5">
      <w:r>
        <w:separator/>
      </w:r>
    </w:p>
    <w:p w:rsidR="00F45ED5" w:rsidRDefault="00F45ED5"/>
  </w:endnote>
  <w:endnote w:type="continuationSeparator" w:id="0">
    <w:p w:rsidR="00F45ED5" w:rsidRDefault="00F45ED5">
      <w:r>
        <w:continuationSeparator/>
      </w:r>
    </w:p>
    <w:p w:rsidR="00F45ED5" w:rsidRDefault="00F45ED5"/>
  </w:endnote>
  <w:endnote w:type="continuationNotice" w:id="1">
    <w:p w:rsidR="00F45ED5" w:rsidRDefault="00F4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A067C" w:rsidTr="005A3173">
      <w:trPr>
        <w:trHeight w:val="151"/>
      </w:trPr>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067C" w:rsidRPr="005A3173" w:rsidRDefault="000A067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r>
    <w:tr w:rsidR="000A067C" w:rsidTr="005A3173">
      <w:trPr>
        <w:trHeight w:val="150"/>
      </w:trPr>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0" w:type="auto"/>
          <w:vMerge/>
          <w:vAlign w:val="center"/>
          <w:hideMark/>
        </w:tcPr>
        <w:p w:rsidR="000A067C" w:rsidRPr="005A3173" w:rsidRDefault="000A067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r>
  </w:tbl>
  <w:p w:rsidR="000A067C" w:rsidRDefault="000A067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67C" w:rsidRDefault="000A067C">
    <w:pPr>
      <w:pStyle w:val="Footer"/>
    </w:pPr>
  </w:p>
  <w:p w:rsidR="000A067C" w:rsidRDefault="000A06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C" w:rsidRPr="00733053" w:rsidRDefault="000A067C">
    <w:pPr>
      <w:pStyle w:val="Footer"/>
      <w:jc w:val="center"/>
      <w:rPr>
        <w:rFonts w:asciiTheme="minorHAnsi" w:hAnsiTheme="minorHAnsi" w:cstheme="minorHAnsi"/>
        <w:caps/>
        <w:color w:val="4F81BD" w:themeColor="accent1"/>
      </w:rPr>
    </w:pPr>
  </w:p>
  <w:p w:rsidR="000A067C" w:rsidRPr="00733053" w:rsidRDefault="000A067C">
    <w:pPr>
      <w:pStyle w:val="Footer"/>
      <w:jc w:val="center"/>
      <w:rPr>
        <w:rFonts w:asciiTheme="minorHAnsi" w:hAnsiTheme="minorHAnsi" w:cstheme="minorHAnsi"/>
        <w:b/>
        <w:bCs/>
        <w:caps/>
        <w:noProof/>
      </w:rPr>
    </w:pPr>
    <w:r w:rsidRPr="00733053">
      <w:rPr>
        <w:rFonts w:asciiTheme="minorHAnsi" w:hAnsiTheme="minorHAnsi" w:cstheme="minorHAnsi"/>
        <w:b/>
        <w:bCs/>
        <w:caps/>
      </w:rPr>
      <w:fldChar w:fldCharType="begin"/>
    </w:r>
    <w:r w:rsidRPr="00733053">
      <w:rPr>
        <w:rFonts w:asciiTheme="minorHAnsi" w:hAnsiTheme="minorHAnsi" w:cstheme="minorHAnsi"/>
        <w:b/>
        <w:bCs/>
        <w:caps/>
      </w:rPr>
      <w:instrText xml:space="preserve"> PAGE   \* MERGEFORMAT </w:instrText>
    </w:r>
    <w:r w:rsidRPr="00733053">
      <w:rPr>
        <w:rFonts w:asciiTheme="minorHAnsi" w:hAnsiTheme="minorHAnsi" w:cstheme="minorHAnsi"/>
        <w:b/>
        <w:bCs/>
        <w:caps/>
      </w:rPr>
      <w:fldChar w:fldCharType="separate"/>
    </w:r>
    <w:r w:rsidR="00F45ED5">
      <w:rPr>
        <w:rFonts w:asciiTheme="minorHAnsi" w:hAnsiTheme="minorHAnsi" w:cstheme="minorHAnsi"/>
        <w:b/>
        <w:bCs/>
        <w:caps/>
        <w:noProof/>
      </w:rPr>
      <w:t>1</w:t>
    </w:r>
    <w:r w:rsidRPr="00733053">
      <w:rPr>
        <w:rFonts w:asciiTheme="minorHAnsi" w:hAnsiTheme="minorHAnsi" w:cstheme="minorHAnsi"/>
        <w:b/>
        <w:bCs/>
        <w:caps/>
        <w:noProof/>
      </w:rPr>
      <w:fldChar w:fldCharType="end"/>
    </w:r>
  </w:p>
  <w:p w:rsidR="000A067C" w:rsidRPr="00733053" w:rsidRDefault="000A067C" w:rsidP="00E2723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A067C" w:rsidTr="005A3173">
      <w:trPr>
        <w:trHeight w:val="151"/>
      </w:trPr>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067C" w:rsidRPr="005A3173" w:rsidRDefault="000A067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r>
    <w:tr w:rsidR="000A067C" w:rsidTr="005A3173">
      <w:trPr>
        <w:trHeight w:val="150"/>
      </w:trPr>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0" w:type="auto"/>
          <w:vMerge/>
          <w:vAlign w:val="center"/>
          <w:hideMark/>
        </w:tcPr>
        <w:p w:rsidR="000A067C" w:rsidRPr="005A3173" w:rsidRDefault="000A067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A067C" w:rsidTr="005A3173">
      <w:trPr>
        <w:trHeight w:val="151"/>
      </w:trPr>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A067C" w:rsidRPr="005A3173" w:rsidRDefault="000A067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A067C" w:rsidRPr="005A3173" w:rsidRDefault="000A067C" w:rsidP="005A3173">
          <w:pPr>
            <w:pStyle w:val="Header"/>
            <w:spacing w:line="276" w:lineRule="auto"/>
            <w:rPr>
              <w:rFonts w:ascii="Calibri" w:eastAsia="MS Gothic" w:hAnsi="Calibri"/>
              <w:b/>
              <w:bCs/>
              <w:color w:val="4F81BD"/>
            </w:rPr>
          </w:pPr>
        </w:p>
      </w:tc>
    </w:tr>
    <w:tr w:rsidR="000A067C" w:rsidTr="005A3173">
      <w:trPr>
        <w:trHeight w:val="150"/>
      </w:trPr>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c>
        <w:tcPr>
          <w:tcW w:w="0" w:type="auto"/>
          <w:vMerge/>
          <w:vAlign w:val="center"/>
          <w:hideMark/>
        </w:tcPr>
        <w:p w:rsidR="000A067C" w:rsidRPr="005A3173" w:rsidRDefault="000A067C" w:rsidP="005A3173">
          <w:pPr>
            <w:rPr>
              <w:rFonts w:ascii="Calibri" w:hAnsi="Calibri"/>
              <w:color w:val="365F91"/>
              <w:sz w:val="22"/>
              <w:szCs w:val="22"/>
            </w:rPr>
          </w:pPr>
        </w:p>
      </w:tc>
      <w:tc>
        <w:tcPr>
          <w:tcW w:w="2250" w:type="pct"/>
          <w:tcBorders>
            <w:top w:val="single" w:sz="4" w:space="0" w:color="4F81BD"/>
            <w:left w:val="nil"/>
            <w:bottom w:val="nil"/>
            <w:right w:val="nil"/>
          </w:tcBorders>
        </w:tcPr>
        <w:p w:rsidR="000A067C" w:rsidRPr="005A3173" w:rsidRDefault="000A067C" w:rsidP="005A3173">
          <w:pPr>
            <w:pStyle w:val="Header"/>
            <w:spacing w:line="276" w:lineRule="auto"/>
            <w:rPr>
              <w:rFonts w:ascii="Calibri" w:eastAsia="MS Gothic" w:hAnsi="Calibri"/>
              <w:b/>
              <w:bCs/>
              <w:color w:val="4F81BD"/>
            </w:rPr>
          </w:pPr>
        </w:p>
      </w:tc>
    </w:tr>
  </w:tbl>
  <w:p w:rsidR="000A067C" w:rsidRPr="007C0F57" w:rsidRDefault="000A067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A067C" w:rsidRPr="007C0F57" w:rsidRDefault="000A067C" w:rsidP="007C0F57">
    <w:pPr>
      <w:pStyle w:val="Footer"/>
      <w:jc w:val="center"/>
      <w:rPr>
        <w:b/>
        <w:i/>
        <w:sz w:val="20"/>
        <w:szCs w:val="20"/>
      </w:rPr>
    </w:pPr>
    <w:r w:rsidRPr="007C0F57">
      <w:rPr>
        <w:b/>
        <w:i/>
        <w:sz w:val="20"/>
        <w:szCs w:val="20"/>
      </w:rPr>
      <w:t>Commercial-in-Confidence</w:t>
    </w:r>
  </w:p>
  <w:p w:rsidR="000A067C" w:rsidRDefault="000A06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D5" w:rsidRDefault="00F45ED5">
      <w:r>
        <w:separator/>
      </w:r>
    </w:p>
    <w:p w:rsidR="00F45ED5" w:rsidRDefault="00F45ED5"/>
  </w:footnote>
  <w:footnote w:type="continuationSeparator" w:id="0">
    <w:p w:rsidR="00F45ED5" w:rsidRDefault="00F45ED5">
      <w:r>
        <w:continuationSeparator/>
      </w:r>
    </w:p>
    <w:p w:rsidR="00F45ED5" w:rsidRDefault="00F45ED5"/>
  </w:footnote>
  <w:footnote w:type="continuationNotice" w:id="1">
    <w:p w:rsidR="00F45ED5" w:rsidRDefault="00F45ED5"/>
  </w:footnote>
  <w:footnote w:id="2">
    <w:p w:rsidR="000A067C" w:rsidRPr="00C07181" w:rsidRDefault="000A067C">
      <w:pPr>
        <w:pStyle w:val="FootnoteText"/>
        <w:rPr>
          <w:rFonts w:ascii="Arial Narrow" w:hAnsi="Arial Narrow"/>
          <w:sz w:val="18"/>
          <w:szCs w:val="18"/>
        </w:rPr>
      </w:pPr>
      <w:r w:rsidRPr="00C07181">
        <w:rPr>
          <w:rStyle w:val="FootnoteReference"/>
          <w:rFonts w:ascii="Arial Narrow" w:hAnsi="Arial Narrow"/>
          <w:sz w:val="18"/>
          <w:szCs w:val="18"/>
        </w:rPr>
        <w:footnoteRef/>
      </w:r>
      <w:r w:rsidRPr="00C07181">
        <w:rPr>
          <w:rFonts w:ascii="Arial Narrow" w:hAnsi="Arial Narrow"/>
          <w:sz w:val="18"/>
          <w:szCs w:val="18"/>
        </w:rPr>
        <w:t xml:space="preserve"> maximum of simulated concentrations</w:t>
      </w:r>
    </w:p>
  </w:footnote>
  <w:footnote w:id="3">
    <w:p w:rsidR="000A067C" w:rsidRPr="00C07181" w:rsidRDefault="000A067C">
      <w:pPr>
        <w:pStyle w:val="FootnoteText"/>
        <w:rPr>
          <w:rFonts w:ascii="Arial Narrow" w:hAnsi="Arial Narrow"/>
          <w:sz w:val="18"/>
          <w:szCs w:val="18"/>
        </w:rPr>
      </w:pPr>
      <w:r w:rsidRPr="00C07181">
        <w:rPr>
          <w:rStyle w:val="FootnoteReference"/>
          <w:rFonts w:ascii="Arial Narrow" w:hAnsi="Arial Narrow"/>
          <w:sz w:val="18"/>
          <w:szCs w:val="18"/>
        </w:rPr>
        <w:footnoteRef/>
      </w:r>
      <w:r w:rsidRPr="00C07181">
        <w:rPr>
          <w:rFonts w:ascii="Arial Narrow" w:hAnsi="Arial Narrow"/>
          <w:sz w:val="18"/>
          <w:szCs w:val="18"/>
        </w:rPr>
        <w:t xml:space="preserve"> minimum of simulated concentrations</w:t>
      </w:r>
    </w:p>
  </w:footnote>
  <w:footnote w:id="4">
    <w:p w:rsidR="000A067C" w:rsidRPr="00C07181" w:rsidRDefault="000A067C">
      <w:pPr>
        <w:pStyle w:val="FootnoteText"/>
        <w:rPr>
          <w:rFonts w:ascii="Arial Narrow" w:hAnsi="Arial Narrow"/>
          <w:sz w:val="18"/>
          <w:szCs w:val="18"/>
        </w:rPr>
      </w:pPr>
      <w:r w:rsidRPr="00C07181">
        <w:rPr>
          <w:rStyle w:val="FootnoteReference"/>
          <w:rFonts w:ascii="Arial Narrow" w:hAnsi="Arial Narrow"/>
          <w:sz w:val="18"/>
          <w:szCs w:val="18"/>
        </w:rPr>
        <w:footnoteRef/>
      </w:r>
      <w:r w:rsidRPr="00C07181">
        <w:rPr>
          <w:rFonts w:ascii="Arial Narrow" w:hAnsi="Arial Narrow"/>
          <w:sz w:val="18"/>
          <w:szCs w:val="18"/>
        </w:rPr>
        <w:t xml:space="preserve"> area under the serum concentration-time curve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A067C" w:rsidRPr="008E0D90" w:rsidTr="00A06225">
      <w:trPr>
        <w:trHeight w:val="151"/>
      </w:trPr>
      <w:tc>
        <w:tcPr>
          <w:tcW w:w="2389" w:type="pct"/>
          <w:tcBorders>
            <w:top w:val="nil"/>
            <w:left w:val="nil"/>
            <w:bottom w:val="single" w:sz="4" w:space="0" w:color="4F81BD"/>
            <w:right w:val="nil"/>
          </w:tcBorders>
        </w:tcPr>
        <w:p w:rsidR="000A067C" w:rsidRPr="00A06225" w:rsidRDefault="000A067C">
          <w:pPr>
            <w:pStyle w:val="Header"/>
            <w:spacing w:line="276" w:lineRule="auto"/>
            <w:rPr>
              <w:rFonts w:ascii="Cambria" w:eastAsia="MS Gothic" w:hAnsi="Cambria"/>
              <w:b/>
              <w:bCs/>
              <w:color w:val="4F81BD"/>
            </w:rPr>
          </w:pPr>
        </w:p>
      </w:tc>
      <w:tc>
        <w:tcPr>
          <w:tcW w:w="333" w:type="pct"/>
          <w:vMerge w:val="restart"/>
          <w:noWrap/>
          <w:vAlign w:val="center"/>
          <w:hideMark/>
        </w:tcPr>
        <w:p w:rsidR="000A067C" w:rsidRPr="00A06225" w:rsidRDefault="000A067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A067C" w:rsidRPr="00A06225" w:rsidRDefault="000A067C">
          <w:pPr>
            <w:pStyle w:val="Header"/>
            <w:spacing w:line="276" w:lineRule="auto"/>
            <w:rPr>
              <w:rFonts w:ascii="Cambria" w:eastAsia="MS Gothic" w:hAnsi="Cambria"/>
              <w:b/>
              <w:bCs/>
              <w:color w:val="4F81BD"/>
            </w:rPr>
          </w:pPr>
        </w:p>
      </w:tc>
    </w:tr>
    <w:tr w:rsidR="000A067C" w:rsidRPr="008E0D90" w:rsidTr="00A06225">
      <w:trPr>
        <w:trHeight w:val="150"/>
      </w:trPr>
      <w:tc>
        <w:tcPr>
          <w:tcW w:w="2389" w:type="pct"/>
          <w:tcBorders>
            <w:top w:val="single" w:sz="4" w:space="0" w:color="4F81BD"/>
            <w:left w:val="nil"/>
            <w:bottom w:val="nil"/>
            <w:right w:val="nil"/>
          </w:tcBorders>
        </w:tcPr>
        <w:p w:rsidR="000A067C" w:rsidRPr="00A06225" w:rsidRDefault="000A067C">
          <w:pPr>
            <w:pStyle w:val="Header"/>
            <w:spacing w:line="276" w:lineRule="auto"/>
            <w:rPr>
              <w:rFonts w:ascii="Cambria" w:eastAsia="MS Gothic" w:hAnsi="Cambria"/>
              <w:b/>
              <w:bCs/>
              <w:color w:val="4F81BD"/>
            </w:rPr>
          </w:pPr>
        </w:p>
      </w:tc>
      <w:tc>
        <w:tcPr>
          <w:tcW w:w="0" w:type="auto"/>
          <w:vMerge/>
          <w:vAlign w:val="center"/>
          <w:hideMark/>
        </w:tcPr>
        <w:p w:rsidR="000A067C" w:rsidRPr="00A06225" w:rsidRDefault="000A067C">
          <w:pPr>
            <w:rPr>
              <w:rFonts w:ascii="Cambria" w:hAnsi="Cambria"/>
              <w:color w:val="4F81BD"/>
              <w:sz w:val="22"/>
              <w:szCs w:val="22"/>
            </w:rPr>
          </w:pPr>
        </w:p>
      </w:tc>
      <w:tc>
        <w:tcPr>
          <w:tcW w:w="2278" w:type="pct"/>
          <w:tcBorders>
            <w:top w:val="single" w:sz="4" w:space="0" w:color="4F81BD"/>
            <w:left w:val="nil"/>
            <w:bottom w:val="nil"/>
            <w:right w:val="nil"/>
          </w:tcBorders>
        </w:tcPr>
        <w:p w:rsidR="000A067C" w:rsidRPr="00A06225" w:rsidRDefault="000A067C">
          <w:pPr>
            <w:pStyle w:val="Header"/>
            <w:spacing w:line="276" w:lineRule="auto"/>
            <w:rPr>
              <w:rFonts w:ascii="Cambria" w:eastAsia="MS Gothic" w:hAnsi="Cambria"/>
              <w:b/>
              <w:bCs/>
              <w:color w:val="4F81BD"/>
            </w:rPr>
          </w:pPr>
        </w:p>
      </w:tc>
    </w:tr>
  </w:tbl>
  <w:p w:rsidR="000A067C" w:rsidRDefault="000A067C">
    <w:pPr>
      <w:pStyle w:val="Header"/>
    </w:pPr>
  </w:p>
  <w:p w:rsidR="000A067C" w:rsidRDefault="000A06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7C" w:rsidRPr="0035465F" w:rsidRDefault="000A067C" w:rsidP="004B66C6">
    <w:pPr>
      <w:pStyle w:val="NoSpacing"/>
      <w:jc w:val="center"/>
      <w:rPr>
        <w:rFonts w:asciiTheme="minorHAnsi" w:hAnsiTheme="minorHAnsi" w:cstheme="minorHAnsi"/>
        <w:i/>
        <w:iCs/>
        <w:sz w:val="24"/>
        <w:szCs w:val="24"/>
      </w:rPr>
    </w:pPr>
    <w:r>
      <w:rPr>
        <w:rFonts w:asciiTheme="minorHAnsi" w:hAnsiTheme="minorHAnsi" w:cstheme="minorHAnsi"/>
        <w:i/>
        <w:iCs/>
        <w:sz w:val="24"/>
        <w:szCs w:val="24"/>
      </w:rPr>
      <w:t>Public Summary Document</w:t>
    </w:r>
    <w:r w:rsidRPr="0035465F">
      <w:rPr>
        <w:rFonts w:asciiTheme="minorHAnsi" w:hAnsiTheme="minorHAnsi" w:cstheme="minorHAnsi"/>
        <w:i/>
        <w:iCs/>
        <w:sz w:val="24"/>
        <w:szCs w:val="24"/>
      </w:rPr>
      <w:t xml:space="preserve"> – November 2019 PBAC Meeting</w:t>
    </w:r>
  </w:p>
  <w:p w:rsidR="000A067C" w:rsidRPr="0035465F" w:rsidRDefault="000A067C" w:rsidP="00B70C2F">
    <w:pPr>
      <w:pStyle w:val="NoSpacing"/>
      <w:rPr>
        <w:rFonts w:asciiTheme="minorHAnsi" w:hAnsiTheme="minorHAnsi" w:cstheme="minorHAnsi"/>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029" w:rsidRDefault="00C07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04A9A"/>
    <w:multiLevelType w:val="hybridMultilevel"/>
    <w:tmpl w:val="7F5088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A2839BD"/>
    <w:multiLevelType w:val="hybridMultilevel"/>
    <w:tmpl w:val="72B61E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BDE780F"/>
    <w:multiLevelType w:val="hybridMultilevel"/>
    <w:tmpl w:val="D494BB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DD6D9D"/>
    <w:multiLevelType w:val="hybridMultilevel"/>
    <w:tmpl w:val="B88E9E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84D033C"/>
    <w:multiLevelType w:val="multilevel"/>
    <w:tmpl w:val="9DD2F86A"/>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FEB4059"/>
    <w:multiLevelType w:val="hybridMultilevel"/>
    <w:tmpl w:val="BEA207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5"/>
  </w:num>
  <w:num w:numId="4">
    <w:abstractNumId w:val="12"/>
  </w:num>
  <w:num w:numId="5">
    <w:abstractNumId w:val="9"/>
  </w:num>
  <w:num w:numId="6">
    <w:abstractNumId w:val="8"/>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15"/>
  </w:num>
  <w:num w:numId="11">
    <w:abstractNumId w:val="14"/>
  </w:num>
  <w:num w:numId="12">
    <w:abstractNumId w:val="3"/>
  </w:num>
  <w:num w:numId="13">
    <w:abstractNumId w:val="13"/>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1"/>
  </w:num>
  <w:num w:numId="24">
    <w:abstractNumId w:val="2"/>
  </w:num>
  <w:num w:numId="25">
    <w:abstractNumId w:val="1"/>
  </w:num>
  <w:num w:numId="26">
    <w:abstractNumId w:val="6"/>
  </w:num>
  <w:num w:numId="27">
    <w:abstractNumId w:val="7"/>
  </w:num>
  <w:num w:numId="28">
    <w:abstractNumId w:val="5"/>
  </w:num>
  <w:num w:numId="29">
    <w:abstractNumId w:val="15"/>
  </w:num>
  <w:num w:numId="30">
    <w:abstractNumId w:val="10"/>
  </w:num>
  <w:num w:numId="31">
    <w:abstractNumId w:val="15"/>
  </w:num>
  <w:num w:numId="32">
    <w:abstractNumId w:val="15"/>
  </w:num>
  <w:num w:numId="33">
    <w:abstractNumId w:val="15"/>
  </w:num>
  <w:num w:numId="3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2789"/>
    <w:rsid w:val="0000335D"/>
    <w:rsid w:val="0000380E"/>
    <w:rsid w:val="00005F1B"/>
    <w:rsid w:val="00010653"/>
    <w:rsid w:val="00011A59"/>
    <w:rsid w:val="00011ED1"/>
    <w:rsid w:val="0001238B"/>
    <w:rsid w:val="00012F74"/>
    <w:rsid w:val="00013895"/>
    <w:rsid w:val="000151A4"/>
    <w:rsid w:val="0001669C"/>
    <w:rsid w:val="00016A41"/>
    <w:rsid w:val="000213EB"/>
    <w:rsid w:val="000214D1"/>
    <w:rsid w:val="0002464A"/>
    <w:rsid w:val="0002487D"/>
    <w:rsid w:val="00024BDD"/>
    <w:rsid w:val="00024C00"/>
    <w:rsid w:val="00026A85"/>
    <w:rsid w:val="00027C80"/>
    <w:rsid w:val="0003106B"/>
    <w:rsid w:val="000334C4"/>
    <w:rsid w:val="00034905"/>
    <w:rsid w:val="0003494D"/>
    <w:rsid w:val="00035B82"/>
    <w:rsid w:val="00035EB3"/>
    <w:rsid w:val="00040DD5"/>
    <w:rsid w:val="000421A1"/>
    <w:rsid w:val="0004240E"/>
    <w:rsid w:val="00043ED4"/>
    <w:rsid w:val="000440AD"/>
    <w:rsid w:val="00044613"/>
    <w:rsid w:val="00044CE1"/>
    <w:rsid w:val="00044FC1"/>
    <w:rsid w:val="00045E26"/>
    <w:rsid w:val="000466FE"/>
    <w:rsid w:val="000514B5"/>
    <w:rsid w:val="0005621A"/>
    <w:rsid w:val="000563E9"/>
    <w:rsid w:val="00060A12"/>
    <w:rsid w:val="00060E64"/>
    <w:rsid w:val="00060ED2"/>
    <w:rsid w:val="00064F3F"/>
    <w:rsid w:val="00065F5A"/>
    <w:rsid w:val="00066755"/>
    <w:rsid w:val="00070CC9"/>
    <w:rsid w:val="00071CFE"/>
    <w:rsid w:val="000763D5"/>
    <w:rsid w:val="00077143"/>
    <w:rsid w:val="0007778B"/>
    <w:rsid w:val="0008018D"/>
    <w:rsid w:val="00082169"/>
    <w:rsid w:val="000847B5"/>
    <w:rsid w:val="000918CB"/>
    <w:rsid w:val="00091B06"/>
    <w:rsid w:val="000951C4"/>
    <w:rsid w:val="00095ADA"/>
    <w:rsid w:val="000969AD"/>
    <w:rsid w:val="000A067C"/>
    <w:rsid w:val="000A1587"/>
    <w:rsid w:val="000A2ADB"/>
    <w:rsid w:val="000A3AA2"/>
    <w:rsid w:val="000A3BA7"/>
    <w:rsid w:val="000A4284"/>
    <w:rsid w:val="000A44B2"/>
    <w:rsid w:val="000A55D8"/>
    <w:rsid w:val="000B30CA"/>
    <w:rsid w:val="000B44C3"/>
    <w:rsid w:val="000B52CC"/>
    <w:rsid w:val="000B558D"/>
    <w:rsid w:val="000C02DF"/>
    <w:rsid w:val="000C03D4"/>
    <w:rsid w:val="000C0ADD"/>
    <w:rsid w:val="000C162A"/>
    <w:rsid w:val="000C2DB0"/>
    <w:rsid w:val="000C48C6"/>
    <w:rsid w:val="000C5E19"/>
    <w:rsid w:val="000C5F79"/>
    <w:rsid w:val="000C5F95"/>
    <w:rsid w:val="000C6996"/>
    <w:rsid w:val="000D09E9"/>
    <w:rsid w:val="000D23BA"/>
    <w:rsid w:val="000D5D31"/>
    <w:rsid w:val="000D5FBE"/>
    <w:rsid w:val="000D6B37"/>
    <w:rsid w:val="000E0486"/>
    <w:rsid w:val="000E1D03"/>
    <w:rsid w:val="000E27C1"/>
    <w:rsid w:val="000E3660"/>
    <w:rsid w:val="000E681E"/>
    <w:rsid w:val="000F0003"/>
    <w:rsid w:val="000F0582"/>
    <w:rsid w:val="000F2681"/>
    <w:rsid w:val="000F27D9"/>
    <w:rsid w:val="000F3384"/>
    <w:rsid w:val="000F4E6A"/>
    <w:rsid w:val="000F5347"/>
    <w:rsid w:val="000F7354"/>
    <w:rsid w:val="000F78FD"/>
    <w:rsid w:val="000F7B9A"/>
    <w:rsid w:val="0010101F"/>
    <w:rsid w:val="001016E9"/>
    <w:rsid w:val="00102202"/>
    <w:rsid w:val="00104227"/>
    <w:rsid w:val="00104A43"/>
    <w:rsid w:val="001055FD"/>
    <w:rsid w:val="001107BF"/>
    <w:rsid w:val="00111072"/>
    <w:rsid w:val="0011155E"/>
    <w:rsid w:val="001121A5"/>
    <w:rsid w:val="00113649"/>
    <w:rsid w:val="001202E0"/>
    <w:rsid w:val="00122844"/>
    <w:rsid w:val="00122886"/>
    <w:rsid w:val="00122BD8"/>
    <w:rsid w:val="001234FF"/>
    <w:rsid w:val="0012417C"/>
    <w:rsid w:val="00124694"/>
    <w:rsid w:val="0012749D"/>
    <w:rsid w:val="00127516"/>
    <w:rsid w:val="00127981"/>
    <w:rsid w:val="001305D7"/>
    <w:rsid w:val="001317A3"/>
    <w:rsid w:val="0013204D"/>
    <w:rsid w:val="00135070"/>
    <w:rsid w:val="00135885"/>
    <w:rsid w:val="00140D98"/>
    <w:rsid w:val="001410A0"/>
    <w:rsid w:val="001415C5"/>
    <w:rsid w:val="0014216A"/>
    <w:rsid w:val="00142395"/>
    <w:rsid w:val="00142714"/>
    <w:rsid w:val="001434EC"/>
    <w:rsid w:val="001449C6"/>
    <w:rsid w:val="001452ED"/>
    <w:rsid w:val="00145E44"/>
    <w:rsid w:val="00147D84"/>
    <w:rsid w:val="00147F10"/>
    <w:rsid w:val="001549C1"/>
    <w:rsid w:val="001569E1"/>
    <w:rsid w:val="00157DEF"/>
    <w:rsid w:val="00160DE0"/>
    <w:rsid w:val="00162D4E"/>
    <w:rsid w:val="00163329"/>
    <w:rsid w:val="0016353B"/>
    <w:rsid w:val="00163C01"/>
    <w:rsid w:val="00163D83"/>
    <w:rsid w:val="00164623"/>
    <w:rsid w:val="001652DE"/>
    <w:rsid w:val="00165B64"/>
    <w:rsid w:val="0016792B"/>
    <w:rsid w:val="0017393F"/>
    <w:rsid w:val="001756EA"/>
    <w:rsid w:val="00175F73"/>
    <w:rsid w:val="001774E1"/>
    <w:rsid w:val="001805FA"/>
    <w:rsid w:val="00180713"/>
    <w:rsid w:val="00183015"/>
    <w:rsid w:val="00183038"/>
    <w:rsid w:val="001830CE"/>
    <w:rsid w:val="00186246"/>
    <w:rsid w:val="0018643B"/>
    <w:rsid w:val="0018664B"/>
    <w:rsid w:val="001874DF"/>
    <w:rsid w:val="00191CCD"/>
    <w:rsid w:val="001939E6"/>
    <w:rsid w:val="00196307"/>
    <w:rsid w:val="00196701"/>
    <w:rsid w:val="00196D52"/>
    <w:rsid w:val="0019748B"/>
    <w:rsid w:val="001A03F6"/>
    <w:rsid w:val="001A11C6"/>
    <w:rsid w:val="001A33EA"/>
    <w:rsid w:val="001A4C4F"/>
    <w:rsid w:val="001A76FB"/>
    <w:rsid w:val="001A7C86"/>
    <w:rsid w:val="001B017F"/>
    <w:rsid w:val="001B2BBC"/>
    <w:rsid w:val="001B3B9C"/>
    <w:rsid w:val="001B3FFE"/>
    <w:rsid w:val="001B4281"/>
    <w:rsid w:val="001B5129"/>
    <w:rsid w:val="001B5196"/>
    <w:rsid w:val="001B60CC"/>
    <w:rsid w:val="001B7815"/>
    <w:rsid w:val="001C0B4C"/>
    <w:rsid w:val="001C1195"/>
    <w:rsid w:val="001C3687"/>
    <w:rsid w:val="001C4A4F"/>
    <w:rsid w:val="001C5DA7"/>
    <w:rsid w:val="001C606D"/>
    <w:rsid w:val="001D0FA6"/>
    <w:rsid w:val="001D192E"/>
    <w:rsid w:val="001D193B"/>
    <w:rsid w:val="001D1F5F"/>
    <w:rsid w:val="001D351E"/>
    <w:rsid w:val="001D504F"/>
    <w:rsid w:val="001D7AB0"/>
    <w:rsid w:val="001D7D3E"/>
    <w:rsid w:val="001E058E"/>
    <w:rsid w:val="001E06D2"/>
    <w:rsid w:val="001E1030"/>
    <w:rsid w:val="001E18BF"/>
    <w:rsid w:val="001E2EF7"/>
    <w:rsid w:val="001E698F"/>
    <w:rsid w:val="001E6D6D"/>
    <w:rsid w:val="001F1850"/>
    <w:rsid w:val="001F21F2"/>
    <w:rsid w:val="001F3189"/>
    <w:rsid w:val="001F45F1"/>
    <w:rsid w:val="001F5225"/>
    <w:rsid w:val="001F6F9E"/>
    <w:rsid w:val="001F77D4"/>
    <w:rsid w:val="002021C7"/>
    <w:rsid w:val="00203FAC"/>
    <w:rsid w:val="00204FF3"/>
    <w:rsid w:val="002050A2"/>
    <w:rsid w:val="00206513"/>
    <w:rsid w:val="00212155"/>
    <w:rsid w:val="00212408"/>
    <w:rsid w:val="00213CFB"/>
    <w:rsid w:val="00213D1F"/>
    <w:rsid w:val="0021553C"/>
    <w:rsid w:val="0021557B"/>
    <w:rsid w:val="002160E4"/>
    <w:rsid w:val="0021739F"/>
    <w:rsid w:val="002174FD"/>
    <w:rsid w:val="00217B54"/>
    <w:rsid w:val="00217BE1"/>
    <w:rsid w:val="00221DDA"/>
    <w:rsid w:val="00224278"/>
    <w:rsid w:val="00225DED"/>
    <w:rsid w:val="00227DD3"/>
    <w:rsid w:val="00231BF8"/>
    <w:rsid w:val="00233148"/>
    <w:rsid w:val="002336D5"/>
    <w:rsid w:val="00234252"/>
    <w:rsid w:val="00234BB8"/>
    <w:rsid w:val="00234BC7"/>
    <w:rsid w:val="00234C39"/>
    <w:rsid w:val="00234F65"/>
    <w:rsid w:val="00235A86"/>
    <w:rsid w:val="00237AC6"/>
    <w:rsid w:val="00237F27"/>
    <w:rsid w:val="00240F66"/>
    <w:rsid w:val="00242B88"/>
    <w:rsid w:val="00242EE3"/>
    <w:rsid w:val="00244490"/>
    <w:rsid w:val="00244809"/>
    <w:rsid w:val="00245710"/>
    <w:rsid w:val="002461FF"/>
    <w:rsid w:val="002507B1"/>
    <w:rsid w:val="00250FDD"/>
    <w:rsid w:val="0025260A"/>
    <w:rsid w:val="00252B11"/>
    <w:rsid w:val="00253499"/>
    <w:rsid w:val="002551A4"/>
    <w:rsid w:val="00255601"/>
    <w:rsid w:val="0025692C"/>
    <w:rsid w:val="00256A65"/>
    <w:rsid w:val="00257664"/>
    <w:rsid w:val="0026395E"/>
    <w:rsid w:val="00264758"/>
    <w:rsid w:val="00265151"/>
    <w:rsid w:val="0026542E"/>
    <w:rsid w:val="002654F2"/>
    <w:rsid w:val="00266469"/>
    <w:rsid w:val="00266509"/>
    <w:rsid w:val="00271482"/>
    <w:rsid w:val="00271BA1"/>
    <w:rsid w:val="002748B5"/>
    <w:rsid w:val="00275503"/>
    <w:rsid w:val="002762FA"/>
    <w:rsid w:val="00277505"/>
    <w:rsid w:val="002806FC"/>
    <w:rsid w:val="00280A3B"/>
    <w:rsid w:val="00280F05"/>
    <w:rsid w:val="00281102"/>
    <w:rsid w:val="002823B6"/>
    <w:rsid w:val="00283204"/>
    <w:rsid w:val="00283A38"/>
    <w:rsid w:val="002841C0"/>
    <w:rsid w:val="00286055"/>
    <w:rsid w:val="002873B4"/>
    <w:rsid w:val="00287531"/>
    <w:rsid w:val="00287E77"/>
    <w:rsid w:val="00292349"/>
    <w:rsid w:val="00293279"/>
    <w:rsid w:val="00294274"/>
    <w:rsid w:val="0029458F"/>
    <w:rsid w:val="0029466D"/>
    <w:rsid w:val="00296611"/>
    <w:rsid w:val="002979E1"/>
    <w:rsid w:val="002A0B5E"/>
    <w:rsid w:val="002A0E04"/>
    <w:rsid w:val="002A104C"/>
    <w:rsid w:val="002A1B9D"/>
    <w:rsid w:val="002A2AF6"/>
    <w:rsid w:val="002A494D"/>
    <w:rsid w:val="002A4960"/>
    <w:rsid w:val="002A4F2A"/>
    <w:rsid w:val="002A7281"/>
    <w:rsid w:val="002A797B"/>
    <w:rsid w:val="002B0AE0"/>
    <w:rsid w:val="002B1422"/>
    <w:rsid w:val="002B1AE6"/>
    <w:rsid w:val="002B1D51"/>
    <w:rsid w:val="002B2A6C"/>
    <w:rsid w:val="002B2DE8"/>
    <w:rsid w:val="002B30F8"/>
    <w:rsid w:val="002B388A"/>
    <w:rsid w:val="002B3E57"/>
    <w:rsid w:val="002B5596"/>
    <w:rsid w:val="002B6643"/>
    <w:rsid w:val="002B7195"/>
    <w:rsid w:val="002B7B17"/>
    <w:rsid w:val="002B7F01"/>
    <w:rsid w:val="002C212F"/>
    <w:rsid w:val="002C2301"/>
    <w:rsid w:val="002C5C39"/>
    <w:rsid w:val="002C5D4C"/>
    <w:rsid w:val="002C7485"/>
    <w:rsid w:val="002D190B"/>
    <w:rsid w:val="002D283A"/>
    <w:rsid w:val="002D3454"/>
    <w:rsid w:val="002D36A1"/>
    <w:rsid w:val="002D3BC0"/>
    <w:rsid w:val="002D4053"/>
    <w:rsid w:val="002D4543"/>
    <w:rsid w:val="002D74B0"/>
    <w:rsid w:val="002E1A8D"/>
    <w:rsid w:val="002E2AEE"/>
    <w:rsid w:val="002E3153"/>
    <w:rsid w:val="002E3296"/>
    <w:rsid w:val="002E3D09"/>
    <w:rsid w:val="002E4204"/>
    <w:rsid w:val="002E5292"/>
    <w:rsid w:val="002E5D48"/>
    <w:rsid w:val="002E72CA"/>
    <w:rsid w:val="002F0BBA"/>
    <w:rsid w:val="002F1419"/>
    <w:rsid w:val="002F18CF"/>
    <w:rsid w:val="002F600D"/>
    <w:rsid w:val="002F6EEA"/>
    <w:rsid w:val="002F757E"/>
    <w:rsid w:val="00300AD6"/>
    <w:rsid w:val="00300B1B"/>
    <w:rsid w:val="003019D0"/>
    <w:rsid w:val="003064AF"/>
    <w:rsid w:val="0030683E"/>
    <w:rsid w:val="003071AE"/>
    <w:rsid w:val="00311C1C"/>
    <w:rsid w:val="003130DF"/>
    <w:rsid w:val="00317398"/>
    <w:rsid w:val="00317C6C"/>
    <w:rsid w:val="00320CD3"/>
    <w:rsid w:val="00320DFF"/>
    <w:rsid w:val="00320F79"/>
    <w:rsid w:val="00321EEB"/>
    <w:rsid w:val="0032328D"/>
    <w:rsid w:val="00324F3B"/>
    <w:rsid w:val="00325182"/>
    <w:rsid w:val="00325317"/>
    <w:rsid w:val="00326E79"/>
    <w:rsid w:val="0032762C"/>
    <w:rsid w:val="003301B1"/>
    <w:rsid w:val="00331189"/>
    <w:rsid w:val="00331EE7"/>
    <w:rsid w:val="0033263D"/>
    <w:rsid w:val="003343AA"/>
    <w:rsid w:val="00334EB9"/>
    <w:rsid w:val="0033518A"/>
    <w:rsid w:val="00335C7A"/>
    <w:rsid w:val="00336525"/>
    <w:rsid w:val="003367EF"/>
    <w:rsid w:val="00337192"/>
    <w:rsid w:val="00337CB2"/>
    <w:rsid w:val="0034028D"/>
    <w:rsid w:val="0034178D"/>
    <w:rsid w:val="003419F6"/>
    <w:rsid w:val="00341AE4"/>
    <w:rsid w:val="00346161"/>
    <w:rsid w:val="003476EE"/>
    <w:rsid w:val="003513A4"/>
    <w:rsid w:val="003527D2"/>
    <w:rsid w:val="003530C1"/>
    <w:rsid w:val="0035465F"/>
    <w:rsid w:val="003560EE"/>
    <w:rsid w:val="003573A8"/>
    <w:rsid w:val="0035749C"/>
    <w:rsid w:val="003575E9"/>
    <w:rsid w:val="00360CF0"/>
    <w:rsid w:val="00362AF1"/>
    <w:rsid w:val="00364761"/>
    <w:rsid w:val="00365FB5"/>
    <w:rsid w:val="00367A74"/>
    <w:rsid w:val="0037348F"/>
    <w:rsid w:val="003736C9"/>
    <w:rsid w:val="00373EF5"/>
    <w:rsid w:val="00374352"/>
    <w:rsid w:val="00377EC2"/>
    <w:rsid w:val="003802F0"/>
    <w:rsid w:val="00380AC3"/>
    <w:rsid w:val="00381548"/>
    <w:rsid w:val="00383D61"/>
    <w:rsid w:val="00384349"/>
    <w:rsid w:val="00384988"/>
    <w:rsid w:val="00385200"/>
    <w:rsid w:val="003872CF"/>
    <w:rsid w:val="003902B5"/>
    <w:rsid w:val="0039782C"/>
    <w:rsid w:val="00397F17"/>
    <w:rsid w:val="003A0132"/>
    <w:rsid w:val="003A39AB"/>
    <w:rsid w:val="003A42FC"/>
    <w:rsid w:val="003A5A88"/>
    <w:rsid w:val="003A5B4A"/>
    <w:rsid w:val="003B07A7"/>
    <w:rsid w:val="003B0947"/>
    <w:rsid w:val="003B0DE3"/>
    <w:rsid w:val="003B2211"/>
    <w:rsid w:val="003B23C5"/>
    <w:rsid w:val="003B2A75"/>
    <w:rsid w:val="003B2CE5"/>
    <w:rsid w:val="003B55DC"/>
    <w:rsid w:val="003B6124"/>
    <w:rsid w:val="003C093A"/>
    <w:rsid w:val="003C1ECF"/>
    <w:rsid w:val="003C2843"/>
    <w:rsid w:val="003C2FB5"/>
    <w:rsid w:val="003C5E73"/>
    <w:rsid w:val="003C67DC"/>
    <w:rsid w:val="003C6CC7"/>
    <w:rsid w:val="003D0149"/>
    <w:rsid w:val="003D0594"/>
    <w:rsid w:val="003D24C5"/>
    <w:rsid w:val="003D4AC4"/>
    <w:rsid w:val="003D63B7"/>
    <w:rsid w:val="003D7450"/>
    <w:rsid w:val="003D785F"/>
    <w:rsid w:val="003E081B"/>
    <w:rsid w:val="003E24D9"/>
    <w:rsid w:val="003E2FCF"/>
    <w:rsid w:val="003E3B6D"/>
    <w:rsid w:val="003E468B"/>
    <w:rsid w:val="003E62BD"/>
    <w:rsid w:val="003E7F30"/>
    <w:rsid w:val="003F0C3A"/>
    <w:rsid w:val="003F2E5B"/>
    <w:rsid w:val="003F3228"/>
    <w:rsid w:val="003F4AD7"/>
    <w:rsid w:val="003F5C8C"/>
    <w:rsid w:val="003F6559"/>
    <w:rsid w:val="003F6978"/>
    <w:rsid w:val="003F775A"/>
    <w:rsid w:val="00400A9D"/>
    <w:rsid w:val="00400E55"/>
    <w:rsid w:val="0040128E"/>
    <w:rsid w:val="0040216B"/>
    <w:rsid w:val="0040380E"/>
    <w:rsid w:val="004043A2"/>
    <w:rsid w:val="00406CF1"/>
    <w:rsid w:val="00407290"/>
    <w:rsid w:val="00407CDB"/>
    <w:rsid w:val="00412465"/>
    <w:rsid w:val="00412A7D"/>
    <w:rsid w:val="0041446D"/>
    <w:rsid w:val="00415919"/>
    <w:rsid w:val="00415EA1"/>
    <w:rsid w:val="00416598"/>
    <w:rsid w:val="004205A5"/>
    <w:rsid w:val="00420C3F"/>
    <w:rsid w:val="004233ED"/>
    <w:rsid w:val="004252EC"/>
    <w:rsid w:val="00425BC5"/>
    <w:rsid w:val="0042791D"/>
    <w:rsid w:val="004305AD"/>
    <w:rsid w:val="00430D39"/>
    <w:rsid w:val="004310F1"/>
    <w:rsid w:val="00432F6D"/>
    <w:rsid w:val="00433EEF"/>
    <w:rsid w:val="004370B6"/>
    <w:rsid w:val="0043792E"/>
    <w:rsid w:val="004406D3"/>
    <w:rsid w:val="00442026"/>
    <w:rsid w:val="00442593"/>
    <w:rsid w:val="00442BC6"/>
    <w:rsid w:val="00443432"/>
    <w:rsid w:val="00443F73"/>
    <w:rsid w:val="00445DA0"/>
    <w:rsid w:val="004465BD"/>
    <w:rsid w:val="0044660F"/>
    <w:rsid w:val="00446B9A"/>
    <w:rsid w:val="00451143"/>
    <w:rsid w:val="00452433"/>
    <w:rsid w:val="004536A8"/>
    <w:rsid w:val="004541C7"/>
    <w:rsid w:val="00461A44"/>
    <w:rsid w:val="00464C97"/>
    <w:rsid w:val="004657C8"/>
    <w:rsid w:val="00465BA5"/>
    <w:rsid w:val="00466ADA"/>
    <w:rsid w:val="00467A6D"/>
    <w:rsid w:val="00467F4B"/>
    <w:rsid w:val="00467FE9"/>
    <w:rsid w:val="004702BB"/>
    <w:rsid w:val="004734E6"/>
    <w:rsid w:val="00473551"/>
    <w:rsid w:val="00473CF6"/>
    <w:rsid w:val="0047494B"/>
    <w:rsid w:val="00474AA0"/>
    <w:rsid w:val="0047590C"/>
    <w:rsid w:val="00476245"/>
    <w:rsid w:val="004778ED"/>
    <w:rsid w:val="00477A9B"/>
    <w:rsid w:val="00480268"/>
    <w:rsid w:val="00480B51"/>
    <w:rsid w:val="004813F4"/>
    <w:rsid w:val="00483035"/>
    <w:rsid w:val="00484A46"/>
    <w:rsid w:val="00484CC7"/>
    <w:rsid w:val="00485576"/>
    <w:rsid w:val="00485899"/>
    <w:rsid w:val="00485940"/>
    <w:rsid w:val="0048642B"/>
    <w:rsid w:val="00486B2A"/>
    <w:rsid w:val="004904B9"/>
    <w:rsid w:val="0049054F"/>
    <w:rsid w:val="00490FAC"/>
    <w:rsid w:val="004917FC"/>
    <w:rsid w:val="004921EA"/>
    <w:rsid w:val="00492C9C"/>
    <w:rsid w:val="00494225"/>
    <w:rsid w:val="00494A1E"/>
    <w:rsid w:val="00494C2D"/>
    <w:rsid w:val="0049511B"/>
    <w:rsid w:val="004969C8"/>
    <w:rsid w:val="004972FC"/>
    <w:rsid w:val="00497D33"/>
    <w:rsid w:val="004A1309"/>
    <w:rsid w:val="004A2003"/>
    <w:rsid w:val="004A2484"/>
    <w:rsid w:val="004A2B9E"/>
    <w:rsid w:val="004A4594"/>
    <w:rsid w:val="004A4642"/>
    <w:rsid w:val="004A4D55"/>
    <w:rsid w:val="004A4EB5"/>
    <w:rsid w:val="004A5A85"/>
    <w:rsid w:val="004A6029"/>
    <w:rsid w:val="004A6A43"/>
    <w:rsid w:val="004A71D1"/>
    <w:rsid w:val="004A78E4"/>
    <w:rsid w:val="004A7C5B"/>
    <w:rsid w:val="004B0A1B"/>
    <w:rsid w:val="004B262D"/>
    <w:rsid w:val="004B2AD6"/>
    <w:rsid w:val="004B2E98"/>
    <w:rsid w:val="004B3499"/>
    <w:rsid w:val="004B3AF8"/>
    <w:rsid w:val="004B4D91"/>
    <w:rsid w:val="004B5640"/>
    <w:rsid w:val="004B66C6"/>
    <w:rsid w:val="004C0F6D"/>
    <w:rsid w:val="004C1BD7"/>
    <w:rsid w:val="004C245A"/>
    <w:rsid w:val="004C2ED7"/>
    <w:rsid w:val="004C31FE"/>
    <w:rsid w:val="004C524C"/>
    <w:rsid w:val="004C691D"/>
    <w:rsid w:val="004C6C07"/>
    <w:rsid w:val="004C7BDB"/>
    <w:rsid w:val="004D0D0D"/>
    <w:rsid w:val="004D15C2"/>
    <w:rsid w:val="004D27E2"/>
    <w:rsid w:val="004D4FF6"/>
    <w:rsid w:val="004D6547"/>
    <w:rsid w:val="004E3B10"/>
    <w:rsid w:val="004E59DF"/>
    <w:rsid w:val="004E659F"/>
    <w:rsid w:val="004E692D"/>
    <w:rsid w:val="004E7D87"/>
    <w:rsid w:val="004F2553"/>
    <w:rsid w:val="004F34C2"/>
    <w:rsid w:val="00501554"/>
    <w:rsid w:val="00501B70"/>
    <w:rsid w:val="0050217C"/>
    <w:rsid w:val="00502433"/>
    <w:rsid w:val="00502AFE"/>
    <w:rsid w:val="00503AD7"/>
    <w:rsid w:val="00504E0C"/>
    <w:rsid w:val="005056DC"/>
    <w:rsid w:val="00506A06"/>
    <w:rsid w:val="005078B9"/>
    <w:rsid w:val="005109D4"/>
    <w:rsid w:val="00510B99"/>
    <w:rsid w:val="00512C0C"/>
    <w:rsid w:val="005133BA"/>
    <w:rsid w:val="00513ECB"/>
    <w:rsid w:val="00513F5C"/>
    <w:rsid w:val="00514CD7"/>
    <w:rsid w:val="00520D6A"/>
    <w:rsid w:val="0052207F"/>
    <w:rsid w:val="00522C75"/>
    <w:rsid w:val="00522DB6"/>
    <w:rsid w:val="0052435E"/>
    <w:rsid w:val="00525AC4"/>
    <w:rsid w:val="005265F8"/>
    <w:rsid w:val="0052792D"/>
    <w:rsid w:val="005305C3"/>
    <w:rsid w:val="005319B2"/>
    <w:rsid w:val="00532205"/>
    <w:rsid w:val="00532402"/>
    <w:rsid w:val="00532C74"/>
    <w:rsid w:val="005349E4"/>
    <w:rsid w:val="00534E2E"/>
    <w:rsid w:val="00537700"/>
    <w:rsid w:val="00542859"/>
    <w:rsid w:val="00544552"/>
    <w:rsid w:val="00550D0F"/>
    <w:rsid w:val="00550FA5"/>
    <w:rsid w:val="0055286A"/>
    <w:rsid w:val="00553B0A"/>
    <w:rsid w:val="00555745"/>
    <w:rsid w:val="00557D4F"/>
    <w:rsid w:val="0056148F"/>
    <w:rsid w:val="0056484E"/>
    <w:rsid w:val="00566ED2"/>
    <w:rsid w:val="00567068"/>
    <w:rsid w:val="00567CCA"/>
    <w:rsid w:val="00574246"/>
    <w:rsid w:val="005764CD"/>
    <w:rsid w:val="00577C4D"/>
    <w:rsid w:val="00580532"/>
    <w:rsid w:val="00581932"/>
    <w:rsid w:val="00584956"/>
    <w:rsid w:val="00584B1E"/>
    <w:rsid w:val="005856A4"/>
    <w:rsid w:val="005871E7"/>
    <w:rsid w:val="005874F9"/>
    <w:rsid w:val="00592917"/>
    <w:rsid w:val="005929A8"/>
    <w:rsid w:val="00592BBC"/>
    <w:rsid w:val="00594D92"/>
    <w:rsid w:val="005963BB"/>
    <w:rsid w:val="005A21A9"/>
    <w:rsid w:val="005A29A1"/>
    <w:rsid w:val="005A2CF1"/>
    <w:rsid w:val="005A3173"/>
    <w:rsid w:val="005A3223"/>
    <w:rsid w:val="005A3DA3"/>
    <w:rsid w:val="005A4081"/>
    <w:rsid w:val="005A4454"/>
    <w:rsid w:val="005A52C4"/>
    <w:rsid w:val="005B272D"/>
    <w:rsid w:val="005B5F1F"/>
    <w:rsid w:val="005C0870"/>
    <w:rsid w:val="005C1A74"/>
    <w:rsid w:val="005C75BC"/>
    <w:rsid w:val="005D00A1"/>
    <w:rsid w:val="005D0337"/>
    <w:rsid w:val="005D03A3"/>
    <w:rsid w:val="005D03AB"/>
    <w:rsid w:val="005D119E"/>
    <w:rsid w:val="005D19FC"/>
    <w:rsid w:val="005D5017"/>
    <w:rsid w:val="005D56DC"/>
    <w:rsid w:val="005D63FA"/>
    <w:rsid w:val="005D7B3B"/>
    <w:rsid w:val="005E1333"/>
    <w:rsid w:val="005E20BB"/>
    <w:rsid w:val="005E26B0"/>
    <w:rsid w:val="005E3136"/>
    <w:rsid w:val="005E507D"/>
    <w:rsid w:val="005E6178"/>
    <w:rsid w:val="005E61ED"/>
    <w:rsid w:val="005E72BE"/>
    <w:rsid w:val="005E760F"/>
    <w:rsid w:val="005F05A9"/>
    <w:rsid w:val="005F1500"/>
    <w:rsid w:val="005F4480"/>
    <w:rsid w:val="005F60D8"/>
    <w:rsid w:val="005F742F"/>
    <w:rsid w:val="00601A91"/>
    <w:rsid w:val="00602BA3"/>
    <w:rsid w:val="006046A5"/>
    <w:rsid w:val="00605B63"/>
    <w:rsid w:val="00606EED"/>
    <w:rsid w:val="00607778"/>
    <w:rsid w:val="00610F5D"/>
    <w:rsid w:val="00612E34"/>
    <w:rsid w:val="0061321A"/>
    <w:rsid w:val="006136DA"/>
    <w:rsid w:val="00614159"/>
    <w:rsid w:val="0061498A"/>
    <w:rsid w:val="00616C5F"/>
    <w:rsid w:val="00616DAC"/>
    <w:rsid w:val="00616E2A"/>
    <w:rsid w:val="00617C00"/>
    <w:rsid w:val="006204B5"/>
    <w:rsid w:val="00622433"/>
    <w:rsid w:val="00624ACE"/>
    <w:rsid w:val="006263BF"/>
    <w:rsid w:val="006266CA"/>
    <w:rsid w:val="00626C64"/>
    <w:rsid w:val="0062748A"/>
    <w:rsid w:val="00627DFE"/>
    <w:rsid w:val="00630736"/>
    <w:rsid w:val="00630A2C"/>
    <w:rsid w:val="006359F5"/>
    <w:rsid w:val="0063682E"/>
    <w:rsid w:val="00637DB8"/>
    <w:rsid w:val="00641FE4"/>
    <w:rsid w:val="00642DA8"/>
    <w:rsid w:val="00643078"/>
    <w:rsid w:val="0064316A"/>
    <w:rsid w:val="006436CD"/>
    <w:rsid w:val="00643975"/>
    <w:rsid w:val="00645692"/>
    <w:rsid w:val="00646DC4"/>
    <w:rsid w:val="006476E9"/>
    <w:rsid w:val="00647F5F"/>
    <w:rsid w:val="006509F8"/>
    <w:rsid w:val="00651160"/>
    <w:rsid w:val="00651169"/>
    <w:rsid w:val="00653D69"/>
    <w:rsid w:val="00654474"/>
    <w:rsid w:val="006552E6"/>
    <w:rsid w:val="00657C63"/>
    <w:rsid w:val="00660A13"/>
    <w:rsid w:val="00664528"/>
    <w:rsid w:val="0066487D"/>
    <w:rsid w:val="00664BA8"/>
    <w:rsid w:val="006670BE"/>
    <w:rsid w:val="00670159"/>
    <w:rsid w:val="006701EB"/>
    <w:rsid w:val="00670A76"/>
    <w:rsid w:val="006711AA"/>
    <w:rsid w:val="006714F8"/>
    <w:rsid w:val="006717AE"/>
    <w:rsid w:val="00672B57"/>
    <w:rsid w:val="00675622"/>
    <w:rsid w:val="0067747D"/>
    <w:rsid w:val="00681CA4"/>
    <w:rsid w:val="00681E34"/>
    <w:rsid w:val="00682A19"/>
    <w:rsid w:val="00685917"/>
    <w:rsid w:val="00686D90"/>
    <w:rsid w:val="0069039D"/>
    <w:rsid w:val="006906DB"/>
    <w:rsid w:val="00690825"/>
    <w:rsid w:val="00691E6C"/>
    <w:rsid w:val="00693298"/>
    <w:rsid w:val="00693DFB"/>
    <w:rsid w:val="0069501D"/>
    <w:rsid w:val="00696129"/>
    <w:rsid w:val="00697CF2"/>
    <w:rsid w:val="006A12A5"/>
    <w:rsid w:val="006A5E20"/>
    <w:rsid w:val="006B059A"/>
    <w:rsid w:val="006B0D94"/>
    <w:rsid w:val="006B1B8A"/>
    <w:rsid w:val="006B485D"/>
    <w:rsid w:val="006C334C"/>
    <w:rsid w:val="006C4056"/>
    <w:rsid w:val="006C5023"/>
    <w:rsid w:val="006C5DAB"/>
    <w:rsid w:val="006C708E"/>
    <w:rsid w:val="006D0779"/>
    <w:rsid w:val="006D14E7"/>
    <w:rsid w:val="006D4444"/>
    <w:rsid w:val="006D46B8"/>
    <w:rsid w:val="006D6493"/>
    <w:rsid w:val="006D6E4C"/>
    <w:rsid w:val="006D6EC7"/>
    <w:rsid w:val="006D7489"/>
    <w:rsid w:val="006D7C68"/>
    <w:rsid w:val="006E05BB"/>
    <w:rsid w:val="006E0F93"/>
    <w:rsid w:val="006E1BCD"/>
    <w:rsid w:val="006E2042"/>
    <w:rsid w:val="006E2FDC"/>
    <w:rsid w:val="006E4FE7"/>
    <w:rsid w:val="006E5B40"/>
    <w:rsid w:val="006E76EE"/>
    <w:rsid w:val="006F0292"/>
    <w:rsid w:val="006F091E"/>
    <w:rsid w:val="006F143D"/>
    <w:rsid w:val="006F4437"/>
    <w:rsid w:val="006F5125"/>
    <w:rsid w:val="006F6D87"/>
    <w:rsid w:val="006F733D"/>
    <w:rsid w:val="006F7EE4"/>
    <w:rsid w:val="00700619"/>
    <w:rsid w:val="00700E69"/>
    <w:rsid w:val="00702B6F"/>
    <w:rsid w:val="0070333F"/>
    <w:rsid w:val="00703F6C"/>
    <w:rsid w:val="00706A2F"/>
    <w:rsid w:val="0070718E"/>
    <w:rsid w:val="007109B7"/>
    <w:rsid w:val="00711649"/>
    <w:rsid w:val="00711A5F"/>
    <w:rsid w:val="00711F3C"/>
    <w:rsid w:val="0071340B"/>
    <w:rsid w:val="00714741"/>
    <w:rsid w:val="00716514"/>
    <w:rsid w:val="007174BB"/>
    <w:rsid w:val="0072025D"/>
    <w:rsid w:val="00721DD9"/>
    <w:rsid w:val="00722F80"/>
    <w:rsid w:val="0072758E"/>
    <w:rsid w:val="00727705"/>
    <w:rsid w:val="0073137C"/>
    <w:rsid w:val="00733053"/>
    <w:rsid w:val="007353D3"/>
    <w:rsid w:val="007376D7"/>
    <w:rsid w:val="007414AA"/>
    <w:rsid w:val="0074156B"/>
    <w:rsid w:val="00744F61"/>
    <w:rsid w:val="007451BE"/>
    <w:rsid w:val="00745C5E"/>
    <w:rsid w:val="00750075"/>
    <w:rsid w:val="00751FC0"/>
    <w:rsid w:val="007555E8"/>
    <w:rsid w:val="00757466"/>
    <w:rsid w:val="007574DA"/>
    <w:rsid w:val="00757F15"/>
    <w:rsid w:val="0076063C"/>
    <w:rsid w:val="0076309E"/>
    <w:rsid w:val="00763498"/>
    <w:rsid w:val="0076405F"/>
    <w:rsid w:val="0076420C"/>
    <w:rsid w:val="00765351"/>
    <w:rsid w:val="00765A7C"/>
    <w:rsid w:val="00766BA0"/>
    <w:rsid w:val="00771D07"/>
    <w:rsid w:val="00774B5A"/>
    <w:rsid w:val="00774E2C"/>
    <w:rsid w:val="007753C2"/>
    <w:rsid w:val="007754F1"/>
    <w:rsid w:val="00777E9F"/>
    <w:rsid w:val="00780278"/>
    <w:rsid w:val="007819CB"/>
    <w:rsid w:val="00782237"/>
    <w:rsid w:val="00782BC0"/>
    <w:rsid w:val="007838B8"/>
    <w:rsid w:val="00784FA3"/>
    <w:rsid w:val="007853F8"/>
    <w:rsid w:val="00786683"/>
    <w:rsid w:val="00790E7C"/>
    <w:rsid w:val="007915BA"/>
    <w:rsid w:val="00793432"/>
    <w:rsid w:val="0079360B"/>
    <w:rsid w:val="007977EC"/>
    <w:rsid w:val="007A0699"/>
    <w:rsid w:val="007A08FF"/>
    <w:rsid w:val="007A25E0"/>
    <w:rsid w:val="007A5D7B"/>
    <w:rsid w:val="007B2D48"/>
    <w:rsid w:val="007B3DDC"/>
    <w:rsid w:val="007B5723"/>
    <w:rsid w:val="007B5F71"/>
    <w:rsid w:val="007B6DCB"/>
    <w:rsid w:val="007B72A6"/>
    <w:rsid w:val="007C0B30"/>
    <w:rsid w:val="007C0D3B"/>
    <w:rsid w:val="007C0F57"/>
    <w:rsid w:val="007C179A"/>
    <w:rsid w:val="007C1DA6"/>
    <w:rsid w:val="007C2443"/>
    <w:rsid w:val="007C40B6"/>
    <w:rsid w:val="007C6C77"/>
    <w:rsid w:val="007C729F"/>
    <w:rsid w:val="007D3799"/>
    <w:rsid w:val="007D4949"/>
    <w:rsid w:val="007E1D28"/>
    <w:rsid w:val="007E4546"/>
    <w:rsid w:val="007E5DC1"/>
    <w:rsid w:val="007F0021"/>
    <w:rsid w:val="007F2641"/>
    <w:rsid w:val="007F5D6F"/>
    <w:rsid w:val="007F5DEB"/>
    <w:rsid w:val="007F6945"/>
    <w:rsid w:val="007F7C36"/>
    <w:rsid w:val="00800B35"/>
    <w:rsid w:val="00801392"/>
    <w:rsid w:val="00802E5F"/>
    <w:rsid w:val="008037DA"/>
    <w:rsid w:val="0080589D"/>
    <w:rsid w:val="00806796"/>
    <w:rsid w:val="00807437"/>
    <w:rsid w:val="00807521"/>
    <w:rsid w:val="008115E5"/>
    <w:rsid w:val="00811CC0"/>
    <w:rsid w:val="00812829"/>
    <w:rsid w:val="00812BB8"/>
    <w:rsid w:val="008147C4"/>
    <w:rsid w:val="008151D6"/>
    <w:rsid w:val="00815670"/>
    <w:rsid w:val="0081720C"/>
    <w:rsid w:val="00820DA7"/>
    <w:rsid w:val="00820F0F"/>
    <w:rsid w:val="00821527"/>
    <w:rsid w:val="00822EE6"/>
    <w:rsid w:val="00826110"/>
    <w:rsid w:val="008268BB"/>
    <w:rsid w:val="00826F6D"/>
    <w:rsid w:val="00827944"/>
    <w:rsid w:val="008306F3"/>
    <w:rsid w:val="00830E40"/>
    <w:rsid w:val="00833C5C"/>
    <w:rsid w:val="00833F8D"/>
    <w:rsid w:val="00843382"/>
    <w:rsid w:val="008464F4"/>
    <w:rsid w:val="00850C93"/>
    <w:rsid w:val="00851191"/>
    <w:rsid w:val="00851A45"/>
    <w:rsid w:val="00852256"/>
    <w:rsid w:val="0085252F"/>
    <w:rsid w:val="0085279C"/>
    <w:rsid w:val="00852FD2"/>
    <w:rsid w:val="00853054"/>
    <w:rsid w:val="00854D21"/>
    <w:rsid w:val="00855FD6"/>
    <w:rsid w:val="00856174"/>
    <w:rsid w:val="00856DDD"/>
    <w:rsid w:val="00856F2D"/>
    <w:rsid w:val="008610E3"/>
    <w:rsid w:val="008617FC"/>
    <w:rsid w:val="00863512"/>
    <w:rsid w:val="00863AB5"/>
    <w:rsid w:val="00863E68"/>
    <w:rsid w:val="008647B5"/>
    <w:rsid w:val="00866D9B"/>
    <w:rsid w:val="00873560"/>
    <w:rsid w:val="008738EB"/>
    <w:rsid w:val="00874B1F"/>
    <w:rsid w:val="00875DCB"/>
    <w:rsid w:val="00876EDC"/>
    <w:rsid w:val="00882085"/>
    <w:rsid w:val="00883188"/>
    <w:rsid w:val="008834DD"/>
    <w:rsid w:val="008847F6"/>
    <w:rsid w:val="00884A86"/>
    <w:rsid w:val="00885F59"/>
    <w:rsid w:val="00890A56"/>
    <w:rsid w:val="0089366F"/>
    <w:rsid w:val="00893EB4"/>
    <w:rsid w:val="0089404B"/>
    <w:rsid w:val="00894113"/>
    <w:rsid w:val="00895C94"/>
    <w:rsid w:val="00895D67"/>
    <w:rsid w:val="00897D58"/>
    <w:rsid w:val="00897F22"/>
    <w:rsid w:val="008A0B39"/>
    <w:rsid w:val="008A1956"/>
    <w:rsid w:val="008A1A9E"/>
    <w:rsid w:val="008A4937"/>
    <w:rsid w:val="008A4958"/>
    <w:rsid w:val="008A4C4F"/>
    <w:rsid w:val="008A50F1"/>
    <w:rsid w:val="008A59D9"/>
    <w:rsid w:val="008A6819"/>
    <w:rsid w:val="008A6ED6"/>
    <w:rsid w:val="008A7410"/>
    <w:rsid w:val="008B06EA"/>
    <w:rsid w:val="008B2EC0"/>
    <w:rsid w:val="008B518C"/>
    <w:rsid w:val="008B5903"/>
    <w:rsid w:val="008B6E4B"/>
    <w:rsid w:val="008B79D6"/>
    <w:rsid w:val="008C3718"/>
    <w:rsid w:val="008C5395"/>
    <w:rsid w:val="008C70E6"/>
    <w:rsid w:val="008D0B6C"/>
    <w:rsid w:val="008D1346"/>
    <w:rsid w:val="008D170D"/>
    <w:rsid w:val="008D1B5C"/>
    <w:rsid w:val="008D3C82"/>
    <w:rsid w:val="008D447E"/>
    <w:rsid w:val="008D6C49"/>
    <w:rsid w:val="008D7160"/>
    <w:rsid w:val="008D7A41"/>
    <w:rsid w:val="008E0B3B"/>
    <w:rsid w:val="008E0F3F"/>
    <w:rsid w:val="008E1938"/>
    <w:rsid w:val="008E1FE5"/>
    <w:rsid w:val="008E2106"/>
    <w:rsid w:val="008E2C72"/>
    <w:rsid w:val="008E3680"/>
    <w:rsid w:val="008E464B"/>
    <w:rsid w:val="008E5870"/>
    <w:rsid w:val="008E653E"/>
    <w:rsid w:val="008F04AA"/>
    <w:rsid w:val="008F1434"/>
    <w:rsid w:val="008F1A99"/>
    <w:rsid w:val="008F1B9A"/>
    <w:rsid w:val="008F4F3E"/>
    <w:rsid w:val="008F5205"/>
    <w:rsid w:val="008F54C3"/>
    <w:rsid w:val="008F5EAE"/>
    <w:rsid w:val="008F6AB1"/>
    <w:rsid w:val="008F7355"/>
    <w:rsid w:val="008F77CB"/>
    <w:rsid w:val="00901192"/>
    <w:rsid w:val="009023DC"/>
    <w:rsid w:val="009049A3"/>
    <w:rsid w:val="00904F22"/>
    <w:rsid w:val="0090645F"/>
    <w:rsid w:val="009067B7"/>
    <w:rsid w:val="00910CC3"/>
    <w:rsid w:val="009124E1"/>
    <w:rsid w:val="009140CD"/>
    <w:rsid w:val="009158C9"/>
    <w:rsid w:val="00915FF6"/>
    <w:rsid w:val="009261A6"/>
    <w:rsid w:val="00926425"/>
    <w:rsid w:val="00926560"/>
    <w:rsid w:val="00926601"/>
    <w:rsid w:val="00926DA5"/>
    <w:rsid w:val="00930937"/>
    <w:rsid w:val="009324A6"/>
    <w:rsid w:val="00933D3C"/>
    <w:rsid w:val="00933E6C"/>
    <w:rsid w:val="009360C7"/>
    <w:rsid w:val="00937950"/>
    <w:rsid w:val="00937958"/>
    <w:rsid w:val="00941602"/>
    <w:rsid w:val="00942160"/>
    <w:rsid w:val="00944F1E"/>
    <w:rsid w:val="00946451"/>
    <w:rsid w:val="0095146F"/>
    <w:rsid w:val="00952886"/>
    <w:rsid w:val="00952EAE"/>
    <w:rsid w:val="00953E2D"/>
    <w:rsid w:val="00954A08"/>
    <w:rsid w:val="0095505F"/>
    <w:rsid w:val="00955D5E"/>
    <w:rsid w:val="009565CB"/>
    <w:rsid w:val="00957944"/>
    <w:rsid w:val="009602C5"/>
    <w:rsid w:val="00961804"/>
    <w:rsid w:val="00962223"/>
    <w:rsid w:val="00964D91"/>
    <w:rsid w:val="0096626F"/>
    <w:rsid w:val="00966D0D"/>
    <w:rsid w:val="0096783C"/>
    <w:rsid w:val="00967CDE"/>
    <w:rsid w:val="00967EF2"/>
    <w:rsid w:val="00970866"/>
    <w:rsid w:val="009722B3"/>
    <w:rsid w:val="00972D2B"/>
    <w:rsid w:val="00974C21"/>
    <w:rsid w:val="00974EE9"/>
    <w:rsid w:val="00977BF3"/>
    <w:rsid w:val="009803E4"/>
    <w:rsid w:val="00980B0E"/>
    <w:rsid w:val="00981802"/>
    <w:rsid w:val="009836A3"/>
    <w:rsid w:val="009850F6"/>
    <w:rsid w:val="009855A8"/>
    <w:rsid w:val="00990CBD"/>
    <w:rsid w:val="009913F4"/>
    <w:rsid w:val="00991C14"/>
    <w:rsid w:val="00993F7A"/>
    <w:rsid w:val="0099465B"/>
    <w:rsid w:val="009946A4"/>
    <w:rsid w:val="009958E5"/>
    <w:rsid w:val="009A09C9"/>
    <w:rsid w:val="009A0CDD"/>
    <w:rsid w:val="009A1FF8"/>
    <w:rsid w:val="009A3168"/>
    <w:rsid w:val="009A4226"/>
    <w:rsid w:val="009A4DDC"/>
    <w:rsid w:val="009A61CA"/>
    <w:rsid w:val="009A67B9"/>
    <w:rsid w:val="009A6C48"/>
    <w:rsid w:val="009A751E"/>
    <w:rsid w:val="009B0C64"/>
    <w:rsid w:val="009B0F1F"/>
    <w:rsid w:val="009B0F67"/>
    <w:rsid w:val="009B2C41"/>
    <w:rsid w:val="009B4733"/>
    <w:rsid w:val="009B49AA"/>
    <w:rsid w:val="009B57D0"/>
    <w:rsid w:val="009C4696"/>
    <w:rsid w:val="009C4935"/>
    <w:rsid w:val="009C703C"/>
    <w:rsid w:val="009D0B46"/>
    <w:rsid w:val="009D206E"/>
    <w:rsid w:val="009D30CD"/>
    <w:rsid w:val="009D3CAA"/>
    <w:rsid w:val="009D43E9"/>
    <w:rsid w:val="009D4853"/>
    <w:rsid w:val="009D49B9"/>
    <w:rsid w:val="009D52CA"/>
    <w:rsid w:val="009D6532"/>
    <w:rsid w:val="009D6B6D"/>
    <w:rsid w:val="009E09E5"/>
    <w:rsid w:val="009E1A3E"/>
    <w:rsid w:val="009E40E1"/>
    <w:rsid w:val="009E51AA"/>
    <w:rsid w:val="009E59E8"/>
    <w:rsid w:val="009E6042"/>
    <w:rsid w:val="009E62D6"/>
    <w:rsid w:val="009E65AD"/>
    <w:rsid w:val="009E6FA5"/>
    <w:rsid w:val="009F0EFA"/>
    <w:rsid w:val="009F448B"/>
    <w:rsid w:val="009F453C"/>
    <w:rsid w:val="009F4D54"/>
    <w:rsid w:val="009F4E46"/>
    <w:rsid w:val="009F5B65"/>
    <w:rsid w:val="009F5F2E"/>
    <w:rsid w:val="00A0064D"/>
    <w:rsid w:val="00A00C63"/>
    <w:rsid w:val="00A00CFF"/>
    <w:rsid w:val="00A0461F"/>
    <w:rsid w:val="00A06225"/>
    <w:rsid w:val="00A06871"/>
    <w:rsid w:val="00A128E6"/>
    <w:rsid w:val="00A134F3"/>
    <w:rsid w:val="00A144B8"/>
    <w:rsid w:val="00A144D3"/>
    <w:rsid w:val="00A1589E"/>
    <w:rsid w:val="00A162CB"/>
    <w:rsid w:val="00A1737B"/>
    <w:rsid w:val="00A17829"/>
    <w:rsid w:val="00A20E6D"/>
    <w:rsid w:val="00A21190"/>
    <w:rsid w:val="00A22AC3"/>
    <w:rsid w:val="00A2491C"/>
    <w:rsid w:val="00A24AB3"/>
    <w:rsid w:val="00A2701B"/>
    <w:rsid w:val="00A2744D"/>
    <w:rsid w:val="00A2768D"/>
    <w:rsid w:val="00A31B13"/>
    <w:rsid w:val="00A33A16"/>
    <w:rsid w:val="00A34E6C"/>
    <w:rsid w:val="00A3567C"/>
    <w:rsid w:val="00A35977"/>
    <w:rsid w:val="00A3632D"/>
    <w:rsid w:val="00A36398"/>
    <w:rsid w:val="00A36D44"/>
    <w:rsid w:val="00A37131"/>
    <w:rsid w:val="00A37C8D"/>
    <w:rsid w:val="00A4020E"/>
    <w:rsid w:val="00A40FB5"/>
    <w:rsid w:val="00A41831"/>
    <w:rsid w:val="00A42826"/>
    <w:rsid w:val="00A432F4"/>
    <w:rsid w:val="00A447F9"/>
    <w:rsid w:val="00A4641D"/>
    <w:rsid w:val="00A4755B"/>
    <w:rsid w:val="00A501EE"/>
    <w:rsid w:val="00A51273"/>
    <w:rsid w:val="00A51B9F"/>
    <w:rsid w:val="00A5273B"/>
    <w:rsid w:val="00A53A9D"/>
    <w:rsid w:val="00A55FEE"/>
    <w:rsid w:val="00A574EF"/>
    <w:rsid w:val="00A627D5"/>
    <w:rsid w:val="00A62C1A"/>
    <w:rsid w:val="00A6426D"/>
    <w:rsid w:val="00A64E8A"/>
    <w:rsid w:val="00A6592E"/>
    <w:rsid w:val="00A665C1"/>
    <w:rsid w:val="00A670CD"/>
    <w:rsid w:val="00A67CD7"/>
    <w:rsid w:val="00A67EDF"/>
    <w:rsid w:val="00A70622"/>
    <w:rsid w:val="00A70977"/>
    <w:rsid w:val="00A709D6"/>
    <w:rsid w:val="00A70D58"/>
    <w:rsid w:val="00A72121"/>
    <w:rsid w:val="00A72591"/>
    <w:rsid w:val="00A74086"/>
    <w:rsid w:val="00A744F9"/>
    <w:rsid w:val="00A77042"/>
    <w:rsid w:val="00A77613"/>
    <w:rsid w:val="00A81900"/>
    <w:rsid w:val="00A8390C"/>
    <w:rsid w:val="00A852CE"/>
    <w:rsid w:val="00A877F6"/>
    <w:rsid w:val="00A878B6"/>
    <w:rsid w:val="00A90608"/>
    <w:rsid w:val="00A92545"/>
    <w:rsid w:val="00A92703"/>
    <w:rsid w:val="00A928BD"/>
    <w:rsid w:val="00A9339A"/>
    <w:rsid w:val="00A96E76"/>
    <w:rsid w:val="00A97DE9"/>
    <w:rsid w:val="00AA12CD"/>
    <w:rsid w:val="00AA4D1C"/>
    <w:rsid w:val="00AA4E88"/>
    <w:rsid w:val="00AA6850"/>
    <w:rsid w:val="00AB0C3C"/>
    <w:rsid w:val="00AB1677"/>
    <w:rsid w:val="00AB1F4A"/>
    <w:rsid w:val="00AB2BE0"/>
    <w:rsid w:val="00AB2DEF"/>
    <w:rsid w:val="00AB3079"/>
    <w:rsid w:val="00AB3271"/>
    <w:rsid w:val="00AB3C1F"/>
    <w:rsid w:val="00AB4F0F"/>
    <w:rsid w:val="00AB5856"/>
    <w:rsid w:val="00AC193C"/>
    <w:rsid w:val="00AC1B85"/>
    <w:rsid w:val="00AC4DE5"/>
    <w:rsid w:val="00AC5206"/>
    <w:rsid w:val="00AC624B"/>
    <w:rsid w:val="00AC746F"/>
    <w:rsid w:val="00AC75C6"/>
    <w:rsid w:val="00AD0B7A"/>
    <w:rsid w:val="00AD133D"/>
    <w:rsid w:val="00AD1B95"/>
    <w:rsid w:val="00AD1EF2"/>
    <w:rsid w:val="00AD4322"/>
    <w:rsid w:val="00AD5D61"/>
    <w:rsid w:val="00AD610B"/>
    <w:rsid w:val="00AD674B"/>
    <w:rsid w:val="00AD745B"/>
    <w:rsid w:val="00AE0131"/>
    <w:rsid w:val="00AE0A18"/>
    <w:rsid w:val="00AE11A5"/>
    <w:rsid w:val="00AE13E2"/>
    <w:rsid w:val="00AE1824"/>
    <w:rsid w:val="00AE21C2"/>
    <w:rsid w:val="00AE22D3"/>
    <w:rsid w:val="00AE3A40"/>
    <w:rsid w:val="00AE5A49"/>
    <w:rsid w:val="00AE5BAC"/>
    <w:rsid w:val="00AE7C1E"/>
    <w:rsid w:val="00AF06F5"/>
    <w:rsid w:val="00AF0C0C"/>
    <w:rsid w:val="00AF185E"/>
    <w:rsid w:val="00AF2050"/>
    <w:rsid w:val="00AF4246"/>
    <w:rsid w:val="00AF62DF"/>
    <w:rsid w:val="00AF68CC"/>
    <w:rsid w:val="00AF70D7"/>
    <w:rsid w:val="00AF7BEA"/>
    <w:rsid w:val="00AF7EED"/>
    <w:rsid w:val="00B00729"/>
    <w:rsid w:val="00B0549B"/>
    <w:rsid w:val="00B0571B"/>
    <w:rsid w:val="00B05C40"/>
    <w:rsid w:val="00B07404"/>
    <w:rsid w:val="00B07CFB"/>
    <w:rsid w:val="00B07EAC"/>
    <w:rsid w:val="00B1059E"/>
    <w:rsid w:val="00B11B50"/>
    <w:rsid w:val="00B14140"/>
    <w:rsid w:val="00B15A49"/>
    <w:rsid w:val="00B170A5"/>
    <w:rsid w:val="00B176C8"/>
    <w:rsid w:val="00B2041D"/>
    <w:rsid w:val="00B205AA"/>
    <w:rsid w:val="00B22E84"/>
    <w:rsid w:val="00B233AD"/>
    <w:rsid w:val="00B2348E"/>
    <w:rsid w:val="00B23E25"/>
    <w:rsid w:val="00B25F75"/>
    <w:rsid w:val="00B26B3F"/>
    <w:rsid w:val="00B26CA5"/>
    <w:rsid w:val="00B2778F"/>
    <w:rsid w:val="00B32E44"/>
    <w:rsid w:val="00B33635"/>
    <w:rsid w:val="00B33E91"/>
    <w:rsid w:val="00B35593"/>
    <w:rsid w:val="00B3595C"/>
    <w:rsid w:val="00B359B4"/>
    <w:rsid w:val="00B36C65"/>
    <w:rsid w:val="00B37311"/>
    <w:rsid w:val="00B41059"/>
    <w:rsid w:val="00B427AD"/>
    <w:rsid w:val="00B429A5"/>
    <w:rsid w:val="00B438B4"/>
    <w:rsid w:val="00B43E90"/>
    <w:rsid w:val="00B4482E"/>
    <w:rsid w:val="00B44D4B"/>
    <w:rsid w:val="00B454AF"/>
    <w:rsid w:val="00B45866"/>
    <w:rsid w:val="00B467DC"/>
    <w:rsid w:val="00B50EE2"/>
    <w:rsid w:val="00B51409"/>
    <w:rsid w:val="00B56118"/>
    <w:rsid w:val="00B56F06"/>
    <w:rsid w:val="00B64905"/>
    <w:rsid w:val="00B65A32"/>
    <w:rsid w:val="00B66DA3"/>
    <w:rsid w:val="00B672D1"/>
    <w:rsid w:val="00B6773F"/>
    <w:rsid w:val="00B67BCB"/>
    <w:rsid w:val="00B70C2F"/>
    <w:rsid w:val="00B75869"/>
    <w:rsid w:val="00B75CC1"/>
    <w:rsid w:val="00B75CD2"/>
    <w:rsid w:val="00B75FA6"/>
    <w:rsid w:val="00B75FE3"/>
    <w:rsid w:val="00B760FB"/>
    <w:rsid w:val="00B767AB"/>
    <w:rsid w:val="00B801BA"/>
    <w:rsid w:val="00B808CB"/>
    <w:rsid w:val="00B80EB1"/>
    <w:rsid w:val="00B811FD"/>
    <w:rsid w:val="00B81672"/>
    <w:rsid w:val="00B83148"/>
    <w:rsid w:val="00B831D5"/>
    <w:rsid w:val="00B834C7"/>
    <w:rsid w:val="00B83F36"/>
    <w:rsid w:val="00B84D5C"/>
    <w:rsid w:val="00B92E71"/>
    <w:rsid w:val="00B97C90"/>
    <w:rsid w:val="00BA0BDE"/>
    <w:rsid w:val="00BA0E7F"/>
    <w:rsid w:val="00BA1A96"/>
    <w:rsid w:val="00BA2C33"/>
    <w:rsid w:val="00BA2DA8"/>
    <w:rsid w:val="00BA347C"/>
    <w:rsid w:val="00BA4D94"/>
    <w:rsid w:val="00BA67B7"/>
    <w:rsid w:val="00BA6963"/>
    <w:rsid w:val="00BB0433"/>
    <w:rsid w:val="00BB229C"/>
    <w:rsid w:val="00BB2E0D"/>
    <w:rsid w:val="00BB3120"/>
    <w:rsid w:val="00BB55EF"/>
    <w:rsid w:val="00BB578C"/>
    <w:rsid w:val="00BB69F5"/>
    <w:rsid w:val="00BB7EC3"/>
    <w:rsid w:val="00BC0015"/>
    <w:rsid w:val="00BC0F6E"/>
    <w:rsid w:val="00BC201E"/>
    <w:rsid w:val="00BC30E8"/>
    <w:rsid w:val="00BC4B9A"/>
    <w:rsid w:val="00BC4E4A"/>
    <w:rsid w:val="00BC6205"/>
    <w:rsid w:val="00BC62FD"/>
    <w:rsid w:val="00BC6388"/>
    <w:rsid w:val="00BC68E2"/>
    <w:rsid w:val="00BC6B1F"/>
    <w:rsid w:val="00BC6B6E"/>
    <w:rsid w:val="00BD02C3"/>
    <w:rsid w:val="00BD6940"/>
    <w:rsid w:val="00BD784C"/>
    <w:rsid w:val="00BE020A"/>
    <w:rsid w:val="00BE1B9E"/>
    <w:rsid w:val="00BE1F45"/>
    <w:rsid w:val="00BE1FC1"/>
    <w:rsid w:val="00BE43DE"/>
    <w:rsid w:val="00BF092C"/>
    <w:rsid w:val="00BF27A0"/>
    <w:rsid w:val="00BF2976"/>
    <w:rsid w:val="00BF4CB6"/>
    <w:rsid w:val="00BF599A"/>
    <w:rsid w:val="00BF7515"/>
    <w:rsid w:val="00C00DA7"/>
    <w:rsid w:val="00C02237"/>
    <w:rsid w:val="00C02E44"/>
    <w:rsid w:val="00C037ED"/>
    <w:rsid w:val="00C0583F"/>
    <w:rsid w:val="00C07029"/>
    <w:rsid w:val="00C07181"/>
    <w:rsid w:val="00C0793B"/>
    <w:rsid w:val="00C12093"/>
    <w:rsid w:val="00C12617"/>
    <w:rsid w:val="00C12768"/>
    <w:rsid w:val="00C12D70"/>
    <w:rsid w:val="00C153F5"/>
    <w:rsid w:val="00C15F2F"/>
    <w:rsid w:val="00C171CF"/>
    <w:rsid w:val="00C17895"/>
    <w:rsid w:val="00C206CA"/>
    <w:rsid w:val="00C21B09"/>
    <w:rsid w:val="00C22477"/>
    <w:rsid w:val="00C24C53"/>
    <w:rsid w:val="00C2673A"/>
    <w:rsid w:val="00C271D1"/>
    <w:rsid w:val="00C27B58"/>
    <w:rsid w:val="00C30B08"/>
    <w:rsid w:val="00C32124"/>
    <w:rsid w:val="00C321F9"/>
    <w:rsid w:val="00C35996"/>
    <w:rsid w:val="00C35F1D"/>
    <w:rsid w:val="00C36CFA"/>
    <w:rsid w:val="00C409CC"/>
    <w:rsid w:val="00C41155"/>
    <w:rsid w:val="00C41D6A"/>
    <w:rsid w:val="00C43879"/>
    <w:rsid w:val="00C44A6B"/>
    <w:rsid w:val="00C4747E"/>
    <w:rsid w:val="00C47D83"/>
    <w:rsid w:val="00C50D1E"/>
    <w:rsid w:val="00C52A60"/>
    <w:rsid w:val="00C5342C"/>
    <w:rsid w:val="00C53722"/>
    <w:rsid w:val="00C53B2B"/>
    <w:rsid w:val="00C57577"/>
    <w:rsid w:val="00C60110"/>
    <w:rsid w:val="00C60272"/>
    <w:rsid w:val="00C603D4"/>
    <w:rsid w:val="00C6256A"/>
    <w:rsid w:val="00C65592"/>
    <w:rsid w:val="00C65F81"/>
    <w:rsid w:val="00C710E2"/>
    <w:rsid w:val="00C71814"/>
    <w:rsid w:val="00C71B42"/>
    <w:rsid w:val="00C71C3F"/>
    <w:rsid w:val="00C73152"/>
    <w:rsid w:val="00C735E5"/>
    <w:rsid w:val="00C7409E"/>
    <w:rsid w:val="00C76E76"/>
    <w:rsid w:val="00C77891"/>
    <w:rsid w:val="00C77F80"/>
    <w:rsid w:val="00C804C7"/>
    <w:rsid w:val="00C825B7"/>
    <w:rsid w:val="00C83A16"/>
    <w:rsid w:val="00C86C0A"/>
    <w:rsid w:val="00C90D77"/>
    <w:rsid w:val="00C91449"/>
    <w:rsid w:val="00C9275C"/>
    <w:rsid w:val="00C92D10"/>
    <w:rsid w:val="00C93130"/>
    <w:rsid w:val="00C96035"/>
    <w:rsid w:val="00CA00DA"/>
    <w:rsid w:val="00CA3D76"/>
    <w:rsid w:val="00CA48D9"/>
    <w:rsid w:val="00CA5B2B"/>
    <w:rsid w:val="00CA5D6F"/>
    <w:rsid w:val="00CA6ECA"/>
    <w:rsid w:val="00CB0C1F"/>
    <w:rsid w:val="00CB1193"/>
    <w:rsid w:val="00CB3007"/>
    <w:rsid w:val="00CB356A"/>
    <w:rsid w:val="00CB4767"/>
    <w:rsid w:val="00CB493D"/>
    <w:rsid w:val="00CB6899"/>
    <w:rsid w:val="00CB7F12"/>
    <w:rsid w:val="00CC3B97"/>
    <w:rsid w:val="00CD1953"/>
    <w:rsid w:val="00CD2BD0"/>
    <w:rsid w:val="00CD34EC"/>
    <w:rsid w:val="00CD555C"/>
    <w:rsid w:val="00CD71D3"/>
    <w:rsid w:val="00CD7A07"/>
    <w:rsid w:val="00CE0DF3"/>
    <w:rsid w:val="00CE10C4"/>
    <w:rsid w:val="00CE1CC6"/>
    <w:rsid w:val="00CE27B5"/>
    <w:rsid w:val="00CE2909"/>
    <w:rsid w:val="00CE523C"/>
    <w:rsid w:val="00CE5FF4"/>
    <w:rsid w:val="00CE6A5A"/>
    <w:rsid w:val="00CE6DAF"/>
    <w:rsid w:val="00CF0192"/>
    <w:rsid w:val="00CF0EAE"/>
    <w:rsid w:val="00CF3D32"/>
    <w:rsid w:val="00CF3E12"/>
    <w:rsid w:val="00CF410A"/>
    <w:rsid w:val="00CF439F"/>
    <w:rsid w:val="00CF5EF2"/>
    <w:rsid w:val="00CF7CBB"/>
    <w:rsid w:val="00D0085C"/>
    <w:rsid w:val="00D00CDB"/>
    <w:rsid w:val="00D0282F"/>
    <w:rsid w:val="00D0321E"/>
    <w:rsid w:val="00D05022"/>
    <w:rsid w:val="00D07A8A"/>
    <w:rsid w:val="00D11785"/>
    <w:rsid w:val="00D1455A"/>
    <w:rsid w:val="00D155A5"/>
    <w:rsid w:val="00D15EEE"/>
    <w:rsid w:val="00D215E1"/>
    <w:rsid w:val="00D22093"/>
    <w:rsid w:val="00D22F21"/>
    <w:rsid w:val="00D25192"/>
    <w:rsid w:val="00D276BF"/>
    <w:rsid w:val="00D27861"/>
    <w:rsid w:val="00D31150"/>
    <w:rsid w:val="00D3138B"/>
    <w:rsid w:val="00D31F70"/>
    <w:rsid w:val="00D3280C"/>
    <w:rsid w:val="00D3406A"/>
    <w:rsid w:val="00D368B4"/>
    <w:rsid w:val="00D441F1"/>
    <w:rsid w:val="00D4572C"/>
    <w:rsid w:val="00D459A5"/>
    <w:rsid w:val="00D46495"/>
    <w:rsid w:val="00D469B2"/>
    <w:rsid w:val="00D46E55"/>
    <w:rsid w:val="00D47505"/>
    <w:rsid w:val="00D50ED7"/>
    <w:rsid w:val="00D515F9"/>
    <w:rsid w:val="00D5557C"/>
    <w:rsid w:val="00D570CA"/>
    <w:rsid w:val="00D61155"/>
    <w:rsid w:val="00D61D42"/>
    <w:rsid w:val="00D61F6D"/>
    <w:rsid w:val="00D62E81"/>
    <w:rsid w:val="00D6337D"/>
    <w:rsid w:val="00D636D0"/>
    <w:rsid w:val="00D63E16"/>
    <w:rsid w:val="00D64270"/>
    <w:rsid w:val="00D644F9"/>
    <w:rsid w:val="00D65658"/>
    <w:rsid w:val="00D66606"/>
    <w:rsid w:val="00D66BD4"/>
    <w:rsid w:val="00D66FA0"/>
    <w:rsid w:val="00D6744B"/>
    <w:rsid w:val="00D708DA"/>
    <w:rsid w:val="00D70AEB"/>
    <w:rsid w:val="00D711D2"/>
    <w:rsid w:val="00D718C4"/>
    <w:rsid w:val="00D72B6F"/>
    <w:rsid w:val="00D72C48"/>
    <w:rsid w:val="00D741EB"/>
    <w:rsid w:val="00D74B81"/>
    <w:rsid w:val="00D7679C"/>
    <w:rsid w:val="00D77337"/>
    <w:rsid w:val="00D77ACB"/>
    <w:rsid w:val="00D80587"/>
    <w:rsid w:val="00D820F3"/>
    <w:rsid w:val="00D8296B"/>
    <w:rsid w:val="00D82D4F"/>
    <w:rsid w:val="00D83605"/>
    <w:rsid w:val="00D84295"/>
    <w:rsid w:val="00D84934"/>
    <w:rsid w:val="00D855E6"/>
    <w:rsid w:val="00D85720"/>
    <w:rsid w:val="00D85CEE"/>
    <w:rsid w:val="00D8628F"/>
    <w:rsid w:val="00D862C8"/>
    <w:rsid w:val="00D90CE8"/>
    <w:rsid w:val="00D91271"/>
    <w:rsid w:val="00D9147F"/>
    <w:rsid w:val="00D919F5"/>
    <w:rsid w:val="00D9216D"/>
    <w:rsid w:val="00D92982"/>
    <w:rsid w:val="00D94F03"/>
    <w:rsid w:val="00D95E81"/>
    <w:rsid w:val="00D97297"/>
    <w:rsid w:val="00DA0D14"/>
    <w:rsid w:val="00DA1FC9"/>
    <w:rsid w:val="00DA23A1"/>
    <w:rsid w:val="00DA2CB5"/>
    <w:rsid w:val="00DA4575"/>
    <w:rsid w:val="00DA4BAC"/>
    <w:rsid w:val="00DA5F5A"/>
    <w:rsid w:val="00DA68D8"/>
    <w:rsid w:val="00DA7487"/>
    <w:rsid w:val="00DB0151"/>
    <w:rsid w:val="00DB602A"/>
    <w:rsid w:val="00DB7E64"/>
    <w:rsid w:val="00DC04DE"/>
    <w:rsid w:val="00DC0F79"/>
    <w:rsid w:val="00DC113C"/>
    <w:rsid w:val="00DC11A7"/>
    <w:rsid w:val="00DC24A7"/>
    <w:rsid w:val="00DC27A1"/>
    <w:rsid w:val="00DC2890"/>
    <w:rsid w:val="00DC2C3E"/>
    <w:rsid w:val="00DC4880"/>
    <w:rsid w:val="00DC4E6B"/>
    <w:rsid w:val="00DC63E2"/>
    <w:rsid w:val="00DC6AF9"/>
    <w:rsid w:val="00DC6DB6"/>
    <w:rsid w:val="00DC7438"/>
    <w:rsid w:val="00DD0826"/>
    <w:rsid w:val="00DD1CB1"/>
    <w:rsid w:val="00DD2612"/>
    <w:rsid w:val="00DD2AAD"/>
    <w:rsid w:val="00DD3191"/>
    <w:rsid w:val="00DD5B4B"/>
    <w:rsid w:val="00DD66E8"/>
    <w:rsid w:val="00DD6732"/>
    <w:rsid w:val="00DE4545"/>
    <w:rsid w:val="00DE45CC"/>
    <w:rsid w:val="00DE48F9"/>
    <w:rsid w:val="00DE51C2"/>
    <w:rsid w:val="00DE6D27"/>
    <w:rsid w:val="00DE7491"/>
    <w:rsid w:val="00DE7FF7"/>
    <w:rsid w:val="00DF1522"/>
    <w:rsid w:val="00DF217D"/>
    <w:rsid w:val="00DF26A7"/>
    <w:rsid w:val="00DF3277"/>
    <w:rsid w:val="00DF3475"/>
    <w:rsid w:val="00DF35E6"/>
    <w:rsid w:val="00DF42B9"/>
    <w:rsid w:val="00DF63DB"/>
    <w:rsid w:val="00DF68E4"/>
    <w:rsid w:val="00DF7919"/>
    <w:rsid w:val="00DF7C92"/>
    <w:rsid w:val="00E015CA"/>
    <w:rsid w:val="00E02056"/>
    <w:rsid w:val="00E0207E"/>
    <w:rsid w:val="00E02752"/>
    <w:rsid w:val="00E03912"/>
    <w:rsid w:val="00E10A2F"/>
    <w:rsid w:val="00E127B0"/>
    <w:rsid w:val="00E13B4E"/>
    <w:rsid w:val="00E13C72"/>
    <w:rsid w:val="00E14BFE"/>
    <w:rsid w:val="00E15627"/>
    <w:rsid w:val="00E15C98"/>
    <w:rsid w:val="00E164B3"/>
    <w:rsid w:val="00E168BD"/>
    <w:rsid w:val="00E16910"/>
    <w:rsid w:val="00E17C01"/>
    <w:rsid w:val="00E21D9B"/>
    <w:rsid w:val="00E2231B"/>
    <w:rsid w:val="00E24E09"/>
    <w:rsid w:val="00E24FCB"/>
    <w:rsid w:val="00E27234"/>
    <w:rsid w:val="00E303AA"/>
    <w:rsid w:val="00E30750"/>
    <w:rsid w:val="00E30D53"/>
    <w:rsid w:val="00E30DD6"/>
    <w:rsid w:val="00E346E8"/>
    <w:rsid w:val="00E34A2B"/>
    <w:rsid w:val="00E35F2E"/>
    <w:rsid w:val="00E413F1"/>
    <w:rsid w:val="00E42BDB"/>
    <w:rsid w:val="00E455CD"/>
    <w:rsid w:val="00E45B09"/>
    <w:rsid w:val="00E45F09"/>
    <w:rsid w:val="00E478DE"/>
    <w:rsid w:val="00E5097F"/>
    <w:rsid w:val="00E5371B"/>
    <w:rsid w:val="00E5392F"/>
    <w:rsid w:val="00E53E22"/>
    <w:rsid w:val="00E53E65"/>
    <w:rsid w:val="00E56C3E"/>
    <w:rsid w:val="00E57EEB"/>
    <w:rsid w:val="00E6066F"/>
    <w:rsid w:val="00E612F3"/>
    <w:rsid w:val="00E62D94"/>
    <w:rsid w:val="00E63A81"/>
    <w:rsid w:val="00E63C48"/>
    <w:rsid w:val="00E64F37"/>
    <w:rsid w:val="00E65E54"/>
    <w:rsid w:val="00E661C7"/>
    <w:rsid w:val="00E70035"/>
    <w:rsid w:val="00E70CBA"/>
    <w:rsid w:val="00E71F36"/>
    <w:rsid w:val="00E776C9"/>
    <w:rsid w:val="00E80155"/>
    <w:rsid w:val="00E81E0D"/>
    <w:rsid w:val="00E81F28"/>
    <w:rsid w:val="00E82B5A"/>
    <w:rsid w:val="00E82CC5"/>
    <w:rsid w:val="00E83A90"/>
    <w:rsid w:val="00E848C0"/>
    <w:rsid w:val="00E85009"/>
    <w:rsid w:val="00E90C38"/>
    <w:rsid w:val="00E91B96"/>
    <w:rsid w:val="00E93598"/>
    <w:rsid w:val="00E93D1E"/>
    <w:rsid w:val="00E941A1"/>
    <w:rsid w:val="00E94610"/>
    <w:rsid w:val="00E94742"/>
    <w:rsid w:val="00E9491D"/>
    <w:rsid w:val="00E95CE3"/>
    <w:rsid w:val="00E95F89"/>
    <w:rsid w:val="00EA1208"/>
    <w:rsid w:val="00EA252F"/>
    <w:rsid w:val="00EA2825"/>
    <w:rsid w:val="00EA41E6"/>
    <w:rsid w:val="00EA597C"/>
    <w:rsid w:val="00EA6596"/>
    <w:rsid w:val="00EA6D7D"/>
    <w:rsid w:val="00EA773F"/>
    <w:rsid w:val="00EA7EDE"/>
    <w:rsid w:val="00EB0369"/>
    <w:rsid w:val="00EB0B63"/>
    <w:rsid w:val="00EB1936"/>
    <w:rsid w:val="00EB1E59"/>
    <w:rsid w:val="00EB3296"/>
    <w:rsid w:val="00EB3472"/>
    <w:rsid w:val="00EB35E1"/>
    <w:rsid w:val="00EB37BE"/>
    <w:rsid w:val="00EB5088"/>
    <w:rsid w:val="00EB50F2"/>
    <w:rsid w:val="00EB58C9"/>
    <w:rsid w:val="00EB6175"/>
    <w:rsid w:val="00EB69DF"/>
    <w:rsid w:val="00EC11CF"/>
    <w:rsid w:val="00EC20CE"/>
    <w:rsid w:val="00EC6649"/>
    <w:rsid w:val="00ED1019"/>
    <w:rsid w:val="00ED1254"/>
    <w:rsid w:val="00ED1644"/>
    <w:rsid w:val="00ED2593"/>
    <w:rsid w:val="00ED4999"/>
    <w:rsid w:val="00ED4B03"/>
    <w:rsid w:val="00ED656C"/>
    <w:rsid w:val="00ED7D9C"/>
    <w:rsid w:val="00EE016D"/>
    <w:rsid w:val="00EE27AF"/>
    <w:rsid w:val="00EE70F6"/>
    <w:rsid w:val="00EE7D18"/>
    <w:rsid w:val="00EE7EF2"/>
    <w:rsid w:val="00EF0069"/>
    <w:rsid w:val="00EF0AC9"/>
    <w:rsid w:val="00EF112E"/>
    <w:rsid w:val="00EF1E30"/>
    <w:rsid w:val="00EF40E6"/>
    <w:rsid w:val="00EF44A0"/>
    <w:rsid w:val="00EF4FED"/>
    <w:rsid w:val="00EF5FA8"/>
    <w:rsid w:val="00EF610F"/>
    <w:rsid w:val="00EF67D8"/>
    <w:rsid w:val="00F00030"/>
    <w:rsid w:val="00F007C6"/>
    <w:rsid w:val="00F0172E"/>
    <w:rsid w:val="00F017E0"/>
    <w:rsid w:val="00F02D49"/>
    <w:rsid w:val="00F050BD"/>
    <w:rsid w:val="00F05657"/>
    <w:rsid w:val="00F06BAA"/>
    <w:rsid w:val="00F07DC8"/>
    <w:rsid w:val="00F101D4"/>
    <w:rsid w:val="00F1101D"/>
    <w:rsid w:val="00F15FD3"/>
    <w:rsid w:val="00F16E6C"/>
    <w:rsid w:val="00F172AF"/>
    <w:rsid w:val="00F209E2"/>
    <w:rsid w:val="00F21251"/>
    <w:rsid w:val="00F21280"/>
    <w:rsid w:val="00F22CCD"/>
    <w:rsid w:val="00F23189"/>
    <w:rsid w:val="00F237B9"/>
    <w:rsid w:val="00F24CA7"/>
    <w:rsid w:val="00F25578"/>
    <w:rsid w:val="00F258E5"/>
    <w:rsid w:val="00F25B9C"/>
    <w:rsid w:val="00F265AF"/>
    <w:rsid w:val="00F26CC6"/>
    <w:rsid w:val="00F27009"/>
    <w:rsid w:val="00F300BC"/>
    <w:rsid w:val="00F31F96"/>
    <w:rsid w:val="00F3263C"/>
    <w:rsid w:val="00F3334E"/>
    <w:rsid w:val="00F336F9"/>
    <w:rsid w:val="00F342A1"/>
    <w:rsid w:val="00F35AC1"/>
    <w:rsid w:val="00F35C48"/>
    <w:rsid w:val="00F36CCB"/>
    <w:rsid w:val="00F374E5"/>
    <w:rsid w:val="00F37B93"/>
    <w:rsid w:val="00F42912"/>
    <w:rsid w:val="00F42A8E"/>
    <w:rsid w:val="00F43AF2"/>
    <w:rsid w:val="00F45ED5"/>
    <w:rsid w:val="00F5007E"/>
    <w:rsid w:val="00F50D2F"/>
    <w:rsid w:val="00F50EC4"/>
    <w:rsid w:val="00F52232"/>
    <w:rsid w:val="00F52B13"/>
    <w:rsid w:val="00F550CF"/>
    <w:rsid w:val="00F55FE6"/>
    <w:rsid w:val="00F57A6D"/>
    <w:rsid w:val="00F6026A"/>
    <w:rsid w:val="00F61681"/>
    <w:rsid w:val="00F638CC"/>
    <w:rsid w:val="00F6417C"/>
    <w:rsid w:val="00F64C9E"/>
    <w:rsid w:val="00F64CC1"/>
    <w:rsid w:val="00F65F41"/>
    <w:rsid w:val="00F673FF"/>
    <w:rsid w:val="00F67A37"/>
    <w:rsid w:val="00F67B87"/>
    <w:rsid w:val="00F701A0"/>
    <w:rsid w:val="00F70FFE"/>
    <w:rsid w:val="00F71A10"/>
    <w:rsid w:val="00F72317"/>
    <w:rsid w:val="00F73A98"/>
    <w:rsid w:val="00F73B64"/>
    <w:rsid w:val="00F73E1F"/>
    <w:rsid w:val="00F75068"/>
    <w:rsid w:val="00F75776"/>
    <w:rsid w:val="00F75AA1"/>
    <w:rsid w:val="00F75D16"/>
    <w:rsid w:val="00F80475"/>
    <w:rsid w:val="00F8055B"/>
    <w:rsid w:val="00F80976"/>
    <w:rsid w:val="00F81F89"/>
    <w:rsid w:val="00F8247A"/>
    <w:rsid w:val="00F8396F"/>
    <w:rsid w:val="00F84346"/>
    <w:rsid w:val="00F85A9C"/>
    <w:rsid w:val="00F8738B"/>
    <w:rsid w:val="00F87A2C"/>
    <w:rsid w:val="00F90793"/>
    <w:rsid w:val="00F929D5"/>
    <w:rsid w:val="00F959C2"/>
    <w:rsid w:val="00F95E59"/>
    <w:rsid w:val="00F9629A"/>
    <w:rsid w:val="00F97EFC"/>
    <w:rsid w:val="00FA00D7"/>
    <w:rsid w:val="00FA01B6"/>
    <w:rsid w:val="00FA1BDD"/>
    <w:rsid w:val="00FA463B"/>
    <w:rsid w:val="00FA4DD5"/>
    <w:rsid w:val="00FA5883"/>
    <w:rsid w:val="00FA6055"/>
    <w:rsid w:val="00FB0A12"/>
    <w:rsid w:val="00FB27C6"/>
    <w:rsid w:val="00FB322F"/>
    <w:rsid w:val="00FB442F"/>
    <w:rsid w:val="00FB65E2"/>
    <w:rsid w:val="00FB7AF6"/>
    <w:rsid w:val="00FC0332"/>
    <w:rsid w:val="00FC0F08"/>
    <w:rsid w:val="00FC1564"/>
    <w:rsid w:val="00FC1929"/>
    <w:rsid w:val="00FC1A73"/>
    <w:rsid w:val="00FC27E8"/>
    <w:rsid w:val="00FC5001"/>
    <w:rsid w:val="00FC5B46"/>
    <w:rsid w:val="00FC6F1D"/>
    <w:rsid w:val="00FC7B1B"/>
    <w:rsid w:val="00FD0A6C"/>
    <w:rsid w:val="00FD2483"/>
    <w:rsid w:val="00FD5A5A"/>
    <w:rsid w:val="00FD6C87"/>
    <w:rsid w:val="00FD6D8E"/>
    <w:rsid w:val="00FE09BB"/>
    <w:rsid w:val="00FE0DA3"/>
    <w:rsid w:val="00FE0E94"/>
    <w:rsid w:val="00FE10FD"/>
    <w:rsid w:val="00FE147B"/>
    <w:rsid w:val="00FE3CD9"/>
    <w:rsid w:val="00FE3E6A"/>
    <w:rsid w:val="00FE4530"/>
    <w:rsid w:val="00FE4CD6"/>
    <w:rsid w:val="00FE58FC"/>
    <w:rsid w:val="00FE5C1C"/>
    <w:rsid w:val="00FE7959"/>
    <w:rsid w:val="00FE7B01"/>
    <w:rsid w:val="00FF00BD"/>
    <w:rsid w:val="00FF02E7"/>
    <w:rsid w:val="00FF0B4C"/>
    <w:rsid w:val="00FF0F7F"/>
    <w:rsid w:val="00FF1ED4"/>
    <w:rsid w:val="00FF2801"/>
    <w:rsid w:val="00FF57A8"/>
    <w:rsid w:val="00FF5A82"/>
    <w:rsid w:val="00FF5B0F"/>
    <w:rsid w:val="00FF7C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L,Bullet Point,Bulletr List Paragraph,Content descriptions,FooterTex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L Char,リスト段落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2"/>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6"/>
      </w:numPr>
      <w:spacing w:before="60" w:after="60" w:line="300" w:lineRule="atLeast"/>
      <w:ind w:right="567"/>
    </w:pPr>
    <w:rPr>
      <w:rFonts w:ascii="Tahoma" w:hAnsi="Tahoma"/>
      <w:sz w:val="22"/>
      <w:szCs w:val="20"/>
    </w:rPr>
  </w:style>
  <w:style w:type="paragraph" w:customStyle="1" w:styleId="TableText1">
    <w:name w:val="TableText"/>
    <w:basedOn w:val="Normal"/>
    <w:link w:val="TableTextChar1"/>
    <w:uiPriority w:val="97"/>
    <w:qFormat/>
    <w:rsid w:val="00F8738B"/>
    <w:pPr>
      <w:spacing w:before="40" w:after="40"/>
    </w:pPr>
    <w:rPr>
      <w:rFonts w:ascii="Calibri" w:hAnsi="Calibri" w:cstheme="minorHAnsi"/>
      <w:bCs/>
      <w:sz w:val="20"/>
      <w:szCs w:val="20"/>
      <w:lang w:eastAsia="en-US"/>
    </w:rPr>
  </w:style>
  <w:style w:type="character" w:customStyle="1" w:styleId="TableTextChar1">
    <w:name w:val="TableText Char"/>
    <w:basedOn w:val="DefaultParagraphFont"/>
    <w:link w:val="TableText1"/>
    <w:uiPriority w:val="97"/>
    <w:rsid w:val="00F8738B"/>
    <w:rPr>
      <w:rFonts w:ascii="Calibri" w:hAnsi="Calibri" w:cstheme="minorHAnsi"/>
      <w:bCs/>
      <w:lang w:eastAsia="en-US"/>
    </w:rPr>
  </w:style>
  <w:style w:type="paragraph" w:customStyle="1" w:styleId="TableHeadingRow">
    <w:name w:val="TableHeadingRow"/>
    <w:basedOn w:val="Normal"/>
    <w:uiPriority w:val="96"/>
    <w:qFormat/>
    <w:rsid w:val="00C037ED"/>
    <w:pPr>
      <w:keepNext/>
      <w:spacing w:before="20" w:after="20"/>
    </w:pPr>
    <w:rPr>
      <w:rFonts w:ascii="Calibri" w:hAnsi="Calibri" w:cstheme="minorHAnsi"/>
      <w:b/>
      <w:sz w:val="20"/>
      <w:szCs w:val="20"/>
      <w:lang w:eastAsia="en-US"/>
    </w:rPr>
  </w:style>
  <w:style w:type="paragraph" w:customStyle="1" w:styleId="Commentitalics">
    <w:name w:val="Comment (italics)"/>
    <w:basedOn w:val="Normal"/>
    <w:next w:val="Normal"/>
    <w:qFormat/>
    <w:rsid w:val="002050A2"/>
    <w:pPr>
      <w:widowControl w:val="0"/>
      <w:jc w:val="both"/>
    </w:pPr>
    <w:rPr>
      <w:rFonts w:ascii="Calibri" w:hAnsi="Calibri" w:cs="Arial"/>
      <w:i/>
      <w:snapToGrid w:val="0"/>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104A43"/>
    <w:rPr>
      <w:rFonts w:ascii="Calibri" w:hAnsi="Calibri"/>
      <w:i/>
      <w:iCs/>
      <w:color w:val="000000" w:themeColor="text1"/>
      <w:sz w:val="18"/>
      <w:szCs w:val="18"/>
    </w:rPr>
  </w:style>
  <w:style w:type="paragraph" w:styleId="FootnoteText">
    <w:name w:val="footnote text"/>
    <w:basedOn w:val="Normal"/>
    <w:link w:val="FootnoteTextChar"/>
    <w:semiHidden/>
    <w:unhideWhenUsed/>
    <w:rsid w:val="00C07181"/>
    <w:rPr>
      <w:sz w:val="20"/>
      <w:szCs w:val="20"/>
    </w:rPr>
  </w:style>
  <w:style w:type="character" w:customStyle="1" w:styleId="FootnoteTextChar">
    <w:name w:val="Footnote Text Char"/>
    <w:basedOn w:val="DefaultParagraphFont"/>
    <w:link w:val="FootnoteText"/>
    <w:semiHidden/>
    <w:rsid w:val="00C07181"/>
  </w:style>
  <w:style w:type="character" w:styleId="FootnoteReference">
    <w:name w:val="footnote reference"/>
    <w:basedOn w:val="DefaultParagraphFont"/>
    <w:semiHidden/>
    <w:unhideWhenUsed/>
    <w:rsid w:val="00C07181"/>
    <w:rPr>
      <w:vertAlign w:val="superscript"/>
    </w:rPr>
  </w:style>
  <w:style w:type="paragraph" w:styleId="Revision">
    <w:name w:val="Revision"/>
    <w:hidden/>
    <w:uiPriority w:val="71"/>
    <w:semiHidden/>
    <w:rsid w:val="00961804"/>
    <w:rPr>
      <w:sz w:val="24"/>
      <w:szCs w:val="24"/>
    </w:rPr>
  </w:style>
  <w:style w:type="character" w:styleId="Emphasis">
    <w:name w:val="Emphasis"/>
    <w:basedOn w:val="DefaultParagraphFont"/>
    <w:uiPriority w:val="20"/>
    <w:qFormat/>
    <w:rsid w:val="00F673FF"/>
    <w:rPr>
      <w:b/>
      <w:bCs/>
      <w:i w:val="0"/>
      <w:iCs w:val="0"/>
    </w:rPr>
  </w:style>
  <w:style w:type="character" w:customStyle="1" w:styleId="st1">
    <w:name w:val="st1"/>
    <w:basedOn w:val="DefaultParagraphFont"/>
    <w:rsid w:val="00F6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716614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79476273">
      <w:bodyDiv w:val="1"/>
      <w:marLeft w:val="0"/>
      <w:marRight w:val="0"/>
      <w:marTop w:val="0"/>
      <w:marBottom w:val="0"/>
      <w:divBdr>
        <w:top w:val="none" w:sz="0" w:space="0" w:color="auto"/>
        <w:left w:val="none" w:sz="0" w:space="0" w:color="auto"/>
        <w:bottom w:val="none" w:sz="0" w:space="0" w:color="auto"/>
        <w:right w:val="none" w:sz="0" w:space="0" w:color="auto"/>
      </w:divBdr>
    </w:div>
    <w:div w:id="149444696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34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5224</Words>
  <Characters>33440</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2020-02-26T01:09:00Z</dcterms:created>
  <dcterms:modified xsi:type="dcterms:W3CDTF">2020-02-26T01:11:00Z</dcterms:modified>
</cp:coreProperties>
</file>