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B0" w:rsidRPr="007E1812" w:rsidRDefault="00524B36" w:rsidP="00620BD3">
      <w:pPr>
        <w:pStyle w:val="Title"/>
        <w:widowControl/>
        <w:spacing w:before="0" w:after="0"/>
        <w:ind w:left="720" w:hanging="720"/>
        <w:jc w:val="left"/>
        <w:rPr>
          <w:rFonts w:ascii="Calibri" w:hAnsi="Calibri"/>
          <w:bCs w:val="0"/>
          <w:kern w:val="0"/>
          <w:sz w:val="36"/>
          <w:szCs w:val="36"/>
        </w:rPr>
      </w:pPr>
      <w:bookmarkStart w:id="0" w:name="_Toc371170698"/>
      <w:bookmarkStart w:id="1" w:name="_Toc18922033"/>
      <w:bookmarkStart w:id="2" w:name="_Toc341702043"/>
      <w:bookmarkStart w:id="3" w:name="_Toc380742621"/>
      <w:bookmarkStart w:id="4" w:name="_Toc380746188"/>
      <w:bookmarkStart w:id="5" w:name="_Toc380746314"/>
      <w:bookmarkStart w:id="6" w:name="_Toc380746595"/>
      <w:r w:rsidRPr="007E1812">
        <w:rPr>
          <w:rFonts w:ascii="Calibri" w:hAnsi="Calibri"/>
          <w:bCs w:val="0"/>
          <w:kern w:val="0"/>
          <w:sz w:val="36"/>
          <w:szCs w:val="36"/>
        </w:rPr>
        <w:t>5</w:t>
      </w:r>
      <w:r w:rsidR="0095648F" w:rsidRPr="007E1812">
        <w:rPr>
          <w:rFonts w:ascii="Calibri" w:hAnsi="Calibri"/>
          <w:bCs w:val="0"/>
          <w:kern w:val="0"/>
          <w:sz w:val="36"/>
          <w:szCs w:val="36"/>
        </w:rPr>
        <w:t>.</w:t>
      </w:r>
      <w:r w:rsidRPr="007E1812">
        <w:rPr>
          <w:rFonts w:ascii="Calibri" w:hAnsi="Calibri"/>
          <w:bCs w:val="0"/>
          <w:kern w:val="0"/>
          <w:sz w:val="36"/>
          <w:szCs w:val="36"/>
        </w:rPr>
        <w:t>02</w:t>
      </w:r>
      <w:r w:rsidR="0095648F" w:rsidRPr="007E1812">
        <w:rPr>
          <w:rFonts w:ascii="Calibri" w:hAnsi="Calibri"/>
          <w:bCs w:val="0"/>
          <w:kern w:val="0"/>
          <w:sz w:val="36"/>
          <w:szCs w:val="36"/>
        </w:rPr>
        <w:t xml:space="preserve"> BRIGATINIB, </w:t>
      </w:r>
      <w:r w:rsidR="00835A71" w:rsidRPr="007E1812">
        <w:rPr>
          <w:rFonts w:ascii="Calibri" w:hAnsi="Calibri"/>
          <w:bCs w:val="0"/>
          <w:kern w:val="0"/>
          <w:sz w:val="36"/>
          <w:szCs w:val="36"/>
        </w:rPr>
        <w:br/>
      </w:r>
      <w:r w:rsidR="00571F23" w:rsidRPr="007E1812">
        <w:rPr>
          <w:rFonts w:ascii="Calibri" w:hAnsi="Calibri"/>
          <w:bCs w:val="0"/>
          <w:kern w:val="0"/>
          <w:sz w:val="36"/>
          <w:szCs w:val="36"/>
        </w:rPr>
        <w:t>T</w:t>
      </w:r>
      <w:r w:rsidR="0095648F" w:rsidRPr="007E1812">
        <w:rPr>
          <w:rFonts w:ascii="Calibri" w:hAnsi="Calibri"/>
          <w:bCs w:val="0"/>
          <w:kern w:val="0"/>
          <w:sz w:val="36"/>
          <w:szCs w:val="36"/>
        </w:rPr>
        <w:t>ablet</w:t>
      </w:r>
      <w:r w:rsidR="00944A84" w:rsidRPr="007E1812">
        <w:rPr>
          <w:rFonts w:ascii="Calibri" w:hAnsi="Calibri"/>
          <w:bCs w:val="0"/>
          <w:kern w:val="0"/>
          <w:sz w:val="36"/>
          <w:szCs w:val="36"/>
        </w:rPr>
        <w:t xml:space="preserve"> 30 mg, 90 mg, 180 mg, </w:t>
      </w:r>
      <w:r w:rsidR="00835A71" w:rsidRPr="007E1812">
        <w:rPr>
          <w:rFonts w:ascii="Calibri" w:hAnsi="Calibri"/>
          <w:bCs w:val="0"/>
          <w:kern w:val="0"/>
          <w:sz w:val="36"/>
          <w:szCs w:val="36"/>
        </w:rPr>
        <w:br/>
        <w:t>P</w:t>
      </w:r>
      <w:r w:rsidR="00944A84" w:rsidRPr="007E1812">
        <w:rPr>
          <w:rFonts w:ascii="Calibri" w:hAnsi="Calibri"/>
          <w:bCs w:val="0"/>
          <w:kern w:val="0"/>
          <w:sz w:val="36"/>
          <w:szCs w:val="36"/>
        </w:rPr>
        <w:t xml:space="preserve">ack containing 7 tablets brigatinib 90 mg </w:t>
      </w:r>
      <w:r w:rsidR="009C5AB0" w:rsidRPr="007E1812">
        <w:rPr>
          <w:rFonts w:ascii="Calibri" w:hAnsi="Calibri"/>
          <w:bCs w:val="0"/>
          <w:kern w:val="0"/>
          <w:sz w:val="36"/>
          <w:szCs w:val="36"/>
        </w:rPr>
        <w:t xml:space="preserve">and </w:t>
      </w:r>
      <w:r w:rsidR="00944A84" w:rsidRPr="007E1812">
        <w:rPr>
          <w:rFonts w:ascii="Calibri" w:hAnsi="Calibri"/>
          <w:bCs w:val="0"/>
          <w:kern w:val="0"/>
          <w:sz w:val="36"/>
          <w:szCs w:val="36"/>
        </w:rPr>
        <w:t>21 tablets brigatinib 180 mg,</w:t>
      </w:r>
    </w:p>
    <w:p w:rsidR="000E2B9C" w:rsidRPr="007E1812" w:rsidRDefault="0095648F" w:rsidP="00620BD3">
      <w:pPr>
        <w:pStyle w:val="BodyText"/>
        <w:widowControl/>
        <w:ind w:left="720"/>
        <w:rPr>
          <w:b/>
          <w:bCs/>
          <w:sz w:val="36"/>
          <w:szCs w:val="36"/>
        </w:rPr>
      </w:pPr>
      <w:r w:rsidRPr="007E1812">
        <w:rPr>
          <w:b/>
          <w:bCs/>
          <w:sz w:val="36"/>
          <w:szCs w:val="36"/>
        </w:rPr>
        <w:t>A</w:t>
      </w:r>
      <w:r w:rsidR="009C5AB0" w:rsidRPr="007E1812">
        <w:rPr>
          <w:b/>
          <w:bCs/>
          <w:sz w:val="36"/>
          <w:szCs w:val="36"/>
        </w:rPr>
        <w:t xml:space="preserve">lunbrig®, </w:t>
      </w:r>
    </w:p>
    <w:p w:rsidR="0095648F" w:rsidRPr="007E1812" w:rsidRDefault="009C5AB0" w:rsidP="00620BD3">
      <w:pPr>
        <w:pStyle w:val="BodyText"/>
        <w:widowControl/>
        <w:spacing w:after="240"/>
        <w:ind w:left="720"/>
        <w:rPr>
          <w:b/>
          <w:bCs/>
          <w:sz w:val="36"/>
          <w:szCs w:val="36"/>
        </w:rPr>
      </w:pPr>
      <w:r w:rsidRPr="007E1812">
        <w:rPr>
          <w:b/>
          <w:bCs/>
          <w:sz w:val="36"/>
          <w:szCs w:val="36"/>
        </w:rPr>
        <w:t>Takeda Ph</w:t>
      </w:r>
      <w:r w:rsidR="000E2B9C" w:rsidRPr="007E1812">
        <w:rPr>
          <w:b/>
          <w:bCs/>
          <w:sz w:val="36"/>
          <w:szCs w:val="36"/>
        </w:rPr>
        <w:t>armaceuticals Australia Pty Ltd</w:t>
      </w:r>
      <w:r w:rsidR="00FF6CB5">
        <w:rPr>
          <w:b/>
          <w:bCs/>
          <w:sz w:val="36"/>
          <w:szCs w:val="36"/>
        </w:rPr>
        <w:t>.</w:t>
      </w:r>
    </w:p>
    <w:p w:rsidR="00C31073" w:rsidRPr="007E1812" w:rsidRDefault="00C31073" w:rsidP="00617728">
      <w:pPr>
        <w:pStyle w:val="PBACHeading1"/>
        <w:keepNext/>
        <w:spacing w:before="240" w:after="120"/>
      </w:pPr>
      <w:bookmarkStart w:id="7" w:name="_Toc371170699"/>
      <w:bookmarkStart w:id="8" w:name="_Toc18922034"/>
      <w:bookmarkStart w:id="9" w:name="_Toc19710252"/>
      <w:bookmarkEnd w:id="0"/>
      <w:bookmarkEnd w:id="1"/>
      <w:r w:rsidRPr="007E1812">
        <w:t>Purpose of Application</w:t>
      </w:r>
      <w:bookmarkEnd w:id="7"/>
      <w:bookmarkEnd w:id="8"/>
      <w:bookmarkEnd w:id="9"/>
    </w:p>
    <w:p w:rsidR="00C31073" w:rsidRPr="007E1812" w:rsidRDefault="00C31073" w:rsidP="00620BD3">
      <w:pPr>
        <w:pStyle w:val="ListParagraph"/>
        <w:widowControl/>
        <w:numPr>
          <w:ilvl w:val="1"/>
          <w:numId w:val="1"/>
        </w:numPr>
        <w:spacing w:after="120"/>
      </w:pPr>
      <w:r w:rsidRPr="007E1812">
        <w:t xml:space="preserve">The submission requested a Section 85 (General Schedule), Authority Required (telephone) </w:t>
      </w:r>
      <w:r w:rsidR="0072093C" w:rsidRPr="007E1812">
        <w:t>listing for brigatinib</w:t>
      </w:r>
      <w:r w:rsidRPr="007E1812">
        <w:t xml:space="preserve">, as monotherapy in patients with locally advanced (Stage IIIB) or metastatic (Stage IV) anaplastic lymphoma kinase (ALK)-positive non-squamous (NS) or not otherwise specified (NOS) non-small cell lung cancer (NSCLC) and a World Health Organization (WHO) performance status of 2 or less. The </w:t>
      </w:r>
      <w:r w:rsidR="00123786" w:rsidRPr="007E1812">
        <w:t xml:space="preserve">requested </w:t>
      </w:r>
      <w:r w:rsidRPr="007E1812">
        <w:t xml:space="preserve">listing was agnostic to the line of therapy. Brigatinib currently has </w:t>
      </w:r>
      <w:r w:rsidR="00584B57" w:rsidRPr="007E1812">
        <w:t xml:space="preserve">TGA </w:t>
      </w:r>
      <w:r w:rsidRPr="007E1812">
        <w:t xml:space="preserve">registration for use </w:t>
      </w:r>
      <w:r w:rsidR="00123786" w:rsidRPr="007E1812">
        <w:t xml:space="preserve">following treatment with crizotinib </w:t>
      </w:r>
      <w:r w:rsidRPr="007E1812">
        <w:t xml:space="preserve">in the second-line setting; the proposed PBS listing </w:t>
      </w:r>
      <w:r w:rsidR="00123786" w:rsidRPr="007E1812">
        <w:t>was</w:t>
      </w:r>
      <w:r w:rsidRPr="007E1812">
        <w:t xml:space="preserve"> thus broader than the </w:t>
      </w:r>
      <w:r w:rsidR="00B04FB1" w:rsidRPr="007E1812">
        <w:t xml:space="preserve">approved </w:t>
      </w:r>
      <w:r w:rsidR="00AF39C2" w:rsidRPr="007E1812">
        <w:t>TGA</w:t>
      </w:r>
      <w:r w:rsidR="00B04FB1" w:rsidRPr="007E1812">
        <w:t xml:space="preserve"> </w:t>
      </w:r>
      <w:r w:rsidRPr="007E1812">
        <w:t>indication.</w:t>
      </w:r>
    </w:p>
    <w:p w:rsidR="00EA7C37" w:rsidRPr="007E1812" w:rsidRDefault="00C31073" w:rsidP="00620BD3">
      <w:pPr>
        <w:pStyle w:val="ListParagraph"/>
        <w:widowControl/>
        <w:numPr>
          <w:ilvl w:val="1"/>
          <w:numId w:val="1"/>
        </w:numPr>
        <w:spacing w:after="120"/>
      </w:pPr>
      <w:r w:rsidRPr="007E1812">
        <w:t xml:space="preserve">The submission presented a cost-minimisation analysis (CMA), on the basis that brigatinib, titrated to 180 mg orally per day (90 mg per day for first seven days) was non-inferior to alectinib in terms of efficacy and safety. An indirect comparison of brigatinib with alectinib, using crizotinib as the common reference, was presented for treatment </w:t>
      </w:r>
      <w:r w:rsidR="00C21B47" w:rsidRPr="007E1812">
        <w:t xml:space="preserve">of </w:t>
      </w:r>
      <w:r w:rsidRPr="007E1812">
        <w:t xml:space="preserve">naïve patients </w:t>
      </w:r>
      <w:r w:rsidR="00C21B47" w:rsidRPr="007E1812">
        <w:t>in the first-line setting</w:t>
      </w:r>
      <w:r w:rsidRPr="007E1812">
        <w:t>. A naïve indirect comparison between brigatinib and alectinib was presented for treatment of patients with prior exposure to a tyrosine kinase inhibitor (TKI</w:t>
      </w:r>
      <w:r w:rsidR="00C21B47" w:rsidRPr="007E1812">
        <w:t>) in the second-line setting</w:t>
      </w:r>
      <w:r w:rsidRPr="007E1812">
        <w:t xml:space="preserve">. </w:t>
      </w:r>
    </w:p>
    <w:p w:rsidR="00B77056" w:rsidRPr="007E1812" w:rsidRDefault="00C31073" w:rsidP="00B77056">
      <w:pPr>
        <w:pStyle w:val="ListParagraph"/>
        <w:widowControl/>
        <w:numPr>
          <w:ilvl w:val="1"/>
          <w:numId w:val="1"/>
        </w:numPr>
        <w:spacing w:after="120"/>
      </w:pPr>
      <w:r w:rsidRPr="007E1812">
        <w:t xml:space="preserve">The key components of the clinical issues addressed by the submission are </w:t>
      </w:r>
      <w:r w:rsidRPr="007E1812">
        <w:rPr>
          <w:rFonts w:asciiTheme="minorHAnsi" w:hAnsiTheme="minorHAnsi" w:cstheme="minorHAnsi"/>
          <w:szCs w:val="24"/>
        </w:rPr>
        <w:t xml:space="preserve">shown in </w:t>
      </w:r>
      <w:r w:rsidR="00C47F2F" w:rsidRPr="007E1812">
        <w:rPr>
          <w:szCs w:val="20"/>
        </w:rPr>
        <w:t>Table 1</w:t>
      </w:r>
      <w:r w:rsidRPr="007E1812">
        <w:t>.</w:t>
      </w:r>
    </w:p>
    <w:p w:rsidR="00C31073" w:rsidRPr="007E1812" w:rsidRDefault="00C31073" w:rsidP="00620BD3">
      <w:pPr>
        <w:pStyle w:val="Caption"/>
      </w:pPr>
      <w:bookmarkStart w:id="10" w:name="_Ref18505994"/>
      <w:r w:rsidRPr="007E1812">
        <w:lastRenderedPageBreak/>
        <w:t xml:space="preserve">Table </w:t>
      </w:r>
      <w:r w:rsidR="007F3D8E" w:rsidRPr="007E1812">
        <w:t>1</w:t>
      </w:r>
      <w:bookmarkEnd w:id="10"/>
      <w:r w:rsidRPr="007E1812">
        <w:rPr>
          <w:rStyle w:val="CommentReference"/>
          <w:b/>
          <w:szCs w:val="18"/>
        </w:rPr>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43"/>
        <w:gridCol w:w="7374"/>
      </w:tblGrid>
      <w:tr w:rsidR="00C31073" w:rsidRPr="007E1812" w:rsidTr="00CC7677">
        <w:trPr>
          <w:tblHeader/>
        </w:trPr>
        <w:tc>
          <w:tcPr>
            <w:tcW w:w="911" w:type="pct"/>
            <w:vAlign w:val="center"/>
          </w:tcPr>
          <w:p w:rsidR="00C31073" w:rsidRPr="007E1812" w:rsidRDefault="00C31073" w:rsidP="00620BD3">
            <w:pPr>
              <w:pStyle w:val="Tabletext"/>
              <w:keepNext/>
              <w:keepLines/>
              <w:rPr>
                <w:b/>
              </w:rPr>
            </w:pPr>
            <w:r w:rsidRPr="007E1812">
              <w:rPr>
                <w:b/>
              </w:rPr>
              <w:t>Component</w:t>
            </w:r>
          </w:p>
        </w:tc>
        <w:tc>
          <w:tcPr>
            <w:tcW w:w="4089" w:type="pct"/>
            <w:vAlign w:val="center"/>
          </w:tcPr>
          <w:p w:rsidR="00C31073" w:rsidRPr="007E1812" w:rsidRDefault="00C31073" w:rsidP="00620BD3">
            <w:pPr>
              <w:pStyle w:val="Tabletext"/>
              <w:keepNext/>
              <w:keepLines/>
              <w:jc w:val="center"/>
              <w:rPr>
                <w:b/>
              </w:rPr>
            </w:pPr>
            <w:r w:rsidRPr="007E1812">
              <w:rPr>
                <w:b/>
              </w:rPr>
              <w:t>Description</w:t>
            </w:r>
          </w:p>
        </w:tc>
      </w:tr>
      <w:tr w:rsidR="00C31073" w:rsidRPr="007E1812" w:rsidTr="00CC7677">
        <w:tc>
          <w:tcPr>
            <w:tcW w:w="911" w:type="pct"/>
            <w:vAlign w:val="center"/>
          </w:tcPr>
          <w:p w:rsidR="00C31073" w:rsidRPr="007E1812" w:rsidRDefault="00C31073" w:rsidP="00620BD3">
            <w:pPr>
              <w:pStyle w:val="Tabletext"/>
              <w:keepNext/>
              <w:keepLines/>
            </w:pPr>
            <w:r w:rsidRPr="007E1812">
              <w:t>Population</w:t>
            </w:r>
          </w:p>
        </w:tc>
        <w:tc>
          <w:tcPr>
            <w:tcW w:w="4089" w:type="pct"/>
            <w:vAlign w:val="center"/>
          </w:tcPr>
          <w:p w:rsidR="00C31073" w:rsidRPr="007E1812" w:rsidRDefault="00C31073" w:rsidP="00620BD3">
            <w:pPr>
              <w:pStyle w:val="Tabletext"/>
              <w:keepNext/>
              <w:keepLines/>
            </w:pPr>
            <w:r w:rsidRPr="007E1812">
              <w:t>Patients with ALK-positive locally advanced (Stage IIIB) or metastatic (Stage IV) non-squamous (NS) or not otherwise specified (NOS) NSCLC and a WHO performance status of 2 or less.</w:t>
            </w:r>
          </w:p>
        </w:tc>
      </w:tr>
      <w:tr w:rsidR="00C31073" w:rsidRPr="007E1812" w:rsidTr="00CC7677">
        <w:tc>
          <w:tcPr>
            <w:tcW w:w="911" w:type="pct"/>
            <w:vAlign w:val="center"/>
          </w:tcPr>
          <w:p w:rsidR="00C31073" w:rsidRPr="007E1812" w:rsidRDefault="00C31073" w:rsidP="00620BD3">
            <w:pPr>
              <w:pStyle w:val="Tabletext"/>
              <w:keepNext/>
              <w:keepLines/>
            </w:pPr>
            <w:r w:rsidRPr="007E1812">
              <w:t>Intervention</w:t>
            </w:r>
          </w:p>
        </w:tc>
        <w:tc>
          <w:tcPr>
            <w:tcW w:w="4089" w:type="pct"/>
            <w:vAlign w:val="center"/>
          </w:tcPr>
          <w:p w:rsidR="00C31073" w:rsidRPr="007E1812" w:rsidRDefault="00C31073" w:rsidP="00620BD3">
            <w:pPr>
              <w:pStyle w:val="Tabletext"/>
              <w:keepNext/>
              <w:keepLines/>
            </w:pPr>
            <w:r w:rsidRPr="007E1812">
              <w:t>Brigatinib (Alunbrig®), titrated to 180 mg (1 x 180 mg tablet) once daily until progression.</w:t>
            </w:r>
          </w:p>
        </w:tc>
      </w:tr>
      <w:tr w:rsidR="00C31073" w:rsidRPr="007E1812" w:rsidTr="00CC7677">
        <w:tc>
          <w:tcPr>
            <w:tcW w:w="911" w:type="pct"/>
            <w:vAlign w:val="center"/>
          </w:tcPr>
          <w:p w:rsidR="00C31073" w:rsidRPr="007E1812" w:rsidRDefault="00C31073" w:rsidP="00620BD3">
            <w:pPr>
              <w:pStyle w:val="Tabletext"/>
              <w:keepNext/>
              <w:keepLines/>
            </w:pPr>
            <w:r w:rsidRPr="007E1812">
              <w:t>Comparator</w:t>
            </w:r>
          </w:p>
        </w:tc>
        <w:tc>
          <w:tcPr>
            <w:tcW w:w="4089" w:type="pct"/>
            <w:vAlign w:val="center"/>
          </w:tcPr>
          <w:p w:rsidR="00C31073" w:rsidRPr="007E1812" w:rsidRDefault="00C31073" w:rsidP="00620BD3">
            <w:pPr>
              <w:pStyle w:val="Tabletext"/>
              <w:keepNext/>
              <w:keepLines/>
            </w:pPr>
            <w:r w:rsidRPr="007E1812">
              <w:t>Alectinib 600 mg (4 x 150 mg capsules) twice daily until progression (total daily dose 1,200 mg).</w:t>
            </w:r>
          </w:p>
        </w:tc>
      </w:tr>
      <w:tr w:rsidR="00C31073" w:rsidRPr="007E1812" w:rsidTr="00CC7677">
        <w:tc>
          <w:tcPr>
            <w:tcW w:w="911" w:type="pct"/>
            <w:vAlign w:val="center"/>
          </w:tcPr>
          <w:p w:rsidR="00C31073" w:rsidRPr="007E1812" w:rsidRDefault="00C31073" w:rsidP="00620BD3">
            <w:pPr>
              <w:pStyle w:val="Tabletext"/>
              <w:keepNext/>
              <w:keepLines/>
            </w:pPr>
            <w:r w:rsidRPr="007E1812">
              <w:t>Outcomes</w:t>
            </w:r>
          </w:p>
        </w:tc>
        <w:tc>
          <w:tcPr>
            <w:tcW w:w="4089" w:type="pct"/>
            <w:vAlign w:val="center"/>
          </w:tcPr>
          <w:p w:rsidR="00C31073" w:rsidRPr="007E1812" w:rsidRDefault="00C31073" w:rsidP="00620BD3">
            <w:pPr>
              <w:pStyle w:val="Tabletext"/>
              <w:keepNext/>
              <w:keepLines/>
            </w:pPr>
            <w:r w:rsidRPr="007E1812">
              <w:t>Progression free survival (PFS); objective response rate (ORR); duration of response (DOR);</w:t>
            </w:r>
          </w:p>
          <w:p w:rsidR="00C31073" w:rsidRPr="007E1812" w:rsidRDefault="00C31073" w:rsidP="00620BD3">
            <w:pPr>
              <w:pStyle w:val="Tabletext"/>
              <w:keepNext/>
              <w:keepLines/>
            </w:pPr>
            <w:r w:rsidRPr="007E1812">
              <w:t>CNS response outcomes (CNS ORR and DOR); overall survival (OS); quality of life (QoL); safety and tolerability.</w:t>
            </w:r>
          </w:p>
        </w:tc>
      </w:tr>
      <w:tr w:rsidR="00C31073" w:rsidRPr="007E1812" w:rsidTr="00CC7677">
        <w:tc>
          <w:tcPr>
            <w:tcW w:w="911" w:type="pct"/>
            <w:vAlign w:val="center"/>
          </w:tcPr>
          <w:p w:rsidR="00C31073" w:rsidRPr="007E1812" w:rsidRDefault="00C31073" w:rsidP="00620BD3">
            <w:pPr>
              <w:pStyle w:val="Tabletext"/>
              <w:keepNext/>
              <w:keepLines/>
            </w:pPr>
            <w:r w:rsidRPr="007E1812">
              <w:t>Clinical claim</w:t>
            </w:r>
          </w:p>
        </w:tc>
        <w:tc>
          <w:tcPr>
            <w:tcW w:w="4089" w:type="pct"/>
            <w:vAlign w:val="center"/>
          </w:tcPr>
          <w:p w:rsidR="00C31073" w:rsidRPr="007E1812" w:rsidRDefault="00C31073" w:rsidP="00620BD3">
            <w:pPr>
              <w:pStyle w:val="Tabletext"/>
              <w:keepNext/>
              <w:keepLines/>
            </w:pPr>
            <w:r w:rsidRPr="007E1812">
              <w:t>In patients with ALK-positive, locally advanced or metastatic NSCLC, brigatinib provides at least similar efficacy to alectinib for key clinical outcomes (ORR, DOR, PFS and OS).</w:t>
            </w:r>
          </w:p>
          <w:p w:rsidR="00C31073" w:rsidRPr="007E1812" w:rsidRDefault="00C31073" w:rsidP="00620BD3">
            <w:pPr>
              <w:pStyle w:val="Tabletext"/>
              <w:keepNext/>
              <w:keepLines/>
            </w:pPr>
            <w:r w:rsidRPr="007E1812">
              <w:t>Brigatinib is associated with a different but overall non-inferior safety and tolerability profile to that seen with alectinib and other ALK targeted TKIs.</w:t>
            </w:r>
          </w:p>
          <w:p w:rsidR="00C31073" w:rsidRPr="007E1812" w:rsidRDefault="00C31073" w:rsidP="00620BD3">
            <w:pPr>
              <w:pStyle w:val="Tabletext"/>
              <w:keepNext/>
              <w:keepLines/>
            </w:pPr>
            <w:r w:rsidRPr="007E1812">
              <w:t>Emerging clinical data demonstrate that these therapeutic relativities are likely to hold in both ALK inhibitor naïve and prior TKI (crizotinib) experienced patients.</w:t>
            </w:r>
          </w:p>
        </w:tc>
      </w:tr>
    </w:tbl>
    <w:p w:rsidR="00C31073" w:rsidRPr="007E1812" w:rsidRDefault="00C31073" w:rsidP="00620BD3">
      <w:pPr>
        <w:pStyle w:val="TableFooter"/>
        <w:keepNext/>
        <w:keepLines/>
        <w:widowControl/>
      </w:pPr>
      <w:r w:rsidRPr="007E1812">
        <w:t>Abbreviations: ALK = anaplastic lymphoma kinase; CNS = central nervous system; DOR = duration of response; mg = milligram; NSCLC = non-small cell lung cancer; NS = non-squamous; NOS = not otherwise specified; PFS = progression free survival; ORR = objective tumour response rate; OS = overall survival; QoL = quality of life; TKI = tyrosine kinase inhibitor; WHO = World Health Organization</w:t>
      </w:r>
    </w:p>
    <w:p w:rsidR="00C31073" w:rsidRPr="007E1812" w:rsidRDefault="00C31073" w:rsidP="00620BD3">
      <w:pPr>
        <w:keepNext/>
        <w:keepLines/>
        <w:widowControl/>
        <w:rPr>
          <w:rFonts w:ascii="Arial Narrow" w:hAnsi="Arial Narrow"/>
          <w:sz w:val="18"/>
          <w:szCs w:val="18"/>
        </w:rPr>
      </w:pPr>
      <w:r w:rsidRPr="007E1812">
        <w:rPr>
          <w:rFonts w:ascii="Arial Narrow" w:hAnsi="Arial Narrow"/>
          <w:sz w:val="18"/>
          <w:szCs w:val="18"/>
        </w:rPr>
        <w:t>Source: Table 1.1, p.3 of the submission.</w:t>
      </w:r>
    </w:p>
    <w:p w:rsidR="00C31073" w:rsidRPr="007E1812" w:rsidRDefault="00C31073" w:rsidP="00620BD3">
      <w:pPr>
        <w:pStyle w:val="PBACHeading1"/>
        <w:spacing w:before="120" w:after="120"/>
      </w:pPr>
      <w:bookmarkStart w:id="11" w:name="_Toc371170700"/>
      <w:bookmarkStart w:id="12" w:name="_Toc18922035"/>
      <w:bookmarkStart w:id="13" w:name="_Toc19710253"/>
      <w:r w:rsidRPr="007E1812">
        <w:t>Requested listing</w:t>
      </w:r>
      <w:bookmarkEnd w:id="11"/>
      <w:bookmarkEnd w:id="12"/>
      <w:bookmarkEnd w:id="13"/>
    </w:p>
    <w:p w:rsidR="0091143B" w:rsidRPr="007E1812" w:rsidRDefault="0091143B" w:rsidP="00620BD3">
      <w:pPr>
        <w:pStyle w:val="ListParagraph"/>
        <w:widowControl/>
        <w:numPr>
          <w:ilvl w:val="1"/>
          <w:numId w:val="1"/>
        </w:numPr>
      </w:pPr>
      <w:r w:rsidRPr="007E1812">
        <w:t>Suggestions and additions proposed by the Secretariat to the requested listing criteria are added in italics and suggested deletions are crossed out with strikethrough.</w:t>
      </w:r>
    </w:p>
    <w:p w:rsidR="00C31073" w:rsidRPr="007E1812" w:rsidRDefault="00C31073" w:rsidP="00620BD3">
      <w:pPr>
        <w:pStyle w:val="ListParagraph"/>
        <w:widowControl/>
        <w:numPr>
          <w:ilvl w:val="1"/>
          <w:numId w:val="1"/>
        </w:numPr>
        <w:spacing w:before="120" w:after="120"/>
      </w:pPr>
      <w:r w:rsidRPr="007E1812">
        <w:rPr>
          <w:rFonts w:asciiTheme="minorHAnsi" w:hAnsiTheme="minorHAnsi" w:cstheme="minorHAnsi"/>
          <w:szCs w:val="24"/>
        </w:rPr>
        <w:t>The submission</w:t>
      </w:r>
      <w:r w:rsidRPr="007E1812">
        <w:t xml:space="preserve"> proposed that a special pricing arrangement (SPA) apply, consistent with the arrangements applied to alectinib, ceritinib and crizotinib. The proposed published Dispensed Price for Maximum Quantity (DPMQ) for brigatinib was </w:t>
      </w:r>
      <w:r w:rsidR="0023451C" w:rsidRPr="00EB5BC9">
        <w:t>$</w:t>
      </w:r>
      <w:r w:rsidR="00765787">
        <w:rPr>
          <w:noProof/>
          <w:color w:val="000000"/>
          <w:highlight w:val="black"/>
        </w:rPr>
        <w:t>''''''''''''''''</w:t>
      </w:r>
      <w:r w:rsidR="0023451C" w:rsidRPr="00EB5BC9">
        <w:t xml:space="preserve"> </w:t>
      </w:r>
      <w:r w:rsidRPr="00EB5BC9">
        <w:t>for all</w:t>
      </w:r>
      <w:r w:rsidRPr="007E1812">
        <w:t xml:space="preserve"> </w:t>
      </w:r>
      <w:r w:rsidR="00FD36C1" w:rsidRPr="007E1812">
        <w:t>four presentations</w:t>
      </w:r>
      <w:r w:rsidR="00ED7045" w:rsidRPr="007E1812">
        <w:t>. The submission proposed a flat pricing structure with the same cost per day across the different pack sizes, except for patients on the lowest dose reduction step (i.e. 60 mg daily, using the 30 mg strength)</w:t>
      </w:r>
      <w:r w:rsidR="00F42A4A" w:rsidRPr="007E1812">
        <w:t>.</w:t>
      </w:r>
      <w:r w:rsidR="00ED7045" w:rsidRPr="007E1812">
        <w:t xml:space="preserve"> </w:t>
      </w:r>
      <w:r w:rsidRPr="007E1812">
        <w:t>The submission did not propose an effective price for brigatinib, noting that this would be determined by the cost-minimised price to the</w:t>
      </w:r>
      <w:r w:rsidR="007D01F4" w:rsidRPr="007E1812">
        <w:t xml:space="preserve"> effective price for alectinib.</w:t>
      </w:r>
    </w:p>
    <w:p w:rsidR="00C31073" w:rsidRPr="007E1812" w:rsidRDefault="00C31073" w:rsidP="00620BD3">
      <w:pPr>
        <w:pStyle w:val="ListParagraph"/>
        <w:widowControl/>
        <w:numPr>
          <w:ilvl w:val="1"/>
          <w:numId w:val="1"/>
        </w:numPr>
        <w:spacing w:before="120" w:after="120"/>
      </w:pPr>
      <w:r w:rsidRPr="007E1812">
        <w:t>The current price for alectinib was determined on a cost-minimisation basis wit</w:t>
      </w:r>
      <w:r w:rsidR="00A214A1" w:rsidRPr="007E1812">
        <w:t>h ceritinib at a dose of 750 mg daily</w:t>
      </w:r>
      <w:r w:rsidRPr="007E1812">
        <w:t xml:space="preserve">. Since that time, the </w:t>
      </w:r>
      <w:r w:rsidR="00E3775E" w:rsidRPr="007E1812">
        <w:t xml:space="preserve">TGA-approved </w:t>
      </w:r>
      <w:r w:rsidRPr="007E1812">
        <w:t>daily dose of cerit</w:t>
      </w:r>
      <w:r w:rsidR="00A214A1" w:rsidRPr="007E1812">
        <w:t xml:space="preserve">inib has been </w:t>
      </w:r>
      <w:r w:rsidR="00E3775E" w:rsidRPr="007E1812">
        <w:t xml:space="preserve">amended </w:t>
      </w:r>
      <w:r w:rsidR="00A214A1" w:rsidRPr="007E1812">
        <w:t>to 450 mg daily</w:t>
      </w:r>
      <w:r w:rsidRPr="007E1812">
        <w:t>.</w:t>
      </w:r>
      <w:r w:rsidR="00D36279" w:rsidRPr="007E1812">
        <w:rPr>
          <w:rFonts w:asciiTheme="minorHAnsi" w:hAnsiTheme="minorHAnsi" w:cstheme="minorHAnsi"/>
          <w:i/>
          <w:iCs/>
          <w:szCs w:val="24"/>
        </w:rPr>
        <w:t xml:space="preserve"> </w:t>
      </w:r>
    </w:p>
    <w:tbl>
      <w:tblPr>
        <w:tblW w:w="9214" w:type="dxa"/>
        <w:tblLayout w:type="fixed"/>
        <w:tblLook w:val="0020" w:firstRow="1" w:lastRow="0" w:firstColumn="0" w:lastColumn="0" w:noHBand="0" w:noVBand="0"/>
      </w:tblPr>
      <w:tblGrid>
        <w:gridCol w:w="2835"/>
        <w:gridCol w:w="426"/>
        <w:gridCol w:w="567"/>
        <w:gridCol w:w="850"/>
        <w:gridCol w:w="1701"/>
        <w:gridCol w:w="992"/>
        <w:gridCol w:w="1843"/>
      </w:tblGrid>
      <w:tr w:rsidR="00BA75C4" w:rsidRPr="007E1812" w:rsidTr="00BA75C4">
        <w:trPr>
          <w:trHeight w:val="20"/>
        </w:trPr>
        <w:tc>
          <w:tcPr>
            <w:tcW w:w="3261" w:type="dxa"/>
            <w:gridSpan w:val="2"/>
            <w:tcBorders>
              <w:bottom w:val="single" w:sz="4" w:space="0" w:color="auto"/>
            </w:tcBorders>
            <w:shd w:val="clear" w:color="auto" w:fill="auto"/>
          </w:tcPr>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Name, Restriction,</w:t>
            </w:r>
          </w:p>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Manner of administration and form</w:t>
            </w:r>
          </w:p>
        </w:tc>
        <w:tc>
          <w:tcPr>
            <w:tcW w:w="567" w:type="dxa"/>
            <w:tcBorders>
              <w:bottom w:val="single" w:sz="4" w:space="0" w:color="auto"/>
            </w:tcBorders>
            <w:shd w:val="clear" w:color="auto" w:fill="auto"/>
          </w:tcPr>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Max.</w:t>
            </w:r>
          </w:p>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Qty</w:t>
            </w:r>
          </w:p>
        </w:tc>
        <w:tc>
          <w:tcPr>
            <w:tcW w:w="850" w:type="dxa"/>
            <w:tcBorders>
              <w:bottom w:val="single" w:sz="4" w:space="0" w:color="auto"/>
            </w:tcBorders>
            <w:shd w:val="clear" w:color="auto" w:fill="auto"/>
          </w:tcPr>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№.of</w:t>
            </w:r>
          </w:p>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Rpts</w:t>
            </w:r>
          </w:p>
        </w:tc>
        <w:tc>
          <w:tcPr>
            <w:tcW w:w="1701" w:type="dxa"/>
            <w:tcBorders>
              <w:bottom w:val="single" w:sz="4" w:space="0" w:color="auto"/>
            </w:tcBorders>
            <w:shd w:val="clear" w:color="auto" w:fill="auto"/>
          </w:tcPr>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Dispensed Price for Max. Qty</w:t>
            </w:r>
          </w:p>
        </w:tc>
        <w:tc>
          <w:tcPr>
            <w:tcW w:w="2835" w:type="dxa"/>
            <w:gridSpan w:val="2"/>
            <w:tcBorders>
              <w:bottom w:val="single" w:sz="4" w:space="0" w:color="auto"/>
            </w:tcBorders>
            <w:shd w:val="clear" w:color="auto" w:fill="auto"/>
          </w:tcPr>
          <w:p w:rsidR="00BA75C4" w:rsidRPr="007E1812" w:rsidRDefault="00BA75C4" w:rsidP="00620BD3">
            <w:pPr>
              <w:keepNext/>
              <w:widowControl/>
              <w:rPr>
                <w:rFonts w:ascii="Arial Narrow" w:hAnsi="Arial Narrow"/>
                <w:sz w:val="20"/>
                <w:szCs w:val="20"/>
              </w:rPr>
            </w:pPr>
            <w:r w:rsidRPr="007E1812">
              <w:rPr>
                <w:rFonts w:ascii="Arial Narrow" w:hAnsi="Arial Narrow"/>
                <w:sz w:val="20"/>
                <w:szCs w:val="20"/>
              </w:rPr>
              <w:t>Proprietary Name and Manufacturer</w:t>
            </w:r>
          </w:p>
        </w:tc>
      </w:tr>
      <w:tr w:rsidR="00BA75C4" w:rsidRPr="007E1812" w:rsidTr="00BA75C4">
        <w:trPr>
          <w:trHeight w:val="20"/>
        </w:trPr>
        <w:tc>
          <w:tcPr>
            <w:tcW w:w="3261" w:type="dxa"/>
            <w:gridSpan w:val="2"/>
            <w:shd w:val="clear" w:color="auto" w:fill="auto"/>
          </w:tcPr>
          <w:p w:rsidR="00BA75C4" w:rsidRPr="007E1812" w:rsidRDefault="00BA75C4" w:rsidP="00620BD3">
            <w:pPr>
              <w:keepNext/>
              <w:widowControl/>
              <w:ind w:left="-108"/>
              <w:rPr>
                <w:rFonts w:ascii="Arial Narrow" w:hAnsi="Arial Narrow"/>
                <w:sz w:val="20"/>
                <w:szCs w:val="20"/>
              </w:rPr>
            </w:pPr>
            <w:r w:rsidRPr="007E1812">
              <w:rPr>
                <w:rFonts w:ascii="Arial Narrow" w:hAnsi="Arial Narrow"/>
                <w:smallCaps/>
                <w:sz w:val="20"/>
                <w:szCs w:val="20"/>
              </w:rPr>
              <w:t>BRIGATINIB</w:t>
            </w:r>
          </w:p>
          <w:p w:rsidR="00BA75C4" w:rsidRPr="007E1812" w:rsidRDefault="00BA75C4" w:rsidP="00620BD3">
            <w:pPr>
              <w:keepNext/>
              <w:widowControl/>
              <w:ind w:left="-108"/>
              <w:rPr>
                <w:rFonts w:ascii="Arial Narrow" w:hAnsi="Arial Narrow"/>
                <w:strike/>
                <w:sz w:val="20"/>
                <w:szCs w:val="20"/>
              </w:rPr>
            </w:pPr>
            <w:r w:rsidRPr="007E1812">
              <w:rPr>
                <w:rFonts w:ascii="Arial Narrow" w:hAnsi="Arial Narrow"/>
                <w:strike/>
                <w:sz w:val="20"/>
                <w:szCs w:val="20"/>
              </w:rPr>
              <w:t>Initiation pack containing 7 x 90 mg tablets and 21 x 180 mg tablets</w:t>
            </w:r>
          </w:p>
          <w:p w:rsidR="00BA75C4" w:rsidRPr="007E1812" w:rsidRDefault="00BA75C4" w:rsidP="00620BD3">
            <w:pPr>
              <w:keepNext/>
              <w:widowControl/>
              <w:ind w:left="-108"/>
              <w:rPr>
                <w:rFonts w:ascii="Arial Narrow" w:hAnsi="Arial Narrow"/>
                <w:i/>
                <w:sz w:val="20"/>
                <w:szCs w:val="20"/>
              </w:rPr>
            </w:pPr>
            <w:r w:rsidRPr="007E1812">
              <w:rPr>
                <w:rFonts w:ascii="Arial Narrow" w:hAnsi="Arial Narrow"/>
                <w:i/>
                <w:sz w:val="20"/>
                <w:szCs w:val="20"/>
              </w:rPr>
              <w:t xml:space="preserve">90 mg tablet [7] (&amp;) 180 mg tablet [21], </w:t>
            </w:r>
          </w:p>
          <w:p w:rsidR="00BA75C4" w:rsidRPr="007E1812" w:rsidRDefault="00BA75C4" w:rsidP="00620BD3">
            <w:pPr>
              <w:keepNext/>
              <w:widowControl/>
              <w:ind w:left="-108"/>
              <w:rPr>
                <w:rFonts w:ascii="Arial Narrow" w:hAnsi="Arial Narrow"/>
                <w:i/>
                <w:sz w:val="20"/>
                <w:szCs w:val="20"/>
              </w:rPr>
            </w:pPr>
            <w:r w:rsidRPr="007E1812">
              <w:rPr>
                <w:rFonts w:ascii="Arial Narrow" w:hAnsi="Arial Narrow"/>
                <w:i/>
                <w:sz w:val="20"/>
                <w:szCs w:val="20"/>
              </w:rPr>
              <w:t>1 pack</w:t>
            </w:r>
          </w:p>
          <w:p w:rsidR="00BA75C4" w:rsidRPr="007E1812" w:rsidRDefault="00BA75C4" w:rsidP="00620BD3">
            <w:pPr>
              <w:keepNext/>
              <w:widowControl/>
              <w:ind w:left="-108"/>
              <w:rPr>
                <w:rFonts w:ascii="Arial Narrow" w:hAnsi="Arial Narrow"/>
                <w:sz w:val="20"/>
                <w:szCs w:val="20"/>
              </w:rPr>
            </w:pPr>
          </w:p>
        </w:tc>
        <w:tc>
          <w:tcPr>
            <w:tcW w:w="567" w:type="dxa"/>
            <w:shd w:val="clear" w:color="auto" w:fill="auto"/>
          </w:tcPr>
          <w:p w:rsidR="00BA75C4" w:rsidRPr="007E1812" w:rsidRDefault="00BA75C4" w:rsidP="00620BD3">
            <w:pPr>
              <w:keepNext/>
              <w:widowControl/>
              <w:ind w:left="-108"/>
              <w:rPr>
                <w:rFonts w:ascii="Arial Narrow" w:hAnsi="Arial Narrow"/>
                <w:sz w:val="20"/>
                <w:szCs w:val="20"/>
              </w:rPr>
            </w:pPr>
          </w:p>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1</w:t>
            </w:r>
          </w:p>
        </w:tc>
        <w:tc>
          <w:tcPr>
            <w:tcW w:w="850" w:type="dxa"/>
            <w:shd w:val="clear" w:color="auto" w:fill="auto"/>
          </w:tcPr>
          <w:p w:rsidR="00BA75C4" w:rsidRPr="007E1812" w:rsidRDefault="00BA75C4" w:rsidP="00620BD3">
            <w:pPr>
              <w:keepNext/>
              <w:widowControl/>
              <w:ind w:left="-108"/>
              <w:rPr>
                <w:rFonts w:ascii="Arial Narrow" w:hAnsi="Arial Narrow"/>
                <w:sz w:val="20"/>
                <w:szCs w:val="20"/>
              </w:rPr>
            </w:pPr>
          </w:p>
          <w:p w:rsidR="00BA75C4" w:rsidRPr="007E1812" w:rsidRDefault="00BA75C4" w:rsidP="00620BD3">
            <w:pPr>
              <w:keepNext/>
              <w:widowControl/>
              <w:ind w:left="-108"/>
              <w:rPr>
                <w:rFonts w:ascii="Arial Narrow" w:hAnsi="Arial Narrow"/>
                <w:sz w:val="20"/>
                <w:szCs w:val="20"/>
              </w:rPr>
            </w:pPr>
            <w:r w:rsidRPr="007E1812">
              <w:rPr>
                <w:rFonts w:ascii="Arial Narrow" w:hAnsi="Arial Narrow"/>
                <w:sz w:val="20"/>
                <w:szCs w:val="20"/>
              </w:rPr>
              <w:t>0</w:t>
            </w:r>
          </w:p>
        </w:tc>
        <w:tc>
          <w:tcPr>
            <w:tcW w:w="1701" w:type="dxa"/>
            <w:shd w:val="clear" w:color="auto" w:fill="auto"/>
          </w:tcPr>
          <w:p w:rsidR="00BA75C4" w:rsidRPr="007E1812" w:rsidRDefault="00BA75C4" w:rsidP="00620BD3">
            <w:pPr>
              <w:keepNext/>
              <w:widowControl/>
              <w:spacing w:before="240"/>
              <w:ind w:left="-108"/>
              <w:rPr>
                <w:rFonts w:ascii="Arial Narrow" w:hAnsi="Arial Narrow"/>
                <w:sz w:val="20"/>
                <w:szCs w:val="20"/>
              </w:rPr>
            </w:pPr>
            <w:r w:rsidRPr="007E1812">
              <w:rPr>
                <w:rFonts w:ascii="Arial Narrow" w:hAnsi="Arial Narrow"/>
                <w:sz w:val="20"/>
                <w:szCs w:val="20"/>
              </w:rPr>
              <w:t>$</w:t>
            </w:r>
            <w:r w:rsidR="00765787">
              <w:rPr>
                <w:rFonts w:ascii="Arial Narrow" w:hAnsi="Arial Narrow"/>
                <w:noProof/>
                <w:color w:val="000000"/>
                <w:sz w:val="20"/>
                <w:szCs w:val="20"/>
                <w:highlight w:val="black"/>
              </w:rPr>
              <w:t>'''''''''''''''''''</w:t>
            </w:r>
            <w:r w:rsidRPr="007E1812">
              <w:rPr>
                <w:rFonts w:ascii="Arial Narrow" w:hAnsi="Arial Narrow"/>
                <w:sz w:val="20"/>
                <w:szCs w:val="20"/>
              </w:rPr>
              <w:t xml:space="preserve"> (Published)</w:t>
            </w:r>
          </w:p>
        </w:tc>
        <w:tc>
          <w:tcPr>
            <w:tcW w:w="992" w:type="dxa"/>
            <w:shd w:val="clear" w:color="auto" w:fill="auto"/>
          </w:tcPr>
          <w:p w:rsidR="00BA75C4" w:rsidRPr="007E1812" w:rsidRDefault="00BA75C4" w:rsidP="00620BD3">
            <w:pPr>
              <w:keepNext/>
              <w:widowControl/>
              <w:rPr>
                <w:rFonts w:ascii="Arial Narrow" w:hAnsi="Arial Narrow"/>
                <w:sz w:val="20"/>
                <w:szCs w:val="20"/>
              </w:rPr>
            </w:pPr>
            <w:r w:rsidRPr="007E1812">
              <w:rPr>
                <w:rFonts w:ascii="Arial Narrow" w:hAnsi="Arial Narrow"/>
                <w:sz w:val="20"/>
                <w:szCs w:val="20"/>
              </w:rPr>
              <w:t>Alunbrig®</w:t>
            </w:r>
          </w:p>
        </w:tc>
        <w:tc>
          <w:tcPr>
            <w:tcW w:w="1843" w:type="dxa"/>
            <w:shd w:val="clear" w:color="auto" w:fill="auto"/>
          </w:tcPr>
          <w:p w:rsidR="00BA75C4" w:rsidRPr="007E1812" w:rsidRDefault="00BA75C4" w:rsidP="00620BD3">
            <w:pPr>
              <w:keepNext/>
              <w:widowControl/>
              <w:rPr>
                <w:rFonts w:ascii="Arial Narrow" w:hAnsi="Arial Narrow"/>
                <w:sz w:val="20"/>
                <w:szCs w:val="20"/>
              </w:rPr>
            </w:pPr>
            <w:r w:rsidRPr="007E1812">
              <w:rPr>
                <w:rFonts w:ascii="Arial Narrow" w:hAnsi="Arial Narrow"/>
                <w:sz w:val="20"/>
                <w:szCs w:val="20"/>
              </w:rPr>
              <w:t>Takeda Pharmaceuticals Australia Pty Ltd</w:t>
            </w:r>
          </w:p>
        </w:tc>
      </w:tr>
      <w:tr w:rsidR="00BA75C4" w:rsidRPr="007E1812" w:rsidTr="00BA75C4">
        <w:trPr>
          <w:trHeight w:val="20"/>
        </w:trPr>
        <w:tc>
          <w:tcPr>
            <w:tcW w:w="9214" w:type="dxa"/>
            <w:gridSpan w:val="7"/>
            <w:tcBorders>
              <w:bottom w:val="single" w:sz="4" w:space="0" w:color="auto"/>
            </w:tcBorders>
            <w:shd w:val="clear" w:color="auto" w:fill="auto"/>
          </w:tcPr>
          <w:p w:rsidR="00BA75C4" w:rsidRPr="007E1812" w:rsidRDefault="00BA75C4" w:rsidP="00620BD3">
            <w:pPr>
              <w:widowControl/>
              <w:rPr>
                <w:rFonts w:ascii="Arial Narrow" w:hAnsi="Arial Narrow"/>
                <w:sz w:val="20"/>
                <w:szCs w:val="20"/>
              </w:rPr>
            </w:pP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sz w:val="20"/>
                <w:szCs w:val="20"/>
              </w:rPr>
            </w:pPr>
            <w:r w:rsidRPr="007E1812">
              <w:rPr>
                <w:rFonts w:ascii="Arial Narrow" w:hAnsi="Arial Narrow"/>
                <w:sz w:val="20"/>
                <w:szCs w:val="20"/>
              </w:rPr>
              <w:t>GENERAL – General Schedule (Code GE)</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t>Prescriber type:</w:t>
            </w:r>
          </w:p>
          <w:p w:rsidR="00BA75C4" w:rsidRPr="007E1812" w:rsidRDefault="00BA75C4" w:rsidP="00620BD3">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sz w:val="20"/>
                <w:szCs w:val="20"/>
              </w:rPr>
            </w:pPr>
            <w:r w:rsidRPr="007E1812">
              <w:rPr>
                <w:rFonts w:ascii="Arial Narrow" w:hAnsi="Arial Narrow"/>
                <w:sz w:val="20"/>
                <w:szCs w:val="20"/>
              </w:rPr>
              <w:fldChar w:fldCharType="begin">
                <w:ffData>
                  <w:name w:val="Check1"/>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Dental  </w:t>
            </w:r>
            <w:r w:rsidRPr="007E1812">
              <w:rPr>
                <w:rFonts w:ascii="Arial Narrow" w:hAnsi="Arial Narrow"/>
                <w:sz w:val="20"/>
                <w:szCs w:val="20"/>
              </w:rPr>
              <w:fldChar w:fldCharType="begin">
                <w:ffData>
                  <w:name w:val=""/>
                  <w:enabled/>
                  <w:calcOnExit w:val="0"/>
                  <w:checkBox>
                    <w:sizeAuto/>
                    <w:default w:val="1"/>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Medical Practitioners  </w:t>
            </w:r>
            <w:r w:rsidRPr="007E1812">
              <w:rPr>
                <w:rFonts w:ascii="Arial Narrow" w:hAnsi="Arial Narrow"/>
                <w:sz w:val="20"/>
                <w:szCs w:val="20"/>
              </w:rPr>
              <w:fldChar w:fldCharType="begin">
                <w:ffData>
                  <w:name w:val="Check3"/>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Nurse practitioners  </w:t>
            </w:r>
            <w:r w:rsidRPr="007E1812">
              <w:rPr>
                <w:rFonts w:ascii="Arial Narrow" w:hAnsi="Arial Narrow"/>
                <w:sz w:val="20"/>
                <w:szCs w:val="20"/>
              </w:rPr>
              <w:fldChar w:fldCharType="begin">
                <w:ffData>
                  <w:name w:val=""/>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Optometrists</w:t>
            </w:r>
          </w:p>
          <w:p w:rsidR="00BA75C4" w:rsidRPr="007E1812" w:rsidRDefault="00BA75C4" w:rsidP="00620BD3">
            <w:pPr>
              <w:widowControl/>
              <w:rPr>
                <w:rFonts w:ascii="Arial Narrow" w:hAnsi="Arial Narrow"/>
                <w:sz w:val="20"/>
                <w:szCs w:val="20"/>
              </w:rPr>
            </w:pPr>
            <w:r w:rsidRPr="007E1812">
              <w:rPr>
                <w:rFonts w:ascii="Arial Narrow" w:hAnsi="Arial Narrow"/>
                <w:sz w:val="20"/>
                <w:szCs w:val="20"/>
              </w:rPr>
              <w:fldChar w:fldCharType="begin">
                <w:ffData>
                  <w:name w:val="Check5"/>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Midwives</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cstheme="minorHAnsi"/>
                <w:sz w:val="20"/>
                <w:szCs w:val="20"/>
              </w:rPr>
            </w:pPr>
            <w:r w:rsidRPr="007E1812">
              <w:rPr>
                <w:rFonts w:ascii="Arial Narrow" w:hAnsi="Arial Narrow" w:cstheme="minorHAnsi"/>
                <w:sz w:val="20"/>
                <w:szCs w:val="20"/>
              </w:rPr>
              <w:t>Stage IIIB (locally advanced) or Stage IV (metastatic)</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cstheme="minorHAnsi"/>
                <w:sz w:val="20"/>
                <w:szCs w:val="20"/>
              </w:rPr>
            </w:pPr>
            <w:r w:rsidRPr="007E1812">
              <w:rPr>
                <w:rFonts w:ascii="Arial Narrow" w:hAnsi="Arial Narrow" w:cstheme="minorHAnsi"/>
                <w:sz w:val="20"/>
                <w:szCs w:val="20"/>
              </w:rPr>
              <w:t>non-small cell lung cancer (NSCLC)</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lastRenderedPageBreak/>
              <w:t>PBS Indication:</w:t>
            </w:r>
          </w:p>
          <w:p w:rsidR="00BA75C4" w:rsidRPr="007E1812" w:rsidRDefault="00BA75C4" w:rsidP="00620BD3">
            <w:pPr>
              <w:widowControl/>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cstheme="minorHAnsi"/>
                <w:sz w:val="20"/>
                <w:szCs w:val="20"/>
              </w:rPr>
            </w:pPr>
            <w:r w:rsidRPr="007E1812">
              <w:rPr>
                <w:rFonts w:ascii="Arial Narrow" w:hAnsi="Arial Narrow" w:cstheme="minorHAnsi"/>
                <w:sz w:val="20"/>
                <w:szCs w:val="20"/>
              </w:rPr>
              <w:t>Stage IIIB (locally advanced) or Stage IV (metastatic) non-small cell lung cancer (NSCLC)</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sz w:val="20"/>
                <w:szCs w:val="20"/>
              </w:rPr>
            </w:pPr>
            <w:r w:rsidRPr="007E1812">
              <w:rPr>
                <w:rFonts w:ascii="Arial Narrow" w:hAnsi="Arial Narrow"/>
                <w:sz w:val="20"/>
                <w:szCs w:val="20"/>
              </w:rPr>
              <w:t xml:space="preserve">Initial treatment </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t>Restriction Level / Method:</w:t>
            </w:r>
          </w:p>
          <w:p w:rsidR="00BA75C4" w:rsidRPr="007E1812" w:rsidRDefault="00BA75C4" w:rsidP="00620BD3">
            <w:pPr>
              <w:widowControl/>
              <w:rPr>
                <w:rFonts w:ascii="Arial Narrow" w:hAnsi="Arial Narrow"/>
                <w:i/>
                <w:sz w:val="20"/>
                <w:szCs w:val="20"/>
              </w:rPr>
            </w:pPr>
          </w:p>
          <w:p w:rsidR="00BA75C4" w:rsidRPr="007E1812" w:rsidRDefault="00BA75C4" w:rsidP="00620BD3">
            <w:pPr>
              <w:widowControl/>
              <w:rPr>
                <w:rFonts w:ascii="Arial Narrow" w:hAnsi="Arial Narrow"/>
                <w:i/>
                <w:sz w:val="20"/>
                <w:szCs w:val="20"/>
              </w:rPr>
            </w:pPr>
          </w:p>
          <w:p w:rsidR="00BA75C4" w:rsidRPr="007E1812" w:rsidRDefault="00BA75C4" w:rsidP="00620BD3">
            <w:pPr>
              <w:widowControl/>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sz w:val="20"/>
                <w:szCs w:val="20"/>
              </w:rPr>
            </w:pPr>
            <w:r w:rsidRPr="007E1812">
              <w:rPr>
                <w:rFonts w:ascii="Arial Narrow" w:hAnsi="Arial Narrow"/>
                <w:sz w:val="20"/>
                <w:szCs w:val="20"/>
              </w:rPr>
              <w:fldChar w:fldCharType="begin">
                <w:ffData>
                  <w:name w:val="Check1"/>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Restricted benefit</w:t>
            </w:r>
          </w:p>
          <w:p w:rsidR="00BA75C4" w:rsidRPr="007E1812" w:rsidRDefault="00BA75C4" w:rsidP="00620BD3">
            <w:pPr>
              <w:widowControl/>
              <w:rPr>
                <w:rFonts w:ascii="Arial Narrow" w:hAnsi="Arial Narrow"/>
                <w:sz w:val="20"/>
                <w:szCs w:val="20"/>
              </w:rPr>
            </w:pPr>
            <w:r w:rsidRPr="007E1812">
              <w:rPr>
                <w:rFonts w:ascii="Arial Narrow" w:hAnsi="Arial Narrow"/>
                <w:sz w:val="20"/>
                <w:szCs w:val="20"/>
              </w:rPr>
              <w:fldChar w:fldCharType="begin">
                <w:ffData>
                  <w:name w:val=""/>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Authority Required – In Writing</w:t>
            </w:r>
          </w:p>
          <w:p w:rsidR="00BA75C4" w:rsidRPr="007E1812" w:rsidRDefault="00BA75C4" w:rsidP="00620BD3">
            <w:pPr>
              <w:widowControl/>
              <w:rPr>
                <w:rFonts w:ascii="Arial Narrow" w:hAnsi="Arial Narrow"/>
                <w:sz w:val="20"/>
                <w:szCs w:val="20"/>
              </w:rPr>
            </w:pPr>
            <w:r w:rsidRPr="007E1812">
              <w:rPr>
                <w:rFonts w:ascii="Arial Narrow" w:hAnsi="Arial Narrow"/>
                <w:sz w:val="20"/>
                <w:szCs w:val="20"/>
              </w:rPr>
              <w:fldChar w:fldCharType="begin">
                <w:ffData>
                  <w:name w:val="Check3"/>
                  <w:enabled/>
                  <w:calcOnExit w:val="0"/>
                  <w:checkBox>
                    <w:sizeAuto/>
                    <w:default w:val="1"/>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Authority Required – Telephone/Electronic/Emergency</w:t>
            </w:r>
          </w:p>
          <w:p w:rsidR="00BA75C4" w:rsidRPr="007E1812" w:rsidRDefault="00BA75C4" w:rsidP="00620BD3">
            <w:pPr>
              <w:widowControl/>
              <w:rPr>
                <w:rFonts w:ascii="Arial Narrow" w:hAnsi="Arial Narrow"/>
                <w:sz w:val="20"/>
                <w:szCs w:val="20"/>
              </w:rPr>
            </w:pPr>
            <w:r w:rsidRPr="007E1812">
              <w:rPr>
                <w:rFonts w:ascii="Arial Narrow" w:hAnsi="Arial Narrow"/>
                <w:sz w:val="20"/>
                <w:szCs w:val="20"/>
              </w:rPr>
              <w:fldChar w:fldCharType="begin">
                <w:ffData>
                  <w:name w:val="Check5"/>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Streamlined</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t>Clinical criteria:</w:t>
            </w:r>
          </w:p>
          <w:p w:rsidR="00BA75C4" w:rsidRPr="007E1812" w:rsidRDefault="00BA75C4" w:rsidP="00620BD3">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pStyle w:val="Tabletext"/>
              <w:rPr>
                <w:rFonts w:cs="Arial"/>
                <w:color w:val="222222"/>
                <w:szCs w:val="20"/>
                <w:lang w:eastAsia="en-GB"/>
              </w:rPr>
            </w:pPr>
            <w:r w:rsidRPr="007E1812">
              <w:rPr>
                <w:rFonts w:cs="Arial"/>
                <w:color w:val="222222"/>
                <w:szCs w:val="20"/>
                <w:lang w:eastAsia="en-GB"/>
              </w:rPr>
              <w:t>The treatment must be as monotherapy,</w:t>
            </w:r>
          </w:p>
          <w:p w:rsidR="00BA75C4" w:rsidRPr="007E1812" w:rsidRDefault="00BA75C4" w:rsidP="00620BD3">
            <w:pPr>
              <w:pStyle w:val="Tabletext"/>
              <w:rPr>
                <w:rFonts w:cs="Arial"/>
                <w:color w:val="222222"/>
                <w:szCs w:val="20"/>
                <w:lang w:eastAsia="en-GB"/>
              </w:rPr>
            </w:pPr>
            <w:r w:rsidRPr="007E1812">
              <w:rPr>
                <w:rFonts w:cs="Arial"/>
                <w:color w:val="222222"/>
                <w:szCs w:val="20"/>
                <w:lang w:eastAsia="en-GB"/>
              </w:rPr>
              <w:t>AND</w:t>
            </w:r>
          </w:p>
          <w:p w:rsidR="00BA75C4" w:rsidRPr="007E1812" w:rsidRDefault="00BA75C4" w:rsidP="00620BD3">
            <w:pPr>
              <w:pStyle w:val="Tabletext"/>
              <w:rPr>
                <w:rFonts w:cs="Arial"/>
                <w:color w:val="222222"/>
                <w:szCs w:val="20"/>
                <w:lang w:eastAsia="en-GB"/>
              </w:rPr>
            </w:pPr>
          </w:p>
          <w:p w:rsidR="00BA75C4" w:rsidRPr="007E1812" w:rsidRDefault="00BA75C4" w:rsidP="00620BD3">
            <w:pPr>
              <w:pStyle w:val="Tabletext"/>
              <w:rPr>
                <w:rFonts w:cs="Arial"/>
                <w:color w:val="222222"/>
                <w:szCs w:val="20"/>
                <w:lang w:eastAsia="en-GB"/>
              </w:rPr>
            </w:pPr>
            <w:r w:rsidRPr="007E1812">
              <w:rPr>
                <w:rFonts w:cs="Arial"/>
                <w:color w:val="222222"/>
                <w:szCs w:val="20"/>
                <w:lang w:eastAsia="en-GB"/>
              </w:rPr>
              <w:t xml:space="preserve">The condition must be non-squamous type </w:t>
            </w:r>
            <w:r w:rsidRPr="007E1812">
              <w:rPr>
                <w:rFonts w:cs="Arial"/>
                <w:strike/>
                <w:color w:val="222222"/>
                <w:szCs w:val="20"/>
                <w:lang w:eastAsia="en-GB"/>
              </w:rPr>
              <w:t xml:space="preserve">NSCLC </w:t>
            </w:r>
            <w:r w:rsidRPr="007E1812">
              <w:rPr>
                <w:rFonts w:cs="Arial"/>
                <w:i/>
                <w:iCs/>
                <w:color w:val="222222"/>
                <w:szCs w:val="20"/>
                <w:lang w:eastAsia="en-GB"/>
              </w:rPr>
              <w:t>non-small cell lung cancer (NSCLC)</w:t>
            </w:r>
            <w:r w:rsidRPr="007E1812">
              <w:rPr>
                <w:rFonts w:cs="Arial"/>
                <w:color w:val="222222"/>
                <w:szCs w:val="20"/>
                <w:lang w:eastAsia="en-GB"/>
              </w:rPr>
              <w:t xml:space="preserve"> or not otherwise specified </w:t>
            </w:r>
            <w:r w:rsidRPr="007E1812">
              <w:rPr>
                <w:rFonts w:cs="Arial"/>
                <w:strike/>
                <w:color w:val="222222"/>
                <w:szCs w:val="20"/>
                <w:lang w:eastAsia="en-GB"/>
              </w:rPr>
              <w:t>(NOS)</w:t>
            </w:r>
            <w:r w:rsidRPr="007E1812">
              <w:rPr>
                <w:rFonts w:cs="Arial"/>
                <w:color w:val="222222"/>
                <w:szCs w:val="20"/>
                <w:lang w:eastAsia="en-GB"/>
              </w:rPr>
              <w:t xml:space="preserve"> type NSCLC, </w:t>
            </w:r>
          </w:p>
          <w:p w:rsidR="00BA75C4" w:rsidRPr="007E1812" w:rsidRDefault="00BA75C4" w:rsidP="00620BD3">
            <w:pPr>
              <w:pStyle w:val="Tabletext"/>
              <w:rPr>
                <w:rFonts w:cs="Arial"/>
                <w:color w:val="222222"/>
                <w:szCs w:val="20"/>
                <w:lang w:eastAsia="en-GB"/>
              </w:rPr>
            </w:pPr>
            <w:r w:rsidRPr="007E1812">
              <w:rPr>
                <w:rFonts w:cs="Arial"/>
                <w:color w:val="222222"/>
                <w:szCs w:val="20"/>
                <w:lang w:eastAsia="en-GB"/>
              </w:rPr>
              <w:t>AND</w:t>
            </w:r>
          </w:p>
          <w:p w:rsidR="00BA75C4" w:rsidRPr="007E1812" w:rsidRDefault="00BA75C4" w:rsidP="00620BD3">
            <w:pPr>
              <w:pStyle w:val="Tabletext"/>
              <w:rPr>
                <w:rFonts w:cs="Arial"/>
                <w:color w:val="222222"/>
                <w:szCs w:val="20"/>
                <w:lang w:eastAsia="en-GB"/>
              </w:rPr>
            </w:pPr>
          </w:p>
          <w:p w:rsidR="00BA75C4" w:rsidRPr="007E1812" w:rsidRDefault="00BA75C4" w:rsidP="00620BD3">
            <w:pPr>
              <w:widowControl/>
              <w:rPr>
                <w:rFonts w:ascii="Arial Narrow" w:hAnsi="Arial Narrow"/>
                <w:color w:val="222222"/>
                <w:sz w:val="20"/>
                <w:szCs w:val="20"/>
                <w:lang w:eastAsia="en-GB"/>
              </w:rPr>
            </w:pPr>
            <w:r w:rsidRPr="007E1812">
              <w:rPr>
                <w:rFonts w:ascii="Arial Narrow" w:hAnsi="Arial Narrow"/>
                <w:color w:val="222222"/>
                <w:sz w:val="20"/>
                <w:szCs w:val="20"/>
                <w:lang w:eastAsia="en-GB"/>
              </w:rPr>
              <w:t>Patient must have a WHO performance status of 2 or less.</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b/>
                <w:sz w:val="20"/>
                <w:szCs w:val="20"/>
              </w:rPr>
            </w:pPr>
            <w:r w:rsidRPr="007E1812">
              <w:rPr>
                <w:rFonts w:ascii="Arial Narrow" w:hAnsi="Arial Narrow"/>
                <w:b/>
                <w:sz w:val="20"/>
                <w:szCs w:val="20"/>
              </w:rPr>
              <w:t>Population criteria:</w:t>
            </w:r>
          </w:p>
          <w:p w:rsidR="00BA75C4" w:rsidRPr="007E1812" w:rsidRDefault="00BA75C4" w:rsidP="00620BD3">
            <w:pPr>
              <w:widowControl/>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sz w:val="20"/>
                <w:szCs w:val="20"/>
              </w:rPr>
            </w:pPr>
            <w:r w:rsidRPr="007E1812">
              <w:rPr>
                <w:rFonts w:ascii="Arial Narrow" w:hAnsi="Arial Narrow"/>
                <w:sz w:val="20"/>
                <w:szCs w:val="20"/>
              </w:rPr>
              <w:t>Patient must have evidence of an anaplastic lymphoma kinase (ALK) gene rearrangement in tumour material, defined as 15% (or greater) positive cells by fluorescence in situ hybridisation (FISH) testing.</w:t>
            </w:r>
          </w:p>
        </w:tc>
      </w:tr>
      <w:tr w:rsidR="00BA75C4" w:rsidRPr="007E1812" w:rsidTr="00BA75C4">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widowControl/>
              <w:rPr>
                <w:rFonts w:ascii="Arial Narrow" w:hAnsi="Arial Narrow"/>
                <w:i/>
                <w:sz w:val="20"/>
                <w:szCs w:val="20"/>
              </w:rPr>
            </w:pPr>
            <w:r w:rsidRPr="007E1812">
              <w:rPr>
                <w:rFonts w:ascii="Arial Narrow" w:hAnsi="Arial Narrow"/>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BA75C4" w:rsidRPr="007E1812" w:rsidRDefault="00BA75C4" w:rsidP="00620BD3">
            <w:pPr>
              <w:pStyle w:val="Tabletext"/>
              <w:rPr>
                <w:szCs w:val="20"/>
              </w:rPr>
            </w:pPr>
            <w:r w:rsidRPr="007E1812">
              <w:rPr>
                <w:szCs w:val="20"/>
              </w:rPr>
              <w:t>No increase in the maximum quantity or number of units may be authorised.</w:t>
            </w:r>
          </w:p>
          <w:p w:rsidR="00BA75C4" w:rsidRPr="007E1812" w:rsidRDefault="00BA75C4" w:rsidP="00620BD3">
            <w:pPr>
              <w:pStyle w:val="Tabletext"/>
              <w:rPr>
                <w:szCs w:val="20"/>
              </w:rPr>
            </w:pPr>
          </w:p>
          <w:p w:rsidR="00BA75C4" w:rsidRPr="007E1812" w:rsidRDefault="00BA75C4" w:rsidP="00620BD3">
            <w:pPr>
              <w:widowControl/>
              <w:rPr>
                <w:rFonts w:ascii="Arial Narrow" w:hAnsi="Arial Narrow"/>
                <w:sz w:val="20"/>
                <w:szCs w:val="20"/>
              </w:rPr>
            </w:pPr>
            <w:r w:rsidRPr="007E1812">
              <w:rPr>
                <w:rFonts w:ascii="Arial Narrow" w:hAnsi="Arial Narrow"/>
                <w:sz w:val="20"/>
                <w:szCs w:val="20"/>
              </w:rPr>
              <w:t>No increase in the maximum number of repeats may be authorised.</w:t>
            </w:r>
          </w:p>
          <w:p w:rsidR="00BA75C4" w:rsidRPr="007E1812" w:rsidRDefault="00BA75C4" w:rsidP="00620BD3">
            <w:pPr>
              <w:widowControl/>
              <w:rPr>
                <w:rFonts w:ascii="Arial Narrow" w:hAnsi="Arial Narrow"/>
                <w:sz w:val="20"/>
                <w:szCs w:val="20"/>
              </w:rPr>
            </w:pPr>
          </w:p>
          <w:p w:rsidR="00BA75C4" w:rsidRPr="007E1812" w:rsidRDefault="00BA75C4" w:rsidP="00620BD3">
            <w:pPr>
              <w:widowControl/>
              <w:rPr>
                <w:rFonts w:ascii="Arial Narrow" w:hAnsi="Arial Narrow"/>
                <w:sz w:val="20"/>
                <w:szCs w:val="20"/>
              </w:rPr>
            </w:pPr>
            <w:r w:rsidRPr="007E1812">
              <w:rPr>
                <w:rFonts w:ascii="Arial Narrow" w:hAnsi="Arial Narrow"/>
                <w:sz w:val="20"/>
                <w:szCs w:val="20"/>
              </w:rPr>
              <w:t>Special Pricing Arrangements apply.</w:t>
            </w:r>
          </w:p>
        </w:tc>
      </w:tr>
    </w:tbl>
    <w:p w:rsidR="00284B34" w:rsidRPr="007E1812" w:rsidRDefault="00284B34" w:rsidP="00620BD3">
      <w:pPr>
        <w:widowControl/>
      </w:pPr>
    </w:p>
    <w:tbl>
      <w:tblPr>
        <w:tblW w:w="0" w:type="auto"/>
        <w:tblLayout w:type="fixed"/>
        <w:tblLook w:val="0020" w:firstRow="1" w:lastRow="0" w:firstColumn="0" w:lastColumn="0" w:noHBand="0" w:noVBand="0"/>
      </w:tblPr>
      <w:tblGrid>
        <w:gridCol w:w="2835"/>
        <w:gridCol w:w="426"/>
        <w:gridCol w:w="567"/>
        <w:gridCol w:w="850"/>
        <w:gridCol w:w="1701"/>
        <w:gridCol w:w="992"/>
        <w:gridCol w:w="1843"/>
      </w:tblGrid>
      <w:tr w:rsidR="00867E6C" w:rsidRPr="007E1812" w:rsidTr="00022E05">
        <w:trPr>
          <w:trHeight w:val="20"/>
        </w:trPr>
        <w:tc>
          <w:tcPr>
            <w:tcW w:w="3261" w:type="dxa"/>
            <w:gridSpan w:val="2"/>
            <w:tcBorders>
              <w:bottom w:val="single" w:sz="4" w:space="0" w:color="auto"/>
            </w:tcBorders>
            <w:shd w:val="clear" w:color="auto" w:fill="auto"/>
          </w:tcPr>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Name, Restriction,</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Manner of administration and form</w:t>
            </w:r>
          </w:p>
        </w:tc>
        <w:tc>
          <w:tcPr>
            <w:tcW w:w="567" w:type="dxa"/>
            <w:tcBorders>
              <w:bottom w:val="single" w:sz="4" w:space="0" w:color="auto"/>
            </w:tcBorders>
            <w:shd w:val="clear" w:color="auto" w:fill="auto"/>
          </w:tcPr>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Max.</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Qty</w:t>
            </w:r>
          </w:p>
        </w:tc>
        <w:tc>
          <w:tcPr>
            <w:tcW w:w="850" w:type="dxa"/>
            <w:tcBorders>
              <w:bottom w:val="single" w:sz="4" w:space="0" w:color="auto"/>
            </w:tcBorders>
            <w:shd w:val="clear" w:color="auto" w:fill="auto"/>
          </w:tcPr>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№.of</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Rpts</w:t>
            </w:r>
          </w:p>
        </w:tc>
        <w:tc>
          <w:tcPr>
            <w:tcW w:w="1701" w:type="dxa"/>
            <w:tcBorders>
              <w:bottom w:val="single" w:sz="4" w:space="0" w:color="auto"/>
            </w:tcBorders>
            <w:shd w:val="clear" w:color="auto" w:fill="auto"/>
          </w:tcPr>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Dispensed Price for Max. Qty</w:t>
            </w:r>
          </w:p>
        </w:tc>
        <w:tc>
          <w:tcPr>
            <w:tcW w:w="2835" w:type="dxa"/>
            <w:gridSpan w:val="2"/>
            <w:tcBorders>
              <w:bottom w:val="single" w:sz="4" w:space="0" w:color="auto"/>
            </w:tcBorders>
            <w:shd w:val="clear" w:color="auto" w:fill="auto"/>
          </w:tcPr>
          <w:p w:rsidR="00867E6C" w:rsidRPr="007E1812" w:rsidRDefault="00867E6C" w:rsidP="00620BD3">
            <w:pPr>
              <w:keepNext/>
              <w:widowControl/>
              <w:rPr>
                <w:rFonts w:ascii="Arial Narrow" w:hAnsi="Arial Narrow"/>
                <w:sz w:val="20"/>
                <w:szCs w:val="20"/>
              </w:rPr>
            </w:pPr>
            <w:r w:rsidRPr="007E1812">
              <w:rPr>
                <w:rFonts w:ascii="Arial Narrow" w:hAnsi="Arial Narrow"/>
                <w:sz w:val="20"/>
                <w:szCs w:val="20"/>
              </w:rPr>
              <w:t>Proprietary Name and Manufacturer</w:t>
            </w:r>
          </w:p>
        </w:tc>
      </w:tr>
      <w:tr w:rsidR="00867E6C" w:rsidRPr="007E1812" w:rsidTr="00022E05">
        <w:trPr>
          <w:trHeight w:val="20"/>
        </w:trPr>
        <w:tc>
          <w:tcPr>
            <w:tcW w:w="3261" w:type="dxa"/>
            <w:gridSpan w:val="2"/>
            <w:shd w:val="clear" w:color="auto" w:fill="auto"/>
          </w:tcPr>
          <w:p w:rsidR="00867E6C" w:rsidRPr="007E1812" w:rsidRDefault="00867E6C" w:rsidP="00620BD3">
            <w:pPr>
              <w:keepNext/>
              <w:widowControl/>
              <w:ind w:left="-108"/>
              <w:rPr>
                <w:rFonts w:ascii="Arial Narrow" w:hAnsi="Arial Narrow"/>
                <w:sz w:val="20"/>
                <w:szCs w:val="20"/>
              </w:rPr>
            </w:pPr>
            <w:r w:rsidRPr="007E1812">
              <w:rPr>
                <w:rFonts w:ascii="Arial Narrow" w:hAnsi="Arial Narrow"/>
                <w:smallCaps/>
                <w:sz w:val="20"/>
                <w:szCs w:val="20"/>
              </w:rPr>
              <w:t>BRIGATINIB</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30 mg tablet</w:t>
            </w:r>
            <w:r w:rsidRPr="007E1812">
              <w:rPr>
                <w:rFonts w:ascii="Arial Narrow" w:hAnsi="Arial Narrow"/>
                <w:strike/>
                <w:sz w:val="20"/>
                <w:szCs w:val="20"/>
              </w:rPr>
              <w:t>s</w:t>
            </w:r>
            <w:r w:rsidRPr="007E1812">
              <w:rPr>
                <w:rFonts w:ascii="Arial Narrow" w:hAnsi="Arial Narrow"/>
                <w:i/>
                <w:sz w:val="20"/>
                <w:szCs w:val="20"/>
              </w:rPr>
              <w:t>, 28</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90 mg tablet</w:t>
            </w:r>
            <w:r w:rsidRPr="007E1812">
              <w:rPr>
                <w:rFonts w:ascii="Arial Narrow" w:hAnsi="Arial Narrow"/>
                <w:strike/>
                <w:sz w:val="20"/>
                <w:szCs w:val="20"/>
              </w:rPr>
              <w:t>s</w:t>
            </w:r>
            <w:r w:rsidRPr="007E1812">
              <w:rPr>
                <w:rFonts w:ascii="Arial Narrow" w:hAnsi="Arial Narrow"/>
                <w:sz w:val="20"/>
                <w:szCs w:val="20"/>
              </w:rPr>
              <w:t xml:space="preserve">, </w:t>
            </w:r>
            <w:r w:rsidRPr="007E1812">
              <w:rPr>
                <w:rFonts w:ascii="Arial Narrow" w:hAnsi="Arial Narrow"/>
                <w:i/>
                <w:sz w:val="20"/>
                <w:szCs w:val="20"/>
              </w:rPr>
              <w:t>28</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180 mg tablet</w:t>
            </w:r>
            <w:r w:rsidRPr="007E1812">
              <w:rPr>
                <w:rFonts w:ascii="Arial Narrow" w:hAnsi="Arial Narrow"/>
                <w:strike/>
                <w:sz w:val="20"/>
                <w:szCs w:val="20"/>
              </w:rPr>
              <w:t>s</w:t>
            </w:r>
            <w:r w:rsidRPr="007E1812">
              <w:rPr>
                <w:rFonts w:ascii="Arial Narrow" w:hAnsi="Arial Narrow"/>
                <w:sz w:val="20"/>
                <w:szCs w:val="20"/>
              </w:rPr>
              <w:t xml:space="preserve">, </w:t>
            </w:r>
            <w:r w:rsidRPr="007E1812">
              <w:rPr>
                <w:rFonts w:ascii="Arial Narrow" w:hAnsi="Arial Narrow"/>
                <w:i/>
                <w:sz w:val="20"/>
                <w:szCs w:val="20"/>
              </w:rPr>
              <w:t>28</w:t>
            </w:r>
          </w:p>
        </w:tc>
        <w:tc>
          <w:tcPr>
            <w:tcW w:w="567" w:type="dxa"/>
            <w:shd w:val="clear" w:color="auto" w:fill="auto"/>
          </w:tcPr>
          <w:p w:rsidR="00867E6C" w:rsidRPr="007E1812" w:rsidRDefault="00867E6C" w:rsidP="00620BD3">
            <w:pPr>
              <w:keepNext/>
              <w:widowControl/>
              <w:ind w:left="-108"/>
              <w:rPr>
                <w:rFonts w:ascii="Arial Narrow" w:hAnsi="Arial Narrow"/>
                <w:sz w:val="20"/>
                <w:szCs w:val="20"/>
              </w:rPr>
            </w:pP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4</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1</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1</w:t>
            </w:r>
          </w:p>
        </w:tc>
        <w:tc>
          <w:tcPr>
            <w:tcW w:w="850" w:type="dxa"/>
            <w:shd w:val="clear" w:color="auto" w:fill="auto"/>
          </w:tcPr>
          <w:p w:rsidR="00867E6C" w:rsidRPr="007E1812" w:rsidRDefault="00867E6C" w:rsidP="00620BD3">
            <w:pPr>
              <w:keepNext/>
              <w:widowControl/>
              <w:ind w:left="-108"/>
              <w:rPr>
                <w:rFonts w:ascii="Arial Narrow" w:hAnsi="Arial Narrow"/>
                <w:sz w:val="20"/>
                <w:szCs w:val="20"/>
              </w:rPr>
            </w:pP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1</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1</w:t>
            </w:r>
          </w:p>
          <w:p w:rsidR="00867E6C" w:rsidRPr="007E1812" w:rsidRDefault="00867E6C" w:rsidP="00620BD3">
            <w:pPr>
              <w:keepNext/>
              <w:widowControl/>
              <w:ind w:left="-108"/>
              <w:rPr>
                <w:rFonts w:ascii="Arial Narrow" w:hAnsi="Arial Narrow"/>
                <w:sz w:val="20"/>
                <w:szCs w:val="20"/>
              </w:rPr>
            </w:pPr>
            <w:r w:rsidRPr="007E1812">
              <w:rPr>
                <w:rFonts w:ascii="Arial Narrow" w:hAnsi="Arial Narrow"/>
                <w:sz w:val="20"/>
                <w:szCs w:val="20"/>
              </w:rPr>
              <w:t>1</w:t>
            </w:r>
          </w:p>
        </w:tc>
        <w:tc>
          <w:tcPr>
            <w:tcW w:w="1701" w:type="dxa"/>
            <w:shd w:val="clear" w:color="auto" w:fill="auto"/>
          </w:tcPr>
          <w:p w:rsidR="00022E05" w:rsidRPr="007E1812" w:rsidRDefault="00022E05" w:rsidP="00620BD3">
            <w:pPr>
              <w:keepNext/>
              <w:widowControl/>
              <w:ind w:left="-108"/>
              <w:jc w:val="left"/>
              <w:rPr>
                <w:rFonts w:ascii="Arial Narrow" w:hAnsi="Arial Narrow"/>
                <w:sz w:val="20"/>
                <w:szCs w:val="20"/>
              </w:rPr>
            </w:pPr>
            <w:r w:rsidRPr="007E1812">
              <w:rPr>
                <w:rFonts w:ascii="Arial Narrow" w:hAnsi="Arial Narrow"/>
                <w:sz w:val="20"/>
                <w:szCs w:val="20"/>
              </w:rPr>
              <w:t>$</w:t>
            </w:r>
            <w:r w:rsidR="00765787">
              <w:rPr>
                <w:rFonts w:ascii="Arial Narrow" w:hAnsi="Arial Narrow"/>
                <w:noProof/>
                <w:color w:val="000000"/>
                <w:sz w:val="20"/>
                <w:szCs w:val="20"/>
                <w:highlight w:val="black"/>
              </w:rPr>
              <w:t>'''''''''''''''''''''''</w:t>
            </w:r>
          </w:p>
          <w:p w:rsidR="00867E6C" w:rsidRPr="007E1812" w:rsidRDefault="00022E05" w:rsidP="00620BD3">
            <w:pPr>
              <w:keepNext/>
              <w:widowControl/>
              <w:ind w:left="-108"/>
              <w:jc w:val="left"/>
              <w:rPr>
                <w:rFonts w:ascii="Arial Narrow" w:hAnsi="Arial Narrow"/>
                <w:sz w:val="20"/>
                <w:szCs w:val="20"/>
              </w:rPr>
            </w:pPr>
            <w:r w:rsidRPr="007E1812">
              <w:rPr>
                <w:rFonts w:ascii="Arial Narrow" w:hAnsi="Arial Narrow"/>
                <w:sz w:val="20"/>
                <w:szCs w:val="20"/>
              </w:rPr>
              <w:t>(Published)</w:t>
            </w:r>
          </w:p>
        </w:tc>
        <w:tc>
          <w:tcPr>
            <w:tcW w:w="992" w:type="dxa"/>
            <w:shd w:val="clear" w:color="auto" w:fill="auto"/>
          </w:tcPr>
          <w:p w:rsidR="00867E6C" w:rsidRPr="007E1812" w:rsidRDefault="00867E6C" w:rsidP="00620BD3">
            <w:pPr>
              <w:keepNext/>
              <w:widowControl/>
              <w:rPr>
                <w:rFonts w:ascii="Arial Narrow" w:hAnsi="Arial Narrow"/>
                <w:sz w:val="20"/>
                <w:szCs w:val="20"/>
              </w:rPr>
            </w:pPr>
            <w:r w:rsidRPr="007E1812">
              <w:rPr>
                <w:rFonts w:ascii="Arial Narrow" w:hAnsi="Arial Narrow"/>
                <w:sz w:val="20"/>
                <w:szCs w:val="20"/>
              </w:rPr>
              <w:t>Alunbrig®</w:t>
            </w:r>
          </w:p>
        </w:tc>
        <w:tc>
          <w:tcPr>
            <w:tcW w:w="1843" w:type="dxa"/>
            <w:shd w:val="clear" w:color="auto" w:fill="auto"/>
          </w:tcPr>
          <w:p w:rsidR="00867E6C" w:rsidRPr="007E1812" w:rsidRDefault="00867E6C" w:rsidP="00620BD3">
            <w:pPr>
              <w:keepNext/>
              <w:widowControl/>
              <w:rPr>
                <w:rFonts w:ascii="Arial Narrow" w:hAnsi="Arial Narrow"/>
                <w:sz w:val="20"/>
                <w:szCs w:val="20"/>
              </w:rPr>
            </w:pPr>
            <w:r w:rsidRPr="007E1812">
              <w:rPr>
                <w:rFonts w:ascii="Arial Narrow" w:hAnsi="Arial Narrow"/>
                <w:sz w:val="20"/>
                <w:szCs w:val="20"/>
              </w:rPr>
              <w:t>Takeda Pharmaceuticals Australia Pty Ltd</w:t>
            </w:r>
          </w:p>
        </w:tc>
      </w:tr>
      <w:tr w:rsidR="00867E6C" w:rsidRPr="007E1812" w:rsidTr="00022E05">
        <w:trPr>
          <w:trHeight w:val="20"/>
        </w:trPr>
        <w:tc>
          <w:tcPr>
            <w:tcW w:w="9214" w:type="dxa"/>
            <w:gridSpan w:val="7"/>
            <w:tcBorders>
              <w:bottom w:val="single" w:sz="4" w:space="0" w:color="auto"/>
            </w:tcBorders>
            <w:shd w:val="clear" w:color="auto" w:fill="auto"/>
          </w:tcPr>
          <w:p w:rsidR="00867E6C" w:rsidRPr="007E1812" w:rsidRDefault="00867E6C" w:rsidP="00620BD3">
            <w:pPr>
              <w:widowControl/>
              <w:rPr>
                <w:rFonts w:ascii="Arial Narrow" w:hAnsi="Arial Narrow"/>
                <w:sz w:val="20"/>
                <w:szCs w:val="20"/>
              </w:rPr>
            </w:pP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b/>
                <w:sz w:val="20"/>
                <w:szCs w:val="20"/>
              </w:rPr>
            </w:pPr>
            <w:r w:rsidRPr="007E1812">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sz w:val="20"/>
                <w:szCs w:val="20"/>
              </w:rPr>
            </w:pPr>
            <w:r w:rsidRPr="007E1812">
              <w:rPr>
                <w:rFonts w:ascii="Arial Narrow" w:hAnsi="Arial Narrow"/>
                <w:sz w:val="20"/>
                <w:szCs w:val="20"/>
              </w:rPr>
              <w:t>GENERAL – General Schedule (Code GE)</w:t>
            </w: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b/>
                <w:sz w:val="20"/>
                <w:szCs w:val="20"/>
              </w:rPr>
            </w:pPr>
            <w:r w:rsidRPr="007E1812">
              <w:rPr>
                <w:rFonts w:ascii="Arial Narrow" w:hAnsi="Arial Narrow"/>
                <w:b/>
                <w:sz w:val="20"/>
                <w:szCs w:val="20"/>
              </w:rPr>
              <w:t>Prescriber type:</w:t>
            </w:r>
          </w:p>
          <w:p w:rsidR="00867E6C" w:rsidRPr="007E1812" w:rsidRDefault="00867E6C" w:rsidP="00620BD3">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sz w:val="20"/>
                <w:szCs w:val="20"/>
              </w:rPr>
            </w:pPr>
            <w:r w:rsidRPr="007E1812">
              <w:rPr>
                <w:rFonts w:ascii="Arial Narrow" w:hAnsi="Arial Narrow"/>
                <w:sz w:val="20"/>
                <w:szCs w:val="20"/>
              </w:rPr>
              <w:fldChar w:fldCharType="begin">
                <w:ffData>
                  <w:name w:val="Check1"/>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Dental  </w:t>
            </w:r>
            <w:r w:rsidRPr="007E1812">
              <w:rPr>
                <w:rFonts w:ascii="Arial Narrow" w:hAnsi="Arial Narrow"/>
                <w:sz w:val="20"/>
                <w:szCs w:val="20"/>
              </w:rPr>
              <w:fldChar w:fldCharType="begin">
                <w:ffData>
                  <w:name w:val=""/>
                  <w:enabled/>
                  <w:calcOnExit w:val="0"/>
                  <w:checkBox>
                    <w:sizeAuto/>
                    <w:default w:val="1"/>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Medical Practitioners  </w:t>
            </w:r>
            <w:r w:rsidRPr="007E1812">
              <w:rPr>
                <w:rFonts w:ascii="Arial Narrow" w:hAnsi="Arial Narrow"/>
                <w:sz w:val="20"/>
                <w:szCs w:val="20"/>
              </w:rPr>
              <w:fldChar w:fldCharType="begin">
                <w:ffData>
                  <w:name w:val="Check3"/>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Nurse practitioners  </w:t>
            </w:r>
            <w:r w:rsidRPr="007E1812">
              <w:rPr>
                <w:rFonts w:ascii="Arial Narrow" w:hAnsi="Arial Narrow"/>
                <w:sz w:val="20"/>
                <w:szCs w:val="20"/>
              </w:rPr>
              <w:fldChar w:fldCharType="begin">
                <w:ffData>
                  <w:name w:val=""/>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Optometrists</w:t>
            </w:r>
          </w:p>
          <w:p w:rsidR="00867E6C" w:rsidRPr="007E1812" w:rsidRDefault="00867E6C" w:rsidP="00620BD3">
            <w:pPr>
              <w:widowControl/>
              <w:rPr>
                <w:rFonts w:ascii="Arial Narrow" w:hAnsi="Arial Narrow"/>
                <w:sz w:val="20"/>
                <w:szCs w:val="20"/>
              </w:rPr>
            </w:pPr>
            <w:r w:rsidRPr="007E1812">
              <w:rPr>
                <w:rFonts w:ascii="Arial Narrow" w:hAnsi="Arial Narrow"/>
                <w:sz w:val="20"/>
                <w:szCs w:val="20"/>
              </w:rPr>
              <w:fldChar w:fldCharType="begin">
                <w:ffData>
                  <w:name w:val="Check5"/>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Midwives</w:t>
            </w: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b/>
                <w:sz w:val="20"/>
                <w:szCs w:val="20"/>
              </w:rPr>
            </w:pPr>
            <w:r w:rsidRPr="007E1812">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cstheme="minorHAnsi"/>
                <w:sz w:val="20"/>
                <w:szCs w:val="20"/>
              </w:rPr>
            </w:pPr>
            <w:r w:rsidRPr="007E1812">
              <w:rPr>
                <w:rFonts w:ascii="Arial Narrow" w:hAnsi="Arial Narrow" w:cstheme="minorHAnsi"/>
                <w:sz w:val="20"/>
                <w:szCs w:val="20"/>
              </w:rPr>
              <w:t>Stage IIIB (locally advanced) or Stage IV (metastatic)</w:t>
            </w: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b/>
                <w:sz w:val="20"/>
                <w:szCs w:val="20"/>
              </w:rPr>
            </w:pPr>
            <w:r w:rsidRPr="007E1812">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cstheme="minorHAnsi"/>
                <w:sz w:val="20"/>
                <w:szCs w:val="20"/>
              </w:rPr>
            </w:pPr>
            <w:r w:rsidRPr="007E1812">
              <w:rPr>
                <w:rFonts w:ascii="Arial Narrow" w:hAnsi="Arial Narrow" w:cstheme="minorHAnsi"/>
                <w:sz w:val="20"/>
                <w:szCs w:val="20"/>
              </w:rPr>
              <w:t>non-small cell lung cancer (NSCLC)</w:t>
            </w: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b/>
                <w:sz w:val="20"/>
                <w:szCs w:val="20"/>
              </w:rPr>
            </w:pPr>
            <w:r w:rsidRPr="007E1812">
              <w:rPr>
                <w:rFonts w:ascii="Arial Narrow" w:hAnsi="Arial Narrow"/>
                <w:b/>
                <w:sz w:val="20"/>
                <w:szCs w:val="20"/>
              </w:rPr>
              <w:t>PBS Indication:</w:t>
            </w:r>
          </w:p>
          <w:p w:rsidR="00867E6C" w:rsidRPr="007E1812" w:rsidRDefault="00867E6C" w:rsidP="00620BD3">
            <w:pPr>
              <w:widowControl/>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cstheme="minorHAnsi"/>
                <w:sz w:val="20"/>
                <w:szCs w:val="20"/>
              </w:rPr>
            </w:pPr>
            <w:r w:rsidRPr="007E1812">
              <w:rPr>
                <w:rFonts w:ascii="Arial Narrow" w:hAnsi="Arial Narrow" w:cstheme="minorHAnsi"/>
                <w:sz w:val="20"/>
                <w:szCs w:val="20"/>
              </w:rPr>
              <w:t>Stage IIIB (locally advanced) or Stage IV (metastatic) non-small cell lung cancer (NSCLC)</w:t>
            </w: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b/>
                <w:sz w:val="20"/>
                <w:szCs w:val="20"/>
              </w:rPr>
            </w:pPr>
            <w:r w:rsidRPr="007E1812">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772F18" w:rsidP="00620BD3">
            <w:pPr>
              <w:widowControl/>
              <w:rPr>
                <w:rFonts w:ascii="Arial Narrow" w:hAnsi="Arial Narrow"/>
                <w:sz w:val="20"/>
                <w:szCs w:val="20"/>
              </w:rPr>
            </w:pPr>
            <w:r w:rsidRPr="007E1812">
              <w:rPr>
                <w:rFonts w:ascii="Arial Narrow" w:hAnsi="Arial Narrow" w:cstheme="minorHAnsi"/>
                <w:sz w:val="20"/>
                <w:szCs w:val="20"/>
              </w:rPr>
              <w:t xml:space="preserve">Continuing treatment </w:t>
            </w:r>
            <w:r w:rsidR="00867E6C" w:rsidRPr="007E1812">
              <w:rPr>
                <w:rFonts w:ascii="Arial Narrow" w:hAnsi="Arial Narrow"/>
                <w:sz w:val="20"/>
                <w:szCs w:val="20"/>
              </w:rPr>
              <w:t xml:space="preserve"> </w:t>
            </w: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b/>
                <w:sz w:val="20"/>
                <w:szCs w:val="20"/>
              </w:rPr>
            </w:pPr>
            <w:r w:rsidRPr="007E1812">
              <w:rPr>
                <w:rFonts w:ascii="Arial Narrow" w:hAnsi="Arial Narrow"/>
                <w:b/>
                <w:sz w:val="20"/>
                <w:szCs w:val="20"/>
              </w:rPr>
              <w:t>Restriction Level / Method:</w:t>
            </w:r>
          </w:p>
          <w:p w:rsidR="00867E6C" w:rsidRPr="007E1812" w:rsidRDefault="00867E6C" w:rsidP="00620BD3">
            <w:pPr>
              <w:widowControl/>
              <w:rPr>
                <w:rFonts w:ascii="Arial Narrow" w:hAnsi="Arial Narrow"/>
                <w:i/>
                <w:sz w:val="20"/>
                <w:szCs w:val="20"/>
              </w:rPr>
            </w:pPr>
          </w:p>
          <w:p w:rsidR="00867E6C" w:rsidRPr="007E1812" w:rsidRDefault="00867E6C" w:rsidP="00620BD3">
            <w:pPr>
              <w:widowControl/>
              <w:rPr>
                <w:rFonts w:ascii="Arial Narrow" w:hAnsi="Arial Narrow"/>
                <w:i/>
                <w:sz w:val="20"/>
                <w:szCs w:val="20"/>
              </w:rPr>
            </w:pPr>
          </w:p>
          <w:p w:rsidR="00867E6C" w:rsidRPr="007E1812" w:rsidRDefault="00867E6C" w:rsidP="00620BD3">
            <w:pPr>
              <w:widowControl/>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sz w:val="20"/>
                <w:szCs w:val="20"/>
              </w:rPr>
            </w:pPr>
            <w:r w:rsidRPr="007E1812">
              <w:rPr>
                <w:rFonts w:ascii="Arial Narrow" w:hAnsi="Arial Narrow"/>
                <w:sz w:val="20"/>
                <w:szCs w:val="20"/>
              </w:rPr>
              <w:fldChar w:fldCharType="begin">
                <w:ffData>
                  <w:name w:val="Check1"/>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Restricted benefit</w:t>
            </w:r>
          </w:p>
          <w:p w:rsidR="00867E6C" w:rsidRPr="007E1812" w:rsidRDefault="00867E6C" w:rsidP="00620BD3">
            <w:pPr>
              <w:widowControl/>
              <w:rPr>
                <w:rFonts w:ascii="Arial Narrow" w:hAnsi="Arial Narrow"/>
                <w:sz w:val="20"/>
                <w:szCs w:val="20"/>
              </w:rPr>
            </w:pPr>
            <w:r w:rsidRPr="007E1812">
              <w:rPr>
                <w:rFonts w:ascii="Arial Narrow" w:hAnsi="Arial Narrow"/>
                <w:sz w:val="20"/>
                <w:szCs w:val="20"/>
              </w:rPr>
              <w:fldChar w:fldCharType="begin">
                <w:ffData>
                  <w:name w:val=""/>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Authority Required – In Writing</w:t>
            </w:r>
          </w:p>
          <w:p w:rsidR="00867E6C" w:rsidRPr="007E1812" w:rsidRDefault="00867E6C" w:rsidP="00620BD3">
            <w:pPr>
              <w:widowControl/>
              <w:rPr>
                <w:rFonts w:ascii="Arial Narrow" w:hAnsi="Arial Narrow"/>
                <w:sz w:val="20"/>
                <w:szCs w:val="20"/>
              </w:rPr>
            </w:pPr>
            <w:r w:rsidRPr="007E1812">
              <w:rPr>
                <w:rFonts w:ascii="Arial Narrow" w:hAnsi="Arial Narrow"/>
                <w:sz w:val="20"/>
                <w:szCs w:val="20"/>
              </w:rPr>
              <w:fldChar w:fldCharType="begin">
                <w:ffData>
                  <w:name w:val="Check3"/>
                  <w:enabled/>
                  <w:calcOnExit w:val="0"/>
                  <w:checkBox>
                    <w:sizeAuto/>
                    <w:default w:val="1"/>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Authority Required – Telephone/Electronic/Emergency</w:t>
            </w:r>
          </w:p>
          <w:p w:rsidR="00867E6C" w:rsidRPr="007E1812" w:rsidRDefault="00867E6C" w:rsidP="00620BD3">
            <w:pPr>
              <w:widowControl/>
              <w:rPr>
                <w:rFonts w:ascii="Arial Narrow" w:hAnsi="Arial Narrow"/>
                <w:sz w:val="20"/>
                <w:szCs w:val="20"/>
              </w:rPr>
            </w:pPr>
            <w:r w:rsidRPr="007E1812">
              <w:rPr>
                <w:rFonts w:ascii="Arial Narrow" w:hAnsi="Arial Narrow"/>
                <w:sz w:val="20"/>
                <w:szCs w:val="20"/>
              </w:rPr>
              <w:fldChar w:fldCharType="begin">
                <w:ffData>
                  <w:name w:val="Check5"/>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Streamlined</w:t>
            </w: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b/>
                <w:sz w:val="20"/>
                <w:szCs w:val="20"/>
              </w:rPr>
            </w:pPr>
            <w:r w:rsidRPr="007E1812">
              <w:rPr>
                <w:rFonts w:ascii="Arial Narrow" w:hAnsi="Arial Narrow"/>
                <w:b/>
                <w:sz w:val="20"/>
                <w:szCs w:val="20"/>
              </w:rPr>
              <w:t>Clinical criteria:</w:t>
            </w:r>
          </w:p>
          <w:p w:rsidR="00867E6C" w:rsidRPr="007E1812" w:rsidRDefault="00867E6C" w:rsidP="00620BD3">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022E05" w:rsidRPr="007E1812" w:rsidRDefault="00022E05" w:rsidP="00620BD3">
            <w:pPr>
              <w:pStyle w:val="Tabletext"/>
              <w:keepNext/>
              <w:rPr>
                <w:szCs w:val="20"/>
              </w:rPr>
            </w:pPr>
            <w:r w:rsidRPr="007E1812">
              <w:rPr>
                <w:szCs w:val="20"/>
              </w:rPr>
              <w:t>The treatment must be as monotherapy,</w:t>
            </w:r>
          </w:p>
          <w:p w:rsidR="00022E05" w:rsidRPr="007E1812" w:rsidRDefault="00022E05" w:rsidP="00620BD3">
            <w:pPr>
              <w:pStyle w:val="Tabletext"/>
              <w:keepNext/>
              <w:rPr>
                <w:szCs w:val="20"/>
              </w:rPr>
            </w:pPr>
            <w:r w:rsidRPr="007E1812">
              <w:rPr>
                <w:szCs w:val="20"/>
              </w:rPr>
              <w:t>AND</w:t>
            </w:r>
          </w:p>
          <w:p w:rsidR="00022E05" w:rsidRPr="007E1812" w:rsidRDefault="00022E05" w:rsidP="00620BD3">
            <w:pPr>
              <w:pStyle w:val="Tabletext"/>
              <w:keepNext/>
              <w:rPr>
                <w:szCs w:val="20"/>
              </w:rPr>
            </w:pPr>
          </w:p>
          <w:p w:rsidR="00022E05" w:rsidRPr="007E1812" w:rsidRDefault="00022E05" w:rsidP="00620BD3">
            <w:pPr>
              <w:pStyle w:val="Tabletext"/>
              <w:keepNext/>
              <w:rPr>
                <w:szCs w:val="20"/>
              </w:rPr>
            </w:pPr>
            <w:r w:rsidRPr="007E1812">
              <w:rPr>
                <w:szCs w:val="20"/>
              </w:rPr>
              <w:t>Patient must have previously received PBS-subsidised treatment with this drug for this condition,</w:t>
            </w:r>
          </w:p>
          <w:p w:rsidR="00022E05" w:rsidRPr="007E1812" w:rsidRDefault="00022E05" w:rsidP="00620BD3">
            <w:pPr>
              <w:pStyle w:val="Tabletext"/>
              <w:keepNext/>
              <w:rPr>
                <w:szCs w:val="20"/>
              </w:rPr>
            </w:pPr>
            <w:r w:rsidRPr="007E1812">
              <w:rPr>
                <w:szCs w:val="20"/>
              </w:rPr>
              <w:t>AND</w:t>
            </w:r>
          </w:p>
          <w:p w:rsidR="00022E05" w:rsidRPr="007E1812" w:rsidRDefault="00022E05" w:rsidP="00620BD3">
            <w:pPr>
              <w:pStyle w:val="Tabletext"/>
              <w:keepNext/>
              <w:rPr>
                <w:szCs w:val="20"/>
              </w:rPr>
            </w:pPr>
          </w:p>
          <w:p w:rsidR="00867E6C" w:rsidRPr="007E1812" w:rsidRDefault="00022E05" w:rsidP="00620BD3">
            <w:pPr>
              <w:widowControl/>
              <w:rPr>
                <w:rFonts w:ascii="Arial Narrow" w:hAnsi="Arial Narrow"/>
                <w:color w:val="222222"/>
                <w:sz w:val="20"/>
                <w:szCs w:val="20"/>
                <w:lang w:eastAsia="en-GB"/>
              </w:rPr>
            </w:pPr>
            <w:r w:rsidRPr="007E1812">
              <w:rPr>
                <w:rFonts w:ascii="Arial Narrow" w:hAnsi="Arial Narrow"/>
                <w:sz w:val="20"/>
                <w:szCs w:val="20"/>
              </w:rPr>
              <w:t>Patient must not develop disease progression while receiving PBS-subsidised treatment with this drug for this condition.</w:t>
            </w:r>
          </w:p>
        </w:tc>
      </w:tr>
      <w:tr w:rsidR="00867E6C" w:rsidRPr="007E1812" w:rsidTr="00022E05">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widowControl/>
              <w:rPr>
                <w:rFonts w:ascii="Arial Narrow" w:hAnsi="Arial Narrow"/>
                <w:i/>
                <w:sz w:val="20"/>
                <w:szCs w:val="20"/>
              </w:rPr>
            </w:pPr>
            <w:r w:rsidRPr="007E1812">
              <w:rPr>
                <w:rFonts w:ascii="Arial Narrow" w:hAnsi="Arial Narrow"/>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rsidR="00867E6C" w:rsidRPr="007E1812" w:rsidRDefault="00867E6C" w:rsidP="00620BD3">
            <w:pPr>
              <w:pStyle w:val="Tabletext"/>
              <w:rPr>
                <w:szCs w:val="20"/>
              </w:rPr>
            </w:pPr>
            <w:r w:rsidRPr="007E1812">
              <w:rPr>
                <w:szCs w:val="20"/>
              </w:rPr>
              <w:t>No increase in the maximum quantity or number of units may be authorised.</w:t>
            </w:r>
          </w:p>
          <w:p w:rsidR="00867E6C" w:rsidRPr="007E1812" w:rsidRDefault="00867E6C" w:rsidP="00620BD3">
            <w:pPr>
              <w:pStyle w:val="Tabletext"/>
              <w:rPr>
                <w:szCs w:val="20"/>
              </w:rPr>
            </w:pPr>
          </w:p>
          <w:p w:rsidR="00867E6C" w:rsidRPr="007E1812" w:rsidRDefault="00867E6C" w:rsidP="00620BD3">
            <w:pPr>
              <w:widowControl/>
              <w:rPr>
                <w:rFonts w:ascii="Arial Narrow" w:hAnsi="Arial Narrow"/>
                <w:sz w:val="20"/>
                <w:szCs w:val="20"/>
              </w:rPr>
            </w:pPr>
            <w:r w:rsidRPr="007E1812">
              <w:rPr>
                <w:rFonts w:ascii="Arial Narrow" w:hAnsi="Arial Narrow"/>
                <w:sz w:val="20"/>
                <w:szCs w:val="20"/>
              </w:rPr>
              <w:t>No increase in the maximum number of repeats may be authorised.</w:t>
            </w:r>
          </w:p>
          <w:p w:rsidR="00867E6C" w:rsidRPr="007E1812" w:rsidRDefault="00867E6C" w:rsidP="00620BD3">
            <w:pPr>
              <w:widowControl/>
              <w:rPr>
                <w:rFonts w:ascii="Arial Narrow" w:hAnsi="Arial Narrow"/>
                <w:sz w:val="20"/>
                <w:szCs w:val="20"/>
              </w:rPr>
            </w:pPr>
          </w:p>
          <w:p w:rsidR="00867E6C" w:rsidRPr="007E1812" w:rsidRDefault="00867E6C" w:rsidP="00620BD3">
            <w:pPr>
              <w:widowControl/>
              <w:rPr>
                <w:rFonts w:ascii="Arial Narrow" w:hAnsi="Arial Narrow"/>
                <w:sz w:val="20"/>
                <w:szCs w:val="20"/>
              </w:rPr>
            </w:pPr>
            <w:r w:rsidRPr="007E1812">
              <w:rPr>
                <w:rFonts w:ascii="Arial Narrow" w:hAnsi="Arial Narrow"/>
                <w:sz w:val="20"/>
                <w:szCs w:val="20"/>
              </w:rPr>
              <w:t>Special Pricing Arrangements apply.</w:t>
            </w:r>
          </w:p>
        </w:tc>
      </w:tr>
    </w:tbl>
    <w:p w:rsidR="00C31073" w:rsidRPr="007E1812" w:rsidRDefault="00C31073" w:rsidP="00620BD3">
      <w:pPr>
        <w:pStyle w:val="ListParagraph"/>
        <w:widowControl/>
        <w:numPr>
          <w:ilvl w:val="1"/>
          <w:numId w:val="1"/>
        </w:numPr>
        <w:spacing w:before="120" w:after="120"/>
      </w:pPr>
      <w:r w:rsidRPr="007E1812">
        <w:lastRenderedPageBreak/>
        <w:t>The submission proposed a PBS listing for brigatinib that was line agnostic.</w:t>
      </w:r>
      <w:r w:rsidR="00A364C9" w:rsidRPr="007E1812">
        <w:t xml:space="preserve"> </w:t>
      </w:r>
      <w:r w:rsidR="00B3193B" w:rsidRPr="007E1812">
        <w:t>However</w:t>
      </w:r>
      <w:r w:rsidRPr="007E1812">
        <w:t xml:space="preserve">, </w:t>
      </w:r>
      <w:r w:rsidR="008D43B5" w:rsidRPr="007E1812">
        <w:t>this</w:t>
      </w:r>
      <w:r w:rsidRPr="007E1812">
        <w:t xml:space="preserve"> is broader than the currently approved TGA indication</w:t>
      </w:r>
      <w:r w:rsidR="00B3193B" w:rsidRPr="007E1812">
        <w:t>,</w:t>
      </w:r>
      <w:r w:rsidRPr="007E1812">
        <w:t xml:space="preserve"> which is limited to patients previously treated with crizotinib.</w:t>
      </w:r>
      <w:r w:rsidR="00584B57" w:rsidRPr="007E1812">
        <w:t xml:space="preserve"> </w:t>
      </w:r>
      <w:r w:rsidR="007023ED" w:rsidRPr="007E1812">
        <w:t>The</w:t>
      </w:r>
      <w:r w:rsidR="0039323C">
        <w:t xml:space="preserve"> Pre-Sub-Committee Response</w:t>
      </w:r>
      <w:r w:rsidR="007023ED" w:rsidRPr="007E1812">
        <w:t xml:space="preserve"> </w:t>
      </w:r>
      <w:r w:rsidR="0039323C">
        <w:t>(</w:t>
      </w:r>
      <w:r w:rsidR="007023ED" w:rsidRPr="007E1812">
        <w:t>PSCR</w:t>
      </w:r>
      <w:r w:rsidR="0039323C">
        <w:t>)</w:t>
      </w:r>
      <w:r w:rsidR="007023ED" w:rsidRPr="007E1812">
        <w:t xml:space="preserve"> </w:t>
      </w:r>
      <w:r w:rsidR="00A81671" w:rsidRPr="007E1812">
        <w:t>and the pre-</w:t>
      </w:r>
      <w:r w:rsidR="0040077F" w:rsidRPr="007E1812">
        <w:t xml:space="preserve">PBAC response  </w:t>
      </w:r>
      <w:r w:rsidR="007023ED" w:rsidRPr="007E1812">
        <w:t xml:space="preserve">argued that the PBAC previously recommended the listings of ceritinib and alectinib without any restrictions to line of therapy that were discordant to the TGA approved indications at the time of PBAC consideration, largely based on evidence in a </w:t>
      </w:r>
      <w:r w:rsidR="0068140D" w:rsidRPr="007E1812">
        <w:t xml:space="preserve">later-line </w:t>
      </w:r>
      <w:r w:rsidR="007023ED" w:rsidRPr="007E1812">
        <w:t>setting (para</w:t>
      </w:r>
      <w:r w:rsidR="00912B20" w:rsidRPr="007E1812">
        <w:t>graph</w:t>
      </w:r>
      <w:r w:rsidR="007023ED" w:rsidRPr="007E1812">
        <w:t xml:space="preserve"> 7.3, alectinib </w:t>
      </w:r>
      <w:r w:rsidR="00D261C6">
        <w:t>Public Summary D</w:t>
      </w:r>
      <w:r w:rsidR="00912B20" w:rsidRPr="007E1812">
        <w:t>ocument (</w:t>
      </w:r>
      <w:r w:rsidR="007023ED" w:rsidRPr="007E1812">
        <w:t>PSD</w:t>
      </w:r>
      <w:r w:rsidR="00912B20" w:rsidRPr="007E1812">
        <w:t>)</w:t>
      </w:r>
      <w:r w:rsidR="007023ED" w:rsidRPr="007E1812">
        <w:t>, July 2017).</w:t>
      </w:r>
    </w:p>
    <w:p w:rsidR="00C31073" w:rsidRPr="007E1812" w:rsidRDefault="00C31073" w:rsidP="00620BD3">
      <w:pPr>
        <w:pStyle w:val="ListParagraph"/>
        <w:widowControl/>
        <w:numPr>
          <w:ilvl w:val="1"/>
          <w:numId w:val="1"/>
        </w:numPr>
        <w:spacing w:before="120" w:after="120"/>
        <w:rPr>
          <w:rFonts w:asciiTheme="minorHAnsi" w:hAnsiTheme="minorHAnsi" w:cstheme="minorHAnsi"/>
          <w:szCs w:val="24"/>
        </w:rPr>
      </w:pPr>
      <w:r w:rsidRPr="007E1812">
        <w:t xml:space="preserve">The proposed listing requires evidence of ALK gene rearrangement by fluorescence in situ hybridisation (FISH) testing, in order to access </w:t>
      </w:r>
      <w:r w:rsidR="002742DA" w:rsidRPr="007E1812">
        <w:t xml:space="preserve">PBS subsidised </w:t>
      </w:r>
      <w:r w:rsidRPr="007E1812">
        <w:t>treatment</w:t>
      </w:r>
      <w:r w:rsidR="00273DE0" w:rsidRPr="007E1812">
        <w:t xml:space="preserve"> with an ALK inhibitor</w:t>
      </w:r>
      <w:r w:rsidRPr="007E1812">
        <w:t xml:space="preserve">. Currently, FISH testing for ALK status is funded by the Medicare Benefits Scheme (MBS) under Item 73341. MBS Item 73341 specifies use for access to crizotinib, ceritinib or alectinib under the PBS; brigatinib is </w:t>
      </w:r>
      <w:r w:rsidR="004158D6" w:rsidRPr="007E1812">
        <w:t xml:space="preserve">not a </w:t>
      </w:r>
      <w:r w:rsidRPr="007E1812">
        <w:t xml:space="preserve">listed drug </w:t>
      </w:r>
      <w:r w:rsidR="004158D6" w:rsidRPr="007E1812">
        <w:t xml:space="preserve">to be </w:t>
      </w:r>
      <w:r w:rsidR="000E7DC1" w:rsidRPr="007E1812">
        <w:t xml:space="preserve">accessed via </w:t>
      </w:r>
      <w:r w:rsidR="004158D6" w:rsidRPr="007E1812">
        <w:t>MBS Item</w:t>
      </w:r>
      <w:r w:rsidR="000E7DC1" w:rsidRPr="007E1812">
        <w:t xml:space="preserve"> </w:t>
      </w:r>
      <w:r w:rsidRPr="007E1812">
        <w:t xml:space="preserve">73341. Should brigatinib be listed as requested – line-agnostic – then patients would be able to access it first-line and therefore would require a determination of their ALK status in order to qualify for brigatinib on the PBS. </w:t>
      </w:r>
      <w:r w:rsidR="00B24B9B" w:rsidRPr="007E1812">
        <w:t>Thus, t</w:t>
      </w:r>
      <w:r w:rsidR="000E7DC1" w:rsidRPr="007E1812">
        <w:t xml:space="preserve">he sponsor </w:t>
      </w:r>
      <w:r w:rsidR="00AC2886" w:rsidRPr="007E1812">
        <w:t xml:space="preserve">lodged the </w:t>
      </w:r>
      <w:r w:rsidR="000E7DC1" w:rsidRPr="007E1812">
        <w:t>minor streamli</w:t>
      </w:r>
      <w:r w:rsidR="00AC2886" w:rsidRPr="007E1812">
        <w:t xml:space="preserve">ned co-dependent application </w:t>
      </w:r>
      <w:r w:rsidR="000E7DC1" w:rsidRPr="007E1812">
        <w:t>to ad</w:t>
      </w:r>
      <w:r w:rsidR="00B01012" w:rsidRPr="007E1812">
        <w:t xml:space="preserve">d brigatinib to MBS Item 73341 </w:t>
      </w:r>
      <w:r w:rsidR="00B01012" w:rsidRPr="007E1812">
        <w:rPr>
          <w:rFonts w:asciiTheme="minorHAnsi" w:hAnsiTheme="minorHAnsi" w:cstheme="minorHAnsi"/>
          <w:szCs w:val="24"/>
        </w:rPr>
        <w:t>and is expected to be considered</w:t>
      </w:r>
      <w:r w:rsidR="000E7DC1" w:rsidRPr="007E1812">
        <w:rPr>
          <w:rFonts w:asciiTheme="minorHAnsi" w:hAnsiTheme="minorHAnsi" w:cstheme="minorHAnsi"/>
          <w:szCs w:val="24"/>
        </w:rPr>
        <w:t xml:space="preserve"> by </w:t>
      </w:r>
      <w:r w:rsidR="003036C2" w:rsidRPr="007E1812">
        <w:rPr>
          <w:rFonts w:asciiTheme="minorHAnsi" w:hAnsiTheme="minorHAnsi" w:cstheme="minorHAnsi"/>
          <w:color w:val="222222"/>
          <w:szCs w:val="24"/>
        </w:rPr>
        <w:t xml:space="preserve">the Medical Services Advisory Committee (MSAC) </w:t>
      </w:r>
      <w:r w:rsidR="000E7DC1" w:rsidRPr="007E1812">
        <w:rPr>
          <w:rFonts w:asciiTheme="minorHAnsi" w:hAnsiTheme="minorHAnsi" w:cstheme="minorHAnsi"/>
          <w:szCs w:val="24"/>
        </w:rPr>
        <w:t>at its meeting on 28-29 November 2019.</w:t>
      </w:r>
    </w:p>
    <w:p w:rsidR="00D62C61" w:rsidRPr="007E1812" w:rsidRDefault="00D62C61" w:rsidP="00620BD3">
      <w:pPr>
        <w:pStyle w:val="ListParagraph"/>
        <w:widowControl/>
        <w:spacing w:before="120" w:after="120"/>
      </w:pPr>
      <w:r w:rsidRPr="007E1812">
        <w:rPr>
          <w:i/>
        </w:rPr>
        <w:t xml:space="preserve">For more detail on PBAC’s view, see section 7 PBAC outcome. </w:t>
      </w:r>
    </w:p>
    <w:p w:rsidR="00C31073" w:rsidRPr="007E1812" w:rsidRDefault="00C31073" w:rsidP="00620BD3">
      <w:pPr>
        <w:pStyle w:val="PBACHeading1"/>
        <w:keepNext/>
        <w:spacing w:before="120" w:after="120"/>
      </w:pPr>
      <w:bookmarkStart w:id="14" w:name="_Toc371170701"/>
      <w:bookmarkStart w:id="15" w:name="_Toc18922036"/>
      <w:bookmarkStart w:id="16" w:name="_Toc19710254"/>
      <w:r w:rsidRPr="007E1812">
        <w:t>Background</w:t>
      </w:r>
      <w:bookmarkEnd w:id="14"/>
      <w:bookmarkEnd w:id="15"/>
      <w:bookmarkEnd w:id="16"/>
    </w:p>
    <w:p w:rsidR="00C31073" w:rsidRPr="007E1812" w:rsidRDefault="00C31073" w:rsidP="007831A6">
      <w:pPr>
        <w:pStyle w:val="Heading2"/>
        <w:keepNext/>
        <w:keepLines/>
        <w:widowControl/>
        <w:spacing w:before="120" w:after="120"/>
      </w:pPr>
      <w:r w:rsidRPr="007831A6">
        <w:t>Registration status</w:t>
      </w:r>
    </w:p>
    <w:p w:rsidR="00C31073" w:rsidRPr="007E1812" w:rsidRDefault="00C31073" w:rsidP="00620BD3">
      <w:pPr>
        <w:pStyle w:val="ListParagraph"/>
        <w:widowControl/>
        <w:numPr>
          <w:ilvl w:val="1"/>
          <w:numId w:val="1"/>
        </w:numPr>
        <w:spacing w:before="120" w:after="120"/>
      </w:pPr>
      <w:r w:rsidRPr="007E1812">
        <w:t xml:space="preserve">Brigatinib was approved for registration by </w:t>
      </w:r>
      <w:r w:rsidR="004F29EF" w:rsidRPr="007E1812">
        <w:t xml:space="preserve">the </w:t>
      </w:r>
      <w:r w:rsidRPr="007E1812">
        <w:t xml:space="preserve">TGA </w:t>
      </w:r>
      <w:r w:rsidR="0040251F" w:rsidRPr="007E1812">
        <w:t xml:space="preserve">on </w:t>
      </w:r>
      <w:r w:rsidR="00850BBC" w:rsidRPr="007E1812">
        <w:t xml:space="preserve">6 March 2019 </w:t>
      </w:r>
      <w:r w:rsidRPr="007E1812">
        <w:t>for the treatment of adult patients with ALK positive advanced NSCLC previously treated with crizo</w:t>
      </w:r>
      <w:r w:rsidR="00584B57" w:rsidRPr="007E1812">
        <w:t>tinib.</w:t>
      </w:r>
    </w:p>
    <w:p w:rsidR="002678E6" w:rsidRPr="007E1812" w:rsidRDefault="002678E6" w:rsidP="00620BD3">
      <w:pPr>
        <w:pStyle w:val="ListParagraph"/>
        <w:widowControl/>
        <w:numPr>
          <w:ilvl w:val="1"/>
          <w:numId w:val="1"/>
        </w:numPr>
        <w:spacing w:before="120" w:after="120"/>
      </w:pPr>
      <w:r w:rsidRPr="007E1812">
        <w:t>The submission noted that the sponsor would submit the data for the first-line indication to the TGA in February 2020, with registration expected in March 2021. The completion of ALTA-1L s</w:t>
      </w:r>
      <w:r w:rsidR="00584B57" w:rsidRPr="007E1812">
        <w:t>tudy was due in September 2019.</w:t>
      </w:r>
    </w:p>
    <w:p w:rsidR="00C31073" w:rsidRPr="007831A6" w:rsidRDefault="00C31073" w:rsidP="007831A6">
      <w:pPr>
        <w:pStyle w:val="Heading2"/>
        <w:keepNext/>
        <w:keepLines/>
        <w:widowControl/>
        <w:spacing w:before="120" w:after="120"/>
      </w:pPr>
      <w:r w:rsidRPr="007831A6">
        <w:t>Previous PBAC consideration</w:t>
      </w:r>
    </w:p>
    <w:p w:rsidR="00E5388A" w:rsidRDefault="00E5388A" w:rsidP="00E5388A">
      <w:pPr>
        <w:widowControl/>
        <w:spacing w:after="240"/>
        <w:jc w:val="center"/>
        <w:rPr>
          <w:b/>
          <w:u w:val="single"/>
        </w:rPr>
      </w:pPr>
      <w:r w:rsidRPr="008F48EB">
        <w:rPr>
          <w:b/>
          <w:u w:val="single"/>
        </w:rPr>
        <w:t>Committee-</w:t>
      </w:r>
      <w:r>
        <w:rPr>
          <w:b/>
          <w:u w:val="single"/>
        </w:rPr>
        <w:t>I</w:t>
      </w:r>
      <w:r w:rsidRPr="008F48EB">
        <w:rPr>
          <w:b/>
          <w:u w:val="single"/>
        </w:rPr>
        <w:t>n-</w:t>
      </w:r>
      <w:r>
        <w:rPr>
          <w:b/>
          <w:u w:val="single"/>
        </w:rPr>
        <w:t>C</w:t>
      </w:r>
      <w:r w:rsidRPr="008F48EB">
        <w:rPr>
          <w:b/>
          <w:u w:val="single"/>
        </w:rPr>
        <w:t>onfidence information</w:t>
      </w:r>
    </w:p>
    <w:p w:rsidR="00C31073" w:rsidRPr="007E1812" w:rsidRDefault="00C31073" w:rsidP="00620BD3">
      <w:pPr>
        <w:pStyle w:val="ListParagraph"/>
        <w:widowControl/>
        <w:numPr>
          <w:ilvl w:val="1"/>
          <w:numId w:val="1"/>
        </w:numPr>
        <w:spacing w:before="120" w:after="120"/>
      </w:pPr>
      <w:r w:rsidRPr="007E1812">
        <w:t xml:space="preserve">A summary of the previous considerations of these ALK-TKIs by the PBAC is provided in </w:t>
      </w:r>
      <w:r w:rsidR="00C47F2F" w:rsidRPr="007E1812">
        <w:rPr>
          <w:rFonts w:asciiTheme="minorHAnsi" w:hAnsiTheme="minorHAnsi" w:cstheme="minorHAnsi"/>
          <w:szCs w:val="24"/>
        </w:rPr>
        <w:t>Table 2</w:t>
      </w:r>
      <w:r w:rsidR="009F2527">
        <w:rPr>
          <w:rFonts w:asciiTheme="minorHAnsi" w:hAnsiTheme="minorHAnsi" w:cstheme="minorHAnsi"/>
          <w:szCs w:val="24"/>
        </w:rPr>
        <w:t>, along with the current considerations of brigatinib and lorlatinib</w:t>
      </w:r>
      <w:r w:rsidRPr="007E1812">
        <w:rPr>
          <w:rFonts w:asciiTheme="minorHAnsi" w:hAnsiTheme="minorHAnsi" w:cstheme="minorHAnsi"/>
          <w:szCs w:val="24"/>
        </w:rPr>
        <w:t>.</w:t>
      </w:r>
      <w:r w:rsidRPr="007E1812">
        <w:t xml:space="preserve"> </w:t>
      </w:r>
    </w:p>
    <w:p w:rsidR="00C31073" w:rsidRPr="007E1812" w:rsidRDefault="00C31073" w:rsidP="00620BD3">
      <w:pPr>
        <w:pStyle w:val="Caption"/>
      </w:pPr>
      <w:bookmarkStart w:id="17" w:name="_Ref18853784"/>
      <w:r w:rsidRPr="007E1812">
        <w:lastRenderedPageBreak/>
        <w:t xml:space="preserve">Table </w:t>
      </w:r>
      <w:r w:rsidR="007F3D8E" w:rsidRPr="007E1812">
        <w:t>2</w:t>
      </w:r>
      <w:bookmarkEnd w:id="17"/>
      <w:r w:rsidRPr="007E1812">
        <w:t>: Summary of evidence s</w:t>
      </w:r>
      <w:r w:rsidR="00831C67" w:rsidRPr="007E1812">
        <w:t>ubmitted for ALK positive NSCLC</w:t>
      </w:r>
    </w:p>
    <w:tbl>
      <w:tblPr>
        <w:tblStyle w:val="TableGrid"/>
        <w:tblW w:w="5000" w:type="pct"/>
        <w:tblLook w:val="04A0" w:firstRow="1" w:lastRow="0" w:firstColumn="1" w:lastColumn="0" w:noHBand="0" w:noVBand="1"/>
        <w:tblCaption w:val="Table 4: Summary of evidence submitted for ALK positive NSCLC"/>
      </w:tblPr>
      <w:tblGrid>
        <w:gridCol w:w="1354"/>
        <w:gridCol w:w="1533"/>
        <w:gridCol w:w="1533"/>
        <w:gridCol w:w="1533"/>
        <w:gridCol w:w="1533"/>
        <w:gridCol w:w="1531"/>
      </w:tblGrid>
      <w:tr w:rsidR="00C31073" w:rsidRPr="007E1812" w:rsidTr="00D67AC1">
        <w:trPr>
          <w:trHeight w:val="293"/>
          <w:tblHeader/>
        </w:trPr>
        <w:tc>
          <w:tcPr>
            <w:tcW w:w="751" w:type="pct"/>
            <w:hideMark/>
          </w:tcPr>
          <w:p w:rsidR="00C31073" w:rsidRPr="007E1812" w:rsidRDefault="00C31073" w:rsidP="00620BD3">
            <w:pPr>
              <w:keepNext/>
              <w:keepLines/>
              <w:widowControl/>
              <w:spacing w:line="259" w:lineRule="auto"/>
              <w:rPr>
                <w:rFonts w:ascii="Arial Narrow" w:hAnsi="Arial Narrow"/>
                <w:sz w:val="20"/>
                <w:szCs w:val="20"/>
              </w:rPr>
            </w:pPr>
            <w:r w:rsidRPr="007E1812">
              <w:rPr>
                <w:rFonts w:ascii="Arial Narrow" w:hAnsi="Arial Narrow"/>
                <w:sz w:val="20"/>
                <w:szCs w:val="20"/>
              </w:rPr>
              <w:t> </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b/>
                <w:bCs/>
                <w:sz w:val="20"/>
                <w:szCs w:val="20"/>
              </w:rPr>
              <w:t xml:space="preserve">Crizotinib </w:t>
            </w:r>
            <w:r w:rsidRPr="007E1812">
              <w:rPr>
                <w:rFonts w:ascii="Arial Narrow" w:hAnsi="Arial Narrow"/>
                <w:b/>
                <w:bCs/>
                <w:sz w:val="20"/>
                <w:szCs w:val="20"/>
              </w:rPr>
              <w:br/>
              <w:t>(Nov 2014)</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b/>
                <w:bCs/>
                <w:sz w:val="20"/>
                <w:szCs w:val="20"/>
              </w:rPr>
              <w:t xml:space="preserve">Ceritinib </w:t>
            </w:r>
            <w:r w:rsidRPr="007E1812">
              <w:rPr>
                <w:rFonts w:ascii="Arial Narrow" w:hAnsi="Arial Narrow"/>
                <w:b/>
                <w:bCs/>
                <w:sz w:val="20"/>
                <w:szCs w:val="20"/>
              </w:rPr>
              <w:br/>
              <w:t>(Nov 2016)</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b/>
                <w:bCs/>
                <w:sz w:val="20"/>
                <w:szCs w:val="20"/>
              </w:rPr>
              <w:t xml:space="preserve">Alectinib </w:t>
            </w:r>
            <w:r w:rsidRPr="007E1812">
              <w:rPr>
                <w:rFonts w:ascii="Arial Narrow" w:hAnsi="Arial Narrow"/>
                <w:b/>
                <w:bCs/>
                <w:sz w:val="20"/>
                <w:szCs w:val="20"/>
              </w:rPr>
              <w:br/>
              <w:t>(Jul 2017)</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b/>
                <w:bCs/>
                <w:sz w:val="20"/>
                <w:szCs w:val="20"/>
              </w:rPr>
              <w:t xml:space="preserve">Brigatinib </w:t>
            </w:r>
            <w:r w:rsidRPr="007E1812">
              <w:rPr>
                <w:rFonts w:ascii="Arial Narrow" w:hAnsi="Arial Narrow"/>
                <w:b/>
                <w:bCs/>
                <w:sz w:val="20"/>
                <w:szCs w:val="20"/>
              </w:rPr>
              <w:br/>
              <w:t>(Nov 2019)</w:t>
            </w:r>
          </w:p>
        </w:tc>
        <w:tc>
          <w:tcPr>
            <w:tcW w:w="850" w:type="pct"/>
            <w:vAlign w:val="center"/>
            <w:hideMark/>
          </w:tcPr>
          <w:p w:rsidR="005F7291" w:rsidRPr="007E1812" w:rsidRDefault="005F7291" w:rsidP="00620BD3">
            <w:pPr>
              <w:keepNext/>
              <w:keepLines/>
              <w:widowControl/>
              <w:spacing w:line="259" w:lineRule="auto"/>
              <w:jc w:val="center"/>
              <w:rPr>
                <w:rFonts w:ascii="Arial Narrow" w:hAnsi="Arial Narrow"/>
                <w:b/>
                <w:bCs/>
                <w:sz w:val="20"/>
                <w:szCs w:val="20"/>
              </w:rPr>
            </w:pPr>
            <w:r w:rsidRPr="007E1812">
              <w:rPr>
                <w:rFonts w:ascii="Arial Narrow" w:hAnsi="Arial Narrow"/>
                <w:b/>
                <w:bCs/>
                <w:sz w:val="20"/>
                <w:szCs w:val="20"/>
              </w:rPr>
              <w:t>Lorlatinib</w:t>
            </w:r>
          </w:p>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b/>
                <w:bCs/>
                <w:sz w:val="20"/>
                <w:szCs w:val="20"/>
              </w:rPr>
              <w:t>(Nov</w:t>
            </w:r>
            <w:r w:rsidR="005F7291" w:rsidRPr="007E1812">
              <w:rPr>
                <w:rFonts w:ascii="Arial Narrow" w:hAnsi="Arial Narrow"/>
                <w:b/>
                <w:bCs/>
                <w:sz w:val="20"/>
                <w:szCs w:val="20"/>
              </w:rPr>
              <w:t xml:space="preserve"> </w:t>
            </w:r>
            <w:r w:rsidRPr="007E1812">
              <w:rPr>
                <w:rFonts w:ascii="Arial Narrow" w:hAnsi="Arial Narrow"/>
                <w:b/>
                <w:bCs/>
                <w:sz w:val="20"/>
                <w:szCs w:val="20"/>
              </w:rPr>
              <w:t>2019)</w:t>
            </w:r>
          </w:p>
        </w:tc>
      </w:tr>
      <w:tr w:rsidR="00C31073" w:rsidRPr="007E1812" w:rsidTr="00D67AC1">
        <w:trPr>
          <w:trHeight w:val="604"/>
          <w:tblHeader/>
        </w:trPr>
        <w:tc>
          <w:tcPr>
            <w:tcW w:w="751" w:type="pct"/>
            <w:vAlign w:val="center"/>
            <w:hideMark/>
          </w:tcPr>
          <w:p w:rsidR="00C31073" w:rsidRPr="007E1812" w:rsidRDefault="00C31073" w:rsidP="00620BD3">
            <w:pPr>
              <w:keepNext/>
              <w:keepLines/>
              <w:widowControl/>
              <w:spacing w:line="259" w:lineRule="auto"/>
              <w:jc w:val="left"/>
              <w:rPr>
                <w:rFonts w:ascii="Arial Narrow" w:hAnsi="Arial Narrow"/>
                <w:b/>
                <w:bCs/>
                <w:sz w:val="20"/>
                <w:szCs w:val="20"/>
              </w:rPr>
            </w:pPr>
            <w:r w:rsidRPr="007E1812">
              <w:rPr>
                <w:rFonts w:ascii="Arial Narrow" w:hAnsi="Arial Narrow"/>
                <w:b/>
                <w:bCs/>
                <w:sz w:val="20"/>
                <w:szCs w:val="20"/>
              </w:rPr>
              <w:t>Requested PBS restriction</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 (after platinum)</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 (after TKI i.e. crizotinib)</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 (after TKI i.e. crizotinib, ceritinib)</w:t>
            </w:r>
          </w:p>
        </w:tc>
        <w:tc>
          <w:tcPr>
            <w:tcW w:w="850" w:type="pct"/>
            <w:shd w:val="clear" w:color="auto" w:fill="auto"/>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1</w:t>
            </w:r>
            <w:r w:rsidRPr="007E1812">
              <w:rPr>
                <w:rFonts w:ascii="Arial Narrow" w:hAnsi="Arial Narrow"/>
                <w:sz w:val="20"/>
                <w:szCs w:val="20"/>
                <w:vertAlign w:val="superscript"/>
              </w:rPr>
              <w:t>st</w:t>
            </w:r>
            <w:r w:rsidRPr="007E1812">
              <w:rPr>
                <w:rFonts w:ascii="Arial Narrow" w:hAnsi="Arial Narrow"/>
                <w:sz w:val="20"/>
                <w:szCs w:val="20"/>
              </w:rPr>
              <w:t xml:space="preserve"> and 2</w:t>
            </w:r>
            <w:r w:rsidRPr="007E1812">
              <w:rPr>
                <w:rFonts w:ascii="Arial Narrow" w:hAnsi="Arial Narrow"/>
                <w:sz w:val="20"/>
                <w:szCs w:val="20"/>
                <w:vertAlign w:val="superscript"/>
              </w:rPr>
              <w:t>nd</w:t>
            </w:r>
            <w:r w:rsidRPr="007E1812">
              <w:rPr>
                <w:rFonts w:ascii="Arial Narrow" w:hAnsi="Arial Narrow"/>
                <w:sz w:val="20"/>
                <w:szCs w:val="20"/>
              </w:rPr>
              <w:t xml:space="preserve"> line</w:t>
            </w:r>
          </w:p>
        </w:tc>
        <w:tc>
          <w:tcPr>
            <w:tcW w:w="850" w:type="pct"/>
            <w:vAlign w:val="center"/>
            <w:hideMark/>
          </w:tcPr>
          <w:p w:rsidR="00C31073" w:rsidRPr="007E1812" w:rsidRDefault="00317C3A"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 xml:space="preserve">ALK positive NSCLC previously </w:t>
            </w:r>
            <w:r w:rsidR="005F7291" w:rsidRPr="007E1812">
              <w:rPr>
                <w:rFonts w:ascii="Arial Narrow" w:hAnsi="Arial Narrow"/>
                <w:sz w:val="20"/>
                <w:szCs w:val="20"/>
              </w:rPr>
              <w:t>t</w:t>
            </w:r>
            <w:r w:rsidRPr="007E1812">
              <w:rPr>
                <w:rFonts w:ascii="Arial Narrow" w:hAnsi="Arial Narrow"/>
                <w:sz w:val="20"/>
                <w:szCs w:val="20"/>
              </w:rPr>
              <w:t>reated with one or more ALK TKIs.</w:t>
            </w:r>
          </w:p>
        </w:tc>
      </w:tr>
      <w:tr w:rsidR="00C31073" w:rsidRPr="007E1812" w:rsidTr="00D67AC1">
        <w:trPr>
          <w:trHeight w:val="647"/>
          <w:tblHeader/>
        </w:trPr>
        <w:tc>
          <w:tcPr>
            <w:tcW w:w="751" w:type="pct"/>
            <w:vAlign w:val="center"/>
            <w:hideMark/>
          </w:tcPr>
          <w:p w:rsidR="00C31073" w:rsidRPr="007E1812" w:rsidRDefault="00C31073" w:rsidP="00620BD3">
            <w:pPr>
              <w:keepNext/>
              <w:keepLines/>
              <w:widowControl/>
              <w:spacing w:line="259" w:lineRule="auto"/>
              <w:jc w:val="left"/>
              <w:rPr>
                <w:rFonts w:ascii="Arial Narrow" w:hAnsi="Arial Narrow"/>
                <w:b/>
                <w:bCs/>
                <w:sz w:val="20"/>
                <w:szCs w:val="20"/>
              </w:rPr>
            </w:pPr>
            <w:r w:rsidRPr="007E1812">
              <w:rPr>
                <w:rFonts w:ascii="Arial Narrow" w:hAnsi="Arial Narrow"/>
                <w:b/>
                <w:bCs/>
                <w:sz w:val="20"/>
                <w:szCs w:val="20"/>
              </w:rPr>
              <w:t xml:space="preserve">TGA approval at time of submission </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No restriction on line of therapy.</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w:t>
            </w:r>
          </w:p>
        </w:tc>
        <w:tc>
          <w:tcPr>
            <w:tcW w:w="850" w:type="pct"/>
            <w:shd w:val="clear" w:color="auto" w:fill="auto"/>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w:t>
            </w:r>
          </w:p>
        </w:tc>
        <w:tc>
          <w:tcPr>
            <w:tcW w:w="850" w:type="pct"/>
            <w:shd w:val="clear" w:color="auto" w:fill="auto"/>
            <w:vAlign w:val="center"/>
            <w:hideMark/>
          </w:tcPr>
          <w:p w:rsidR="00C31073" w:rsidRPr="00C35F09" w:rsidRDefault="00C35F09" w:rsidP="00620BD3">
            <w:pPr>
              <w:keepNext/>
              <w:keepLines/>
              <w:widowControl/>
              <w:spacing w:line="259" w:lineRule="auto"/>
              <w:jc w:val="center"/>
              <w:rPr>
                <w:rFonts w:ascii="Arial Narrow" w:hAnsi="Arial Narrow"/>
                <w:sz w:val="20"/>
                <w:szCs w:val="20"/>
                <w:highlight w:val="black"/>
              </w:rPr>
            </w:pPr>
            <w:r>
              <w:rPr>
                <w:rFonts w:ascii="Arial Narrow" w:hAnsi="Arial Narrow" w:cs="Times New Roman"/>
                <w:iCs/>
                <w:noProof/>
                <w:snapToGrid/>
                <w:color w:val="000000"/>
                <w:sz w:val="20"/>
                <w:highlight w:val="black"/>
              </w:rPr>
              <w:t>''''''''''' '''''''''''''''''' '''''''''''''''''''</w:t>
            </w:r>
            <w:r w:rsidR="00161823" w:rsidRPr="00C35F09">
              <w:rPr>
                <w:rFonts w:ascii="Arial Narrow" w:hAnsi="Arial Narrow"/>
                <w:sz w:val="20"/>
                <w:szCs w:val="20"/>
                <w:highlight w:val="black"/>
              </w:rPr>
              <w:t xml:space="preserve"> </w:t>
            </w:r>
          </w:p>
        </w:tc>
      </w:tr>
      <w:tr w:rsidR="00C31073" w:rsidRPr="007E1812" w:rsidTr="00D67AC1">
        <w:trPr>
          <w:trHeight w:val="586"/>
          <w:tblHeader/>
        </w:trPr>
        <w:tc>
          <w:tcPr>
            <w:tcW w:w="751" w:type="pct"/>
            <w:vAlign w:val="center"/>
            <w:hideMark/>
          </w:tcPr>
          <w:p w:rsidR="00C31073" w:rsidRPr="007E1812" w:rsidRDefault="00C31073" w:rsidP="00620BD3">
            <w:pPr>
              <w:keepNext/>
              <w:keepLines/>
              <w:widowControl/>
              <w:spacing w:line="259" w:lineRule="auto"/>
              <w:jc w:val="left"/>
              <w:rPr>
                <w:rFonts w:ascii="Arial Narrow" w:hAnsi="Arial Narrow"/>
                <w:b/>
                <w:bCs/>
                <w:sz w:val="20"/>
                <w:szCs w:val="20"/>
              </w:rPr>
            </w:pPr>
            <w:r w:rsidRPr="007E1812">
              <w:rPr>
                <w:rFonts w:ascii="Arial Narrow" w:hAnsi="Arial Narrow"/>
                <w:b/>
                <w:bCs/>
                <w:sz w:val="20"/>
                <w:szCs w:val="20"/>
              </w:rPr>
              <w:t>Evidence presented to PBAC</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 (after platinum) (RCT)</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 (RCT)</w:t>
            </w:r>
          </w:p>
        </w:tc>
        <w:tc>
          <w:tcPr>
            <w:tcW w:w="850" w:type="pct"/>
            <w:vAlign w:val="center"/>
            <w:hideMark/>
          </w:tcPr>
          <w:p w:rsidR="00F50526"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2</w:t>
            </w:r>
            <w:r w:rsidRPr="007E1812">
              <w:rPr>
                <w:rFonts w:ascii="Arial Narrow" w:hAnsi="Arial Narrow"/>
                <w:sz w:val="20"/>
                <w:szCs w:val="20"/>
                <w:vertAlign w:val="superscript"/>
              </w:rPr>
              <w:t>nd</w:t>
            </w:r>
            <w:r w:rsidRPr="007E1812">
              <w:rPr>
                <w:rFonts w:ascii="Arial Narrow" w:hAnsi="Arial Narrow"/>
                <w:sz w:val="20"/>
                <w:szCs w:val="20"/>
              </w:rPr>
              <w:t xml:space="preserve"> line </w:t>
            </w:r>
          </w:p>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(single arm)</w:t>
            </w:r>
          </w:p>
        </w:tc>
        <w:tc>
          <w:tcPr>
            <w:tcW w:w="850" w:type="pct"/>
            <w:shd w:val="clear" w:color="auto" w:fill="auto"/>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1</w:t>
            </w:r>
            <w:r w:rsidRPr="007E1812">
              <w:rPr>
                <w:rFonts w:ascii="Arial Narrow" w:hAnsi="Arial Narrow"/>
                <w:sz w:val="20"/>
                <w:szCs w:val="20"/>
                <w:vertAlign w:val="superscript"/>
              </w:rPr>
              <w:t>st</w:t>
            </w:r>
            <w:r w:rsidRPr="007E1812">
              <w:rPr>
                <w:rFonts w:ascii="Arial Narrow" w:hAnsi="Arial Narrow"/>
                <w:sz w:val="20"/>
                <w:szCs w:val="20"/>
              </w:rPr>
              <w:t xml:space="preserve"> line (ITC of RCTs) and 2</w:t>
            </w:r>
            <w:r w:rsidRPr="007E1812">
              <w:rPr>
                <w:rFonts w:ascii="Arial Narrow" w:hAnsi="Arial Narrow"/>
                <w:sz w:val="20"/>
                <w:szCs w:val="20"/>
                <w:vertAlign w:val="superscript"/>
              </w:rPr>
              <w:t xml:space="preserve">nd </w:t>
            </w:r>
            <w:r w:rsidRPr="007E1812">
              <w:rPr>
                <w:rFonts w:ascii="Arial Narrow" w:hAnsi="Arial Narrow"/>
                <w:sz w:val="20"/>
                <w:szCs w:val="20"/>
              </w:rPr>
              <w:t>line (single arm)</w:t>
            </w:r>
          </w:p>
        </w:tc>
        <w:tc>
          <w:tcPr>
            <w:tcW w:w="850" w:type="pct"/>
            <w:vAlign w:val="center"/>
            <w:hideMark/>
          </w:tcPr>
          <w:p w:rsidR="00F50526" w:rsidRPr="00C35F09" w:rsidRDefault="00C35F09" w:rsidP="00620BD3">
            <w:pPr>
              <w:keepNext/>
              <w:keepLines/>
              <w:widowControl/>
              <w:spacing w:line="259" w:lineRule="auto"/>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 xml:space="preserve">''''''''' '''''''' </w:t>
            </w:r>
          </w:p>
          <w:p w:rsidR="00C31073" w:rsidRPr="00C35F09" w:rsidRDefault="00C35F09" w:rsidP="00620BD3">
            <w:pPr>
              <w:keepNext/>
              <w:keepLines/>
              <w:widowControl/>
              <w:spacing w:line="259" w:lineRule="auto"/>
              <w:jc w:val="center"/>
              <w:rPr>
                <w:rFonts w:ascii="Arial Narrow" w:hAnsi="Arial Narrow"/>
                <w:sz w:val="20"/>
                <w:szCs w:val="20"/>
                <w:highlight w:val="black"/>
              </w:rPr>
            </w:pPr>
            <w:r>
              <w:rPr>
                <w:rFonts w:ascii="Arial Narrow" w:hAnsi="Arial Narrow" w:cs="Times New Roman"/>
                <w:noProof/>
                <w:snapToGrid/>
                <w:color w:val="000000"/>
                <w:sz w:val="20"/>
                <w:highlight w:val="black"/>
              </w:rPr>
              <w:t xml:space="preserve">'''''''''''''''' '''''''''''' </w:t>
            </w:r>
          </w:p>
        </w:tc>
      </w:tr>
      <w:tr w:rsidR="00C31073" w:rsidRPr="007E1812" w:rsidTr="00D67AC1">
        <w:trPr>
          <w:trHeight w:val="130"/>
          <w:tblHeader/>
        </w:trPr>
        <w:tc>
          <w:tcPr>
            <w:tcW w:w="751" w:type="pct"/>
            <w:vAlign w:val="center"/>
            <w:hideMark/>
          </w:tcPr>
          <w:p w:rsidR="00C31073" w:rsidRPr="007E1812" w:rsidRDefault="00C31073" w:rsidP="00620BD3">
            <w:pPr>
              <w:keepNext/>
              <w:keepLines/>
              <w:widowControl/>
              <w:spacing w:line="259" w:lineRule="auto"/>
              <w:jc w:val="left"/>
              <w:rPr>
                <w:rFonts w:ascii="Arial Narrow" w:hAnsi="Arial Narrow"/>
                <w:b/>
                <w:bCs/>
                <w:sz w:val="20"/>
                <w:szCs w:val="20"/>
              </w:rPr>
            </w:pPr>
            <w:r w:rsidRPr="007E1812">
              <w:rPr>
                <w:rFonts w:ascii="Arial Narrow" w:hAnsi="Arial Narrow"/>
                <w:b/>
                <w:bCs/>
                <w:sz w:val="20"/>
                <w:szCs w:val="20"/>
              </w:rPr>
              <w:t>PBAC decision</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No restriction on line of therapy</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No restriction on line of therapy</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No restriction on line of therapy</w:t>
            </w:r>
          </w:p>
        </w:tc>
        <w:tc>
          <w:tcPr>
            <w:tcW w:w="850" w:type="pct"/>
            <w:shd w:val="clear" w:color="auto" w:fill="auto"/>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NA</w:t>
            </w:r>
          </w:p>
        </w:tc>
        <w:tc>
          <w:tcPr>
            <w:tcW w:w="850" w:type="pct"/>
            <w:vAlign w:val="center"/>
            <w:hideMark/>
          </w:tcPr>
          <w:p w:rsidR="00C31073" w:rsidRPr="007E1812" w:rsidRDefault="00C31073" w:rsidP="00620BD3">
            <w:pPr>
              <w:keepNext/>
              <w:keepLines/>
              <w:widowControl/>
              <w:spacing w:line="259" w:lineRule="auto"/>
              <w:jc w:val="center"/>
              <w:rPr>
                <w:rFonts w:ascii="Arial Narrow" w:hAnsi="Arial Narrow"/>
                <w:sz w:val="20"/>
                <w:szCs w:val="20"/>
              </w:rPr>
            </w:pPr>
            <w:r w:rsidRPr="007E1812">
              <w:rPr>
                <w:rFonts w:ascii="Arial Narrow" w:hAnsi="Arial Narrow"/>
                <w:sz w:val="20"/>
                <w:szCs w:val="20"/>
              </w:rPr>
              <w:t>NA</w:t>
            </w:r>
          </w:p>
        </w:tc>
      </w:tr>
    </w:tbl>
    <w:p w:rsidR="00C31073" w:rsidRPr="007E1812" w:rsidRDefault="00C31073" w:rsidP="00620BD3">
      <w:pPr>
        <w:pStyle w:val="Default"/>
        <w:keepNext/>
        <w:keepLines/>
        <w:jc w:val="both"/>
        <w:rPr>
          <w:rFonts w:ascii="Arial Narrow" w:hAnsi="Arial Narrow"/>
          <w:bCs/>
          <w:sz w:val="18"/>
          <w:szCs w:val="18"/>
        </w:rPr>
      </w:pPr>
      <w:r w:rsidRPr="007E1812">
        <w:rPr>
          <w:rFonts w:ascii="Arial Narrow" w:hAnsi="Arial Narrow"/>
          <w:bCs/>
          <w:sz w:val="18"/>
          <w:szCs w:val="18"/>
        </w:rPr>
        <w:t>Abbreviations: ALK</w:t>
      </w:r>
      <w:r w:rsidRPr="007E1812">
        <w:t xml:space="preserve"> </w:t>
      </w:r>
      <w:r w:rsidRPr="007E1812">
        <w:rPr>
          <w:sz w:val="18"/>
          <w:szCs w:val="18"/>
        </w:rPr>
        <w:t xml:space="preserve">= </w:t>
      </w:r>
      <w:r w:rsidRPr="007E1812">
        <w:rPr>
          <w:rFonts w:ascii="Arial Narrow" w:hAnsi="Arial Narrow"/>
          <w:bCs/>
          <w:sz w:val="18"/>
          <w:szCs w:val="18"/>
        </w:rPr>
        <w:t>anaplastic lymphoma kinase;</w:t>
      </w:r>
      <w:r w:rsidR="006D082F" w:rsidRPr="007E1812">
        <w:rPr>
          <w:rFonts w:ascii="Arial Narrow" w:hAnsi="Arial Narrow"/>
          <w:bCs/>
          <w:sz w:val="18"/>
          <w:szCs w:val="18"/>
        </w:rPr>
        <w:t xml:space="preserve"> </w:t>
      </w:r>
      <w:r w:rsidR="00313E25" w:rsidRPr="007E1812">
        <w:rPr>
          <w:rFonts w:ascii="Arial Narrow" w:hAnsi="Arial Narrow"/>
          <w:bCs/>
          <w:sz w:val="18"/>
          <w:szCs w:val="18"/>
        </w:rPr>
        <w:t xml:space="preserve">ITC = indirect treatment comparison; NR = not reported; </w:t>
      </w:r>
      <w:r w:rsidR="006D082F" w:rsidRPr="007E1812">
        <w:rPr>
          <w:rFonts w:ascii="Arial Narrow" w:hAnsi="Arial Narrow"/>
          <w:bCs/>
          <w:sz w:val="18"/>
          <w:szCs w:val="18"/>
        </w:rPr>
        <w:t>ITC =indirect treatment comparison;</w:t>
      </w:r>
      <w:r w:rsidRPr="007E1812">
        <w:rPr>
          <w:rFonts w:ascii="Arial Narrow" w:hAnsi="Arial Narrow"/>
          <w:bCs/>
          <w:sz w:val="18"/>
          <w:szCs w:val="18"/>
        </w:rPr>
        <w:t xml:space="preserve"> NSCLC = non-small cell lung cancer; PBAC = Pharmaceutical Benefits Advisory Committee; PBS = Pharmaceutical Benefits Scheme; </w:t>
      </w:r>
      <w:r w:rsidR="006D082F" w:rsidRPr="007E1812">
        <w:rPr>
          <w:rFonts w:ascii="Arial Narrow" w:hAnsi="Arial Narrow"/>
          <w:bCs/>
          <w:sz w:val="18"/>
          <w:szCs w:val="18"/>
        </w:rPr>
        <w:t xml:space="preserve">RTC = randomised controlled trial; </w:t>
      </w:r>
      <w:r w:rsidRPr="007E1812">
        <w:rPr>
          <w:rFonts w:ascii="Arial Narrow" w:hAnsi="Arial Narrow"/>
          <w:bCs/>
          <w:sz w:val="18"/>
          <w:szCs w:val="18"/>
        </w:rPr>
        <w:t xml:space="preserve">TKI = tyrosine kinase inhibitor. </w:t>
      </w:r>
    </w:p>
    <w:p w:rsidR="00C31073" w:rsidRPr="007E1812" w:rsidRDefault="00C31073" w:rsidP="00620BD3">
      <w:pPr>
        <w:keepNext/>
        <w:keepLines/>
        <w:widowControl/>
        <w:rPr>
          <w:rFonts w:ascii="Arial Narrow" w:hAnsi="Arial Narrow"/>
          <w:sz w:val="18"/>
          <w:szCs w:val="18"/>
        </w:rPr>
      </w:pPr>
      <w:r w:rsidRPr="007E1812">
        <w:rPr>
          <w:rFonts w:ascii="Arial Narrow" w:hAnsi="Arial Narrow"/>
          <w:sz w:val="18"/>
          <w:szCs w:val="18"/>
        </w:rPr>
        <w:t>Source: compiled during the evaluation</w:t>
      </w:r>
    </w:p>
    <w:p w:rsidR="00E5388A" w:rsidRPr="005F6BE7" w:rsidRDefault="00E5388A" w:rsidP="00E5388A">
      <w:pPr>
        <w:pStyle w:val="Bodytextitalics"/>
        <w:ind w:firstLine="0"/>
        <w:jc w:val="center"/>
        <w:rPr>
          <w:rFonts w:cstheme="minorHAnsi"/>
          <w:szCs w:val="24"/>
        </w:rPr>
      </w:pPr>
      <w:r w:rsidRPr="005F6BE7">
        <w:rPr>
          <w:rFonts w:eastAsia="Times New Roman" w:cstheme="minorHAnsi"/>
          <w:b/>
          <w:i w:val="0"/>
          <w:snapToGrid w:val="0"/>
          <w:szCs w:val="24"/>
          <w:lang w:eastAsia="en-US"/>
        </w:rPr>
        <w:t>End Committee-In-Confidence information</w:t>
      </w:r>
    </w:p>
    <w:p w:rsidR="000945F8" w:rsidRPr="007E1812" w:rsidRDefault="000945F8" w:rsidP="00620BD3">
      <w:pPr>
        <w:pStyle w:val="ListParagraph"/>
        <w:widowControl/>
        <w:spacing w:before="120" w:after="120"/>
      </w:pPr>
      <w:r w:rsidRPr="007E1812">
        <w:rPr>
          <w:i/>
        </w:rPr>
        <w:t xml:space="preserve">For more detail on PBAC’s view, see section 7 PBAC outcome. </w:t>
      </w:r>
    </w:p>
    <w:p w:rsidR="00C31073" w:rsidRPr="007E1812" w:rsidRDefault="00C31073" w:rsidP="00620BD3">
      <w:pPr>
        <w:pStyle w:val="PBACHeading1"/>
        <w:spacing w:before="120" w:after="120"/>
      </w:pPr>
      <w:bookmarkStart w:id="18" w:name="_Toc371170702"/>
      <w:bookmarkStart w:id="19" w:name="_Toc18922037"/>
      <w:bookmarkStart w:id="20" w:name="_Toc19710255"/>
      <w:r w:rsidRPr="007E1812">
        <w:t>Population and disease</w:t>
      </w:r>
      <w:bookmarkEnd w:id="18"/>
      <w:bookmarkEnd w:id="19"/>
      <w:bookmarkEnd w:id="20"/>
    </w:p>
    <w:p w:rsidR="00C31073" w:rsidRPr="007E1812" w:rsidRDefault="00C31073" w:rsidP="00620BD3">
      <w:pPr>
        <w:pStyle w:val="ListParagraph"/>
        <w:widowControl/>
        <w:numPr>
          <w:ilvl w:val="1"/>
          <w:numId w:val="1"/>
        </w:numPr>
        <w:spacing w:before="120" w:after="120"/>
      </w:pPr>
      <w:r w:rsidRPr="007E1812">
        <w:t>NSCLC accounts for around 80%</w:t>
      </w:r>
      <w:r w:rsidR="00D75502" w:rsidRPr="007E1812">
        <w:t>-</w:t>
      </w:r>
      <w:r w:rsidRPr="007E1812">
        <w:t>90% of all lung cancers</w:t>
      </w:r>
      <w:r w:rsidR="00AA62EC" w:rsidRPr="007E1812">
        <w:t xml:space="preserve"> (Planchard et al., 2019)</w:t>
      </w:r>
      <w:r w:rsidRPr="007E1812">
        <w:t>; with 3-5% of these cases being associated with ALK gene rearrangements</w:t>
      </w:r>
      <w:r w:rsidR="00AA62EC" w:rsidRPr="007E1812">
        <w:t xml:space="preserve"> (Gainor et al., 2013)</w:t>
      </w:r>
      <w:r w:rsidRPr="007E1812">
        <w:t>. About 70% of NSCLC patients have advanced (Stage IIIB/IV) disease at diagnosis</w:t>
      </w:r>
      <w:r w:rsidR="00AA62EC" w:rsidRPr="007E1812">
        <w:t xml:space="preserve"> (Besse et al., 2014)</w:t>
      </w:r>
      <w:r w:rsidRPr="007E1812">
        <w:t xml:space="preserve">. Patients with ALK-positive NSCLC typically present with more metastatic sites than those with other disease subtypes. Central nervous system (CNS) involvement in ALK-positive NSCLC is common, with 20%-40% of patients having brain metastases at diagnosis (NCI, 2019). </w:t>
      </w:r>
    </w:p>
    <w:p w:rsidR="00C31073" w:rsidRPr="007E1812" w:rsidRDefault="00C31073" w:rsidP="00516FB4">
      <w:pPr>
        <w:pStyle w:val="ListParagraph"/>
        <w:widowControl/>
        <w:numPr>
          <w:ilvl w:val="1"/>
          <w:numId w:val="1"/>
        </w:numPr>
        <w:spacing w:before="120" w:after="120"/>
      </w:pPr>
      <w:r w:rsidRPr="007E1812">
        <w:t>Brigatinib is a TKI</w:t>
      </w:r>
      <w:r w:rsidR="004B31AA" w:rsidRPr="007E1812">
        <w:t>,</w:t>
      </w:r>
      <w:r w:rsidRPr="007E1812">
        <w:t xml:space="preserve"> which inhibits multiple kinases including ALK, ROS1 and insulin-like growth factor 1 receptor. The submission noted that</w:t>
      </w:r>
      <w:r w:rsidR="00AC6E42" w:rsidRPr="007E1812">
        <w:t>,</w:t>
      </w:r>
      <w:r w:rsidRPr="007E1812">
        <w:t xml:space="preserve"> among these</w:t>
      </w:r>
      <w:r w:rsidR="00AC6E42" w:rsidRPr="007E1812">
        <w:t xml:space="preserve"> kinases</w:t>
      </w:r>
      <w:r w:rsidRPr="007E1812">
        <w:t xml:space="preserve">, brigatinib is most active against ALK. Three TKIs (crizotinib, ceritinib, and alectinib) are currently available on the PBS for the treatment of patients with the proposed indication. The submission requested that brigatinib be listed for the treatment of treatment naïve patients with locally advanced or metastatic ALK-positive NSCLC, and those patients who have disease progression following treatment with </w:t>
      </w:r>
      <w:r w:rsidR="004B31AA" w:rsidRPr="007E1812">
        <w:t xml:space="preserve">a </w:t>
      </w:r>
      <w:r w:rsidRPr="007E1812">
        <w:t xml:space="preserve">prior TKI. The population requested by the submission was well described and </w:t>
      </w:r>
      <w:r w:rsidR="00AC6E42" w:rsidRPr="007E1812">
        <w:t>the same as previous submissions to the</w:t>
      </w:r>
      <w:r w:rsidRPr="007E1812">
        <w:t xml:space="preserve"> PBAC. </w:t>
      </w:r>
    </w:p>
    <w:p w:rsidR="007A277A" w:rsidRPr="007E1812" w:rsidRDefault="007A277A" w:rsidP="00620BD3">
      <w:pPr>
        <w:pStyle w:val="ListParagraph"/>
        <w:widowControl/>
        <w:spacing w:before="120" w:after="120"/>
      </w:pPr>
      <w:r w:rsidRPr="007E1812">
        <w:rPr>
          <w:i/>
        </w:rPr>
        <w:t xml:space="preserve">For more detail on PBAC’s view, see section 7 PBAC outcome. </w:t>
      </w:r>
    </w:p>
    <w:p w:rsidR="00C31073" w:rsidRPr="007E1812" w:rsidRDefault="00C31073" w:rsidP="00620BD3">
      <w:pPr>
        <w:pStyle w:val="PBACHeading1"/>
        <w:keepNext/>
        <w:keepLines/>
        <w:spacing w:before="120" w:after="120"/>
      </w:pPr>
      <w:bookmarkStart w:id="21" w:name="_Toc371170703"/>
      <w:bookmarkStart w:id="22" w:name="_Toc18922038"/>
      <w:bookmarkStart w:id="23" w:name="_Toc19710256"/>
      <w:r w:rsidRPr="007E1812">
        <w:lastRenderedPageBreak/>
        <w:t>Comparator</w:t>
      </w:r>
      <w:bookmarkEnd w:id="21"/>
      <w:bookmarkEnd w:id="22"/>
      <w:bookmarkEnd w:id="23"/>
    </w:p>
    <w:p w:rsidR="00C31073" w:rsidRPr="007E1812" w:rsidRDefault="00C31073" w:rsidP="00620BD3">
      <w:pPr>
        <w:pStyle w:val="ListParagraph"/>
        <w:keepNext/>
        <w:keepLines/>
        <w:widowControl/>
        <w:numPr>
          <w:ilvl w:val="1"/>
          <w:numId w:val="1"/>
        </w:numPr>
        <w:spacing w:after="0"/>
      </w:pPr>
      <w:r w:rsidRPr="007E1812">
        <w:t>The submission nominated alectinib as the</w:t>
      </w:r>
      <w:r w:rsidR="00BD73E7" w:rsidRPr="007E1812">
        <w:t xml:space="preserve"> main</w:t>
      </w:r>
      <w:r w:rsidRPr="007E1812">
        <w:t xml:space="preserve"> comparator for brigatinib in both the first-line and second-line treatment settings. The </w:t>
      </w:r>
      <w:r w:rsidR="0063565B" w:rsidRPr="007E1812">
        <w:t xml:space="preserve">submission’s </w:t>
      </w:r>
      <w:r w:rsidR="00BD73E7" w:rsidRPr="007E1812">
        <w:t xml:space="preserve">key </w:t>
      </w:r>
      <w:r w:rsidRPr="007E1812">
        <w:t>arguments provided in support of this nomination were:</w:t>
      </w:r>
    </w:p>
    <w:p w:rsidR="00C31073" w:rsidRPr="007E1812" w:rsidRDefault="00C31073" w:rsidP="00620BD3">
      <w:pPr>
        <w:pStyle w:val="ListParagraph"/>
        <w:widowControl/>
        <w:numPr>
          <w:ilvl w:val="0"/>
          <w:numId w:val="5"/>
        </w:numPr>
        <w:spacing w:before="120" w:after="0"/>
      </w:pPr>
      <w:r w:rsidRPr="007E1812">
        <w:t xml:space="preserve">Alectinib has become established as the standard of care among both TKI naïve and crizotinib refractory patients. The submission supported this argument by providing data analysed from PBS services that alectinib accounts for 78% of the market. </w:t>
      </w:r>
      <w:r w:rsidR="0063565B" w:rsidRPr="007E1812">
        <w:t>The ESC noted that alectinib is the preferred first-line ALK-TKI treatment (NCCN guidelines v4, 2019).</w:t>
      </w:r>
    </w:p>
    <w:p w:rsidR="00C31073" w:rsidRPr="007E1812" w:rsidRDefault="00C31073" w:rsidP="00620BD3">
      <w:pPr>
        <w:pStyle w:val="ListParagraph"/>
        <w:widowControl/>
        <w:numPr>
          <w:ilvl w:val="0"/>
          <w:numId w:val="5"/>
        </w:numPr>
        <w:spacing w:before="120" w:after="120"/>
      </w:pPr>
      <w:r w:rsidRPr="007E1812">
        <w:t xml:space="preserve">The increasing use of alectinib is consistent with its more tolerable </w:t>
      </w:r>
      <w:r w:rsidR="000F2C23" w:rsidRPr="007E1812">
        <w:t>adverse events profile</w:t>
      </w:r>
      <w:r w:rsidRPr="007E1812">
        <w:t>.</w:t>
      </w:r>
      <w:r w:rsidR="0063565B" w:rsidRPr="007E1812">
        <w:t xml:space="preserve"> The ESC recalled that alectinib was recommended for PBS listing on the basis of non-inferiority to ceritinib, not superiority. </w:t>
      </w:r>
    </w:p>
    <w:p w:rsidR="00037F89" w:rsidRPr="007E1812" w:rsidRDefault="00804E31" w:rsidP="00620BD3">
      <w:pPr>
        <w:pStyle w:val="ListParagraph"/>
        <w:widowControl/>
        <w:numPr>
          <w:ilvl w:val="1"/>
          <w:numId w:val="1"/>
        </w:numPr>
        <w:spacing w:before="120" w:after="120"/>
      </w:pPr>
      <w:r w:rsidRPr="007E1812">
        <w:t xml:space="preserve">The ESC noted that </w:t>
      </w:r>
      <w:r w:rsidR="001F7B2B" w:rsidRPr="007E1812">
        <w:t xml:space="preserve">alectinib is the preferred TKI in the first-line setting in clinical guidelines and the ESC noted that </w:t>
      </w:r>
      <w:r w:rsidR="002C36F6" w:rsidRPr="007E1812">
        <w:t xml:space="preserve">the PBS statistics </w:t>
      </w:r>
      <w:r w:rsidR="0068140D" w:rsidRPr="007E1812">
        <w:t>suggested that alectinib was the most widely used therapy in the first-line setting</w:t>
      </w:r>
      <w:r w:rsidR="001F7B2B" w:rsidRPr="007E1812">
        <w:t>. The</w:t>
      </w:r>
      <w:r w:rsidR="00037F89" w:rsidRPr="007E1812">
        <w:t xml:space="preserve"> ESC considered that alectinib and ceritinib would be the therapies most </w:t>
      </w:r>
      <w:r w:rsidR="00BD73E7" w:rsidRPr="007E1812">
        <w:t>replaced by brigatinib</w:t>
      </w:r>
      <w:r w:rsidR="00037F89" w:rsidRPr="007E1812">
        <w:t xml:space="preserve"> (since crizotinib require</w:t>
      </w:r>
      <w:r w:rsidR="001F7B2B" w:rsidRPr="007E1812">
        <w:t>s</w:t>
      </w:r>
      <w:r w:rsidR="00037F89" w:rsidRPr="007E1812">
        <w:t xml:space="preserve"> written authorisation, and chemotherapy is likely to be used only from third-line onwards, albeit in a small number of patients)</w:t>
      </w:r>
      <w:r w:rsidR="000C5F62" w:rsidRPr="007E1812">
        <w:t xml:space="preserve">. </w:t>
      </w:r>
    </w:p>
    <w:p w:rsidR="00AF79DB" w:rsidRPr="007E1812" w:rsidRDefault="003B26AC" w:rsidP="00CC1633">
      <w:pPr>
        <w:pStyle w:val="ListParagraph"/>
        <w:widowControl/>
        <w:numPr>
          <w:ilvl w:val="1"/>
          <w:numId w:val="1"/>
        </w:numPr>
        <w:spacing w:before="120" w:after="120"/>
      </w:pPr>
      <w:r w:rsidRPr="007E1812">
        <w:t>Th</w:t>
      </w:r>
      <w:r w:rsidR="00C31073" w:rsidRPr="007E1812">
        <w:t>e submission proposed ceritinib as a potential supplementary comparator</w:t>
      </w:r>
      <w:r w:rsidR="0096405C" w:rsidRPr="007E1812">
        <w:t>. The ESC agreed ceritinib was a</w:t>
      </w:r>
      <w:r w:rsidRPr="007E1812">
        <w:t xml:space="preserve">n alternative </w:t>
      </w:r>
      <w:r w:rsidR="0096405C" w:rsidRPr="007E1812">
        <w:t>comparator, but noted the submission</w:t>
      </w:r>
      <w:r w:rsidR="00C31073" w:rsidRPr="007E1812">
        <w:t xml:space="preserve"> did not provide evidence comparing brigatinib with ceritinib. </w:t>
      </w:r>
      <w:r w:rsidR="006A4807" w:rsidRPr="007E1812">
        <w:rPr>
          <w:iCs/>
          <w:szCs w:val="24"/>
        </w:rPr>
        <w:t xml:space="preserve">The PSCR noted that there was </w:t>
      </w:r>
      <w:r w:rsidR="002C36F6" w:rsidRPr="007E1812">
        <w:rPr>
          <w:iCs/>
          <w:szCs w:val="24"/>
        </w:rPr>
        <w:t>a</w:t>
      </w:r>
      <w:r w:rsidR="000F2C23" w:rsidRPr="007E1812">
        <w:rPr>
          <w:iCs/>
          <w:szCs w:val="24"/>
        </w:rPr>
        <w:t xml:space="preserve"> </w:t>
      </w:r>
      <w:r w:rsidR="006A4807" w:rsidRPr="007E1812">
        <w:rPr>
          <w:iCs/>
          <w:szCs w:val="24"/>
        </w:rPr>
        <w:t>lack of comparable data of ceritinib in the post</w:t>
      </w:r>
      <w:r w:rsidR="005815C9" w:rsidRPr="007E1812">
        <w:rPr>
          <w:iCs/>
          <w:szCs w:val="24"/>
        </w:rPr>
        <w:t>-</w:t>
      </w:r>
      <w:r w:rsidR="006A4807" w:rsidRPr="007E1812">
        <w:rPr>
          <w:iCs/>
          <w:szCs w:val="24"/>
        </w:rPr>
        <w:t xml:space="preserve">alectinib treatment setting. </w:t>
      </w:r>
      <w:r w:rsidR="00A567C2" w:rsidRPr="007E1812">
        <w:rPr>
          <w:iCs/>
        </w:rPr>
        <w:t xml:space="preserve">Although </w:t>
      </w:r>
      <w:r w:rsidR="006A4807" w:rsidRPr="007E1812">
        <w:rPr>
          <w:iCs/>
          <w:szCs w:val="24"/>
        </w:rPr>
        <w:t xml:space="preserve">alectinib was previously </w:t>
      </w:r>
      <w:r w:rsidR="00A567C2" w:rsidRPr="007E1812">
        <w:rPr>
          <w:iCs/>
          <w:szCs w:val="24"/>
        </w:rPr>
        <w:t>recommended</w:t>
      </w:r>
      <w:r w:rsidR="006A4807" w:rsidRPr="007E1812">
        <w:rPr>
          <w:iCs/>
          <w:szCs w:val="24"/>
        </w:rPr>
        <w:t xml:space="preserve"> </w:t>
      </w:r>
      <w:r w:rsidR="00A567C2" w:rsidRPr="007E1812">
        <w:rPr>
          <w:iCs/>
          <w:szCs w:val="24"/>
        </w:rPr>
        <w:t>on a cost</w:t>
      </w:r>
      <w:r w:rsidR="006A4807" w:rsidRPr="007E1812">
        <w:rPr>
          <w:iCs/>
          <w:szCs w:val="24"/>
        </w:rPr>
        <w:t>-minimis</w:t>
      </w:r>
      <w:r w:rsidR="00A567C2" w:rsidRPr="007E1812">
        <w:rPr>
          <w:iCs/>
          <w:szCs w:val="24"/>
        </w:rPr>
        <w:t xml:space="preserve">ation basis compared with </w:t>
      </w:r>
      <w:r w:rsidR="006A4807" w:rsidRPr="007E1812">
        <w:rPr>
          <w:iCs/>
          <w:szCs w:val="24"/>
        </w:rPr>
        <w:t>ceritinib</w:t>
      </w:r>
      <w:r w:rsidR="00A567C2" w:rsidRPr="007E1812">
        <w:rPr>
          <w:iCs/>
          <w:szCs w:val="24"/>
        </w:rPr>
        <w:t xml:space="preserve"> 750 mg</w:t>
      </w:r>
      <w:r w:rsidR="009F2527">
        <w:rPr>
          <w:iCs/>
          <w:szCs w:val="24"/>
        </w:rPr>
        <w:t>, t</w:t>
      </w:r>
      <w:r w:rsidR="006A4807" w:rsidRPr="007E1812">
        <w:rPr>
          <w:iCs/>
        </w:rPr>
        <w:t xml:space="preserve">he ESC </w:t>
      </w:r>
      <w:r w:rsidR="00251322" w:rsidRPr="007E1812">
        <w:rPr>
          <w:iCs/>
        </w:rPr>
        <w:t>noted that the TGA recommended dose for ceritinib is now 450 mg</w:t>
      </w:r>
      <w:r w:rsidR="00CC1633" w:rsidRPr="007E1812">
        <w:rPr>
          <w:iCs/>
        </w:rPr>
        <w:t xml:space="preserve"> and </w:t>
      </w:r>
      <w:r w:rsidR="00251322" w:rsidRPr="007E1812">
        <w:rPr>
          <w:iCs/>
        </w:rPr>
        <w:t xml:space="preserve">ceritinib 450 mg </w:t>
      </w:r>
      <w:r w:rsidR="000338D0" w:rsidRPr="007E1812">
        <w:rPr>
          <w:iCs/>
        </w:rPr>
        <w:t xml:space="preserve">is </w:t>
      </w:r>
      <w:r w:rsidR="00251322" w:rsidRPr="007E1812">
        <w:rPr>
          <w:iCs/>
        </w:rPr>
        <w:t>less costly than alectinib.</w:t>
      </w:r>
      <w:r w:rsidR="00A567C2" w:rsidRPr="007E1812">
        <w:rPr>
          <w:iCs/>
        </w:rPr>
        <w:t xml:space="preserve"> </w:t>
      </w:r>
    </w:p>
    <w:p w:rsidR="00B64EE3" w:rsidRPr="007E1812" w:rsidRDefault="00B64EE3" w:rsidP="003F659F">
      <w:pPr>
        <w:pStyle w:val="ListParagraph"/>
        <w:widowControl/>
        <w:numPr>
          <w:ilvl w:val="1"/>
          <w:numId w:val="1"/>
        </w:numPr>
        <w:spacing w:before="120" w:after="120"/>
      </w:pPr>
      <w:r w:rsidRPr="007E1812">
        <w:rPr>
          <w:iCs/>
        </w:rPr>
        <w:t>The Secretariat examined the utilisation and the average daily dose for ceritinib</w:t>
      </w:r>
      <w:r w:rsidR="00664BDC" w:rsidRPr="007E1812">
        <w:rPr>
          <w:iCs/>
        </w:rPr>
        <w:t xml:space="preserve"> based on the PBS </w:t>
      </w:r>
      <w:r w:rsidR="005415E1" w:rsidRPr="007E1812">
        <w:rPr>
          <w:iCs/>
        </w:rPr>
        <w:t>administrative claims</w:t>
      </w:r>
      <w:r w:rsidR="00664BDC" w:rsidRPr="007E1812">
        <w:rPr>
          <w:iCs/>
        </w:rPr>
        <w:t xml:space="preserve"> data</w:t>
      </w:r>
      <w:r w:rsidRPr="007E1812">
        <w:rPr>
          <w:iCs/>
        </w:rPr>
        <w:t xml:space="preserve">. The market share summary for the most recent 12 months at the time of analysis (1 October 2018 to 30 September 2019) </w:t>
      </w:r>
      <w:r w:rsidR="00E7141D" w:rsidRPr="007E1812">
        <w:rPr>
          <w:iCs/>
        </w:rPr>
        <w:t xml:space="preserve">showed the scripts of ceritinib comprising </w:t>
      </w:r>
      <w:r w:rsidR="005415E1" w:rsidRPr="007E1812">
        <w:rPr>
          <w:iCs/>
        </w:rPr>
        <w:t>3.</w:t>
      </w:r>
      <w:r w:rsidR="00E7141D" w:rsidRPr="007E1812">
        <w:rPr>
          <w:iCs/>
        </w:rPr>
        <w:t xml:space="preserve">3% (n=104) of the total scripts </w:t>
      </w:r>
      <w:r w:rsidR="003F659F" w:rsidRPr="007E1812">
        <w:rPr>
          <w:iCs/>
        </w:rPr>
        <w:t xml:space="preserve">(n=3163) </w:t>
      </w:r>
      <w:r w:rsidR="00E7141D" w:rsidRPr="007E1812">
        <w:rPr>
          <w:iCs/>
        </w:rPr>
        <w:t xml:space="preserve">for ALK inhibitors in NSCLC. </w:t>
      </w:r>
      <w:r w:rsidR="005415E1" w:rsidRPr="007E1812">
        <w:rPr>
          <w:iCs/>
        </w:rPr>
        <w:t xml:space="preserve">Since ceritinib first listed, </w:t>
      </w:r>
      <w:r w:rsidR="005415E1" w:rsidRPr="007E1812">
        <w:rPr>
          <w:rFonts w:asciiTheme="minorHAnsi" w:eastAsiaTheme="minorHAnsi" w:hAnsiTheme="minorHAnsi" w:cstheme="minorHAnsi"/>
          <w:snapToGrid/>
          <w:lang w:bidi="ar-JO"/>
        </w:rPr>
        <w:t>t</w:t>
      </w:r>
      <w:r w:rsidR="00E7141D" w:rsidRPr="007E1812">
        <w:rPr>
          <w:rFonts w:asciiTheme="minorHAnsi" w:eastAsiaTheme="minorHAnsi" w:hAnsiTheme="minorHAnsi" w:cstheme="minorHAnsi"/>
          <w:snapToGrid/>
          <w:lang w:bidi="ar-JO"/>
        </w:rPr>
        <w:t xml:space="preserve">he analysis found </w:t>
      </w:r>
      <w:r w:rsidR="001B1396" w:rsidRPr="007E1812">
        <w:rPr>
          <w:rFonts w:asciiTheme="minorHAnsi" w:eastAsiaTheme="minorHAnsi" w:hAnsiTheme="minorHAnsi" w:cstheme="minorHAnsi"/>
          <w:snapToGrid/>
          <w:lang w:bidi="ar-JO"/>
        </w:rPr>
        <w:t xml:space="preserve">that </w:t>
      </w:r>
      <w:r w:rsidR="00E7141D" w:rsidRPr="007E1812">
        <w:rPr>
          <w:rFonts w:asciiTheme="minorHAnsi" w:eastAsiaTheme="minorHAnsi" w:hAnsiTheme="minorHAnsi" w:cstheme="minorHAnsi"/>
          <w:snapToGrid/>
          <w:lang w:bidi="ar-JO"/>
        </w:rPr>
        <w:t>the me</w:t>
      </w:r>
      <w:r w:rsidR="001B1396" w:rsidRPr="007E1812">
        <w:rPr>
          <w:rFonts w:asciiTheme="minorHAnsi" w:eastAsiaTheme="minorHAnsi" w:hAnsiTheme="minorHAnsi" w:cstheme="minorHAnsi"/>
          <w:snapToGrid/>
          <w:lang w:bidi="ar-JO"/>
        </w:rPr>
        <w:t xml:space="preserve">dian daily dose for ceritinib was 750 mg (mean daily dose of 786.20 mg). </w:t>
      </w:r>
    </w:p>
    <w:p w:rsidR="001600C4" w:rsidRPr="007E1812" w:rsidRDefault="001600C4" w:rsidP="00516FB4">
      <w:pPr>
        <w:pStyle w:val="ListParagraph"/>
        <w:widowControl/>
        <w:numPr>
          <w:ilvl w:val="1"/>
          <w:numId w:val="1"/>
        </w:numPr>
        <w:spacing w:before="120" w:after="120"/>
      </w:pPr>
      <w:r w:rsidRPr="007E1812">
        <w:t xml:space="preserve">Under Section 101(3B) of the </w:t>
      </w:r>
      <w:r w:rsidRPr="007E1812">
        <w:rPr>
          <w:i/>
        </w:rPr>
        <w:t>National Health Act (1953)</w:t>
      </w:r>
      <w:r w:rsidRPr="007E1812">
        <w:t xml:space="preserve"> where therapy involving the use of a particular drug or medicinal preparation, or a class of drugs and medicinal preparations, is substantially more costly than an alternative therapy or alternative therapies, whether or not involving the use of other drugs or preparations, the Committee shall not recommend to the Minister that the drug, preparation or class be made available as pharmaceutical benefits under this Part unless the Committee is satisfied that the first-mentioned therapy, for some patients, provides a significant </w:t>
      </w:r>
      <w:r w:rsidRPr="007E1812">
        <w:lastRenderedPageBreak/>
        <w:t>improvement in efficacy or reduction of toxicity over the alternative therapy or therapies. The PBAC considered that alectinib and ceritinib were alternative therapies.</w:t>
      </w:r>
    </w:p>
    <w:p w:rsidR="00C31073" w:rsidRPr="007E1812" w:rsidRDefault="00AF79DB" w:rsidP="00620BD3">
      <w:pPr>
        <w:pStyle w:val="ListParagraph"/>
        <w:widowControl/>
        <w:numPr>
          <w:ilvl w:val="1"/>
          <w:numId w:val="1"/>
        </w:numPr>
        <w:spacing w:before="120" w:after="120"/>
      </w:pPr>
      <w:r w:rsidRPr="007E1812">
        <w:t>T</w:t>
      </w:r>
      <w:r w:rsidR="00C31073" w:rsidRPr="007E1812">
        <w:t xml:space="preserve">he submission did not consider the potential for lorlatinib, </w:t>
      </w:r>
      <w:r w:rsidR="00536CB9" w:rsidRPr="007E1812">
        <w:t xml:space="preserve">which </w:t>
      </w:r>
      <w:r w:rsidR="00E8241C" w:rsidRPr="007E1812">
        <w:t xml:space="preserve">was </w:t>
      </w:r>
      <w:r w:rsidR="00C31073" w:rsidRPr="007E1812">
        <w:t>considered at the November 2019 meeting for use in ALK-positive NSCLC</w:t>
      </w:r>
      <w:r w:rsidR="00666F71" w:rsidRPr="007E1812">
        <w:t xml:space="preserve"> following treatment with</w:t>
      </w:r>
      <w:r w:rsidR="002A1E85" w:rsidRPr="007E1812">
        <w:t xml:space="preserve"> one or more</w:t>
      </w:r>
      <w:r w:rsidR="00666F71" w:rsidRPr="007E1812">
        <w:t xml:space="preserve"> ALK TKI</w:t>
      </w:r>
      <w:r w:rsidR="002A1E85" w:rsidRPr="007E1812">
        <w:t>s</w:t>
      </w:r>
      <w:r w:rsidR="00C31073" w:rsidRPr="007E1812">
        <w:t>, as a near-market comparator.</w:t>
      </w:r>
    </w:p>
    <w:p w:rsidR="00C31073" w:rsidRPr="007E1812" w:rsidRDefault="00C31073" w:rsidP="00620BD3">
      <w:pPr>
        <w:pStyle w:val="ListParagraph"/>
        <w:widowControl/>
        <w:numPr>
          <w:ilvl w:val="1"/>
          <w:numId w:val="1"/>
        </w:numPr>
        <w:spacing w:before="120" w:after="120"/>
      </w:pPr>
      <w:r w:rsidRPr="007E1812">
        <w:t xml:space="preserve">The main differences between brigatinib and the comparators are summarised as: </w:t>
      </w:r>
    </w:p>
    <w:p w:rsidR="00C31073" w:rsidRPr="007E1812" w:rsidRDefault="00C31073" w:rsidP="00620BD3">
      <w:pPr>
        <w:pStyle w:val="ListParagraph"/>
        <w:widowControl/>
        <w:numPr>
          <w:ilvl w:val="0"/>
          <w:numId w:val="6"/>
        </w:numPr>
        <w:spacing w:before="120" w:after="120"/>
      </w:pPr>
      <w:r w:rsidRPr="007E1812">
        <w:t>Pharmacological mechanism of action: brigatinib also targets EGFR, whereas alectinib targets RET</w:t>
      </w:r>
      <w:r w:rsidR="00D45D84" w:rsidRPr="007E1812">
        <w:t>;</w:t>
      </w:r>
      <w:r w:rsidRPr="007E1812">
        <w:t xml:space="preserve"> there are no additional targets for ceritinib</w:t>
      </w:r>
      <w:r w:rsidR="00D45D84" w:rsidRPr="007E1812">
        <w:t>;</w:t>
      </w:r>
      <w:r w:rsidRPr="007E1812">
        <w:t xml:space="preserve"> and lorlatinib also targets ROS1</w:t>
      </w:r>
      <w:r w:rsidR="000C5F62" w:rsidRPr="007E1812">
        <w:t xml:space="preserve">. </w:t>
      </w:r>
    </w:p>
    <w:p w:rsidR="00C31073" w:rsidRPr="007E1812" w:rsidRDefault="00D75502" w:rsidP="00620BD3">
      <w:pPr>
        <w:pStyle w:val="ListParagraph"/>
        <w:widowControl/>
        <w:numPr>
          <w:ilvl w:val="0"/>
          <w:numId w:val="6"/>
        </w:numPr>
        <w:spacing w:before="120" w:after="120"/>
      </w:pPr>
      <w:r w:rsidRPr="007E1812">
        <w:t>TGA i</w:t>
      </w:r>
      <w:r w:rsidR="00C31073" w:rsidRPr="007E1812">
        <w:t xml:space="preserve">ndication: </w:t>
      </w:r>
      <w:r w:rsidR="0010100E" w:rsidRPr="007E1812">
        <w:t>a</w:t>
      </w:r>
      <w:r w:rsidR="00C31073" w:rsidRPr="007E1812">
        <w:t xml:space="preserve">lectinib and ceritinib </w:t>
      </w:r>
      <w:r w:rsidR="0010100E" w:rsidRPr="007E1812">
        <w:t>are currently indicated</w:t>
      </w:r>
      <w:r w:rsidR="00251322" w:rsidRPr="007E1812">
        <w:t xml:space="preserve"> for use </w:t>
      </w:r>
      <w:r w:rsidR="00C31073" w:rsidRPr="007E1812">
        <w:t xml:space="preserve">in locally advanced and </w:t>
      </w:r>
      <w:r w:rsidR="0010100E" w:rsidRPr="007E1812">
        <w:t>metastatic NSCLC as first-line therapy</w:t>
      </w:r>
      <w:r w:rsidR="00FE68E7">
        <w:t xml:space="preserve"> while the approved TGA indications were for use in the second-line setting</w:t>
      </w:r>
      <w:r w:rsidR="009F2527">
        <w:t xml:space="preserve"> at the time of </w:t>
      </w:r>
      <w:r w:rsidR="00DA2C02">
        <w:t>PBAC consideration</w:t>
      </w:r>
      <w:r w:rsidR="009F2527">
        <w:t>. B</w:t>
      </w:r>
      <w:r w:rsidR="0010100E" w:rsidRPr="007E1812">
        <w:t xml:space="preserve">rigatinib is </w:t>
      </w:r>
      <w:r w:rsidR="00CF49F8" w:rsidRPr="007E1812">
        <w:t xml:space="preserve">only </w:t>
      </w:r>
      <w:r w:rsidR="0010100E" w:rsidRPr="007E1812">
        <w:t>indicated for use post-crizotinib.</w:t>
      </w:r>
    </w:p>
    <w:p w:rsidR="00C31073" w:rsidRPr="007E1812" w:rsidRDefault="00C31073" w:rsidP="00620BD3">
      <w:pPr>
        <w:pStyle w:val="ListParagraph"/>
        <w:widowControl/>
        <w:numPr>
          <w:ilvl w:val="0"/>
          <w:numId w:val="6"/>
        </w:numPr>
        <w:spacing w:before="120" w:after="120"/>
      </w:pPr>
      <w:r w:rsidRPr="007E1812">
        <w:t>Treatment line based on PBS restrictions: brigatinib is requesting a PBS listing that is line-agnostic, consistent with that for alectinib and ceritinib, while that requested for lorlatinib is line dependent.</w:t>
      </w:r>
    </w:p>
    <w:p w:rsidR="00F9479D" w:rsidRPr="007E1812" w:rsidRDefault="00F9479D" w:rsidP="00620BD3">
      <w:pPr>
        <w:widowControl/>
        <w:spacing w:before="120" w:after="120"/>
        <w:ind w:left="720"/>
      </w:pPr>
      <w:r w:rsidRPr="007E1812">
        <w:rPr>
          <w:i/>
        </w:rPr>
        <w:t xml:space="preserve">For more detail on PBAC’s view, see section 7 PBAC outcome. </w:t>
      </w:r>
    </w:p>
    <w:p w:rsidR="00C31073" w:rsidRPr="007E1812" w:rsidRDefault="00C31073" w:rsidP="00620BD3">
      <w:pPr>
        <w:pStyle w:val="PBACHeading1"/>
        <w:keepNext/>
        <w:keepLines/>
        <w:spacing w:before="120" w:after="120"/>
        <w:jc w:val="both"/>
      </w:pPr>
      <w:bookmarkStart w:id="24" w:name="_Toc371170704"/>
      <w:bookmarkStart w:id="25" w:name="_Toc18922039"/>
      <w:bookmarkStart w:id="26" w:name="_Toc19710257"/>
      <w:r w:rsidRPr="007E1812">
        <w:t>Consideration of the evidence</w:t>
      </w:r>
      <w:bookmarkEnd w:id="24"/>
      <w:bookmarkEnd w:id="25"/>
      <w:bookmarkEnd w:id="26"/>
    </w:p>
    <w:p w:rsidR="000C70D3" w:rsidRPr="007E1812" w:rsidRDefault="000C70D3" w:rsidP="00620BD3">
      <w:pPr>
        <w:pStyle w:val="Heading2"/>
        <w:keepNext/>
        <w:keepLines/>
        <w:widowControl/>
        <w:spacing w:before="120" w:after="120"/>
      </w:pPr>
      <w:r w:rsidRPr="007E1812">
        <w:t>Sponsor hearing</w:t>
      </w:r>
    </w:p>
    <w:p w:rsidR="00A4736A" w:rsidRPr="007E1812" w:rsidRDefault="00A4736A" w:rsidP="00620BD3">
      <w:pPr>
        <w:pStyle w:val="ListParagraph"/>
        <w:keepNext/>
        <w:keepLines/>
        <w:widowControl/>
        <w:numPr>
          <w:ilvl w:val="1"/>
          <w:numId w:val="1"/>
        </w:numPr>
        <w:spacing w:before="120" w:after="120"/>
        <w:rPr>
          <w:rFonts w:cs="Calibri"/>
          <w:snapToGrid/>
          <w:szCs w:val="24"/>
          <w:lang w:eastAsia="en-AU"/>
        </w:rPr>
      </w:pPr>
      <w:r w:rsidRPr="007E1812">
        <w:rPr>
          <w:rFonts w:cs="Calibri"/>
          <w:snapToGrid/>
          <w:szCs w:val="24"/>
          <w:lang w:eastAsia="en-AU"/>
        </w:rPr>
        <w:t xml:space="preserve">There was no hearing for this item. </w:t>
      </w:r>
    </w:p>
    <w:p w:rsidR="000C70D3" w:rsidRPr="007E1812" w:rsidRDefault="000C70D3" w:rsidP="00620BD3">
      <w:pPr>
        <w:pStyle w:val="Heading2"/>
        <w:keepNext/>
        <w:keepLines/>
        <w:widowControl/>
        <w:spacing w:before="120" w:after="120"/>
      </w:pPr>
      <w:r w:rsidRPr="007E1812">
        <w:t>Consumer comments</w:t>
      </w:r>
    </w:p>
    <w:p w:rsidR="00666734" w:rsidRPr="007E1812" w:rsidRDefault="00666734" w:rsidP="00620BD3">
      <w:pPr>
        <w:widowControl/>
        <w:numPr>
          <w:ilvl w:val="1"/>
          <w:numId w:val="1"/>
        </w:numPr>
        <w:spacing w:after="120"/>
        <w:rPr>
          <w:rFonts w:asciiTheme="minorHAnsi" w:hAnsiTheme="minorHAnsi"/>
          <w:bCs/>
        </w:rPr>
      </w:pPr>
      <w:r w:rsidRPr="007E1812">
        <w:rPr>
          <w:rFonts w:cs="Calibri"/>
          <w:snapToGrid/>
          <w:szCs w:val="24"/>
          <w:lang w:eastAsia="en-AU"/>
        </w:rPr>
        <w:t>The PBAC noted and welcom</w:t>
      </w:r>
      <w:r w:rsidR="007B66F3" w:rsidRPr="007E1812">
        <w:rPr>
          <w:rFonts w:cs="Calibri"/>
          <w:snapToGrid/>
          <w:szCs w:val="24"/>
          <w:lang w:eastAsia="en-AU"/>
        </w:rPr>
        <w:t>ed the input from individuals (70), health care professionals (1) and organisations (4</w:t>
      </w:r>
      <w:r w:rsidRPr="007E1812">
        <w:rPr>
          <w:rFonts w:cs="Calibri"/>
          <w:snapToGrid/>
          <w:szCs w:val="24"/>
          <w:lang w:eastAsia="en-AU"/>
        </w:rPr>
        <w:t>) via the Consumer Comments facility on the PBS website</w:t>
      </w:r>
      <w:r w:rsidR="000C5F62" w:rsidRPr="007E1812">
        <w:rPr>
          <w:rFonts w:cs="Calibri"/>
          <w:snapToGrid/>
          <w:szCs w:val="24"/>
          <w:lang w:eastAsia="en-AU"/>
        </w:rPr>
        <w:t xml:space="preserve">. </w:t>
      </w:r>
      <w:r w:rsidRPr="007E1812">
        <w:rPr>
          <w:rFonts w:cs="Calibri"/>
          <w:snapToGrid/>
          <w:szCs w:val="24"/>
          <w:lang w:eastAsia="en-AU"/>
        </w:rPr>
        <w:t xml:space="preserve">The comments described </w:t>
      </w:r>
      <w:r w:rsidR="006244D0" w:rsidRPr="007E1812">
        <w:rPr>
          <w:rFonts w:cs="Calibri"/>
          <w:snapToGrid/>
          <w:szCs w:val="24"/>
          <w:lang w:eastAsia="en-AU"/>
        </w:rPr>
        <w:t xml:space="preserve">the need for </w:t>
      </w:r>
      <w:r w:rsidR="00C8511C" w:rsidRPr="007E1812">
        <w:rPr>
          <w:rFonts w:cs="Calibri"/>
          <w:snapToGrid/>
          <w:szCs w:val="24"/>
          <w:lang w:eastAsia="en-AU"/>
        </w:rPr>
        <w:t xml:space="preserve">an </w:t>
      </w:r>
      <w:r w:rsidR="00EF3E4D" w:rsidRPr="007E1812">
        <w:rPr>
          <w:rFonts w:cs="Calibri"/>
          <w:snapToGrid/>
          <w:szCs w:val="24"/>
          <w:lang w:eastAsia="en-AU"/>
        </w:rPr>
        <w:t xml:space="preserve">additional treatment option with </w:t>
      </w:r>
      <w:r w:rsidR="00C8511C" w:rsidRPr="007E1812">
        <w:rPr>
          <w:rFonts w:cs="Calibri"/>
          <w:snapToGrid/>
          <w:szCs w:val="24"/>
          <w:lang w:eastAsia="en-AU"/>
        </w:rPr>
        <w:t xml:space="preserve">new </w:t>
      </w:r>
      <w:r w:rsidR="00EF3E4D" w:rsidRPr="007E1812">
        <w:rPr>
          <w:rFonts w:cs="Calibri"/>
          <w:snapToGrid/>
          <w:szCs w:val="24"/>
          <w:lang w:eastAsia="en-AU"/>
        </w:rPr>
        <w:t>ALK in</w:t>
      </w:r>
      <w:r w:rsidR="00C8511C" w:rsidRPr="007E1812">
        <w:rPr>
          <w:rFonts w:cs="Calibri"/>
          <w:snapToGrid/>
          <w:szCs w:val="24"/>
          <w:lang w:eastAsia="en-AU"/>
        </w:rPr>
        <w:t>hibitor</w:t>
      </w:r>
      <w:r w:rsidR="00EF3E4D" w:rsidRPr="007E1812">
        <w:rPr>
          <w:rFonts w:cs="Calibri"/>
          <w:snapToGrid/>
          <w:szCs w:val="24"/>
          <w:lang w:eastAsia="en-AU"/>
        </w:rPr>
        <w:t xml:space="preserve"> </w:t>
      </w:r>
      <w:r w:rsidR="006244D0" w:rsidRPr="007E1812">
        <w:rPr>
          <w:rFonts w:cs="Calibri"/>
          <w:snapToGrid/>
          <w:szCs w:val="24"/>
          <w:lang w:eastAsia="en-AU"/>
        </w:rPr>
        <w:t xml:space="preserve">to </w:t>
      </w:r>
      <w:r w:rsidR="00432A95" w:rsidRPr="007E1812">
        <w:rPr>
          <w:rFonts w:cs="Calibri"/>
          <w:snapToGrid/>
          <w:szCs w:val="24"/>
          <w:lang w:eastAsia="en-AU"/>
        </w:rPr>
        <w:t xml:space="preserve">be </w:t>
      </w:r>
      <w:r w:rsidR="00556180" w:rsidRPr="007E1812">
        <w:rPr>
          <w:rFonts w:cs="Calibri"/>
          <w:snapToGrid/>
          <w:szCs w:val="24"/>
          <w:lang w:eastAsia="en-AU"/>
        </w:rPr>
        <w:t>on the PBS</w:t>
      </w:r>
      <w:r w:rsidR="00E46276" w:rsidRPr="007E1812">
        <w:rPr>
          <w:rFonts w:cs="Calibri"/>
          <w:snapToGrid/>
          <w:szCs w:val="24"/>
          <w:lang w:eastAsia="en-AU"/>
        </w:rPr>
        <w:t xml:space="preserve"> </w:t>
      </w:r>
      <w:r w:rsidR="00811BCD" w:rsidRPr="007E1812">
        <w:rPr>
          <w:rFonts w:cs="Calibri"/>
          <w:snapToGrid/>
          <w:szCs w:val="24"/>
          <w:lang w:eastAsia="en-AU"/>
        </w:rPr>
        <w:t>for patients</w:t>
      </w:r>
      <w:r w:rsidR="00E46276" w:rsidRPr="007E1812">
        <w:rPr>
          <w:rFonts w:cs="Calibri"/>
          <w:snapToGrid/>
          <w:szCs w:val="24"/>
          <w:lang w:eastAsia="en-AU"/>
        </w:rPr>
        <w:t xml:space="preserve"> </w:t>
      </w:r>
      <w:r w:rsidR="00E46276" w:rsidRPr="007E1812">
        <w:rPr>
          <w:rFonts w:asciiTheme="minorHAnsi" w:hAnsiTheme="minorHAnsi"/>
          <w:bCs/>
        </w:rPr>
        <w:t xml:space="preserve">who were concerned about treatment options when </w:t>
      </w:r>
      <w:r w:rsidR="00811BCD" w:rsidRPr="007E1812">
        <w:rPr>
          <w:rFonts w:asciiTheme="minorHAnsi" w:hAnsiTheme="minorHAnsi"/>
          <w:bCs/>
        </w:rPr>
        <w:t>they become refractory to the</w:t>
      </w:r>
      <w:r w:rsidR="00E46276" w:rsidRPr="007E1812">
        <w:rPr>
          <w:rFonts w:asciiTheme="minorHAnsi" w:hAnsiTheme="minorHAnsi"/>
          <w:bCs/>
        </w:rPr>
        <w:t xml:space="preserve"> current therapies</w:t>
      </w:r>
      <w:r w:rsidR="00556180" w:rsidRPr="007E1812">
        <w:rPr>
          <w:rFonts w:cs="Calibri"/>
          <w:snapToGrid/>
          <w:szCs w:val="24"/>
          <w:lang w:eastAsia="en-AU"/>
        </w:rPr>
        <w:t>, highlighting</w:t>
      </w:r>
      <w:r w:rsidR="006244D0" w:rsidRPr="007E1812">
        <w:rPr>
          <w:rFonts w:cs="Calibri"/>
          <w:snapToGrid/>
          <w:szCs w:val="24"/>
          <w:lang w:eastAsia="en-AU"/>
        </w:rPr>
        <w:t xml:space="preserve"> the </w:t>
      </w:r>
      <w:r w:rsidR="000F3B2F" w:rsidRPr="007E1812">
        <w:rPr>
          <w:rFonts w:cs="Calibri"/>
          <w:snapToGrid/>
          <w:szCs w:val="24"/>
          <w:lang w:eastAsia="en-AU"/>
        </w:rPr>
        <w:t xml:space="preserve">benefits of treatment with </w:t>
      </w:r>
      <w:r w:rsidR="006244D0" w:rsidRPr="007E1812">
        <w:rPr>
          <w:rFonts w:cs="Calibri"/>
          <w:snapToGrid/>
          <w:szCs w:val="24"/>
          <w:lang w:eastAsia="en-AU"/>
        </w:rPr>
        <w:t xml:space="preserve">ALK inhibitors </w:t>
      </w:r>
      <w:r w:rsidR="00556180" w:rsidRPr="007E1812">
        <w:rPr>
          <w:rFonts w:cs="Calibri"/>
          <w:snapToGrid/>
          <w:szCs w:val="24"/>
          <w:lang w:eastAsia="en-AU"/>
        </w:rPr>
        <w:t xml:space="preserve">that include </w:t>
      </w:r>
      <w:r w:rsidR="00A22E9E" w:rsidRPr="007E1812">
        <w:rPr>
          <w:rFonts w:cs="Calibri"/>
          <w:snapToGrid/>
          <w:szCs w:val="24"/>
          <w:lang w:eastAsia="en-AU"/>
        </w:rPr>
        <w:t>a longer overall</w:t>
      </w:r>
      <w:r w:rsidR="0077597C" w:rsidRPr="007E1812">
        <w:rPr>
          <w:rFonts w:cs="Calibri"/>
          <w:snapToGrid/>
          <w:szCs w:val="24"/>
          <w:lang w:eastAsia="en-AU"/>
        </w:rPr>
        <w:t xml:space="preserve"> survival</w:t>
      </w:r>
      <w:r w:rsidR="0030280E" w:rsidRPr="007E1812">
        <w:rPr>
          <w:rFonts w:cs="Calibri"/>
          <w:snapToGrid/>
          <w:szCs w:val="24"/>
          <w:lang w:eastAsia="en-AU"/>
        </w:rPr>
        <w:t xml:space="preserve">, delayed chemotherapy </w:t>
      </w:r>
      <w:r w:rsidR="00861A33" w:rsidRPr="007E1812">
        <w:rPr>
          <w:rFonts w:cs="Calibri"/>
          <w:snapToGrid/>
          <w:szCs w:val="24"/>
          <w:lang w:eastAsia="en-AU"/>
        </w:rPr>
        <w:t>treatment,</w:t>
      </w:r>
      <w:r w:rsidR="00A22E9E" w:rsidRPr="007E1812">
        <w:rPr>
          <w:rFonts w:cs="Calibri"/>
          <w:snapToGrid/>
          <w:szCs w:val="24"/>
          <w:lang w:eastAsia="en-AU"/>
        </w:rPr>
        <w:t xml:space="preserve"> manageable </w:t>
      </w:r>
      <w:r w:rsidR="0030280E" w:rsidRPr="007E1812">
        <w:rPr>
          <w:rFonts w:cs="Calibri"/>
          <w:snapToGrid/>
          <w:szCs w:val="24"/>
          <w:lang w:eastAsia="en-AU"/>
        </w:rPr>
        <w:t>side effect</w:t>
      </w:r>
      <w:r w:rsidR="00FE4605" w:rsidRPr="007E1812">
        <w:rPr>
          <w:rFonts w:cs="Calibri"/>
          <w:snapToGrid/>
          <w:szCs w:val="24"/>
          <w:lang w:eastAsia="en-AU"/>
        </w:rPr>
        <w:t xml:space="preserve"> profiles</w:t>
      </w:r>
      <w:r w:rsidR="0030280E" w:rsidRPr="007E1812">
        <w:rPr>
          <w:rFonts w:cs="Calibri"/>
          <w:snapToGrid/>
          <w:szCs w:val="24"/>
          <w:lang w:eastAsia="en-AU"/>
        </w:rPr>
        <w:t xml:space="preserve"> compared to</w:t>
      </w:r>
      <w:r w:rsidR="00556180" w:rsidRPr="007E1812">
        <w:rPr>
          <w:rFonts w:cs="Calibri"/>
          <w:snapToGrid/>
          <w:szCs w:val="24"/>
          <w:lang w:eastAsia="en-AU"/>
        </w:rPr>
        <w:t xml:space="preserve"> other treatment options</w:t>
      </w:r>
      <w:r w:rsidR="00D81195" w:rsidRPr="007E1812">
        <w:rPr>
          <w:rFonts w:cs="Calibri"/>
          <w:snapToGrid/>
          <w:szCs w:val="24"/>
          <w:lang w:eastAsia="en-AU"/>
        </w:rPr>
        <w:t>, and improved qual</w:t>
      </w:r>
      <w:r w:rsidR="00E46276" w:rsidRPr="007E1812">
        <w:rPr>
          <w:rFonts w:cs="Calibri"/>
          <w:snapToGrid/>
          <w:szCs w:val="24"/>
          <w:lang w:eastAsia="en-AU"/>
        </w:rPr>
        <w:t>ity of life</w:t>
      </w:r>
      <w:r w:rsidR="00E46276" w:rsidRPr="007E1812">
        <w:rPr>
          <w:rFonts w:asciiTheme="minorHAnsi" w:hAnsiTheme="minorHAnsi"/>
          <w:bCs/>
        </w:rPr>
        <w:t xml:space="preserve">. </w:t>
      </w:r>
      <w:r w:rsidR="004E6FE6" w:rsidRPr="007E1812">
        <w:rPr>
          <w:rFonts w:asciiTheme="minorHAnsi" w:hAnsiTheme="minorHAnsi"/>
          <w:bCs/>
        </w:rPr>
        <w:t xml:space="preserve">The PBAC noted that brigatinib was not available through </w:t>
      </w:r>
      <w:r w:rsidR="00FE4605" w:rsidRPr="007E1812">
        <w:t xml:space="preserve">a patient access program </w:t>
      </w:r>
      <w:r w:rsidR="004E6FE6" w:rsidRPr="007E1812">
        <w:rPr>
          <w:rFonts w:asciiTheme="minorHAnsi" w:hAnsiTheme="minorHAnsi"/>
          <w:bCs/>
        </w:rPr>
        <w:t xml:space="preserve">but considered that consumer comments were supportive of listing for brigatinib. </w:t>
      </w:r>
    </w:p>
    <w:p w:rsidR="0096571A" w:rsidRPr="007E1812" w:rsidRDefault="0096571A" w:rsidP="00620BD3">
      <w:pPr>
        <w:pStyle w:val="ListParagraph"/>
        <w:keepNext/>
        <w:keepLines/>
        <w:widowControl/>
        <w:numPr>
          <w:ilvl w:val="1"/>
          <w:numId w:val="1"/>
        </w:numPr>
        <w:spacing w:before="120" w:after="120"/>
        <w:rPr>
          <w:rFonts w:cs="Calibri"/>
          <w:snapToGrid/>
          <w:szCs w:val="24"/>
          <w:lang w:eastAsia="en-AU"/>
        </w:rPr>
      </w:pPr>
      <w:r w:rsidRPr="007E1812">
        <w:rPr>
          <w:rFonts w:cs="Calibri"/>
          <w:snapToGrid/>
          <w:szCs w:val="24"/>
          <w:lang w:eastAsia="en-AU"/>
        </w:rPr>
        <w:lastRenderedPageBreak/>
        <w:t xml:space="preserve">The PBAC noted the advice received from </w:t>
      </w:r>
      <w:r w:rsidR="00861A33" w:rsidRPr="007E1812">
        <w:rPr>
          <w:rFonts w:cs="Calibri"/>
          <w:snapToGrid/>
          <w:szCs w:val="24"/>
          <w:lang w:eastAsia="en-AU"/>
        </w:rPr>
        <w:t>Lung Foundation Australia and</w:t>
      </w:r>
      <w:r w:rsidR="00F26988" w:rsidRPr="007E1812">
        <w:rPr>
          <w:rFonts w:cs="Calibri"/>
          <w:snapToGrid/>
          <w:szCs w:val="24"/>
          <w:lang w:eastAsia="en-AU"/>
        </w:rPr>
        <w:t xml:space="preserve"> Rare Cancers Australia </w:t>
      </w:r>
      <w:r w:rsidR="00C86602" w:rsidRPr="007E1812">
        <w:rPr>
          <w:rFonts w:cs="Calibri"/>
          <w:snapToGrid/>
          <w:szCs w:val="24"/>
          <w:lang w:eastAsia="en-AU"/>
        </w:rPr>
        <w:t xml:space="preserve">that </w:t>
      </w:r>
      <w:r w:rsidRPr="007E1812">
        <w:rPr>
          <w:rFonts w:cs="Calibri"/>
          <w:snapToGrid/>
          <w:szCs w:val="24"/>
          <w:lang w:eastAsia="en-AU"/>
        </w:rPr>
        <w:t xml:space="preserve">the use of </w:t>
      </w:r>
      <w:r w:rsidR="00F26988" w:rsidRPr="007E1812">
        <w:rPr>
          <w:rFonts w:cs="Calibri"/>
          <w:snapToGrid/>
          <w:szCs w:val="24"/>
          <w:lang w:eastAsia="en-AU"/>
        </w:rPr>
        <w:t xml:space="preserve">brigatinib </w:t>
      </w:r>
      <w:r w:rsidRPr="007E1812">
        <w:rPr>
          <w:rFonts w:cs="Calibri"/>
          <w:snapToGrid/>
          <w:szCs w:val="24"/>
          <w:lang w:eastAsia="en-AU"/>
        </w:rPr>
        <w:t xml:space="preserve">may </w:t>
      </w:r>
      <w:r w:rsidR="00DB6A26" w:rsidRPr="007E1812">
        <w:rPr>
          <w:rFonts w:cs="Calibri"/>
          <w:snapToGrid/>
          <w:szCs w:val="24"/>
          <w:lang w:eastAsia="en-AU"/>
        </w:rPr>
        <w:t xml:space="preserve">provide </w:t>
      </w:r>
      <w:r w:rsidR="00C9665D" w:rsidRPr="007E1812">
        <w:rPr>
          <w:rFonts w:cs="Calibri"/>
          <w:snapToGrid/>
          <w:szCs w:val="24"/>
          <w:lang w:eastAsia="en-AU"/>
        </w:rPr>
        <w:t xml:space="preserve">the added survival and improved quality of life with its </w:t>
      </w:r>
      <w:r w:rsidR="00EE78C0" w:rsidRPr="007E1812">
        <w:rPr>
          <w:rFonts w:cs="Calibri"/>
          <w:snapToGrid/>
          <w:szCs w:val="24"/>
          <w:lang w:eastAsia="en-AU"/>
        </w:rPr>
        <w:t xml:space="preserve">high response rate </w:t>
      </w:r>
      <w:r w:rsidR="00DB6A26" w:rsidRPr="007E1812">
        <w:rPr>
          <w:rFonts w:cs="Calibri"/>
          <w:snapToGrid/>
          <w:szCs w:val="24"/>
          <w:lang w:eastAsia="en-AU"/>
        </w:rPr>
        <w:t xml:space="preserve">in </w:t>
      </w:r>
      <w:r w:rsidR="00EE78C0" w:rsidRPr="007E1812">
        <w:rPr>
          <w:rFonts w:cs="Calibri"/>
          <w:snapToGrid/>
          <w:szCs w:val="24"/>
          <w:lang w:eastAsia="en-AU"/>
        </w:rPr>
        <w:t xml:space="preserve">patients with </w:t>
      </w:r>
      <w:r w:rsidR="00DB6A26" w:rsidRPr="007E1812">
        <w:rPr>
          <w:rFonts w:cs="Calibri"/>
          <w:snapToGrid/>
          <w:szCs w:val="24"/>
          <w:lang w:eastAsia="en-AU"/>
        </w:rPr>
        <w:t xml:space="preserve">brain metastases that is very important in this disease as failure to control disease in the brain is often the cause of deterioration in quality of life and eventual mortality in these patients. </w:t>
      </w:r>
    </w:p>
    <w:p w:rsidR="009404F1" w:rsidRPr="007E1812" w:rsidRDefault="00101FC5" w:rsidP="00620BD3">
      <w:pPr>
        <w:pStyle w:val="ListParagraph"/>
        <w:keepNext/>
        <w:keepLines/>
        <w:widowControl/>
        <w:numPr>
          <w:ilvl w:val="1"/>
          <w:numId w:val="1"/>
        </w:numPr>
        <w:spacing w:before="120" w:after="120"/>
        <w:rPr>
          <w:rFonts w:asciiTheme="minorHAnsi" w:hAnsiTheme="minorHAnsi"/>
          <w:bCs/>
        </w:rPr>
      </w:pPr>
      <w:r w:rsidRPr="007E1812">
        <w:rPr>
          <w:rFonts w:asciiTheme="minorHAnsi" w:hAnsiTheme="minorHAnsi"/>
          <w:bCs/>
        </w:rPr>
        <w:t>The Medical Oncology Group of Australia (MOGA) also expressed its support for the brigatinib submission</w:t>
      </w:r>
      <w:r w:rsidR="00FC322E" w:rsidRPr="007E1812">
        <w:rPr>
          <w:rFonts w:asciiTheme="minorHAnsi" w:hAnsiTheme="minorHAnsi"/>
          <w:bCs/>
        </w:rPr>
        <w:t xml:space="preserve"> </w:t>
      </w:r>
      <w:r w:rsidR="00A975F1" w:rsidRPr="007E1812">
        <w:rPr>
          <w:rFonts w:asciiTheme="minorHAnsi" w:hAnsiTheme="minorHAnsi"/>
          <w:bCs/>
        </w:rPr>
        <w:t xml:space="preserve">on the basis of improved </w:t>
      </w:r>
      <w:r w:rsidR="00FC322E" w:rsidRPr="007E1812">
        <w:rPr>
          <w:rFonts w:asciiTheme="minorHAnsi" w:hAnsiTheme="minorHAnsi"/>
          <w:bCs/>
        </w:rPr>
        <w:t>PFS and QoL</w:t>
      </w:r>
      <w:r w:rsidR="00EC5B86" w:rsidRPr="007E1812">
        <w:rPr>
          <w:rStyle w:val="FootnoteReference"/>
          <w:rFonts w:asciiTheme="minorHAnsi" w:hAnsiTheme="minorHAnsi"/>
          <w:bCs/>
        </w:rPr>
        <w:footnoteReference w:id="1"/>
      </w:r>
      <w:r w:rsidR="00FC322E" w:rsidRPr="007E1812">
        <w:rPr>
          <w:rFonts w:asciiTheme="minorHAnsi" w:hAnsiTheme="minorHAnsi"/>
          <w:bCs/>
        </w:rPr>
        <w:t xml:space="preserve"> benefits</w:t>
      </w:r>
      <w:r w:rsidR="00861A33" w:rsidRPr="007E1812">
        <w:rPr>
          <w:rFonts w:asciiTheme="minorHAnsi" w:hAnsiTheme="minorHAnsi"/>
          <w:bCs/>
        </w:rPr>
        <w:t xml:space="preserve"> presented</w:t>
      </w:r>
      <w:r w:rsidR="00EC5B86" w:rsidRPr="007E1812">
        <w:rPr>
          <w:rFonts w:asciiTheme="minorHAnsi" w:hAnsiTheme="minorHAnsi"/>
          <w:bCs/>
        </w:rPr>
        <w:t xml:space="preserve"> in ALTA-1L</w:t>
      </w:r>
      <w:r w:rsidR="00EC5B86" w:rsidRPr="007E1812">
        <w:rPr>
          <w:rStyle w:val="FootnoteReference"/>
          <w:rFonts w:asciiTheme="minorHAnsi" w:hAnsiTheme="minorHAnsi"/>
          <w:bCs/>
        </w:rPr>
        <w:footnoteReference w:id="2"/>
      </w:r>
      <w:r w:rsidR="00F34ABD" w:rsidRPr="007E1812">
        <w:rPr>
          <w:rFonts w:asciiTheme="minorHAnsi" w:hAnsiTheme="minorHAnsi"/>
          <w:bCs/>
        </w:rPr>
        <w:t xml:space="preserve"> trial</w:t>
      </w:r>
      <w:r w:rsidRPr="007E1812">
        <w:rPr>
          <w:rFonts w:asciiTheme="minorHAnsi" w:hAnsiTheme="minorHAnsi"/>
          <w:bCs/>
        </w:rPr>
        <w:t xml:space="preserve">. </w:t>
      </w:r>
    </w:p>
    <w:p w:rsidR="00C31073" w:rsidRPr="007E1812" w:rsidRDefault="00C31073" w:rsidP="00620BD3">
      <w:pPr>
        <w:pStyle w:val="Heading2"/>
        <w:keepNext/>
        <w:keepLines/>
        <w:widowControl/>
        <w:spacing w:before="120" w:after="120"/>
      </w:pPr>
      <w:bookmarkStart w:id="27" w:name="_Toc371170705"/>
      <w:bookmarkStart w:id="28" w:name="_Toc18922040"/>
      <w:bookmarkStart w:id="29" w:name="_Toc19710258"/>
      <w:r w:rsidRPr="007E1812">
        <w:t>Clinical trials</w:t>
      </w:r>
      <w:bookmarkEnd w:id="27"/>
      <w:bookmarkEnd w:id="28"/>
      <w:bookmarkEnd w:id="29"/>
    </w:p>
    <w:p w:rsidR="00C31073" w:rsidRPr="007E1812" w:rsidRDefault="00C31073" w:rsidP="00620BD3">
      <w:pPr>
        <w:pStyle w:val="ListParagraph"/>
        <w:keepNext/>
        <w:keepLines/>
        <w:widowControl/>
        <w:numPr>
          <w:ilvl w:val="1"/>
          <w:numId w:val="1"/>
        </w:numPr>
        <w:spacing w:before="120" w:after="120"/>
      </w:pPr>
      <w:r w:rsidRPr="007E1812">
        <w:rPr>
          <w:rFonts w:cs="Calibri"/>
          <w:snapToGrid/>
          <w:szCs w:val="24"/>
          <w:lang w:eastAsia="en-AU"/>
        </w:rPr>
        <w:t xml:space="preserve">In the first-line setting, </w:t>
      </w:r>
      <w:r w:rsidRPr="007E1812">
        <w:t xml:space="preserve">the submission was based on an indirect </w:t>
      </w:r>
      <w:r w:rsidR="00B4368E" w:rsidRPr="007E1812">
        <w:t xml:space="preserve">treatment </w:t>
      </w:r>
      <w:r w:rsidRPr="007E1812">
        <w:t xml:space="preserve">comparison (ITC) of brigatinib and alectinib, using crizotinib as a common comparator. This was informed by one phase 3 randomised controlled trial (RCT) of brigatinib versus crizotinib (ALTA-L1; NCT02737501, N=275) and one phase 3 RCT of alectinib versus crizotinib (ALEX; NCT02075840, N=303). </w:t>
      </w:r>
    </w:p>
    <w:p w:rsidR="00C31073" w:rsidRPr="007E1812" w:rsidRDefault="00C31073" w:rsidP="00620BD3">
      <w:pPr>
        <w:pStyle w:val="ListParagraph"/>
        <w:widowControl/>
        <w:numPr>
          <w:ilvl w:val="1"/>
          <w:numId w:val="1"/>
        </w:numPr>
        <w:spacing w:before="120" w:after="120"/>
      </w:pPr>
      <w:r w:rsidRPr="007E1812">
        <w:t>In the second-line setting, the submission was based on a naïve comparison of one single arm phase 2 study (Study 201-ALTA; NCT02094573, N=222) comparing two different doses of brigatinib (90 mg arm or Arm A, versus 180 mg arm or Arm B) and one Phase 3 RCT trial of alectinib</w:t>
      </w:r>
      <w:r w:rsidR="004265AF" w:rsidRPr="007E1812">
        <w:t xml:space="preserve"> versus chemotherapy</w:t>
      </w:r>
      <w:r w:rsidRPr="007E1812">
        <w:t xml:space="preserve"> (ALUR</w:t>
      </w:r>
      <w:r w:rsidR="008D2138" w:rsidRPr="007E1812">
        <w:t>; NCT02604342</w:t>
      </w:r>
      <w:r w:rsidRPr="007E1812">
        <w:t>, N=1</w:t>
      </w:r>
      <w:r w:rsidR="00EE7F87" w:rsidRPr="007E1812">
        <w:t>07</w:t>
      </w:r>
      <w:r w:rsidRPr="007E1812">
        <w:t xml:space="preserve">). </w:t>
      </w:r>
      <w:r w:rsidRPr="007E1812">
        <w:rPr>
          <w:iCs/>
        </w:rPr>
        <w:t xml:space="preserve">The non-inferiority claim of efficacy and safety of brigatinib was based on the 180 mg arm of </w:t>
      </w:r>
      <w:r w:rsidRPr="007E1812">
        <w:t>Study 201-ALTA</w:t>
      </w:r>
      <w:r w:rsidRPr="007E1812">
        <w:rPr>
          <w:iCs/>
        </w:rPr>
        <w:t xml:space="preserve"> compared with the alectinib arm in ALUR. The naïve comparison used in the second-line setting did not include a common reference; Study 201-ALTA was a comparison of brigatinib doses, while ALUR compared alectinib with chemotherapy – thus there was no common reference across those studies.</w:t>
      </w:r>
    </w:p>
    <w:p w:rsidR="00C31073" w:rsidRPr="007E1812" w:rsidRDefault="00C31073" w:rsidP="00620BD3">
      <w:pPr>
        <w:pStyle w:val="ListParagraph"/>
        <w:widowControl/>
        <w:numPr>
          <w:ilvl w:val="1"/>
          <w:numId w:val="1"/>
        </w:numPr>
        <w:spacing w:before="120" w:after="120"/>
        <w:rPr>
          <w:rFonts w:asciiTheme="minorHAnsi" w:hAnsiTheme="minorHAnsi" w:cstheme="minorHAnsi"/>
          <w:szCs w:val="24"/>
        </w:rPr>
      </w:pPr>
      <w:r w:rsidRPr="007E1812">
        <w:rPr>
          <w:rFonts w:cs="Calibri"/>
          <w:snapToGrid/>
          <w:szCs w:val="24"/>
          <w:lang w:eastAsia="en-AU"/>
        </w:rPr>
        <w:t xml:space="preserve">Details of the trials presented in the submission are </w:t>
      </w:r>
      <w:r w:rsidRPr="007E1812">
        <w:rPr>
          <w:rFonts w:asciiTheme="minorHAnsi" w:hAnsiTheme="minorHAnsi" w:cstheme="minorHAnsi"/>
          <w:snapToGrid/>
          <w:szCs w:val="24"/>
          <w:lang w:eastAsia="en-AU"/>
        </w:rPr>
        <w:t>provided in</w:t>
      </w:r>
      <w:r w:rsidR="00B84332" w:rsidRPr="007E1812">
        <w:rPr>
          <w:rFonts w:asciiTheme="minorHAnsi" w:hAnsiTheme="minorHAnsi" w:cstheme="minorHAnsi"/>
          <w:snapToGrid/>
          <w:szCs w:val="24"/>
          <w:lang w:eastAsia="en-AU"/>
        </w:rPr>
        <w:t xml:space="preserve"> </w:t>
      </w:r>
      <w:r w:rsidR="00B4368E" w:rsidRPr="007E1812">
        <w:rPr>
          <w:rFonts w:asciiTheme="minorHAnsi" w:hAnsiTheme="minorHAnsi" w:cstheme="minorHAnsi"/>
          <w:snapToGrid/>
          <w:szCs w:val="24"/>
          <w:lang w:eastAsia="en-AU"/>
        </w:rPr>
        <w:t>the table below</w:t>
      </w:r>
      <w:r w:rsidR="000C5F62" w:rsidRPr="007E1812">
        <w:rPr>
          <w:rFonts w:asciiTheme="minorHAnsi" w:hAnsiTheme="minorHAnsi" w:cstheme="minorHAnsi"/>
          <w:snapToGrid/>
          <w:szCs w:val="24"/>
          <w:lang w:eastAsia="en-AU"/>
        </w:rPr>
        <w:t xml:space="preserve">. </w:t>
      </w:r>
    </w:p>
    <w:p w:rsidR="00C31073" w:rsidRPr="007E1812" w:rsidRDefault="007F3D8E" w:rsidP="00620BD3">
      <w:pPr>
        <w:pStyle w:val="Caption"/>
      </w:pPr>
      <w:r w:rsidRPr="007E1812">
        <w:t>Table 3</w:t>
      </w:r>
      <w:r w:rsidR="00C31073" w:rsidRPr="007E1812">
        <w:t xml:space="preserve">: </w:t>
      </w:r>
      <w:r w:rsidR="00C31073" w:rsidRPr="007E1812">
        <w:rPr>
          <w:rStyle w:val="CommentReference"/>
          <w:b/>
          <w:szCs w:val="2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Trials and associated reports presented in the submission"/>
      </w:tblPr>
      <w:tblGrid>
        <w:gridCol w:w="1469"/>
        <w:gridCol w:w="4480"/>
        <w:gridCol w:w="3068"/>
      </w:tblGrid>
      <w:tr w:rsidR="00C31073" w:rsidRPr="007E1812" w:rsidTr="008B784E">
        <w:trPr>
          <w:tblHeader/>
        </w:trPr>
        <w:tc>
          <w:tcPr>
            <w:tcW w:w="815" w:type="pct"/>
            <w:tcBorders>
              <w:bottom w:val="single" w:sz="4" w:space="0" w:color="auto"/>
            </w:tcBorders>
          </w:tcPr>
          <w:p w:rsidR="00C31073" w:rsidRPr="007E1812" w:rsidRDefault="00C31073" w:rsidP="00620BD3">
            <w:pPr>
              <w:keepLines/>
              <w:widowControl/>
              <w:jc w:val="left"/>
              <w:rPr>
                <w:rFonts w:ascii="Arial Narrow" w:hAnsi="Arial Narrow" w:cs="Times New Roman"/>
                <w:b/>
                <w:snapToGrid/>
                <w:sz w:val="20"/>
                <w:szCs w:val="20"/>
              </w:rPr>
            </w:pPr>
            <w:r w:rsidRPr="007E1812">
              <w:rPr>
                <w:rFonts w:ascii="Arial Narrow" w:hAnsi="Arial Narrow" w:cs="Times New Roman"/>
                <w:b/>
                <w:snapToGrid/>
                <w:sz w:val="20"/>
                <w:szCs w:val="20"/>
              </w:rPr>
              <w:t>Trial ID</w:t>
            </w:r>
          </w:p>
        </w:tc>
        <w:tc>
          <w:tcPr>
            <w:tcW w:w="2484" w:type="pct"/>
            <w:tcBorders>
              <w:bottom w:val="single" w:sz="4" w:space="0" w:color="auto"/>
            </w:tcBorders>
          </w:tcPr>
          <w:p w:rsidR="00C31073" w:rsidRPr="007E1812" w:rsidRDefault="00C31073" w:rsidP="00620BD3">
            <w:pPr>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Protocol title/ Publication title</w:t>
            </w:r>
          </w:p>
        </w:tc>
        <w:tc>
          <w:tcPr>
            <w:tcW w:w="1701" w:type="pct"/>
            <w:tcBorders>
              <w:bottom w:val="single" w:sz="4" w:space="0" w:color="auto"/>
            </w:tcBorders>
          </w:tcPr>
          <w:p w:rsidR="00C31073" w:rsidRPr="007E1812" w:rsidRDefault="00C31073" w:rsidP="00620BD3">
            <w:pPr>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Publication citation</w:t>
            </w:r>
          </w:p>
        </w:tc>
      </w:tr>
      <w:tr w:rsidR="00C31073" w:rsidRPr="007E1812" w:rsidTr="008B784E">
        <w:tc>
          <w:tcPr>
            <w:tcW w:w="815" w:type="pct"/>
            <w:tcBorders>
              <w:bottom w:val="single" w:sz="4" w:space="0" w:color="auto"/>
              <w:right w:val="nil"/>
            </w:tcBorders>
          </w:tcPr>
          <w:p w:rsidR="00C31073" w:rsidRPr="007E1812" w:rsidRDefault="00C31073" w:rsidP="00620BD3">
            <w:pPr>
              <w:keepLines/>
              <w:widowControl/>
              <w:jc w:val="left"/>
              <w:rPr>
                <w:rFonts w:ascii="Arial Narrow" w:hAnsi="Arial Narrow" w:cs="Times New Roman"/>
                <w:b/>
                <w:snapToGrid/>
                <w:sz w:val="20"/>
                <w:szCs w:val="20"/>
              </w:rPr>
            </w:pPr>
            <w:r w:rsidRPr="007E1812">
              <w:rPr>
                <w:rFonts w:ascii="Arial Narrow" w:hAnsi="Arial Narrow" w:cs="Times New Roman"/>
                <w:b/>
                <w:snapToGrid/>
                <w:sz w:val="20"/>
                <w:szCs w:val="20"/>
              </w:rPr>
              <w:t>Brigatinib studies</w:t>
            </w:r>
          </w:p>
        </w:tc>
        <w:tc>
          <w:tcPr>
            <w:tcW w:w="2484" w:type="pct"/>
            <w:tcBorders>
              <w:left w:val="nil"/>
              <w:bottom w:val="single" w:sz="4" w:space="0" w:color="auto"/>
              <w:right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1701" w:type="pct"/>
            <w:tcBorders>
              <w:left w:val="nil"/>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p>
        </w:tc>
      </w:tr>
      <w:tr w:rsidR="00C31073" w:rsidRPr="007E1812" w:rsidTr="008B784E">
        <w:tc>
          <w:tcPr>
            <w:tcW w:w="815" w:type="pct"/>
            <w:tcBorders>
              <w:top w:val="single" w:sz="4" w:space="0" w:color="auto"/>
              <w:bottom w:val="nil"/>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ALTA-1L</w:t>
            </w:r>
          </w:p>
        </w:tc>
        <w:tc>
          <w:tcPr>
            <w:tcW w:w="2484" w:type="pct"/>
            <w:tcBorders>
              <w:top w:val="single" w:sz="4" w:space="0" w:color="auto"/>
              <w:bottom w:val="nil"/>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 xml:space="preserve"> </w:t>
            </w:r>
            <w:r w:rsidRPr="007E1812">
              <w:rPr>
                <w:rFonts w:ascii="Arial Narrow" w:hAnsi="Arial Narrow" w:cs="Calibri"/>
                <w:sz w:val="20"/>
                <w:szCs w:val="20"/>
              </w:rPr>
              <w:t xml:space="preserve">A Phase 3 Multicenter Open-label Study of Brigatinib (AP26113) versus Crizotinib in Patients with ALK-positive Advanced Lung Cancer. Clinical Study Report </w:t>
            </w:r>
          </w:p>
        </w:tc>
        <w:tc>
          <w:tcPr>
            <w:tcW w:w="1701" w:type="pct"/>
            <w:tcBorders>
              <w:top w:val="single" w:sz="4" w:space="0" w:color="auto"/>
              <w:bottom w:val="nil"/>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13 September 2018</w:t>
            </w:r>
          </w:p>
        </w:tc>
      </w:tr>
      <w:tr w:rsidR="00C31073" w:rsidRPr="007E1812" w:rsidTr="008B784E">
        <w:tc>
          <w:tcPr>
            <w:tcW w:w="815" w:type="pct"/>
            <w:tcBorders>
              <w:top w:val="nil"/>
              <w:bottom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Times New Roman"/>
                <w:snapToGrid/>
                <w:sz w:val="20"/>
                <w:szCs w:val="20"/>
                <w:lang w:eastAsia="en-AU"/>
              </w:rPr>
              <w:t>Popat, S., Tiseo, M., Gettinger, S. et al. 2016. "ALTA-1L (ALK in lung cancer trial of Brigatinib in 1st Line): A randomised, phase 3 trial of brigatinib (BRG) versus crizotinib (CRZ) in tyrosine kinase inhibitor (TKI)-naive, advanced anaplastic lymphoma kinase (ALK)-positive non-small cell lung cancer (NSCLC)”</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Times New Roman"/>
                <w:snapToGrid/>
                <w:sz w:val="20"/>
                <w:szCs w:val="20"/>
                <w:lang w:eastAsia="en-AU"/>
              </w:rPr>
              <w:t>Annals of Oncology 27 (Supplement 6)</w:t>
            </w:r>
            <w:r w:rsidR="002A34AC">
              <w:rPr>
                <w:rFonts w:ascii="Arial Narrow" w:hAnsi="Arial Narrow" w:cs="Times New Roman"/>
                <w:snapToGrid/>
                <w:sz w:val="20"/>
                <w:szCs w:val="20"/>
                <w:lang w:eastAsia="en-AU"/>
              </w:rPr>
              <w:t>.</w:t>
            </w:r>
          </w:p>
        </w:tc>
      </w:tr>
      <w:tr w:rsidR="00C31073" w:rsidRPr="007E1812" w:rsidTr="008B784E">
        <w:tc>
          <w:tcPr>
            <w:tcW w:w="815" w:type="pct"/>
            <w:tcBorders>
              <w:top w:val="nil"/>
              <w:bottom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Times New Roman"/>
                <w:snapToGrid/>
                <w:sz w:val="20"/>
                <w:szCs w:val="20"/>
                <w:lang w:eastAsia="en-AU"/>
              </w:rPr>
              <w:t xml:space="preserve">Tiseo, M., Popat, S., Gettinger, S. N. et al. 2017. "Design of ALTA-1L (ALK in lung cancer trial of brigatinib in first-line), a randomised phase 3 trial of brigatinib (BRG) versus crizotinib (CRZ) in tyrosine kinase inhibitor (TKI)-naive patients (pts) with advanced anaplastic lymphoma kinase (ALK)-positive non-small cell lung cancer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Times New Roman"/>
                <w:snapToGrid/>
                <w:sz w:val="20"/>
                <w:szCs w:val="20"/>
                <w:lang w:eastAsia="en-AU"/>
              </w:rPr>
              <w:t>Journal of Clinical Oncology 35 (15 Supplement 1).</w:t>
            </w:r>
          </w:p>
        </w:tc>
      </w:tr>
      <w:tr w:rsidR="00C31073" w:rsidRPr="007E1812" w:rsidTr="008B784E">
        <w:tc>
          <w:tcPr>
            <w:tcW w:w="815" w:type="pct"/>
            <w:tcBorders>
              <w:top w:val="nil"/>
              <w:bottom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Times New Roman"/>
                <w:snapToGrid/>
                <w:sz w:val="20"/>
                <w:szCs w:val="20"/>
                <w:lang w:eastAsia="en-AU"/>
              </w:rPr>
              <w:t xml:space="preserve">Camidge, R., Kim, H. R., Ahn, M. et al. 2018. "Brigatinib vs Crizotinib in Patients With ALK Inhibitor-Naive Advanced ALK-positive NSCLC: First Report of a Phase 3 Trial (ALTA-1L)."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Times New Roman"/>
                <w:snapToGrid/>
                <w:sz w:val="20"/>
                <w:szCs w:val="20"/>
                <w:lang w:eastAsia="en-AU"/>
              </w:rPr>
              <w:t>Journal of Thoracic Oncology 13 (10 Supplement):S184-S185.</w:t>
            </w:r>
          </w:p>
        </w:tc>
      </w:tr>
      <w:tr w:rsidR="00C31073" w:rsidRPr="007E1812" w:rsidTr="008B784E">
        <w:tc>
          <w:tcPr>
            <w:tcW w:w="815" w:type="pct"/>
            <w:tcBorders>
              <w:top w:val="nil"/>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Times New Roman"/>
                <w:snapToGrid/>
                <w:sz w:val="20"/>
                <w:szCs w:val="20"/>
                <w:lang w:eastAsia="en-AU"/>
              </w:rPr>
              <w:t xml:space="preserve">Camidge, D. R., Kim, H. R., Ahn, M. J. et al. 2018. "Brigatinib versus crizotinib in ALK-positive non-small-cell lung cancer."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Times New Roman"/>
                <w:snapToGrid/>
                <w:sz w:val="20"/>
                <w:szCs w:val="20"/>
                <w:lang w:eastAsia="en-AU"/>
              </w:rPr>
              <w:t>New England Journal of Medicine 379 (21):2027-2039</w:t>
            </w:r>
            <w:r w:rsidR="002A34AC">
              <w:rPr>
                <w:rFonts w:ascii="Arial Narrow" w:hAnsi="Arial Narrow" w:cs="Times New Roman"/>
                <w:snapToGrid/>
                <w:sz w:val="20"/>
                <w:szCs w:val="20"/>
                <w:lang w:eastAsia="en-AU"/>
              </w:rPr>
              <w:t>.</w:t>
            </w:r>
          </w:p>
        </w:tc>
      </w:tr>
      <w:tr w:rsidR="00C31073" w:rsidRPr="007E1812" w:rsidTr="008B784E">
        <w:tc>
          <w:tcPr>
            <w:tcW w:w="815" w:type="pct"/>
            <w:vMerge w:val="restart"/>
            <w:tcBorders>
              <w:top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Study 201-ALTA</w:t>
            </w: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A Randomised Phase 2 Study of AP26113 in Patients with ALK-positive, Non-small Cell Lung Cancer (NSCLC) Previously Treated with Crizotinib. Clinical Study Report</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21 December 2016</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Lenderking, W. R., Speck, R. M., Huang, J. T. et al. 2017. "Evaluating clinically meaningful change of the EORTC QLQ-C30 in patients with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Value in Health 20 (5):A120.</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Langer, C. J., Huang, H., Huang, J. et al. 2017. "Patient-reported outcomes and quality of life in ALTA: The randomised phase 2 study of brigatinib (BRG) in advanced ALK-positive non-small cell lung cancer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Clinical Oncology 35 (15 Supplement 1).</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Langer, C., Huang, H., Reichmann, W. et al. 2017. "Overall survival (OS) after disease progression (PD) on brigatinib in patients with crizotinib-refractory ALK-positive NSCLC in ALTA."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Thoracic Oncology 12 (11 Supplement 2):S1893-S1894.</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Kim, D. W., Tiseo, M., Ahn, M. J. et al. 2017. "Brigatinib in patients with crizotinib-refractory anaplastic lymphoma kinase-positive non-small-cell lung cancer: A randomised, multicenter phase II trial."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Clinical Oncology 35 (22):2490-2498.</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Kawata, A. K., Lenderking, W. R., Eseyin, O. R. et al. 2018. "Converting eortc QLQ-c30 scores to EQ-5D utility scores in the brigatinib ALTA study."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Value in Health 21 (Supplement 1):S210.</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Camidge, D. R., Ahn, M., Reckamp, K. et al. 2017. "Hypertension with brigatinib: Experience in ALTA, a randomised phase 2 trial in crizotinib-refractory ALK-positive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Thoracic Oncology 12 (11 Supplement 2): S1893.</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Ou, S. H. I., Tiseo, M., Camidge, R. et al. 2017. "Intracranial efficacy of brigatinib (BRG) in patients (Pts) With crizotinib (CRZ)-refractory anaplastic lymphoma kinase (ALK)-positive non-small cell lung cancer (NSCLC) and baseline CNS metastases."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Annals of Oncology 28 (Supplement 5): v480-v481.</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Ou, S. H. I., Tiseo, M., Camidge, D. R. et al. 2017. "Brigatinib (BRG) in patients (pts) with crizotinib (CRZ)-refractory ALK-positive non-small cell lung cancer (NSCLC) and brain metastases in the pivotal randomised phase 2 ALTA trial."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Clinical Oncology 35 (15 Supplement 1).</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Kim, D. W., Tiseo, M., Ahn, M. J. et al. 2016. "Brigatinib (BRG) in patients (pts) with crizotinib (CRZ)- refractory ALK-positive non-small cell lung cancer (NSCLC): First report of efficacy and safety from a pivotal randomised phase (ph) 2 trial (ALTA)."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Clinical Oncology 34 (Supplement 15).</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Huber, R. M., Kim, D. W., Ahn, M. J. et al. 2018. "Brigatinib (BRG) in crizotinib (CRZ)-refractory ALK-positive non-small cell lung cancer (NSCLC): Efficacy updates and exploratory analysis of CNS ORR and overall ORR by baseline (BL) brain lesion status."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Clinical Oncology 36 (15 Supplement 1).</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Camidge, D. R., Tiseo, M., Ahn, M. et al. 2017. "Depth of target lesion response to brigatinib and its association with outcomes in patients with ALK-positive NSCLC in the alta trial."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Thoracic Oncology 12 (11 Supplement 2): S1892.</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Anonymous. 2018. "Erratum: brigatinib in patients with crizotinib-refractory anaplastic lymphoma kinase positive non-small-cell lung cancer: a randomised, multicenter phase II trial (American Society of Clinical Oncology (2017) DOI: 10.1200/JCO.2016.71.5904)."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clinical oncology 36 (9):931.</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Ahn, M. J., Camidge, D. R., Tiseo, M. et al. 2017. "Brigatinib (BRG) in crizotinib (CRZ)-refractory ALK-positive non-small cell lung cancer (NSCLC): Updates from ALTA, a pivotal randomised phase 2 trial."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Clinical Oncology 35 (15 Supplement 1).</w:t>
            </w:r>
          </w:p>
        </w:tc>
      </w:tr>
      <w:tr w:rsidR="00C31073" w:rsidRPr="007E1812" w:rsidTr="008B784E">
        <w:tc>
          <w:tcPr>
            <w:tcW w:w="815" w:type="pct"/>
            <w:vMerge/>
            <w:tcBorders>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Ahn, M., Camidge, D. R., Tiseo, M. et al. 2017. "Brigatinib in crizotinib-refractory ALK-positive NSCLC: Updated efficacy and safety results from ALTA, a randomised phase 2 trial."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lang w:eastAsia="en-AU"/>
              </w:rPr>
            </w:pPr>
            <w:r w:rsidRPr="007E1812">
              <w:rPr>
                <w:rFonts w:ascii="Arial Narrow" w:hAnsi="Arial Narrow" w:cs="Calibri"/>
                <w:sz w:val="20"/>
                <w:szCs w:val="20"/>
              </w:rPr>
              <w:t>Journal of Thoracic Oncology 12 (11 Supplement 2): S1755-S1756.</w:t>
            </w:r>
          </w:p>
        </w:tc>
      </w:tr>
      <w:tr w:rsidR="00C31073" w:rsidRPr="007E1812" w:rsidTr="008B784E">
        <w:tc>
          <w:tcPr>
            <w:tcW w:w="815" w:type="pct"/>
            <w:tcBorders>
              <w:top w:val="single" w:sz="4" w:space="0" w:color="auto"/>
              <w:bottom w:val="single" w:sz="4" w:space="0" w:color="auto"/>
              <w:right w:val="nil"/>
            </w:tcBorders>
          </w:tcPr>
          <w:p w:rsidR="00C31073" w:rsidRPr="007E1812" w:rsidRDefault="00C31073" w:rsidP="00620BD3">
            <w:pPr>
              <w:keepLines/>
              <w:widowControl/>
              <w:jc w:val="left"/>
              <w:rPr>
                <w:rFonts w:ascii="Arial Narrow" w:hAnsi="Arial Narrow" w:cs="Times New Roman"/>
                <w:b/>
                <w:bCs/>
                <w:snapToGrid/>
                <w:sz w:val="20"/>
                <w:szCs w:val="20"/>
              </w:rPr>
            </w:pPr>
            <w:r w:rsidRPr="007E1812">
              <w:rPr>
                <w:rFonts w:ascii="Arial Narrow" w:hAnsi="Arial Narrow" w:cs="Times New Roman"/>
                <w:b/>
                <w:snapToGrid/>
                <w:sz w:val="20"/>
                <w:szCs w:val="20"/>
              </w:rPr>
              <w:t>Alectinib studies</w:t>
            </w:r>
          </w:p>
        </w:tc>
        <w:tc>
          <w:tcPr>
            <w:tcW w:w="2484" w:type="pct"/>
            <w:tcBorders>
              <w:top w:val="single" w:sz="4" w:space="0" w:color="auto"/>
              <w:left w:val="nil"/>
              <w:bottom w:val="single" w:sz="4" w:space="0" w:color="auto"/>
              <w:right w:val="nil"/>
            </w:tcBorders>
          </w:tcPr>
          <w:p w:rsidR="00C31073" w:rsidRPr="007E1812" w:rsidRDefault="00C31073" w:rsidP="00620BD3">
            <w:pPr>
              <w:keepLines/>
              <w:widowControl/>
              <w:jc w:val="left"/>
              <w:rPr>
                <w:rFonts w:ascii="Arial Narrow" w:hAnsi="Arial Narrow" w:cs="Times New Roman"/>
                <w:b/>
                <w:bCs/>
                <w:snapToGrid/>
                <w:sz w:val="20"/>
                <w:szCs w:val="20"/>
              </w:rPr>
            </w:pPr>
          </w:p>
        </w:tc>
        <w:tc>
          <w:tcPr>
            <w:tcW w:w="1701" w:type="pct"/>
            <w:tcBorders>
              <w:top w:val="single" w:sz="4" w:space="0" w:color="auto"/>
              <w:left w:val="nil"/>
              <w:bottom w:val="single" w:sz="4" w:space="0" w:color="auto"/>
            </w:tcBorders>
          </w:tcPr>
          <w:p w:rsidR="00C31073" w:rsidRPr="007E1812" w:rsidRDefault="00C31073" w:rsidP="00620BD3">
            <w:pPr>
              <w:keepLines/>
              <w:widowControl/>
              <w:jc w:val="left"/>
              <w:rPr>
                <w:rFonts w:ascii="Arial Narrow" w:hAnsi="Arial Narrow" w:cs="Times New Roman"/>
                <w:b/>
                <w:bCs/>
                <w:snapToGrid/>
                <w:sz w:val="20"/>
                <w:szCs w:val="20"/>
              </w:rPr>
            </w:pPr>
          </w:p>
        </w:tc>
      </w:tr>
      <w:tr w:rsidR="00C31073" w:rsidRPr="007E1812" w:rsidTr="008B784E">
        <w:tc>
          <w:tcPr>
            <w:tcW w:w="815" w:type="pct"/>
            <w:tcBorders>
              <w:top w:val="single" w:sz="4" w:space="0" w:color="auto"/>
              <w:bottom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Peters, S., Camidge, D. R., Shaw, A. T. et al. 2017. "Alectinib versus crizotinib in untreated ALK-positive non-small-cell lung cancer."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New England Journal of Medicine 377 (9):829-838.</w:t>
            </w:r>
          </w:p>
        </w:tc>
      </w:tr>
      <w:tr w:rsidR="00C31073" w:rsidRPr="007E1812" w:rsidTr="008B784E">
        <w:tc>
          <w:tcPr>
            <w:tcW w:w="815" w:type="pct"/>
            <w:vMerge w:val="restart"/>
            <w:tcBorders>
              <w:top w:val="nil"/>
            </w:tcBorders>
          </w:tcPr>
          <w:p w:rsidR="00C31073" w:rsidRPr="007E1812" w:rsidRDefault="00C31073" w:rsidP="00620BD3">
            <w:pPr>
              <w:keepLines/>
              <w:widowControl/>
              <w:rPr>
                <w:rFonts w:ascii="Arial Narrow" w:hAnsi="Arial Narrow" w:cs="Times New Roman"/>
                <w:snapToGrid/>
                <w:sz w:val="20"/>
                <w:szCs w:val="20"/>
              </w:rPr>
            </w:pPr>
            <w:r w:rsidRPr="007E1812">
              <w:rPr>
                <w:rFonts w:ascii="Arial Narrow" w:hAnsi="Arial Narrow" w:cs="Times New Roman"/>
                <w:snapToGrid/>
                <w:sz w:val="20"/>
                <w:szCs w:val="20"/>
              </w:rPr>
              <w:t>ALEX</w:t>
            </w: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Shaw, A. T., Peters, S., Mok, T. et al. 2017. "Alectinib versus crizotinib in treatment-naive advanced ALK-positive non-small cell lung cancer (NSCLC): Primary results of the global phase III ALEX study."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Journal of Clinical Oncology 35 (18 Supplement 1).</w:t>
            </w:r>
          </w:p>
        </w:tc>
      </w:tr>
      <w:tr w:rsidR="00C31073" w:rsidRPr="007E1812" w:rsidTr="008B784E">
        <w:tc>
          <w:tcPr>
            <w:tcW w:w="815" w:type="pct"/>
            <w:vMerge/>
            <w:tcBorders>
              <w:bottom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Mok, T. S. K., Peters, S., Camidge, D. R. et al. 2017. "Alectinib (ALC) vs crizotinib (CRZ) in treatment-naive ALK-positive non-small-cell lung cancer (NSCLC): Asian vs non-Asian subgroup analysis of the ALEX study."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Annals of Oncology 28 (Supplement 10):x191.</w:t>
            </w:r>
          </w:p>
        </w:tc>
      </w:tr>
      <w:tr w:rsidR="00C31073" w:rsidRPr="007E1812" w:rsidTr="008B784E">
        <w:tc>
          <w:tcPr>
            <w:tcW w:w="815" w:type="pct"/>
            <w:tcBorders>
              <w:top w:val="nil"/>
              <w:bottom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Mok, T., Peters, S., Ross Camidge, D. et al. 2017. "Patients with ALK IHC-Positive/FISH-Negative NSCLC benefit from ALK TKI treatment: Response data from the global ALEX trial."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Journal of Thoracic Oncology 12 (11 Supplement 2): S1739-S1740.</w:t>
            </w:r>
          </w:p>
        </w:tc>
      </w:tr>
      <w:tr w:rsidR="00C31073" w:rsidRPr="007E1812" w:rsidTr="008B784E">
        <w:tc>
          <w:tcPr>
            <w:tcW w:w="815" w:type="pct"/>
            <w:tcBorders>
              <w:top w:val="nil"/>
              <w:bottom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Camidge, D. R., Peters, S., Mok, T. et al. 2018. "Updated efficacy and safety data from the global phase III ALEX study of alectinib (ALC) vs crizotinib (CZ) in untreated advanced ALK-positive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Journal of Clinical Oncology 36 (15 Supplement 1).</w:t>
            </w:r>
          </w:p>
        </w:tc>
      </w:tr>
      <w:tr w:rsidR="00C31073" w:rsidRPr="007E1812" w:rsidTr="008B784E">
        <w:tc>
          <w:tcPr>
            <w:tcW w:w="815" w:type="pct"/>
            <w:tcBorders>
              <w:top w:val="nil"/>
              <w:bottom w:val="nil"/>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Perol, M., Peters, S., Pavlakis, N. et al. 2018. "Patient-reported outcomes (PROs) in ALEX: A phase III study of alectinib (ALEC) vs crizotinib (CRIS) in non-small-cell lung cancer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Journal of Thoracic Oncology 13 (4 Supplement 1): S80-S81.</w:t>
            </w:r>
          </w:p>
        </w:tc>
      </w:tr>
      <w:tr w:rsidR="00C31073" w:rsidRPr="007E1812" w:rsidTr="008B784E">
        <w:tc>
          <w:tcPr>
            <w:tcW w:w="815" w:type="pct"/>
            <w:vMerge w:val="restart"/>
            <w:tcBorders>
              <w:top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lastRenderedPageBreak/>
              <w:t xml:space="preserve">ALUR </w:t>
            </w: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Wolf, J., Oh, I. J., Mazieres, J. et al. 2016. "ALUR: A phase 3 study of alectinib versus chemotherapy in previously treated ALK-positive non-small cell lung cancer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Annals of Oncology 27 (Supplement 6).</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Novello, S., Mazieres, J., Oh, I. J. et al. 2018. "Alectinib versus chemotherapy in crizotinib pretreated anaplastic lymphoma kinase (ALK)-positive non-small-cell lung cancer: Results from the phase III ALUR study."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Annals of Oncology 29 (6):1409-1416.</w:t>
            </w:r>
          </w:p>
        </w:tc>
      </w:tr>
      <w:tr w:rsidR="00C31073" w:rsidRPr="007E1812" w:rsidTr="008B784E">
        <w:tc>
          <w:tcPr>
            <w:tcW w:w="815" w:type="pct"/>
            <w:vMerge/>
          </w:tcPr>
          <w:p w:rsidR="00C31073" w:rsidRPr="007E1812" w:rsidRDefault="00C31073" w:rsidP="00620BD3">
            <w:pPr>
              <w:keepLines/>
              <w:widowControl/>
              <w:jc w:val="left"/>
              <w:rPr>
                <w:rFonts w:ascii="Arial Narrow" w:hAnsi="Arial Narrow" w:cs="Times New Roman"/>
                <w:snapToGrid/>
                <w:sz w:val="20"/>
                <w:szCs w:val="20"/>
              </w:rPr>
            </w:pPr>
          </w:p>
        </w:tc>
        <w:tc>
          <w:tcPr>
            <w:tcW w:w="2484" w:type="pct"/>
            <w:tcBorders>
              <w:bottom w:val="single" w:sz="4" w:space="0" w:color="auto"/>
            </w:tcBorders>
            <w:vAlign w:val="center"/>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 xml:space="preserve">Mazieres, J., Novello, S., De Castro, J. et al. 2017. "Patient-reported outcomes and safety from the phase III ALUR study of alectinib vs chemotherapy in pre-treated ALK-positive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Journal of Thoracic Oncology 12 (11 Supplement 2): S1897.</w:t>
            </w:r>
          </w:p>
        </w:tc>
      </w:tr>
      <w:tr w:rsidR="00C31073" w:rsidRPr="007E1812" w:rsidTr="008B784E">
        <w:tc>
          <w:tcPr>
            <w:tcW w:w="815" w:type="pct"/>
            <w:vMerge/>
            <w:tcBorders>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p>
        </w:tc>
        <w:tc>
          <w:tcPr>
            <w:tcW w:w="2484" w:type="pct"/>
            <w:tcBorders>
              <w:top w:val="single" w:sz="4" w:space="0" w:color="auto"/>
              <w:bottom w:val="single" w:sz="4" w:space="0" w:color="auto"/>
            </w:tcBorders>
            <w:vAlign w:val="center"/>
          </w:tcPr>
          <w:p w:rsidR="00C31073" w:rsidRPr="007E1812" w:rsidRDefault="00C31073" w:rsidP="00620BD3">
            <w:pPr>
              <w:keepLines/>
              <w:widowControl/>
              <w:jc w:val="left"/>
              <w:rPr>
                <w:rFonts w:ascii="Arial Narrow" w:hAnsi="Arial Narrow" w:cs="Calibri"/>
                <w:sz w:val="20"/>
                <w:szCs w:val="20"/>
              </w:rPr>
            </w:pPr>
            <w:r w:rsidRPr="007E1812">
              <w:rPr>
                <w:rFonts w:ascii="Arial Narrow" w:hAnsi="Arial Narrow" w:cs="Calibri"/>
                <w:sz w:val="20"/>
                <w:szCs w:val="20"/>
              </w:rPr>
              <w:t xml:space="preserve">De Castro, J., Novello, S., Mazieres, J. et al. 2017. "CNS efficacy results from the phase III ALUR study of alectinib vs chemotherapy in previously treated ALK1 NSCLC."  </w:t>
            </w:r>
          </w:p>
        </w:tc>
        <w:tc>
          <w:tcPr>
            <w:tcW w:w="1701" w:type="pct"/>
            <w:tcBorders>
              <w:top w:val="single" w:sz="4" w:space="0" w:color="auto"/>
              <w:bottom w:val="single" w:sz="4" w:space="0" w:color="auto"/>
            </w:tcBorders>
          </w:tcPr>
          <w:p w:rsidR="00C31073" w:rsidRPr="007E1812" w:rsidRDefault="00C31073" w:rsidP="00620BD3">
            <w:pPr>
              <w:keepLines/>
              <w:widowControl/>
              <w:jc w:val="left"/>
              <w:rPr>
                <w:rFonts w:ascii="Arial Narrow" w:hAnsi="Arial Narrow" w:cs="Times New Roman"/>
                <w:snapToGrid/>
                <w:sz w:val="20"/>
                <w:szCs w:val="20"/>
              </w:rPr>
            </w:pPr>
            <w:r w:rsidRPr="007E1812">
              <w:rPr>
                <w:rFonts w:ascii="Arial Narrow" w:hAnsi="Arial Narrow" w:cs="Calibri"/>
                <w:sz w:val="20"/>
                <w:szCs w:val="20"/>
              </w:rPr>
              <w:t>Annals of Oncology 28 (Supplement 5): v481.</w:t>
            </w:r>
          </w:p>
        </w:tc>
      </w:tr>
    </w:tbl>
    <w:p w:rsidR="00C31073" w:rsidRPr="007E1812" w:rsidRDefault="00C31073" w:rsidP="00620BD3">
      <w:pPr>
        <w:keepLines/>
        <w:widowControl/>
        <w:rPr>
          <w:rFonts w:ascii="Arial Narrow" w:hAnsi="Arial Narrow"/>
          <w:sz w:val="18"/>
          <w:szCs w:val="18"/>
        </w:rPr>
      </w:pPr>
      <w:r w:rsidRPr="007E1812">
        <w:rPr>
          <w:rFonts w:ascii="Arial Narrow" w:hAnsi="Arial Narrow"/>
          <w:sz w:val="18"/>
          <w:szCs w:val="18"/>
        </w:rPr>
        <w:t xml:space="preserve">Abbreviations: ALK = anaplastic lymphoma kinase; CNS = central nervous system; EORTC = European Organisation for Research and Treatment of Cancer Research; FISH = fluorescence in situ hybridisation IHC = immunohistochemistry; EQ-5D = EuroQoL 5 </w:t>
      </w:r>
      <w:r w:rsidR="001F68ED" w:rsidRPr="007E1812">
        <w:rPr>
          <w:rFonts w:ascii="Arial Narrow" w:hAnsi="Arial Narrow"/>
          <w:sz w:val="18"/>
          <w:szCs w:val="18"/>
        </w:rPr>
        <w:t>dimensions</w:t>
      </w:r>
      <w:r w:rsidRPr="007E1812">
        <w:rPr>
          <w:rFonts w:ascii="Arial Narrow" w:hAnsi="Arial Narrow"/>
          <w:sz w:val="18"/>
          <w:szCs w:val="18"/>
        </w:rPr>
        <w:t xml:space="preserve">; NSCLC = </w:t>
      </w:r>
      <w:r w:rsidR="007F3D8E" w:rsidRPr="007E1812">
        <w:rPr>
          <w:rFonts w:ascii="Arial Narrow" w:hAnsi="Arial Narrow"/>
          <w:sz w:val="18"/>
          <w:szCs w:val="18"/>
        </w:rPr>
        <w:t xml:space="preserve">non-small cell lung cancer; </w:t>
      </w:r>
      <w:r w:rsidRPr="007E1812">
        <w:rPr>
          <w:rFonts w:ascii="Arial Narrow" w:hAnsi="Arial Narrow"/>
          <w:sz w:val="18"/>
          <w:szCs w:val="18"/>
        </w:rPr>
        <w:t xml:space="preserve">ORR = overall response rate; TKI = tyrosine kinase inhibitor; </w:t>
      </w:r>
    </w:p>
    <w:p w:rsidR="00C31073" w:rsidRPr="007E1812" w:rsidRDefault="00C31073" w:rsidP="00620BD3">
      <w:pPr>
        <w:keepLines/>
        <w:widowControl/>
        <w:rPr>
          <w:rFonts w:ascii="Arial Narrow" w:hAnsi="Arial Narrow"/>
          <w:sz w:val="18"/>
          <w:szCs w:val="18"/>
        </w:rPr>
      </w:pPr>
      <w:r w:rsidRPr="007E1812">
        <w:rPr>
          <w:rFonts w:ascii="Arial Narrow" w:hAnsi="Arial Narrow"/>
          <w:sz w:val="18"/>
          <w:szCs w:val="18"/>
        </w:rPr>
        <w:t>Source: Table 2-4, p.22-24 of the submission</w:t>
      </w:r>
    </w:p>
    <w:p w:rsidR="00C31073" w:rsidRPr="007E1812" w:rsidRDefault="00C31073" w:rsidP="00620BD3">
      <w:pPr>
        <w:widowControl/>
        <w:numPr>
          <w:ilvl w:val="1"/>
          <w:numId w:val="1"/>
        </w:numPr>
        <w:spacing w:before="120" w:after="120"/>
      </w:pPr>
      <w:r w:rsidRPr="007E1812">
        <w:t>The submission excluded two phase 3 RCT</w:t>
      </w:r>
      <w:r w:rsidR="00A8476B" w:rsidRPr="007E1812">
        <w:t>s</w:t>
      </w:r>
      <w:r w:rsidR="00B4368E" w:rsidRPr="007E1812">
        <w:t xml:space="preserve"> of alectinib, </w:t>
      </w:r>
      <w:r w:rsidRPr="007E1812">
        <w:t>J-ALEX (</w:t>
      </w:r>
      <w:r w:rsidR="0015158C" w:rsidRPr="007E1812">
        <w:t>J</w:t>
      </w:r>
      <w:r w:rsidRPr="007E1812">
        <w:t>apicCTI-132316; N=207) and ALESIA (NCT02838420; N=187)</w:t>
      </w:r>
      <w:r w:rsidR="00B4368E" w:rsidRPr="007E1812">
        <w:t>,</w:t>
      </w:r>
      <w:r w:rsidRPr="007E1812">
        <w:t xml:space="preserve"> from the assessment of evidence in the first-line setting:</w:t>
      </w:r>
      <w:r w:rsidRPr="007E1812">
        <w:rPr>
          <w:iCs/>
        </w:rPr>
        <w:t xml:space="preserve"> </w:t>
      </w:r>
    </w:p>
    <w:p w:rsidR="00C31073" w:rsidRPr="007E1812" w:rsidRDefault="00C31073" w:rsidP="00620BD3">
      <w:pPr>
        <w:widowControl/>
        <w:numPr>
          <w:ilvl w:val="2"/>
          <w:numId w:val="1"/>
        </w:numPr>
        <w:spacing w:before="120" w:after="120"/>
        <w:ind w:left="1134" w:hanging="436"/>
      </w:pPr>
      <w:r w:rsidRPr="007E1812">
        <w:t xml:space="preserve">J-ALEX was an open-label RCT conducted in Japan to compare alectinib and crizotinib. Patients received alectinib 300 mg twice daily, a lower dose than the 600 mg twice daily that is used outside of Japan. ALESIA was an open-label RCT comparing alectinib with crizotinib at 21 investigational centres in Asia. Both trials assessed PFS as the primary endpoint. </w:t>
      </w:r>
    </w:p>
    <w:p w:rsidR="00C31073" w:rsidRPr="007E1812" w:rsidRDefault="00C31073" w:rsidP="00620BD3">
      <w:pPr>
        <w:widowControl/>
        <w:numPr>
          <w:ilvl w:val="2"/>
          <w:numId w:val="1"/>
        </w:numPr>
        <w:spacing w:before="120" w:after="120"/>
        <w:ind w:left="1134" w:hanging="436"/>
      </w:pPr>
      <w:r w:rsidRPr="007E1812">
        <w:t xml:space="preserve">The submission mainly justified the exclusion of these trials on the basis of limited generalisability to the Australian setting due to being conducted </w:t>
      </w:r>
      <w:r w:rsidR="001F68ED" w:rsidRPr="007E1812">
        <w:t>exclusively</w:t>
      </w:r>
      <w:r w:rsidRPr="007E1812">
        <w:t xml:space="preserve"> in Asian centres, and that they reflected ethnicity specific studies as part of the development program for both drugs. In addition, Asian patients represented a significant proportion of patients in the brigatinib trials and </w:t>
      </w:r>
      <w:r w:rsidR="006A3EC0" w:rsidRPr="007E1812">
        <w:t>those with the proposed condition in Australia</w:t>
      </w:r>
      <w:r w:rsidRPr="007E1812">
        <w:t xml:space="preserve">. </w:t>
      </w:r>
      <w:r w:rsidRPr="007E1812">
        <w:rPr>
          <w:iCs/>
        </w:rPr>
        <w:t>While the lower dosing regimen in J-ALEX was a reasonable basis for its exclusion, exclusion of both trials on the basis of ethnicity was inappropriate.</w:t>
      </w:r>
    </w:p>
    <w:p w:rsidR="00973CA1" w:rsidRPr="007E1812" w:rsidRDefault="00973CA1" w:rsidP="00620BD3">
      <w:pPr>
        <w:widowControl/>
        <w:numPr>
          <w:ilvl w:val="1"/>
          <w:numId w:val="1"/>
        </w:numPr>
        <w:spacing w:before="120" w:after="120"/>
      </w:pPr>
      <w:r w:rsidRPr="007E1812">
        <w:t xml:space="preserve">The key features of the randomised trials for the first-line setting (ALTA-1L, ALEX) and second line setting (Study 201-ALTA, ALURE) are summarised </w:t>
      </w:r>
      <w:r w:rsidRPr="007E1812">
        <w:rPr>
          <w:szCs w:val="24"/>
        </w:rPr>
        <w:t xml:space="preserve">in </w:t>
      </w:r>
      <w:r w:rsidR="007F3D8E" w:rsidRPr="007E1812">
        <w:rPr>
          <w:szCs w:val="24"/>
        </w:rPr>
        <w:t>the table below</w:t>
      </w:r>
      <w:r w:rsidR="000C5F62" w:rsidRPr="007E1812">
        <w:t xml:space="preserve">. </w:t>
      </w:r>
    </w:p>
    <w:p w:rsidR="00C31073" w:rsidRPr="007E1812" w:rsidRDefault="00C31073" w:rsidP="00620BD3">
      <w:pPr>
        <w:keepNext/>
        <w:keepLines/>
        <w:widowControl/>
        <w:rPr>
          <w:rFonts w:ascii="Arial Narrow" w:hAnsi="Arial Narrow"/>
          <w:b/>
          <w:sz w:val="20"/>
          <w:szCs w:val="20"/>
        </w:rPr>
      </w:pPr>
      <w:bookmarkStart w:id="30" w:name="_Ref18506310"/>
      <w:r w:rsidRPr="007E1812">
        <w:rPr>
          <w:rFonts w:ascii="Arial Narrow" w:hAnsi="Arial Narrow"/>
          <w:b/>
          <w:bCs/>
          <w:sz w:val="20"/>
          <w:szCs w:val="20"/>
        </w:rPr>
        <w:lastRenderedPageBreak/>
        <w:t xml:space="preserve">Table </w:t>
      </w:r>
      <w:bookmarkEnd w:id="30"/>
      <w:r w:rsidR="007F3D8E" w:rsidRPr="007E1812">
        <w:rPr>
          <w:rFonts w:ascii="Arial Narrow" w:hAnsi="Arial Narrow"/>
          <w:b/>
          <w:sz w:val="20"/>
          <w:szCs w:val="20"/>
        </w:rPr>
        <w:t>4</w:t>
      </w:r>
      <w:r w:rsidRPr="007E1812">
        <w:rPr>
          <w:rFonts w:ascii="Arial Narrow" w:hAnsi="Arial Narrow"/>
          <w:b/>
          <w:bCs/>
          <w:sz w:val="20"/>
          <w:szCs w:val="20"/>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 indirect comparison"/>
      </w:tblPr>
      <w:tblGrid>
        <w:gridCol w:w="1287"/>
        <w:gridCol w:w="1287"/>
        <w:gridCol w:w="1288"/>
        <w:gridCol w:w="1288"/>
        <w:gridCol w:w="1288"/>
        <w:gridCol w:w="1288"/>
        <w:gridCol w:w="1291"/>
      </w:tblGrid>
      <w:tr w:rsidR="00C31073" w:rsidRPr="007E1812" w:rsidTr="005929E2">
        <w:trPr>
          <w:tblHeader/>
        </w:trPr>
        <w:tc>
          <w:tcPr>
            <w:tcW w:w="714" w:type="pct"/>
            <w:shd w:val="clear" w:color="auto" w:fill="auto"/>
            <w:vAlign w:val="center"/>
          </w:tcPr>
          <w:p w:rsidR="00C31073" w:rsidRPr="007E1812" w:rsidRDefault="00C31073" w:rsidP="00620BD3">
            <w:pPr>
              <w:keepNext/>
              <w:keepLines/>
              <w:widowControl/>
              <w:jc w:val="left"/>
              <w:rPr>
                <w:rFonts w:ascii="Arial Narrow" w:hAnsi="Arial Narrow" w:cs="Times New Roman"/>
                <w:b/>
                <w:snapToGrid/>
                <w:sz w:val="20"/>
              </w:rPr>
            </w:pPr>
            <w:r w:rsidRPr="007E1812">
              <w:rPr>
                <w:rFonts w:ascii="Arial Narrow" w:hAnsi="Arial Narrow" w:cs="Times New Roman"/>
                <w:b/>
                <w:snapToGrid/>
                <w:sz w:val="20"/>
              </w:rPr>
              <w:t>Trial</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N</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Design/ duration of follow-up</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Risk of bias</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Patient population</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Outcome(s)</w:t>
            </w:r>
          </w:p>
        </w:tc>
        <w:tc>
          <w:tcPr>
            <w:tcW w:w="715" w:type="pct"/>
            <w:shd w:val="clear" w:color="auto" w:fill="auto"/>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Use in modelled evaluation</w:t>
            </w:r>
          </w:p>
        </w:tc>
      </w:tr>
      <w:tr w:rsidR="00C31073" w:rsidRPr="007E1812" w:rsidTr="008B784E">
        <w:tc>
          <w:tcPr>
            <w:tcW w:w="5000" w:type="pct"/>
            <w:gridSpan w:val="7"/>
            <w:shd w:val="clear" w:color="auto" w:fill="auto"/>
            <w:vAlign w:val="center"/>
          </w:tcPr>
          <w:p w:rsidR="00C31073" w:rsidRPr="007E1812" w:rsidRDefault="00C31073" w:rsidP="00D93361">
            <w:pPr>
              <w:keepNext/>
              <w:keepLines/>
              <w:widowControl/>
              <w:jc w:val="left"/>
              <w:rPr>
                <w:rFonts w:ascii="Arial Narrow" w:hAnsi="Arial Narrow" w:cs="Times New Roman"/>
                <w:bCs/>
                <w:snapToGrid/>
                <w:sz w:val="20"/>
              </w:rPr>
            </w:pPr>
            <w:r w:rsidRPr="007E1812">
              <w:rPr>
                <w:rFonts w:ascii="Arial Narrow" w:hAnsi="Arial Narrow" w:cs="Times New Roman"/>
                <w:b/>
                <w:bCs/>
                <w:snapToGrid/>
                <w:sz w:val="20"/>
              </w:rPr>
              <w:t>Brigatinib</w:t>
            </w:r>
          </w:p>
        </w:tc>
      </w:tr>
      <w:tr w:rsidR="00C31073" w:rsidRPr="007E1812" w:rsidTr="005929E2">
        <w:tc>
          <w:tcPr>
            <w:tcW w:w="714" w:type="pct"/>
            <w:shd w:val="clear" w:color="auto" w:fill="auto"/>
            <w:vAlign w:val="center"/>
          </w:tcPr>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snapToGrid/>
                <w:sz w:val="20"/>
              </w:rPr>
              <w:t>ALTA-1L</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275</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R, OL</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11 mths</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Low</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Treatment naïve</w:t>
            </w:r>
            <w:r w:rsidR="00833081" w:rsidRPr="007E1812">
              <w:rPr>
                <w:rFonts w:ascii="Arial Narrow" w:hAnsi="Arial Narrow" w:cs="Times New Roman"/>
                <w:snapToGrid/>
                <w:sz w:val="20"/>
                <w:vertAlign w:val="superscript"/>
              </w:rPr>
              <w:t>a</w:t>
            </w:r>
            <w:r w:rsidRPr="007E1812">
              <w:rPr>
                <w:rFonts w:ascii="Arial Narrow" w:hAnsi="Arial Narrow" w:cs="Times New Roman"/>
                <w:snapToGrid/>
                <w:sz w:val="20"/>
              </w:rPr>
              <w:t xml:space="preserve"> </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PFS, OS, ORR, iORR, HRQoL</w:t>
            </w:r>
          </w:p>
        </w:tc>
        <w:tc>
          <w:tcPr>
            <w:tcW w:w="715"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PFS</w:t>
            </w:r>
          </w:p>
        </w:tc>
      </w:tr>
      <w:tr w:rsidR="00C31073" w:rsidRPr="007E1812" w:rsidTr="005929E2">
        <w:tc>
          <w:tcPr>
            <w:tcW w:w="714" w:type="pct"/>
            <w:shd w:val="clear" w:color="auto" w:fill="auto"/>
            <w:vAlign w:val="center"/>
          </w:tcPr>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snapToGrid/>
                <w:sz w:val="20"/>
              </w:rPr>
              <w:t>Study 201-ALTA</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222</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S, OL</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17.9 mths</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Low</w:t>
            </w:r>
          </w:p>
        </w:tc>
        <w:tc>
          <w:tcPr>
            <w:tcW w:w="714" w:type="pct"/>
            <w:shd w:val="clear" w:color="auto" w:fill="auto"/>
            <w:vAlign w:val="center"/>
          </w:tcPr>
          <w:p w:rsidR="00C31073" w:rsidRPr="007E1812" w:rsidRDefault="00C03447"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PD after crizotinib</w:t>
            </w:r>
            <w:r w:rsidR="007269FE" w:rsidRPr="007E1812">
              <w:rPr>
                <w:rFonts w:ascii="Arial Narrow" w:hAnsi="Arial Narrow" w:cs="Times New Roman"/>
                <w:snapToGrid/>
                <w:sz w:val="20"/>
              </w:rPr>
              <w:t>; prior chemotherapy</w:t>
            </w:r>
            <w:r w:rsidR="0030594C" w:rsidRPr="007E1812">
              <w:rPr>
                <w:rFonts w:ascii="Arial Narrow" w:hAnsi="Arial Narrow" w:cs="Times New Roman"/>
                <w:snapToGrid/>
                <w:sz w:val="20"/>
              </w:rPr>
              <w:t xml:space="preserve"> </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PFS, OS, ORR, HRQoL</w:t>
            </w:r>
          </w:p>
        </w:tc>
        <w:tc>
          <w:tcPr>
            <w:tcW w:w="715"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Not used</w:t>
            </w:r>
          </w:p>
        </w:tc>
      </w:tr>
      <w:tr w:rsidR="00C31073" w:rsidRPr="007E1812" w:rsidTr="008B784E">
        <w:tc>
          <w:tcPr>
            <w:tcW w:w="5000" w:type="pct"/>
            <w:gridSpan w:val="7"/>
            <w:shd w:val="clear" w:color="auto" w:fill="auto"/>
            <w:vAlign w:val="center"/>
          </w:tcPr>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b/>
                <w:snapToGrid/>
                <w:sz w:val="20"/>
              </w:rPr>
              <w:t>Alectinib</w:t>
            </w:r>
          </w:p>
        </w:tc>
      </w:tr>
      <w:tr w:rsidR="00C31073" w:rsidRPr="007E1812" w:rsidTr="005929E2">
        <w:tc>
          <w:tcPr>
            <w:tcW w:w="714" w:type="pct"/>
            <w:shd w:val="clear" w:color="auto" w:fill="auto"/>
            <w:vAlign w:val="center"/>
          </w:tcPr>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snapToGrid/>
                <w:sz w:val="20"/>
              </w:rPr>
              <w:t>ALEX</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303</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R, OL</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27.8 mths</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Low</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 xml:space="preserve">Treatment naïve </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PFS, OS, ORR, iORR, HRQoL</w:t>
            </w:r>
          </w:p>
        </w:tc>
        <w:tc>
          <w:tcPr>
            <w:tcW w:w="715"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PFS</w:t>
            </w:r>
          </w:p>
        </w:tc>
      </w:tr>
      <w:tr w:rsidR="00C31073" w:rsidRPr="007E1812" w:rsidTr="005929E2">
        <w:tc>
          <w:tcPr>
            <w:tcW w:w="714" w:type="pct"/>
            <w:shd w:val="clear" w:color="auto" w:fill="auto"/>
            <w:vAlign w:val="center"/>
          </w:tcPr>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snapToGrid/>
                <w:sz w:val="20"/>
              </w:rPr>
              <w:t>ALUR</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w:t>
            </w:r>
            <w:r w:rsidR="00EE7F87" w:rsidRPr="007E1812">
              <w:rPr>
                <w:rFonts w:ascii="Arial Narrow" w:hAnsi="Arial Narrow" w:cs="Times New Roman"/>
                <w:snapToGrid/>
                <w:sz w:val="20"/>
              </w:rPr>
              <w:t>07</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R, OL</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6.5 mths</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Low</w:t>
            </w:r>
          </w:p>
        </w:tc>
        <w:tc>
          <w:tcPr>
            <w:tcW w:w="714" w:type="pct"/>
            <w:shd w:val="clear" w:color="auto" w:fill="auto"/>
            <w:vAlign w:val="center"/>
          </w:tcPr>
          <w:p w:rsidR="00C31073" w:rsidRPr="007E1812" w:rsidRDefault="00C03447"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 xml:space="preserve">PD after crizotinib </w:t>
            </w:r>
            <w:r w:rsidR="00C31073" w:rsidRPr="007E1812">
              <w:rPr>
                <w:rFonts w:ascii="Arial Narrow" w:hAnsi="Arial Narrow" w:cs="Times New Roman"/>
                <w:snapToGrid/>
                <w:sz w:val="20"/>
              </w:rPr>
              <w:t>and chemotherapy</w:t>
            </w:r>
          </w:p>
        </w:tc>
        <w:tc>
          <w:tcPr>
            <w:tcW w:w="714"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PFS, OS, ORR, HRQoL</w:t>
            </w:r>
          </w:p>
        </w:tc>
        <w:tc>
          <w:tcPr>
            <w:tcW w:w="715" w:type="pct"/>
            <w:shd w:val="clear" w:color="auto" w:fill="auto"/>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Not used</w:t>
            </w:r>
          </w:p>
        </w:tc>
      </w:tr>
    </w:tbl>
    <w:p w:rsidR="00C31073" w:rsidRPr="007E1812" w:rsidRDefault="00C31073" w:rsidP="00620BD3">
      <w:pPr>
        <w:keepNext/>
        <w:keepLines/>
        <w:widowControl/>
        <w:rPr>
          <w:rFonts w:ascii="Arial Narrow" w:hAnsi="Arial Narrow"/>
          <w:sz w:val="18"/>
        </w:rPr>
      </w:pPr>
      <w:r w:rsidRPr="007E1812">
        <w:rPr>
          <w:rFonts w:ascii="Arial Narrow" w:hAnsi="Arial Narrow"/>
          <w:sz w:val="18"/>
        </w:rPr>
        <w:t xml:space="preserve">HRQoL = health-related quality of life; OL=open label; OS=overall survival; PFS=progression-free survival; iORR = intracranial objective response rate; ORR = objective response rate; R=randomised; S = single arm study; </w:t>
      </w:r>
    </w:p>
    <w:p w:rsidR="00833081" w:rsidRPr="007E1812" w:rsidRDefault="00833081" w:rsidP="00620BD3">
      <w:pPr>
        <w:keepNext/>
        <w:keepLines/>
        <w:widowControl/>
        <w:rPr>
          <w:rFonts w:ascii="Arial Narrow" w:hAnsi="Arial Narrow"/>
          <w:iCs/>
          <w:sz w:val="18"/>
        </w:rPr>
      </w:pPr>
      <w:r w:rsidRPr="007E1812">
        <w:rPr>
          <w:rFonts w:ascii="Arial Narrow" w:hAnsi="Arial Narrow"/>
          <w:iCs/>
          <w:sz w:val="18"/>
          <w:vertAlign w:val="superscript"/>
        </w:rPr>
        <w:t>a</w:t>
      </w:r>
      <w:r w:rsidRPr="007E1812">
        <w:rPr>
          <w:rFonts w:ascii="Arial Narrow" w:hAnsi="Arial Narrow"/>
          <w:iCs/>
          <w:sz w:val="18"/>
        </w:rPr>
        <w:t xml:space="preserve"> ALTA-1L included patients previously treated with chemotherapy whereases the patient cohort in ALEX </w:t>
      </w:r>
      <w:r w:rsidR="00B4368E" w:rsidRPr="007E1812">
        <w:rPr>
          <w:rFonts w:ascii="Arial Narrow" w:hAnsi="Arial Narrow"/>
          <w:iCs/>
          <w:sz w:val="18"/>
        </w:rPr>
        <w:t>was</w:t>
      </w:r>
      <w:r w:rsidRPr="007E1812">
        <w:rPr>
          <w:rFonts w:ascii="Arial Narrow" w:hAnsi="Arial Narrow"/>
          <w:iCs/>
          <w:sz w:val="18"/>
        </w:rPr>
        <w:t xml:space="preserve"> treatment naïve including chemotherapy</w:t>
      </w:r>
    </w:p>
    <w:p w:rsidR="00C31073" w:rsidRPr="007E1812" w:rsidRDefault="00C31073" w:rsidP="00620BD3">
      <w:pPr>
        <w:keepNext/>
        <w:keepLines/>
        <w:widowControl/>
        <w:spacing w:after="240"/>
        <w:rPr>
          <w:rFonts w:ascii="Arial Narrow" w:hAnsi="Arial Narrow"/>
          <w:sz w:val="18"/>
        </w:rPr>
      </w:pPr>
      <w:r w:rsidRPr="007E1812">
        <w:rPr>
          <w:rFonts w:ascii="Arial Narrow" w:hAnsi="Arial Narrow"/>
          <w:sz w:val="18"/>
        </w:rPr>
        <w:t>Source: Developed during the evaluation</w:t>
      </w:r>
    </w:p>
    <w:p w:rsidR="00C31073" w:rsidRPr="007E1812" w:rsidRDefault="00C31073" w:rsidP="00620BD3">
      <w:pPr>
        <w:pStyle w:val="Heading3"/>
        <w:widowControl/>
      </w:pPr>
      <w:r w:rsidRPr="007E1812">
        <w:t>First-line setting</w:t>
      </w:r>
    </w:p>
    <w:p w:rsidR="00C31073" w:rsidRPr="007E1812" w:rsidRDefault="00C31073" w:rsidP="00620BD3">
      <w:pPr>
        <w:widowControl/>
        <w:numPr>
          <w:ilvl w:val="1"/>
          <w:numId w:val="1"/>
        </w:numPr>
        <w:spacing w:before="120" w:after="120"/>
      </w:pPr>
      <w:r w:rsidRPr="007E1812">
        <w:t xml:space="preserve">ALTA-1L </w:t>
      </w:r>
      <w:r w:rsidR="00905999" w:rsidRPr="007E1812">
        <w:t>was</w:t>
      </w:r>
      <w:r w:rsidRPr="007E1812">
        <w:t xml:space="preserve"> an ongoing study</w:t>
      </w:r>
      <w:r w:rsidR="005F0C24" w:rsidRPr="007E1812">
        <w:t xml:space="preserve"> at the time of </w:t>
      </w:r>
      <w:r w:rsidR="00905999" w:rsidRPr="007E1812">
        <w:t>submission</w:t>
      </w:r>
      <w:r w:rsidRPr="007E1812">
        <w:t>. The clinical data presented for brigatinib were from the first interim analysis of ALTA-1L (data cut-off date of 19</w:t>
      </w:r>
      <w:r w:rsidR="00B4368E" w:rsidRPr="007E1812">
        <w:t> </w:t>
      </w:r>
      <w:r w:rsidRPr="007E1812">
        <w:t xml:space="preserve">February 2018). The median duration of follow-up in ALTA-1L (11.0 months) was relatively short compared with the available data for ALEX (27.8 months for alectinib). At the time of </w:t>
      </w:r>
      <w:r w:rsidR="00B4368E" w:rsidRPr="007E1812">
        <w:t xml:space="preserve">the </w:t>
      </w:r>
      <w:r w:rsidR="0004725F" w:rsidRPr="007E1812">
        <w:t>February 2018</w:t>
      </w:r>
      <w:r w:rsidR="00B4368E" w:rsidRPr="007E1812">
        <w:t xml:space="preserve"> </w:t>
      </w:r>
      <w:r w:rsidRPr="007E1812">
        <w:t xml:space="preserve">data cut-off, there were 95/137 (69.3%) patients continuing on brigatinib in ALTA-1L. </w:t>
      </w:r>
      <w:r w:rsidR="00072C43" w:rsidRPr="007E1812">
        <w:t>The data from that study were</w:t>
      </w:r>
      <w:r w:rsidRPr="007E1812">
        <w:t xml:space="preserve"> thus immature with respect to the longer-term assessment of efficacy and safety.</w:t>
      </w:r>
      <w:r w:rsidR="001C56C5" w:rsidRPr="007E1812">
        <w:t xml:space="preserve"> The ESC noted that the pre-PBAC response could update the PBAC </w:t>
      </w:r>
      <w:r w:rsidR="006C6EA3" w:rsidRPr="007E1812">
        <w:t>on</w:t>
      </w:r>
      <w:r w:rsidR="001C56C5" w:rsidRPr="007E1812">
        <w:t xml:space="preserve"> the results from this second data cut. </w:t>
      </w:r>
      <w:r w:rsidR="00393DAA" w:rsidRPr="007E1812">
        <w:t>In response to the ESC’s advice,</w:t>
      </w:r>
      <w:r w:rsidR="001C56C5" w:rsidRPr="007E1812">
        <w:t xml:space="preserve"> </w:t>
      </w:r>
      <w:r w:rsidR="00393DAA" w:rsidRPr="007E1812">
        <w:t>t</w:t>
      </w:r>
      <w:r w:rsidR="006C0590" w:rsidRPr="007E1812">
        <w:t xml:space="preserve">he second interim analysis from the recent data cut-off </w:t>
      </w:r>
      <w:r w:rsidR="006C0590" w:rsidRPr="00415CE3">
        <w:t>(</w:t>
      </w:r>
      <w:r w:rsidR="00415CE3" w:rsidRPr="00415CE3">
        <w:t>28 June 2019</w:t>
      </w:r>
      <w:r w:rsidR="006C0590" w:rsidRPr="00415CE3">
        <w:t>) was</w:t>
      </w:r>
      <w:r w:rsidR="006C0590" w:rsidRPr="007E1812">
        <w:t xml:space="preserve"> presented in the pre-PBAC response.</w:t>
      </w:r>
    </w:p>
    <w:p w:rsidR="00C31073" w:rsidRPr="007E1812" w:rsidRDefault="00C31073" w:rsidP="00620BD3">
      <w:pPr>
        <w:widowControl/>
        <w:numPr>
          <w:ilvl w:val="1"/>
          <w:numId w:val="1"/>
        </w:numPr>
        <w:spacing w:before="120" w:after="120"/>
      </w:pPr>
      <w:r w:rsidRPr="007E1812">
        <w:t>The following differences were noted in the baseline characteristics for patients in the studies in the first-line setting:</w:t>
      </w:r>
    </w:p>
    <w:p w:rsidR="00C31073" w:rsidRPr="007E1812" w:rsidRDefault="00C31073" w:rsidP="00620BD3">
      <w:pPr>
        <w:widowControl/>
        <w:numPr>
          <w:ilvl w:val="2"/>
          <w:numId w:val="1"/>
        </w:numPr>
        <w:spacing w:before="120" w:after="120"/>
        <w:ind w:left="1418" w:hanging="709"/>
      </w:pPr>
      <w:r w:rsidRPr="007E1812">
        <w:t>Both trials enrolled patients who were naïve to prior TKI treatment. Approximately 26% of patients in each arm of ALTA-1L received prior chemotherapy while patients in ALEX were chemotherapy naive. As such, the population of ALTA-1L could be considered to be more heavily pre-treated, and this difference may have an impact on the expected ef</w:t>
      </w:r>
      <w:r w:rsidR="00982E82" w:rsidRPr="007E1812">
        <w:t>fectiveness of treatment, but was</w:t>
      </w:r>
      <w:r w:rsidRPr="007E1812">
        <w:t xml:space="preserve"> unlikely to favour brigatinib in the ITC. Results from ALTA-1L show</w:t>
      </w:r>
      <w:r w:rsidR="00982E82" w:rsidRPr="007E1812">
        <w:t>ed</w:t>
      </w:r>
      <w:r w:rsidRPr="007E1812">
        <w:t xml:space="preserve"> that the treatment effect for PFS was improved in patients who received prior chemotherapy. Whether the treatment effect with alectinib would be affected by prior chemotherapy was not addressed in the submission. </w:t>
      </w:r>
      <w:r w:rsidRPr="007E1812">
        <w:rPr>
          <w:iCs/>
        </w:rPr>
        <w:t>Therefore, it was unclear whether imbalance in prior chemotherapy would result in bias in favour of brigatinib.</w:t>
      </w:r>
      <w:r w:rsidRPr="007E1812">
        <w:t xml:space="preserve"> </w:t>
      </w:r>
    </w:p>
    <w:p w:rsidR="00C31073" w:rsidRPr="007E1812" w:rsidRDefault="00C31073" w:rsidP="00620BD3">
      <w:pPr>
        <w:widowControl/>
        <w:numPr>
          <w:ilvl w:val="2"/>
          <w:numId w:val="1"/>
        </w:numPr>
        <w:spacing w:before="120" w:after="120"/>
        <w:ind w:left="1418"/>
      </w:pPr>
      <w:r w:rsidRPr="007E1812">
        <w:lastRenderedPageBreak/>
        <w:t>The proportion of patients with ECOG score 0 in ALTA-1L (43%) was</w:t>
      </w:r>
      <w:r w:rsidR="00AE4072" w:rsidRPr="007E1812">
        <w:t xml:space="preserve"> higher than in ALEX (32%, Peter et al 2017</w:t>
      </w:r>
      <w:r w:rsidRPr="007E1812">
        <w:t xml:space="preserve">). Given that patients having better ECOG score were likely to gain more benefit from the treatment from both trials, </w:t>
      </w:r>
      <w:r w:rsidRPr="007E1812">
        <w:rPr>
          <w:iCs/>
        </w:rPr>
        <w:t>this imbalance might bias in favour of brigatinib.</w:t>
      </w:r>
      <w:r w:rsidRPr="007E1812">
        <w:t xml:space="preserve"> </w:t>
      </w:r>
    </w:p>
    <w:p w:rsidR="00C31073" w:rsidRPr="007E1812" w:rsidRDefault="00C31073" w:rsidP="00620BD3">
      <w:pPr>
        <w:widowControl/>
        <w:numPr>
          <w:ilvl w:val="1"/>
          <w:numId w:val="1"/>
        </w:numPr>
        <w:spacing w:before="120" w:after="120"/>
      </w:pPr>
      <w:r w:rsidRPr="007E1812">
        <w:t>Crossover was not permitted in ALEX but was in ALTA-1L. Crossover from crizotinib to brigatinib was permitted for patients who had experienced objective progression. Of the 138 patients initially randomised to crizotinib, 35 (25%) experienced progression and switched therapy to brigati</w:t>
      </w:r>
      <w:r w:rsidR="0075344A" w:rsidRPr="007E1812">
        <w:t>nib (ALTA-1L CSR</w:t>
      </w:r>
      <w:r w:rsidRPr="007E1812">
        <w:t xml:space="preserve">). There was no report of patients switching from brigatinib to crizotinib. There </w:t>
      </w:r>
      <w:r w:rsidR="007067A9" w:rsidRPr="007E1812">
        <w:t xml:space="preserve">were </w:t>
      </w:r>
      <w:r w:rsidRPr="007E1812">
        <w:t xml:space="preserve">limited baseline characteristics of the crossover patients provided in the submission. However, the impact of crossover was not </w:t>
      </w:r>
      <w:r w:rsidR="00412DA9" w:rsidRPr="007E1812">
        <w:t xml:space="preserve">considered </w:t>
      </w:r>
      <w:r w:rsidR="007E33DC" w:rsidRPr="007E1812">
        <w:t>relevant</w:t>
      </w:r>
      <w:r w:rsidRPr="007E1812">
        <w:t xml:space="preserve"> for the main treatment effect in the submission (PFS). This was reasonable.</w:t>
      </w:r>
    </w:p>
    <w:p w:rsidR="00C31073" w:rsidRPr="007E1812" w:rsidRDefault="00C31073" w:rsidP="00620BD3">
      <w:pPr>
        <w:widowControl/>
        <w:numPr>
          <w:ilvl w:val="1"/>
          <w:numId w:val="1"/>
        </w:numPr>
        <w:spacing w:before="120" w:after="120"/>
      </w:pPr>
      <w:r w:rsidRPr="007E1812">
        <w:t xml:space="preserve">Continuation of treatment beyond progression was allowed in ALTA-1L and ALEX. However, it was likely to be more restricted in ALEX where only patients with asymptomatic CNS progression were allowed to continue treatment beyond progression. Given that ALTA-1L </w:t>
      </w:r>
      <w:r w:rsidR="00E95DD9" w:rsidRPr="007E1812">
        <w:t>was</w:t>
      </w:r>
      <w:r w:rsidRPr="007E1812">
        <w:t xml:space="preserve"> still ongoing with relatively short follow-up, the full benefits gained (OS and health-related quality of life; HRQoL) from continuation of treatment beyond progression remain unknown</w:t>
      </w:r>
      <w:r w:rsidR="000C5F62" w:rsidRPr="007E1812">
        <w:t xml:space="preserve">. </w:t>
      </w:r>
      <w:r w:rsidR="001C56C5" w:rsidRPr="007E1812">
        <w:t>Results from the second data cut could help to inform this.</w:t>
      </w:r>
    </w:p>
    <w:p w:rsidR="00C31073" w:rsidRPr="007E1812" w:rsidRDefault="00C31073" w:rsidP="00620BD3">
      <w:pPr>
        <w:widowControl/>
        <w:numPr>
          <w:ilvl w:val="1"/>
          <w:numId w:val="1"/>
        </w:numPr>
        <w:spacing w:before="120" w:after="120"/>
      </w:pPr>
      <w:r w:rsidRPr="007E1812">
        <w:t xml:space="preserve">PFS was the primary outcome in both ALTA-1L and ALEX, primarily assessed by the IRC in ALTA-1L and by investigators in ALEX, and conversely in either study. The base case PFS outcome used in the submission was from the IRC assessment from both </w:t>
      </w:r>
      <w:r w:rsidR="00345974" w:rsidRPr="007E1812">
        <w:t>trials</w:t>
      </w:r>
      <w:r w:rsidR="003347C2" w:rsidRPr="007E1812">
        <w:t>, and that t</w:t>
      </w:r>
      <w:r w:rsidRPr="007E1812">
        <w:t>he results assessed by either the IRC or investigators within each of the trials were consistent, suggesting a low chance of bias between the methods.</w:t>
      </w:r>
    </w:p>
    <w:p w:rsidR="00C31073" w:rsidRPr="007E1812" w:rsidRDefault="00C31073" w:rsidP="00620BD3">
      <w:pPr>
        <w:widowControl/>
        <w:numPr>
          <w:ilvl w:val="1"/>
          <w:numId w:val="1"/>
        </w:numPr>
        <w:spacing w:before="120" w:after="120"/>
      </w:pPr>
      <w:r w:rsidRPr="007E1812">
        <w:t xml:space="preserve">The submission presented a minimum clinically important difference (MCID) for PFS in ALTA-1L and ALEX that was based on results of previous studies. Comparative effectiveness in the submission was mainly based on the statistical approaches from the ITC for (PFS, ORR, and iORR). However, </w:t>
      </w:r>
      <w:r w:rsidR="00AF6B56" w:rsidRPr="007E1812">
        <w:rPr>
          <w:iCs/>
        </w:rPr>
        <w:t>the submission did not pre</w:t>
      </w:r>
      <w:r w:rsidR="002A7D64" w:rsidRPr="007E1812">
        <w:rPr>
          <w:iCs/>
        </w:rPr>
        <w:t>-</w:t>
      </w:r>
      <w:r w:rsidR="00AF6B56" w:rsidRPr="007E1812">
        <w:rPr>
          <w:iCs/>
        </w:rPr>
        <w:t>specify a non-inferiority margin for these outcomes</w:t>
      </w:r>
      <w:r w:rsidR="00AF6B56" w:rsidRPr="007E1812">
        <w:t>.</w:t>
      </w:r>
    </w:p>
    <w:p w:rsidR="00C31073" w:rsidRPr="007E1812" w:rsidRDefault="00C31073" w:rsidP="00620BD3">
      <w:pPr>
        <w:pStyle w:val="Heading3"/>
        <w:widowControl/>
      </w:pPr>
      <w:r w:rsidRPr="007E1812">
        <w:t>Second-line setting</w:t>
      </w:r>
    </w:p>
    <w:p w:rsidR="00C31073" w:rsidRPr="007E1812" w:rsidRDefault="00C31073" w:rsidP="00620BD3">
      <w:pPr>
        <w:widowControl/>
        <w:numPr>
          <w:ilvl w:val="1"/>
          <w:numId w:val="1"/>
        </w:numPr>
        <w:spacing w:before="120" w:after="120"/>
      </w:pPr>
      <w:r w:rsidRPr="007E1812">
        <w:t xml:space="preserve">Study 201-ALTA was an RCT in </w:t>
      </w:r>
      <w:r w:rsidR="001C56C5" w:rsidRPr="007E1812">
        <w:t>second line post-</w:t>
      </w:r>
      <w:r w:rsidR="002A563F" w:rsidRPr="007E1812">
        <w:t xml:space="preserve">crizotinib </w:t>
      </w:r>
      <w:r w:rsidRPr="007E1812">
        <w:t>ALK positive NSCLC patients</w:t>
      </w:r>
      <w:r w:rsidR="007F2DF4" w:rsidRPr="007E1812">
        <w:t>,</w:t>
      </w:r>
      <w:r w:rsidR="00C51847" w:rsidRPr="007E1812">
        <w:t xml:space="preserve"> </w:t>
      </w:r>
      <w:r w:rsidRPr="007E1812">
        <w:t xml:space="preserve">which compared two dose groups of brigatinib (90 mg and 180 mg). Only results from the 180 mg dose group (n=110) were presented as relevant for the comparison with alectinib. Similarly, ALUR was an RCT in </w:t>
      </w:r>
      <w:r w:rsidR="001C56C5" w:rsidRPr="007E1812">
        <w:t>second line post-</w:t>
      </w:r>
      <w:r w:rsidR="00945520" w:rsidRPr="007E1812">
        <w:t xml:space="preserve">crizotinib </w:t>
      </w:r>
      <w:r w:rsidRPr="007E1812">
        <w:t>ALK positive NSCLC patients</w:t>
      </w:r>
      <w:r w:rsidR="00316F43" w:rsidRPr="007E1812">
        <w:t>,</w:t>
      </w:r>
      <w:r w:rsidR="00C51847" w:rsidRPr="007E1812">
        <w:t xml:space="preserve"> </w:t>
      </w:r>
      <w:r w:rsidRPr="007E1812">
        <w:t xml:space="preserve">which compared alectinib with chemotherapy. Only results from the alectinib dose group (n=72) were presented as relevant for the comparison with brigatinib. The submission thus presented a naïve comparison of single arms from RCTs without a common reference. While evidence of within study relative effects were presented (relative to the 90 mg dose group for brigatinib and relative to </w:t>
      </w:r>
      <w:r w:rsidRPr="007E1812">
        <w:lastRenderedPageBreak/>
        <w:t>chemotherapy for alectinib) these could not be utilised in forming an indirect comparison of brigatinib with alectinib in the second-line setting.</w:t>
      </w:r>
    </w:p>
    <w:p w:rsidR="00C31073" w:rsidRPr="007E1812" w:rsidRDefault="00C31073" w:rsidP="00620BD3">
      <w:pPr>
        <w:widowControl/>
        <w:numPr>
          <w:ilvl w:val="1"/>
          <w:numId w:val="1"/>
        </w:numPr>
        <w:spacing w:before="120" w:after="120"/>
      </w:pPr>
      <w:r w:rsidRPr="007E1812">
        <w:t>The following differences were noted in the baseline characteristics for patients in Study 201-ALTA (brigatinib) and ALUR (alectinib) in the second-line setting:</w:t>
      </w:r>
    </w:p>
    <w:p w:rsidR="00C31073" w:rsidRPr="007E1812" w:rsidRDefault="00C31073" w:rsidP="00620BD3">
      <w:pPr>
        <w:widowControl/>
        <w:numPr>
          <w:ilvl w:val="2"/>
          <w:numId w:val="1"/>
        </w:numPr>
        <w:spacing w:before="120" w:after="120"/>
        <w:ind w:left="1418"/>
      </w:pPr>
      <w:r w:rsidRPr="007E1812">
        <w:t xml:space="preserve">There were imbalances between patients in the 180 mg arm brigatinib in Study 201-ALTA and alectinib arm in ALUR for sex (58% vs 43% female), race (27.3% vs 6.9% Asian), smoking status (57% vs 49% never smoke). </w:t>
      </w:r>
      <w:r w:rsidRPr="007E1812">
        <w:rPr>
          <w:iCs/>
        </w:rPr>
        <w:t>Due to lack of a common reference in these trials, whether these differences would introduce bias was unclear.</w:t>
      </w:r>
      <w:r w:rsidRPr="007E1812">
        <w:t xml:space="preserve"> </w:t>
      </w:r>
    </w:p>
    <w:p w:rsidR="00C31073" w:rsidRPr="007E1812" w:rsidRDefault="00C31073" w:rsidP="00620BD3">
      <w:pPr>
        <w:widowControl/>
        <w:numPr>
          <w:ilvl w:val="2"/>
          <w:numId w:val="1"/>
        </w:numPr>
        <w:spacing w:before="120" w:after="120"/>
        <w:ind w:left="1418"/>
      </w:pPr>
      <w:r w:rsidRPr="007E1812">
        <w:t>All patients in ALUR received prior platinum chemotherapy, while only 72.7% of patients in Study 201-</w:t>
      </w:r>
      <w:r w:rsidR="0088454F" w:rsidRPr="007E1812">
        <w:t>ALTA</w:t>
      </w:r>
      <w:r w:rsidRPr="007E1812">
        <w:t xml:space="preserve"> received such treatment. There were no further details of patients </w:t>
      </w:r>
      <w:r w:rsidR="00D124EF" w:rsidRPr="007E1812">
        <w:t xml:space="preserve">who </w:t>
      </w:r>
      <w:r w:rsidRPr="007E1812">
        <w:t xml:space="preserve">did not receive prior platinum-based chemotherapy in Study 201-ALTA provided by the submission. Prior radiotherapy was higher for Study 201-ALTA study than ALUR (53% vs 35%). Based on results from subgroups analysis from these trials, </w:t>
      </w:r>
      <w:r w:rsidR="001C56C5" w:rsidRPr="007E1812">
        <w:t xml:space="preserve">neither </w:t>
      </w:r>
      <w:r w:rsidRPr="007E1812">
        <w:t>of these factors were likely to be associated with the observed treatment effects, noting that these studies were unlikely to be powered to detect treatment effects in these subgroup analyses.</w:t>
      </w:r>
    </w:p>
    <w:p w:rsidR="00C31073" w:rsidRPr="007E1812" w:rsidRDefault="00C31073" w:rsidP="00620BD3">
      <w:pPr>
        <w:widowControl/>
        <w:numPr>
          <w:ilvl w:val="2"/>
          <w:numId w:val="1"/>
        </w:numPr>
        <w:spacing w:before="120" w:after="120"/>
        <w:ind w:left="1418"/>
      </w:pPr>
      <w:r w:rsidRPr="007E1812">
        <w:t>In ALUR, patients with CNS metastases were included if asymptomatic, or symptomatic and ineligible for radiotherapy. In Study 201-ALTA</w:t>
      </w:r>
      <w:r w:rsidR="00D745A0" w:rsidRPr="007E1812">
        <w:t>,</w:t>
      </w:r>
      <w:r w:rsidRPr="007E1812">
        <w:t xml:space="preserve"> patients were excluded if they had symptomatic CNS metastases that were neurologically unstable or required an increasing dose of corticosteroids. In terms of symptomatic CNS metastases, ALUR might include more patients with a worse prognosis (based on ineligible for radiotherapy), while Study 201-ALTA might exclude more patients with a worse prognosis (neurologically unstable or required an increasing dose of corticosteroids). </w:t>
      </w:r>
      <w:r w:rsidRPr="007E1812">
        <w:rPr>
          <w:iCs/>
        </w:rPr>
        <w:t>However, it was unclear whether this difference would introduce bias in favour of brigatinib.</w:t>
      </w:r>
    </w:p>
    <w:p w:rsidR="00C31073" w:rsidRPr="007E1812" w:rsidRDefault="00C31073" w:rsidP="00620BD3">
      <w:pPr>
        <w:widowControl/>
        <w:numPr>
          <w:ilvl w:val="1"/>
          <w:numId w:val="1"/>
        </w:numPr>
        <w:spacing w:before="120" w:after="120"/>
      </w:pPr>
      <w:r w:rsidRPr="007E1812">
        <w:t xml:space="preserve">There was also a difference in </w:t>
      </w:r>
      <w:r w:rsidR="001C56C5" w:rsidRPr="007E1812">
        <w:t xml:space="preserve">the </w:t>
      </w:r>
      <w:r w:rsidRPr="007E1812">
        <w:t xml:space="preserve">primary </w:t>
      </w:r>
      <w:r w:rsidR="001C56C5" w:rsidRPr="007E1812">
        <w:t xml:space="preserve">outcome measures </w:t>
      </w:r>
      <w:r w:rsidRPr="007E1812">
        <w:t>between Study 201-ALTA and ALUR. PFS by investigator assessment was the primary outcome in ALUR but a secondary outcome in Study 201-ALTA. In both trials, PFS was assessed by IRC and investigators. The main results presented in the submission and used as the basis to compare brigatinib with alectinib in the second-line setting were from the IRC assessment of PFS from both trials.</w:t>
      </w:r>
    </w:p>
    <w:p w:rsidR="00C31073" w:rsidRPr="007E1812" w:rsidRDefault="00C31073" w:rsidP="00620BD3">
      <w:pPr>
        <w:pStyle w:val="ListParagraph"/>
        <w:widowControl/>
        <w:numPr>
          <w:ilvl w:val="1"/>
          <w:numId w:val="1"/>
        </w:numPr>
        <w:spacing w:before="120" w:after="120"/>
      </w:pPr>
      <w:r w:rsidRPr="007E1812">
        <w:t>The median duration of follow-up in Study 201-ALTA (</w:t>
      </w:r>
      <w:r w:rsidR="00F54A8A" w:rsidRPr="007E1812">
        <w:t>31 May 2016 data cut-off</w:t>
      </w:r>
      <w:r w:rsidRPr="007E1812">
        <w:t>: 11</w:t>
      </w:r>
      <w:r w:rsidR="00D745A0" w:rsidRPr="007E1812">
        <w:t> </w:t>
      </w:r>
      <w:r w:rsidRPr="007E1812">
        <w:t xml:space="preserve">months, </w:t>
      </w:r>
      <w:r w:rsidR="00F54A8A" w:rsidRPr="007E1812">
        <w:t xml:space="preserve">1 August </w:t>
      </w:r>
      <w:r w:rsidR="00321773" w:rsidRPr="007E1812">
        <w:t>2017</w:t>
      </w:r>
      <w:r w:rsidR="00C814C9" w:rsidRPr="007E1812">
        <w:t xml:space="preserve"> </w:t>
      </w:r>
      <w:r w:rsidR="00F54A8A" w:rsidRPr="007E1812">
        <w:t>data cut-off:</w:t>
      </w:r>
      <w:r w:rsidRPr="007E1812">
        <w:t xml:space="preserve"> 17.9 month</w:t>
      </w:r>
      <w:r w:rsidR="00D745A0" w:rsidRPr="007E1812">
        <w:t>s) was longer than in ALUR (6.5 </w:t>
      </w:r>
      <w:r w:rsidRPr="007E1812">
        <w:t>months). There was a significant difference in duration of treatment between brigatinib and alectinib. Apart from longer PFS time for brigatinib than alectinib, a longer duration of treatment might be partly explained by more patients receiving treatment beyond progression of disease in Study 201-ALTA for bri</w:t>
      </w:r>
      <w:r w:rsidR="004F5F93" w:rsidRPr="007E1812">
        <w:t>gatinib (25/110; 23%</w:t>
      </w:r>
      <w:r w:rsidRPr="007E1812">
        <w:t>) than in ALUR for alectinib (4/72; 5</w:t>
      </w:r>
      <w:r w:rsidR="004F5F93" w:rsidRPr="007E1812">
        <w:t>.5%</w:t>
      </w:r>
      <w:r w:rsidR="00AB1F7A" w:rsidRPr="007E1812">
        <w:t xml:space="preserve">, </w:t>
      </w:r>
      <w:r w:rsidR="00AB1F7A" w:rsidRPr="007E1812">
        <w:rPr>
          <w:iCs/>
        </w:rPr>
        <w:t>Novello et al 2018</w:t>
      </w:r>
      <w:r w:rsidRPr="007E1812">
        <w:t xml:space="preserve">). </w:t>
      </w:r>
    </w:p>
    <w:p w:rsidR="00C31073" w:rsidRPr="007E1812" w:rsidRDefault="00C31073" w:rsidP="00620BD3">
      <w:pPr>
        <w:pStyle w:val="Heading2"/>
        <w:widowControl/>
        <w:spacing w:before="120" w:after="120"/>
      </w:pPr>
      <w:bookmarkStart w:id="31" w:name="_Toc371170706"/>
      <w:bookmarkStart w:id="32" w:name="_Toc18922041"/>
      <w:bookmarkStart w:id="33" w:name="_Toc19710259"/>
      <w:r w:rsidRPr="007E1812">
        <w:lastRenderedPageBreak/>
        <w:t>Comparative effectiveness</w:t>
      </w:r>
      <w:bookmarkEnd w:id="31"/>
      <w:bookmarkEnd w:id="32"/>
      <w:bookmarkEnd w:id="33"/>
    </w:p>
    <w:p w:rsidR="00C31073" w:rsidRPr="007E1812" w:rsidRDefault="00C31073" w:rsidP="00620BD3">
      <w:pPr>
        <w:pStyle w:val="Heading3"/>
        <w:widowControl/>
      </w:pPr>
      <w:r w:rsidRPr="007E1812">
        <w:t>First-line setting</w:t>
      </w:r>
    </w:p>
    <w:p w:rsidR="00C31073" w:rsidRPr="00084780" w:rsidRDefault="00C31073" w:rsidP="00084780">
      <w:pPr>
        <w:numPr>
          <w:ilvl w:val="1"/>
          <w:numId w:val="1"/>
        </w:numPr>
        <w:suppressLineNumbers/>
        <w:suppressAutoHyphens/>
        <w:spacing w:before="120" w:after="120"/>
        <w:rPr>
          <w:rFonts w:asciiTheme="minorHAnsi" w:hAnsiTheme="minorHAnsi" w:cstheme="minorHAnsi"/>
          <w:szCs w:val="24"/>
        </w:rPr>
      </w:pPr>
      <w:r w:rsidRPr="007E1812">
        <w:t xml:space="preserve">A summary of the PFS results for ALTA-1L and ALEX is presented in </w:t>
      </w:r>
      <w:r w:rsidR="00D745A0" w:rsidRPr="007E1812">
        <w:t>Table 5</w:t>
      </w:r>
      <w:r w:rsidRPr="007E1812">
        <w:t xml:space="preserve">, with the corresponding Kaplan-Meier </w:t>
      </w:r>
      <w:r w:rsidR="003F7DF9" w:rsidRPr="007E1812">
        <w:t xml:space="preserve">(KM) </w:t>
      </w:r>
      <w:r w:rsidRPr="007E1812">
        <w:rPr>
          <w:rFonts w:asciiTheme="minorHAnsi" w:hAnsiTheme="minorHAnsi" w:cstheme="minorHAnsi"/>
          <w:szCs w:val="24"/>
        </w:rPr>
        <w:t xml:space="preserve">curves in </w:t>
      </w:r>
      <w:r w:rsidR="00084780" w:rsidRPr="00084780">
        <w:rPr>
          <w:rFonts w:asciiTheme="minorHAnsi" w:hAnsiTheme="minorHAnsi" w:cstheme="minorHAnsi"/>
          <w:szCs w:val="24"/>
        </w:rPr>
        <w:t>Figure</w:t>
      </w:r>
      <w:r w:rsidR="00084780" w:rsidRPr="00084780">
        <w:rPr>
          <w:rFonts w:asciiTheme="minorHAnsi" w:hAnsiTheme="minorHAnsi"/>
          <w:szCs w:val="24"/>
        </w:rPr>
        <w:t xml:space="preserve"> </w:t>
      </w:r>
      <w:r w:rsidR="00084780" w:rsidRPr="007E1812">
        <w:rPr>
          <w:noProof/>
        </w:rPr>
        <w:t>1</w:t>
      </w:r>
      <w:r w:rsidR="00D124EF" w:rsidRPr="00084780">
        <w:rPr>
          <w:rFonts w:asciiTheme="minorHAnsi" w:hAnsiTheme="minorHAnsi" w:cstheme="minorHAnsi"/>
          <w:b/>
          <w:bCs/>
          <w:color w:val="4F81BD" w:themeColor="accent1"/>
          <w:szCs w:val="24"/>
        </w:rPr>
        <w:t xml:space="preserve"> </w:t>
      </w:r>
      <w:r w:rsidRPr="00084780">
        <w:rPr>
          <w:rFonts w:asciiTheme="minorHAnsi" w:hAnsiTheme="minorHAnsi" w:cstheme="minorHAnsi"/>
          <w:szCs w:val="24"/>
        </w:rPr>
        <w:t xml:space="preserve">and </w:t>
      </w:r>
      <w:r w:rsidR="00084780" w:rsidRPr="00084780">
        <w:rPr>
          <w:rFonts w:asciiTheme="minorHAnsi" w:hAnsiTheme="minorHAnsi" w:cstheme="minorHAnsi"/>
          <w:szCs w:val="24"/>
        </w:rPr>
        <w:t>Figure 2</w:t>
      </w:r>
      <w:r w:rsidRPr="00084780">
        <w:rPr>
          <w:rFonts w:asciiTheme="minorHAnsi" w:hAnsiTheme="minorHAnsi" w:cstheme="minorHAnsi"/>
          <w:szCs w:val="24"/>
        </w:rPr>
        <w:t>. Both</w:t>
      </w:r>
      <w:r w:rsidRPr="007E1812">
        <w:t xml:space="preserve"> trials demonstrated a statistically significantly higher PFS for brigatinib and alectinib compared with crizotinib. There was a small numerical difference in the HR for PFS between the trials, but the confidence intervals (CIs) overlapped.</w:t>
      </w:r>
      <w:r w:rsidR="003F7DF9" w:rsidRPr="007E1812">
        <w:t xml:space="preserve"> </w:t>
      </w:r>
      <w:r w:rsidR="003F7DF9" w:rsidRPr="00084780">
        <w:rPr>
          <w:iCs/>
        </w:rPr>
        <w:t xml:space="preserve">The ESC noted </w:t>
      </w:r>
      <w:r w:rsidR="00E97833" w:rsidRPr="00084780">
        <w:rPr>
          <w:iCs/>
        </w:rPr>
        <w:t>that the</w:t>
      </w:r>
      <w:r w:rsidR="003F7DF9" w:rsidRPr="00084780">
        <w:rPr>
          <w:iCs/>
        </w:rPr>
        <w:t xml:space="preserve"> 12-month PFS rates</w:t>
      </w:r>
      <w:r w:rsidR="0048781D" w:rsidRPr="00084780">
        <w:rPr>
          <w:iCs/>
        </w:rPr>
        <w:t xml:space="preserve"> </w:t>
      </w:r>
      <w:r w:rsidR="00E97833" w:rsidRPr="00084780">
        <w:rPr>
          <w:iCs/>
        </w:rPr>
        <w:t xml:space="preserve">estimated </w:t>
      </w:r>
      <w:r w:rsidR="00F966CB" w:rsidRPr="00084780">
        <w:rPr>
          <w:iCs/>
        </w:rPr>
        <w:t>from KM extrapolation</w:t>
      </w:r>
      <w:r w:rsidR="003F7DF9" w:rsidRPr="00084780">
        <w:rPr>
          <w:iCs/>
        </w:rPr>
        <w:t xml:space="preserve"> for brigatinib in ALTA-1 and alectinib in ALEX </w:t>
      </w:r>
      <w:r w:rsidR="00996F05" w:rsidRPr="00084780">
        <w:rPr>
          <w:iCs/>
        </w:rPr>
        <w:t>were</w:t>
      </w:r>
      <w:r w:rsidR="00323BBB" w:rsidRPr="00084780">
        <w:rPr>
          <w:iCs/>
        </w:rPr>
        <w:t xml:space="preserve"> comparable</w:t>
      </w:r>
      <w:r w:rsidR="00996F05" w:rsidRPr="00084780">
        <w:rPr>
          <w:iCs/>
        </w:rPr>
        <w:t xml:space="preserve"> at 68.5% and 68.4% respectively</w:t>
      </w:r>
      <w:r w:rsidR="00B253ED" w:rsidRPr="00084780">
        <w:rPr>
          <w:iCs/>
        </w:rPr>
        <w:t>, but the rates in the crizotinib arms were 40.3% and 48.7% respectively. The ESC also noted that</w:t>
      </w:r>
      <w:r w:rsidR="004F488E" w:rsidRPr="00084780">
        <w:rPr>
          <w:iCs/>
        </w:rPr>
        <w:t xml:space="preserve"> follow-up in ALTA-1L </w:t>
      </w:r>
      <w:r w:rsidR="001C56C5" w:rsidRPr="00084780">
        <w:rPr>
          <w:iCs/>
        </w:rPr>
        <w:t xml:space="preserve">based on the first data cut </w:t>
      </w:r>
      <w:r w:rsidR="00072C43" w:rsidRPr="00084780">
        <w:rPr>
          <w:iCs/>
        </w:rPr>
        <w:t>were</w:t>
      </w:r>
      <w:r w:rsidR="00DD668F" w:rsidRPr="00084780">
        <w:rPr>
          <w:iCs/>
        </w:rPr>
        <w:t xml:space="preserve"> particularly</w:t>
      </w:r>
      <w:r w:rsidR="004F488E" w:rsidRPr="00084780">
        <w:rPr>
          <w:iCs/>
        </w:rPr>
        <w:t xml:space="preserve"> immature, such that 69.3% of patients in the brigatinib arm remained on treatment</w:t>
      </w:r>
      <w:r w:rsidR="00996F05" w:rsidRPr="00084780">
        <w:rPr>
          <w:iCs/>
        </w:rPr>
        <w:t xml:space="preserve">. </w:t>
      </w:r>
    </w:p>
    <w:p w:rsidR="00C31073" w:rsidRPr="007E1812" w:rsidRDefault="00C31073" w:rsidP="00127BF7">
      <w:pPr>
        <w:pStyle w:val="Caption"/>
        <w:keepLines/>
        <w:rPr>
          <w:rStyle w:val="CommentReference"/>
          <w:b/>
          <w:szCs w:val="20"/>
        </w:rPr>
      </w:pPr>
      <w:bookmarkStart w:id="34" w:name="_Ref18506497"/>
      <w:r w:rsidRPr="007E1812">
        <w:t xml:space="preserve">Table </w:t>
      </w:r>
      <w:r w:rsidR="007F3D8E" w:rsidRPr="007E1812">
        <w:t>5</w:t>
      </w:r>
      <w:bookmarkEnd w:id="34"/>
      <w:r w:rsidRPr="007E1812">
        <w:t>:</w:t>
      </w:r>
      <w:r w:rsidRPr="007E1812">
        <w:rPr>
          <w:rStyle w:val="CommentReference"/>
          <w:b/>
          <w:bCs w:val="0"/>
          <w:szCs w:val="20"/>
        </w:rPr>
        <w:t xml:space="preserve"> Results of PFS across the trials: time-to-event data</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7: Results of PFS across the trials: time-to-event data"/>
      </w:tblPr>
      <w:tblGrid>
        <w:gridCol w:w="989"/>
        <w:gridCol w:w="991"/>
        <w:gridCol w:w="1276"/>
        <w:gridCol w:w="850"/>
        <w:gridCol w:w="1418"/>
        <w:gridCol w:w="708"/>
        <w:gridCol w:w="850"/>
        <w:gridCol w:w="1135"/>
        <w:gridCol w:w="861"/>
      </w:tblGrid>
      <w:tr w:rsidR="00C31073" w:rsidRPr="007E1812" w:rsidTr="00FC3796">
        <w:trPr>
          <w:tblHeader/>
        </w:trPr>
        <w:tc>
          <w:tcPr>
            <w:tcW w:w="544" w:type="pct"/>
            <w:vMerge w:val="restart"/>
            <w:vAlign w:val="center"/>
          </w:tcPr>
          <w:p w:rsidR="00C31073" w:rsidRPr="007E1812" w:rsidRDefault="00C31073" w:rsidP="00127BF7">
            <w:pPr>
              <w:keepNext/>
              <w:keepLines/>
              <w:widowControl/>
              <w:jc w:val="left"/>
              <w:rPr>
                <w:rFonts w:ascii="Arial Narrow" w:hAnsi="Arial Narrow" w:cs="Times New Roman"/>
                <w:b/>
                <w:snapToGrid/>
                <w:sz w:val="20"/>
              </w:rPr>
            </w:pPr>
            <w:r w:rsidRPr="007E1812">
              <w:rPr>
                <w:rFonts w:ascii="Arial Narrow" w:hAnsi="Arial Narrow" w:cs="Times New Roman"/>
                <w:b/>
                <w:snapToGrid/>
                <w:sz w:val="20"/>
              </w:rPr>
              <w:t>Trial</w:t>
            </w:r>
          </w:p>
        </w:tc>
        <w:tc>
          <w:tcPr>
            <w:tcW w:w="1249" w:type="pct"/>
            <w:gridSpan w:val="2"/>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 xml:space="preserve">Studied intervention </w:t>
            </w:r>
          </w:p>
        </w:tc>
        <w:tc>
          <w:tcPr>
            <w:tcW w:w="1249" w:type="pct"/>
            <w:gridSpan w:val="2"/>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Comparator</w:t>
            </w:r>
            <w:r w:rsidR="00D93361" w:rsidRPr="007E1812">
              <w:rPr>
                <w:rFonts w:ascii="Arial Narrow" w:hAnsi="Arial Narrow" w:cs="Times New Roman"/>
                <w:b/>
                <w:snapToGrid/>
                <w:sz w:val="20"/>
              </w:rPr>
              <w:t xml:space="preserve"> (crizotinib)</w:t>
            </w:r>
          </w:p>
        </w:tc>
        <w:tc>
          <w:tcPr>
            <w:tcW w:w="390" w:type="pct"/>
            <w:vMerge w:val="restart"/>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Dif. in median</w:t>
            </w:r>
          </w:p>
        </w:tc>
        <w:tc>
          <w:tcPr>
            <w:tcW w:w="468" w:type="pct"/>
            <w:vMerge w:val="restart"/>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P value</w:t>
            </w:r>
          </w:p>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(log rank test)</w:t>
            </w:r>
          </w:p>
        </w:tc>
        <w:tc>
          <w:tcPr>
            <w:tcW w:w="625" w:type="pct"/>
            <w:vMerge w:val="restart"/>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Hazard ratio (95% CI)</w:t>
            </w:r>
          </w:p>
        </w:tc>
        <w:tc>
          <w:tcPr>
            <w:tcW w:w="474" w:type="pct"/>
            <w:vMerge w:val="restart"/>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Assessor</w:t>
            </w:r>
          </w:p>
        </w:tc>
      </w:tr>
      <w:tr w:rsidR="00C31073" w:rsidRPr="007E1812" w:rsidTr="00FC3796">
        <w:tc>
          <w:tcPr>
            <w:tcW w:w="544" w:type="pct"/>
            <w:vMerge/>
            <w:vAlign w:val="center"/>
          </w:tcPr>
          <w:p w:rsidR="00C31073" w:rsidRPr="007E1812" w:rsidRDefault="00C31073" w:rsidP="00127BF7">
            <w:pPr>
              <w:keepNext/>
              <w:keepLines/>
              <w:widowControl/>
              <w:jc w:val="left"/>
              <w:rPr>
                <w:rFonts w:ascii="Arial Narrow" w:hAnsi="Arial Narrow" w:cs="Times New Roman"/>
                <w:snapToGrid/>
                <w:sz w:val="20"/>
              </w:rPr>
            </w:pPr>
          </w:p>
        </w:tc>
        <w:tc>
          <w:tcPr>
            <w:tcW w:w="546"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b/>
                <w:snapToGrid/>
                <w:sz w:val="20"/>
              </w:rPr>
              <w:t>n/N with event (%)</w:t>
            </w:r>
          </w:p>
        </w:tc>
        <w:tc>
          <w:tcPr>
            <w:tcW w:w="703"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b/>
                <w:snapToGrid/>
                <w:sz w:val="20"/>
              </w:rPr>
              <w:t>Median time</w:t>
            </w:r>
            <w:r w:rsidR="003B6D6D" w:rsidRPr="007E1812">
              <w:rPr>
                <w:rFonts w:ascii="Arial Narrow" w:hAnsi="Arial Narrow" w:cs="Times New Roman"/>
                <w:b/>
                <w:snapToGrid/>
                <w:sz w:val="20"/>
                <w:vertAlign w:val="superscript"/>
              </w:rPr>
              <w:t>c</w:t>
            </w:r>
            <w:r w:rsidRPr="007E1812">
              <w:rPr>
                <w:rFonts w:ascii="Arial Narrow" w:hAnsi="Arial Narrow" w:cs="Times New Roman"/>
                <w:b/>
                <w:snapToGrid/>
                <w:sz w:val="20"/>
              </w:rPr>
              <w:t xml:space="preserve"> to event (95% CI)</w:t>
            </w:r>
          </w:p>
        </w:tc>
        <w:tc>
          <w:tcPr>
            <w:tcW w:w="468"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b/>
                <w:snapToGrid/>
                <w:sz w:val="20"/>
              </w:rPr>
              <w:t>n/N with event (%)</w:t>
            </w:r>
          </w:p>
        </w:tc>
        <w:tc>
          <w:tcPr>
            <w:tcW w:w="781"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b/>
                <w:snapToGrid/>
                <w:sz w:val="20"/>
              </w:rPr>
              <w:t>Median time to event (95% CI)</w:t>
            </w:r>
          </w:p>
        </w:tc>
        <w:tc>
          <w:tcPr>
            <w:tcW w:w="390" w:type="pct"/>
            <w:vMerge/>
            <w:vAlign w:val="center"/>
          </w:tcPr>
          <w:p w:rsidR="00C31073" w:rsidRPr="007E1812" w:rsidRDefault="00C31073" w:rsidP="00127BF7">
            <w:pPr>
              <w:keepNext/>
              <w:keepLines/>
              <w:widowControl/>
              <w:jc w:val="center"/>
              <w:rPr>
                <w:rFonts w:ascii="Arial Narrow" w:hAnsi="Arial Narrow" w:cs="Times New Roman"/>
                <w:snapToGrid/>
                <w:sz w:val="20"/>
              </w:rPr>
            </w:pPr>
          </w:p>
        </w:tc>
        <w:tc>
          <w:tcPr>
            <w:tcW w:w="468" w:type="pct"/>
            <w:vMerge/>
            <w:vAlign w:val="center"/>
          </w:tcPr>
          <w:p w:rsidR="00C31073" w:rsidRPr="007E1812" w:rsidRDefault="00C31073" w:rsidP="00127BF7">
            <w:pPr>
              <w:keepNext/>
              <w:keepLines/>
              <w:widowControl/>
              <w:jc w:val="center"/>
              <w:rPr>
                <w:rFonts w:ascii="Arial Narrow" w:hAnsi="Arial Narrow" w:cs="Times New Roman"/>
                <w:snapToGrid/>
                <w:sz w:val="20"/>
              </w:rPr>
            </w:pPr>
          </w:p>
        </w:tc>
        <w:tc>
          <w:tcPr>
            <w:tcW w:w="625" w:type="pct"/>
            <w:vMerge/>
            <w:vAlign w:val="center"/>
          </w:tcPr>
          <w:p w:rsidR="00C31073" w:rsidRPr="007E1812" w:rsidRDefault="00C31073" w:rsidP="00127BF7">
            <w:pPr>
              <w:keepNext/>
              <w:keepLines/>
              <w:widowControl/>
              <w:jc w:val="center"/>
              <w:rPr>
                <w:rFonts w:ascii="Arial Narrow" w:hAnsi="Arial Narrow" w:cs="Times New Roman"/>
                <w:b/>
                <w:snapToGrid/>
                <w:sz w:val="20"/>
              </w:rPr>
            </w:pPr>
          </w:p>
        </w:tc>
        <w:tc>
          <w:tcPr>
            <w:tcW w:w="474" w:type="pct"/>
            <w:vMerge/>
            <w:vAlign w:val="center"/>
          </w:tcPr>
          <w:p w:rsidR="00C31073" w:rsidRPr="007E1812" w:rsidRDefault="00C31073" w:rsidP="00127BF7">
            <w:pPr>
              <w:keepNext/>
              <w:keepLines/>
              <w:widowControl/>
              <w:jc w:val="center"/>
              <w:rPr>
                <w:rFonts w:ascii="Arial Narrow" w:hAnsi="Arial Narrow" w:cs="Times New Roman"/>
                <w:b/>
                <w:snapToGrid/>
                <w:sz w:val="20"/>
              </w:rPr>
            </w:pPr>
          </w:p>
        </w:tc>
      </w:tr>
      <w:tr w:rsidR="00C31073" w:rsidRPr="007E1812" w:rsidTr="00FC3796">
        <w:tc>
          <w:tcPr>
            <w:tcW w:w="544" w:type="pct"/>
            <w:vAlign w:val="center"/>
          </w:tcPr>
          <w:p w:rsidR="00C31073" w:rsidRPr="007E1812" w:rsidRDefault="00C31073" w:rsidP="00127BF7">
            <w:pPr>
              <w:keepNext/>
              <w:keepLines/>
              <w:widowControl/>
              <w:jc w:val="left"/>
              <w:rPr>
                <w:rFonts w:ascii="Arial Narrow" w:hAnsi="Arial Narrow" w:cs="Times New Roman"/>
                <w:snapToGrid/>
                <w:sz w:val="20"/>
              </w:rPr>
            </w:pPr>
            <w:r w:rsidRPr="007E1812">
              <w:rPr>
                <w:rFonts w:ascii="Arial Narrow" w:hAnsi="Arial Narrow" w:cs="Times New Roman"/>
                <w:snapToGrid/>
                <w:sz w:val="20"/>
              </w:rPr>
              <w:t>ALTA-1L</w:t>
            </w:r>
            <w:r w:rsidR="00D93361" w:rsidRPr="007E1812">
              <w:rPr>
                <w:rFonts w:ascii="Arial Narrow" w:hAnsi="Arial Narrow" w:cs="Times New Roman"/>
                <w:snapToGrid/>
                <w:sz w:val="20"/>
              </w:rPr>
              <w:t xml:space="preserve"> (brigatinib)</w:t>
            </w:r>
          </w:p>
        </w:tc>
        <w:tc>
          <w:tcPr>
            <w:tcW w:w="546"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36/137 (26.3)</w:t>
            </w:r>
          </w:p>
        </w:tc>
        <w:tc>
          <w:tcPr>
            <w:tcW w:w="703"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468"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63/138 (45.7)</w:t>
            </w:r>
          </w:p>
        </w:tc>
        <w:tc>
          <w:tcPr>
            <w:tcW w:w="781"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9.76 (9.03, 12.88)</w:t>
            </w:r>
          </w:p>
        </w:tc>
        <w:tc>
          <w:tcPr>
            <w:tcW w:w="390"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468" w:type="pct"/>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0.0007</w:t>
            </w:r>
          </w:p>
        </w:tc>
        <w:tc>
          <w:tcPr>
            <w:tcW w:w="625" w:type="pct"/>
            <w:vAlign w:val="center"/>
          </w:tcPr>
          <w:p w:rsidR="00D63642"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 xml:space="preserve">0.49 </w:t>
            </w:r>
          </w:p>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(0.33, 0.74)</w:t>
            </w:r>
          </w:p>
        </w:tc>
        <w:tc>
          <w:tcPr>
            <w:tcW w:w="474" w:type="pct"/>
            <w:vAlign w:val="center"/>
          </w:tcPr>
          <w:p w:rsidR="00C31073" w:rsidRPr="007E1812" w:rsidRDefault="00C31073" w:rsidP="00127BF7">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IRC</w:t>
            </w:r>
          </w:p>
        </w:tc>
      </w:tr>
      <w:tr w:rsidR="00C31073" w:rsidRPr="007E1812" w:rsidTr="00FC3796">
        <w:tc>
          <w:tcPr>
            <w:tcW w:w="544" w:type="pct"/>
            <w:vAlign w:val="center"/>
          </w:tcPr>
          <w:p w:rsidR="00C31073" w:rsidRPr="007E1812" w:rsidRDefault="00C31073" w:rsidP="00127BF7">
            <w:pPr>
              <w:keepNext/>
              <w:keepLines/>
              <w:widowControl/>
              <w:jc w:val="left"/>
              <w:rPr>
                <w:rFonts w:ascii="Arial Narrow" w:hAnsi="Arial Narrow" w:cs="Times New Roman"/>
                <w:snapToGrid/>
                <w:sz w:val="20"/>
              </w:rPr>
            </w:pPr>
            <w:r w:rsidRPr="007E1812">
              <w:rPr>
                <w:rFonts w:ascii="Arial Narrow" w:hAnsi="Arial Narrow" w:cs="Times New Roman"/>
                <w:snapToGrid/>
                <w:sz w:val="20"/>
              </w:rPr>
              <w:t>ALTA-1L</w:t>
            </w:r>
            <w:r w:rsidR="00D93361" w:rsidRPr="007E1812">
              <w:rPr>
                <w:rFonts w:ascii="Arial Narrow" w:hAnsi="Arial Narrow" w:cs="Times New Roman"/>
                <w:snapToGrid/>
                <w:sz w:val="20"/>
              </w:rPr>
              <w:t xml:space="preserve"> (brigatinib)</w:t>
            </w:r>
          </w:p>
        </w:tc>
        <w:tc>
          <w:tcPr>
            <w:tcW w:w="546"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36/137 (26.3)</w:t>
            </w:r>
          </w:p>
        </w:tc>
        <w:tc>
          <w:tcPr>
            <w:tcW w:w="703"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468"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67/138 (48.6)</w:t>
            </w:r>
          </w:p>
        </w:tc>
        <w:tc>
          <w:tcPr>
            <w:tcW w:w="781"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9.23 (7.39, 12.94)</w:t>
            </w:r>
          </w:p>
        </w:tc>
        <w:tc>
          <w:tcPr>
            <w:tcW w:w="390"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468" w:type="pct"/>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0.0001</w:t>
            </w:r>
          </w:p>
        </w:tc>
        <w:tc>
          <w:tcPr>
            <w:tcW w:w="625" w:type="pct"/>
            <w:vAlign w:val="center"/>
          </w:tcPr>
          <w:p w:rsidR="00D63642"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 xml:space="preserve">0.45 </w:t>
            </w:r>
          </w:p>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(0.30, 0.68)</w:t>
            </w:r>
          </w:p>
        </w:tc>
        <w:tc>
          <w:tcPr>
            <w:tcW w:w="474" w:type="pct"/>
            <w:vAlign w:val="center"/>
          </w:tcPr>
          <w:p w:rsidR="00C31073" w:rsidRPr="007E1812" w:rsidRDefault="00C31073" w:rsidP="00127BF7">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INV</w:t>
            </w:r>
          </w:p>
        </w:tc>
      </w:tr>
      <w:tr w:rsidR="00C31073" w:rsidRPr="007E1812" w:rsidTr="00FC3796">
        <w:tc>
          <w:tcPr>
            <w:tcW w:w="544" w:type="pct"/>
            <w:vAlign w:val="center"/>
          </w:tcPr>
          <w:p w:rsidR="00C31073" w:rsidRPr="007E1812" w:rsidRDefault="00C31073" w:rsidP="00127BF7">
            <w:pPr>
              <w:keepNext/>
              <w:keepLines/>
              <w:widowControl/>
              <w:jc w:val="left"/>
              <w:rPr>
                <w:rFonts w:ascii="Arial Narrow" w:hAnsi="Arial Narrow" w:cs="Times New Roman"/>
                <w:snapToGrid/>
                <w:sz w:val="20"/>
              </w:rPr>
            </w:pPr>
            <w:r w:rsidRPr="007E1812">
              <w:rPr>
                <w:rFonts w:ascii="Arial Narrow" w:hAnsi="Arial Narrow" w:cs="Times New Roman"/>
                <w:snapToGrid/>
                <w:sz w:val="20"/>
              </w:rPr>
              <w:t>ALEX</w:t>
            </w:r>
            <w:r w:rsidRPr="007E1812">
              <w:rPr>
                <w:rFonts w:ascii="Arial Narrow" w:hAnsi="Arial Narrow" w:cs="Times New Roman"/>
                <w:snapToGrid/>
                <w:sz w:val="20"/>
                <w:vertAlign w:val="superscript"/>
              </w:rPr>
              <w:t>a</w:t>
            </w:r>
            <w:r w:rsidR="00D93361" w:rsidRPr="007E1812">
              <w:rPr>
                <w:rFonts w:ascii="Arial Narrow" w:hAnsi="Arial Narrow" w:cs="Times New Roman"/>
                <w:snapToGrid/>
                <w:sz w:val="20"/>
                <w:vertAlign w:val="superscript"/>
              </w:rPr>
              <w:t xml:space="preserve"> </w:t>
            </w:r>
            <w:r w:rsidR="00D93361" w:rsidRPr="007E1812">
              <w:rPr>
                <w:rFonts w:ascii="Arial Narrow" w:hAnsi="Arial Narrow" w:cs="Times New Roman"/>
                <w:snapToGrid/>
                <w:sz w:val="20"/>
              </w:rPr>
              <w:t>(alectinib)</w:t>
            </w:r>
          </w:p>
        </w:tc>
        <w:tc>
          <w:tcPr>
            <w:tcW w:w="546"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62/152 (41)</w:t>
            </w:r>
          </w:p>
        </w:tc>
        <w:tc>
          <w:tcPr>
            <w:tcW w:w="703"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NR (17.7, NE)</w:t>
            </w:r>
          </w:p>
        </w:tc>
        <w:tc>
          <w:tcPr>
            <w:tcW w:w="468"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102/151 (68)</w:t>
            </w:r>
          </w:p>
        </w:tc>
        <w:tc>
          <w:tcPr>
            <w:tcW w:w="781"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11.1 (9.1, 13.1)</w:t>
            </w:r>
          </w:p>
        </w:tc>
        <w:tc>
          <w:tcPr>
            <w:tcW w:w="390"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468" w:type="pct"/>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&lt;0.001</w:t>
            </w:r>
          </w:p>
        </w:tc>
        <w:tc>
          <w:tcPr>
            <w:tcW w:w="625" w:type="pct"/>
            <w:vAlign w:val="center"/>
          </w:tcPr>
          <w:p w:rsidR="00D63642"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 xml:space="preserve">0.47 </w:t>
            </w:r>
          </w:p>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(0.34, 0.65)</w:t>
            </w:r>
          </w:p>
        </w:tc>
        <w:tc>
          <w:tcPr>
            <w:tcW w:w="474" w:type="pct"/>
            <w:vAlign w:val="center"/>
          </w:tcPr>
          <w:p w:rsidR="00C31073" w:rsidRPr="007E1812" w:rsidRDefault="00C31073" w:rsidP="00127BF7">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INV</w:t>
            </w:r>
          </w:p>
        </w:tc>
      </w:tr>
      <w:tr w:rsidR="00C31073" w:rsidRPr="007E1812" w:rsidTr="00FC3796">
        <w:tc>
          <w:tcPr>
            <w:tcW w:w="544" w:type="pct"/>
            <w:vAlign w:val="center"/>
          </w:tcPr>
          <w:p w:rsidR="00C31073" w:rsidRPr="007E1812" w:rsidRDefault="00C31073" w:rsidP="00127BF7">
            <w:pPr>
              <w:keepNext/>
              <w:keepLines/>
              <w:widowControl/>
              <w:jc w:val="left"/>
              <w:rPr>
                <w:rFonts w:ascii="Arial Narrow" w:hAnsi="Arial Narrow" w:cs="Times New Roman"/>
                <w:snapToGrid/>
                <w:sz w:val="20"/>
              </w:rPr>
            </w:pPr>
            <w:r w:rsidRPr="007E1812">
              <w:rPr>
                <w:rFonts w:ascii="Arial Narrow" w:hAnsi="Arial Narrow" w:cs="Times New Roman"/>
                <w:snapToGrid/>
                <w:sz w:val="20"/>
              </w:rPr>
              <w:t>ALEX</w:t>
            </w:r>
            <w:r w:rsidRPr="007E1812">
              <w:rPr>
                <w:rFonts w:ascii="Arial Narrow" w:hAnsi="Arial Narrow" w:cs="Times New Roman"/>
                <w:snapToGrid/>
                <w:sz w:val="20"/>
                <w:vertAlign w:val="superscript"/>
              </w:rPr>
              <w:t>a</w:t>
            </w:r>
            <w:r w:rsidR="00D93361" w:rsidRPr="007E1812">
              <w:rPr>
                <w:rFonts w:ascii="Arial Narrow" w:hAnsi="Arial Narrow" w:cs="Times New Roman"/>
                <w:snapToGrid/>
                <w:sz w:val="20"/>
                <w:vertAlign w:val="superscript"/>
              </w:rPr>
              <w:t xml:space="preserve"> </w:t>
            </w:r>
            <w:r w:rsidR="00D93361" w:rsidRPr="007E1812">
              <w:rPr>
                <w:rFonts w:ascii="Arial Narrow" w:hAnsi="Arial Narrow" w:cs="Times New Roman"/>
                <w:snapToGrid/>
                <w:sz w:val="20"/>
              </w:rPr>
              <w:t>(alectinib)</w:t>
            </w:r>
          </w:p>
        </w:tc>
        <w:tc>
          <w:tcPr>
            <w:tcW w:w="546"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NR</w:t>
            </w:r>
          </w:p>
        </w:tc>
        <w:tc>
          <w:tcPr>
            <w:tcW w:w="703"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25.7 (19.9, NE)</w:t>
            </w:r>
          </w:p>
        </w:tc>
        <w:tc>
          <w:tcPr>
            <w:tcW w:w="468"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NR</w:t>
            </w:r>
          </w:p>
        </w:tc>
        <w:tc>
          <w:tcPr>
            <w:tcW w:w="781"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10.4 (7.7, 14.6)</w:t>
            </w:r>
          </w:p>
        </w:tc>
        <w:tc>
          <w:tcPr>
            <w:tcW w:w="390"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15.3</w:t>
            </w:r>
          </w:p>
        </w:tc>
        <w:tc>
          <w:tcPr>
            <w:tcW w:w="468" w:type="pct"/>
            <w:vAlign w:val="center"/>
          </w:tcPr>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&lt;0.001</w:t>
            </w:r>
          </w:p>
        </w:tc>
        <w:tc>
          <w:tcPr>
            <w:tcW w:w="625" w:type="pct"/>
            <w:vAlign w:val="center"/>
          </w:tcPr>
          <w:p w:rsidR="00D63642"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 xml:space="preserve">0.50 </w:t>
            </w:r>
          </w:p>
          <w:p w:rsidR="00C31073"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(0.36, 0.70)</w:t>
            </w:r>
          </w:p>
        </w:tc>
        <w:tc>
          <w:tcPr>
            <w:tcW w:w="474" w:type="pct"/>
            <w:vAlign w:val="center"/>
          </w:tcPr>
          <w:p w:rsidR="00C31073" w:rsidRPr="007E1812" w:rsidRDefault="00C31073" w:rsidP="00127BF7">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IRC</w:t>
            </w:r>
          </w:p>
        </w:tc>
      </w:tr>
      <w:tr w:rsidR="00C31073" w:rsidRPr="007E1812" w:rsidTr="00FC3796">
        <w:tc>
          <w:tcPr>
            <w:tcW w:w="544" w:type="pct"/>
            <w:vAlign w:val="center"/>
          </w:tcPr>
          <w:p w:rsidR="00C31073" w:rsidRPr="007E1812" w:rsidRDefault="00C31073" w:rsidP="00127BF7">
            <w:pPr>
              <w:keepNext/>
              <w:keepLines/>
              <w:widowControl/>
              <w:jc w:val="left"/>
              <w:rPr>
                <w:rFonts w:ascii="Arial Narrow" w:hAnsi="Arial Narrow" w:cs="Times New Roman"/>
                <w:snapToGrid/>
                <w:sz w:val="20"/>
              </w:rPr>
            </w:pPr>
            <w:r w:rsidRPr="007E1812">
              <w:rPr>
                <w:rFonts w:ascii="Arial Narrow" w:hAnsi="Arial Narrow" w:cs="Times New Roman"/>
                <w:snapToGrid/>
                <w:sz w:val="20"/>
              </w:rPr>
              <w:t>ALEX</w:t>
            </w:r>
            <w:r w:rsidRPr="007E1812">
              <w:rPr>
                <w:rFonts w:ascii="Arial Narrow" w:hAnsi="Arial Narrow" w:cs="Times New Roman"/>
                <w:snapToGrid/>
                <w:sz w:val="20"/>
                <w:vertAlign w:val="superscript"/>
              </w:rPr>
              <w:t>b</w:t>
            </w:r>
            <w:r w:rsidR="00D93361" w:rsidRPr="007E1812">
              <w:rPr>
                <w:rFonts w:ascii="Arial Narrow" w:hAnsi="Arial Narrow" w:cs="Times New Roman"/>
                <w:snapToGrid/>
                <w:sz w:val="20"/>
                <w:vertAlign w:val="superscript"/>
              </w:rPr>
              <w:t xml:space="preserve"> </w:t>
            </w:r>
            <w:r w:rsidR="00D93361" w:rsidRPr="007E1812">
              <w:rPr>
                <w:rFonts w:ascii="Arial Narrow" w:hAnsi="Arial Narrow" w:cs="Times New Roman"/>
                <w:snapToGrid/>
                <w:sz w:val="20"/>
              </w:rPr>
              <w:t>(alectinib)</w:t>
            </w:r>
          </w:p>
        </w:tc>
        <w:tc>
          <w:tcPr>
            <w:tcW w:w="546" w:type="pct"/>
            <w:vAlign w:val="center"/>
          </w:tcPr>
          <w:p w:rsidR="00C31073" w:rsidRPr="007E1812" w:rsidRDefault="00C31073" w:rsidP="00127BF7">
            <w:pPr>
              <w:keepNext/>
              <w:keepLines/>
              <w:widowControl/>
              <w:jc w:val="center"/>
              <w:rPr>
                <w:rFonts w:ascii="Arial Narrow" w:hAnsi="Arial Narrow" w:cs="Times New Roman"/>
                <w:iCs/>
                <w:snapToGrid/>
                <w:sz w:val="20"/>
              </w:rPr>
            </w:pPr>
            <w:r w:rsidRPr="007E1812">
              <w:rPr>
                <w:rFonts w:ascii="Arial Narrow" w:hAnsi="Arial Narrow" w:cs="Times New Roman"/>
                <w:iCs/>
                <w:snapToGrid/>
                <w:sz w:val="20"/>
              </w:rPr>
              <w:t>72/152 (47.4)</w:t>
            </w:r>
          </w:p>
        </w:tc>
        <w:tc>
          <w:tcPr>
            <w:tcW w:w="703"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34.8 (</w:t>
            </w:r>
            <w:r w:rsidRPr="007E1812">
              <w:rPr>
                <w:rFonts w:ascii="Arial Narrow" w:hAnsi="Arial Narrow" w:cs="Times New Roman"/>
                <w:iCs/>
                <w:snapToGrid/>
                <w:sz w:val="20"/>
              </w:rPr>
              <w:t>17.7, NE</w:t>
            </w:r>
            <w:r w:rsidRPr="007E1812">
              <w:rPr>
                <w:rFonts w:ascii="Arial Narrow" w:hAnsi="Arial Narrow" w:cs="Times New Roman"/>
                <w:snapToGrid/>
                <w:sz w:val="20"/>
              </w:rPr>
              <w:t>)</w:t>
            </w:r>
          </w:p>
        </w:tc>
        <w:tc>
          <w:tcPr>
            <w:tcW w:w="468" w:type="pct"/>
            <w:vAlign w:val="center"/>
          </w:tcPr>
          <w:p w:rsidR="00C31073" w:rsidRPr="007E1812" w:rsidRDefault="00C31073" w:rsidP="00127BF7">
            <w:pPr>
              <w:keepNext/>
              <w:keepLines/>
              <w:widowControl/>
              <w:jc w:val="center"/>
              <w:rPr>
                <w:rFonts w:ascii="Arial Narrow" w:hAnsi="Arial Narrow" w:cs="Times New Roman"/>
                <w:iCs/>
                <w:snapToGrid/>
                <w:sz w:val="20"/>
              </w:rPr>
            </w:pPr>
            <w:r w:rsidRPr="007E1812">
              <w:rPr>
                <w:rFonts w:ascii="Arial Narrow" w:hAnsi="Arial Narrow" w:cs="Times New Roman"/>
                <w:iCs/>
                <w:snapToGrid/>
                <w:sz w:val="20"/>
              </w:rPr>
              <w:t>116/151 (76.8)</w:t>
            </w:r>
          </w:p>
        </w:tc>
        <w:tc>
          <w:tcPr>
            <w:tcW w:w="781"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10.9 (</w:t>
            </w:r>
            <w:r w:rsidRPr="007E1812">
              <w:rPr>
                <w:rFonts w:ascii="Arial Narrow" w:hAnsi="Arial Narrow" w:cs="Times New Roman"/>
                <w:iCs/>
                <w:snapToGrid/>
                <w:sz w:val="20"/>
              </w:rPr>
              <w:t>9.1, 12.9</w:t>
            </w:r>
            <w:r w:rsidRPr="007E1812">
              <w:rPr>
                <w:rFonts w:ascii="Arial Narrow" w:hAnsi="Arial Narrow" w:cs="Times New Roman"/>
                <w:snapToGrid/>
                <w:sz w:val="20"/>
              </w:rPr>
              <w:t>)</w:t>
            </w:r>
          </w:p>
        </w:tc>
        <w:tc>
          <w:tcPr>
            <w:tcW w:w="390"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23.9</w:t>
            </w:r>
          </w:p>
        </w:tc>
        <w:tc>
          <w:tcPr>
            <w:tcW w:w="468" w:type="pct"/>
            <w:vAlign w:val="center"/>
          </w:tcPr>
          <w:p w:rsidR="00C31073" w:rsidRPr="007E1812" w:rsidRDefault="00C31073" w:rsidP="00127BF7">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NR</w:t>
            </w:r>
          </w:p>
        </w:tc>
        <w:tc>
          <w:tcPr>
            <w:tcW w:w="625" w:type="pct"/>
            <w:vAlign w:val="center"/>
          </w:tcPr>
          <w:p w:rsidR="00D63642" w:rsidRPr="007E1812" w:rsidRDefault="00C31073" w:rsidP="00127BF7">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 xml:space="preserve">0.43 </w:t>
            </w:r>
          </w:p>
          <w:p w:rsidR="00C31073" w:rsidRPr="007E1812" w:rsidRDefault="00C31073" w:rsidP="00127BF7">
            <w:pPr>
              <w:keepNext/>
              <w:keepLines/>
              <w:widowControl/>
              <w:jc w:val="center"/>
              <w:rPr>
                <w:rFonts w:ascii="Arial Narrow" w:hAnsi="Arial Narrow" w:cs="Times New Roman"/>
                <w:bCs/>
                <w:snapToGrid/>
                <w:sz w:val="20"/>
              </w:rPr>
            </w:pPr>
            <w:r w:rsidRPr="007E1812">
              <w:rPr>
                <w:rFonts w:ascii="Arial Narrow" w:hAnsi="Arial Narrow" w:cs="Times New Roman"/>
                <w:b/>
                <w:snapToGrid/>
                <w:sz w:val="20"/>
              </w:rPr>
              <w:t>(0.32, 0.58)</w:t>
            </w:r>
          </w:p>
        </w:tc>
        <w:tc>
          <w:tcPr>
            <w:tcW w:w="474" w:type="pct"/>
            <w:vAlign w:val="center"/>
          </w:tcPr>
          <w:p w:rsidR="00C31073" w:rsidRPr="007E1812" w:rsidRDefault="00C31073" w:rsidP="00127BF7">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INV</w:t>
            </w:r>
          </w:p>
        </w:tc>
      </w:tr>
    </w:tbl>
    <w:p w:rsidR="00C31073" w:rsidRPr="007E1812" w:rsidRDefault="00C31073" w:rsidP="00127BF7">
      <w:pPr>
        <w:keepNext/>
        <w:keepLines/>
        <w:widowControl/>
        <w:rPr>
          <w:rFonts w:ascii="Arial Narrow" w:hAnsi="Arial Narrow"/>
          <w:sz w:val="18"/>
        </w:rPr>
      </w:pPr>
      <w:r w:rsidRPr="007E1812">
        <w:rPr>
          <w:rFonts w:ascii="Arial Narrow" w:hAnsi="Arial Narrow"/>
          <w:sz w:val="18"/>
        </w:rPr>
        <w:t>Abbreviations: CI = confidence interval; Dif = difference; INV = investigator; IRC = independent review committee; n = number of participants with event; N = total participants in group; NE = not estimable; NR = not reported; PFS = progression free survival</w:t>
      </w:r>
    </w:p>
    <w:p w:rsidR="00C31073" w:rsidRPr="007E1812" w:rsidRDefault="00C31073" w:rsidP="00127BF7">
      <w:pPr>
        <w:keepNext/>
        <w:keepLines/>
        <w:widowControl/>
        <w:rPr>
          <w:rFonts w:ascii="Arial Narrow" w:eastAsia="Calibri" w:hAnsi="Arial Narrow"/>
          <w:sz w:val="18"/>
        </w:rPr>
      </w:pPr>
      <w:r w:rsidRPr="007E1812">
        <w:rPr>
          <w:rFonts w:ascii="Arial Narrow" w:eastAsia="Calibri" w:hAnsi="Arial Narrow"/>
          <w:sz w:val="18"/>
        </w:rPr>
        <w:t>CI = confidence interval; n = number of participants reporting data; N = total participants in group</w:t>
      </w:r>
    </w:p>
    <w:p w:rsidR="00C31073" w:rsidRPr="007E1812" w:rsidRDefault="00C31073" w:rsidP="00127BF7">
      <w:pPr>
        <w:keepNext/>
        <w:keepLines/>
        <w:widowControl/>
        <w:rPr>
          <w:rFonts w:ascii="Arial Narrow" w:eastAsia="Calibri" w:hAnsi="Arial Narrow"/>
          <w:sz w:val="18"/>
        </w:rPr>
      </w:pPr>
      <w:r w:rsidRPr="007E1812">
        <w:rPr>
          <w:rFonts w:ascii="Arial Narrow" w:eastAsia="Calibri" w:hAnsi="Arial Narrow"/>
          <w:sz w:val="18"/>
          <w:vertAlign w:val="superscript"/>
        </w:rPr>
        <w:t>a</w:t>
      </w:r>
      <w:r w:rsidRPr="007E1812">
        <w:rPr>
          <w:rFonts w:ascii="Arial Narrow" w:eastAsia="Calibri" w:hAnsi="Arial Narrow"/>
          <w:sz w:val="18"/>
        </w:rPr>
        <w:t xml:space="preserve"> 1 January 2017 cut-off</w:t>
      </w:r>
    </w:p>
    <w:p w:rsidR="00C31073" w:rsidRPr="007E1812" w:rsidRDefault="00C31073" w:rsidP="00127BF7">
      <w:pPr>
        <w:keepNext/>
        <w:keepLines/>
        <w:widowControl/>
        <w:rPr>
          <w:rFonts w:ascii="Arial Narrow" w:eastAsia="Calibri" w:hAnsi="Arial Narrow"/>
          <w:sz w:val="18"/>
        </w:rPr>
      </w:pPr>
      <w:r w:rsidRPr="007E1812">
        <w:rPr>
          <w:rFonts w:ascii="Arial Narrow" w:eastAsia="Calibri" w:hAnsi="Arial Narrow"/>
          <w:sz w:val="18"/>
          <w:vertAlign w:val="superscript"/>
        </w:rPr>
        <w:t>b</w:t>
      </w:r>
      <w:r w:rsidRPr="007E1812">
        <w:rPr>
          <w:rFonts w:ascii="Arial Narrow" w:eastAsia="Calibri" w:hAnsi="Arial Narrow"/>
          <w:sz w:val="18"/>
        </w:rPr>
        <w:t xml:space="preserve"> 1 December 2017 cut-off, data were sought from the submission and Camidge et al 2019 (italic</w:t>
      </w:r>
      <w:r w:rsidR="0005252D" w:rsidRPr="007E1812">
        <w:rPr>
          <w:rFonts w:ascii="Arial Narrow" w:eastAsia="Calibri" w:hAnsi="Arial Narrow"/>
          <w:sz w:val="18"/>
        </w:rPr>
        <w:t>s</w:t>
      </w:r>
      <w:r w:rsidRPr="007E1812">
        <w:rPr>
          <w:rFonts w:ascii="Arial Narrow" w:eastAsia="Calibri" w:hAnsi="Arial Narrow"/>
          <w:sz w:val="18"/>
        </w:rPr>
        <w:t>) by the evaluators.</w:t>
      </w:r>
    </w:p>
    <w:p w:rsidR="003B6D6D" w:rsidRPr="007E1812" w:rsidRDefault="003B6D6D" w:rsidP="00127BF7">
      <w:pPr>
        <w:keepNext/>
        <w:keepLines/>
        <w:widowControl/>
        <w:rPr>
          <w:rFonts w:ascii="Arial Narrow" w:eastAsia="Calibri" w:hAnsi="Arial Narrow"/>
          <w:sz w:val="18"/>
        </w:rPr>
      </w:pPr>
      <w:r w:rsidRPr="007E1812">
        <w:rPr>
          <w:rFonts w:ascii="Arial Narrow" w:eastAsia="Calibri" w:hAnsi="Arial Narrow"/>
          <w:sz w:val="18"/>
          <w:vertAlign w:val="superscript"/>
        </w:rPr>
        <w:t xml:space="preserve">c  </w:t>
      </w:r>
      <w:r w:rsidR="00FF7BA0" w:rsidRPr="007E1812">
        <w:rPr>
          <w:rFonts w:ascii="Arial Narrow" w:eastAsia="Calibri" w:hAnsi="Arial Narrow"/>
          <w:sz w:val="18"/>
        </w:rPr>
        <w:t xml:space="preserve">a </w:t>
      </w:r>
      <w:r w:rsidRPr="007E1812">
        <w:rPr>
          <w:rFonts w:ascii="Arial Narrow" w:eastAsia="Calibri" w:hAnsi="Arial Narrow"/>
          <w:sz w:val="18"/>
        </w:rPr>
        <w:t>month is a unit of measurement of time</w:t>
      </w:r>
    </w:p>
    <w:p w:rsidR="00C31073" w:rsidRPr="007E1812" w:rsidRDefault="00C31073" w:rsidP="00127BF7">
      <w:pPr>
        <w:keepNext/>
        <w:keepLines/>
        <w:widowControl/>
        <w:rPr>
          <w:rFonts w:ascii="Arial Narrow" w:hAnsi="Arial Narrow"/>
          <w:sz w:val="20"/>
        </w:rPr>
      </w:pPr>
      <w:r w:rsidRPr="007E1812">
        <w:rPr>
          <w:rFonts w:ascii="Arial Narrow" w:hAnsi="Arial Narrow"/>
          <w:sz w:val="18"/>
        </w:rPr>
        <w:t xml:space="preserve">Note: </w:t>
      </w:r>
      <w:r w:rsidR="00F95DBB" w:rsidRPr="007E1812">
        <w:rPr>
          <w:rFonts w:ascii="Arial Narrow" w:hAnsi="Arial Narrow"/>
          <w:sz w:val="18"/>
        </w:rPr>
        <w:t>Text in bold</w:t>
      </w:r>
      <w:r w:rsidRPr="007E1812">
        <w:rPr>
          <w:rFonts w:ascii="Arial Narrow" w:hAnsi="Arial Narrow"/>
          <w:sz w:val="18"/>
        </w:rPr>
        <w:t xml:space="preserve"> indicate statically significant</w:t>
      </w:r>
      <w:r w:rsidR="00F95DBB" w:rsidRPr="007E1812">
        <w:rPr>
          <w:rFonts w:ascii="Arial Narrow" w:hAnsi="Arial Narrow"/>
          <w:sz w:val="18"/>
        </w:rPr>
        <w:t xml:space="preserve"> results; Number in italics indicate values </w:t>
      </w:r>
      <w:r w:rsidR="00592855" w:rsidRPr="007E1812">
        <w:rPr>
          <w:rFonts w:ascii="Arial Narrow" w:hAnsi="Arial Narrow"/>
          <w:sz w:val="18"/>
        </w:rPr>
        <w:t>extracted</w:t>
      </w:r>
      <w:r w:rsidR="00F95DBB" w:rsidRPr="007E1812">
        <w:rPr>
          <w:rFonts w:ascii="Arial Narrow" w:hAnsi="Arial Narrow"/>
          <w:sz w:val="18"/>
        </w:rPr>
        <w:t xml:space="preserve"> during evaluation</w:t>
      </w:r>
    </w:p>
    <w:p w:rsidR="00C31073" w:rsidRPr="007E1812" w:rsidRDefault="00C31073" w:rsidP="00127BF7">
      <w:pPr>
        <w:keepNext/>
        <w:keepLines/>
        <w:widowControl/>
        <w:rPr>
          <w:rFonts w:ascii="Arial Narrow" w:hAnsi="Arial Narrow"/>
          <w:sz w:val="20"/>
        </w:rPr>
      </w:pPr>
      <w:r w:rsidRPr="007E1812">
        <w:rPr>
          <w:rFonts w:ascii="Arial Narrow" w:hAnsi="Arial Narrow"/>
          <w:sz w:val="18"/>
        </w:rPr>
        <w:t xml:space="preserve">Source: Table 2-19, p.66; Table 2-20, p.67; Table 2-28, p.81; Table 2-72, p.131 of the submission. </w:t>
      </w:r>
    </w:p>
    <w:p w:rsidR="001D3A1C" w:rsidRPr="007E1812" w:rsidRDefault="001D3A1C" w:rsidP="00127BF7">
      <w:pPr>
        <w:pStyle w:val="Caption"/>
        <w:keepNext w:val="0"/>
        <w:widowControl w:val="0"/>
      </w:pPr>
      <w:bookmarkStart w:id="35" w:name="_Ref18506592"/>
    </w:p>
    <w:p w:rsidR="00C31073" w:rsidRPr="007E1812" w:rsidRDefault="007E1812" w:rsidP="00127BF7">
      <w:pPr>
        <w:pStyle w:val="Caption"/>
        <w:keepLines/>
      </w:pPr>
      <w:r w:rsidRPr="007E1812">
        <w:lastRenderedPageBreak/>
        <w:t xml:space="preserve">Figure </w:t>
      </w:r>
      <w:r w:rsidRPr="007E1812">
        <w:rPr>
          <w:noProof/>
        </w:rPr>
        <w:t>1</w:t>
      </w:r>
      <w:bookmarkEnd w:id="35"/>
      <w:r w:rsidR="00C31073" w:rsidRPr="007E1812">
        <w:t>: Kaplan-Meier Plot of PFS (IRC-determined; ITT population) in ALTA-1L</w:t>
      </w:r>
    </w:p>
    <w:p w:rsidR="00C31073" w:rsidRPr="007E1812" w:rsidRDefault="00C31073" w:rsidP="00127BF7">
      <w:pPr>
        <w:keepNext/>
        <w:keepLines/>
        <w:widowControl/>
      </w:pPr>
      <w:r w:rsidRPr="007E1812">
        <w:rPr>
          <w:noProof/>
          <w:lang w:eastAsia="en-AU"/>
        </w:rPr>
        <w:drawing>
          <wp:inline distT="0" distB="0" distL="0" distR="0" wp14:anchorId="56BBE974" wp14:editId="01F7F55D">
            <wp:extent cx="5244860" cy="2639251"/>
            <wp:effectExtent l="0" t="0" r="0" b="8890"/>
            <wp:docPr id="4" name="Picture 4" title="Figure 3: Kaplan-Meier Plot of PFS (IRC-determined; ITT population) in ALTA-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1398" cy="2647573"/>
                    </a:xfrm>
                    <a:prstGeom prst="rect">
                      <a:avLst/>
                    </a:prstGeom>
                  </pic:spPr>
                </pic:pic>
              </a:graphicData>
            </a:graphic>
          </wp:inline>
        </w:drawing>
      </w:r>
    </w:p>
    <w:p w:rsidR="00C31073" w:rsidRPr="007E1812" w:rsidRDefault="00C31073" w:rsidP="00127BF7">
      <w:pPr>
        <w:keepNext/>
        <w:keepLines/>
        <w:widowControl/>
        <w:rPr>
          <w:rFonts w:ascii="Arial Narrow" w:hAnsi="Arial Narrow"/>
          <w:sz w:val="18"/>
          <w:szCs w:val="18"/>
        </w:rPr>
      </w:pPr>
      <w:r w:rsidRPr="007E1812">
        <w:rPr>
          <w:rFonts w:ascii="Arial Narrow" w:hAnsi="Arial Narrow"/>
          <w:sz w:val="18"/>
          <w:szCs w:val="18"/>
        </w:rPr>
        <w:t>Abbreviations: ITT = intention to treat; PFS = progression free survival</w:t>
      </w:r>
    </w:p>
    <w:p w:rsidR="00C31073" w:rsidRPr="007E1812" w:rsidRDefault="00C31073" w:rsidP="00127BF7">
      <w:pPr>
        <w:keepNext/>
        <w:keepLines/>
        <w:widowControl/>
        <w:rPr>
          <w:rFonts w:ascii="Arial Narrow" w:hAnsi="Arial Narrow"/>
          <w:sz w:val="18"/>
          <w:szCs w:val="18"/>
        </w:rPr>
      </w:pPr>
      <w:r w:rsidRPr="007E1812">
        <w:rPr>
          <w:rFonts w:ascii="Arial Narrow" w:hAnsi="Arial Narrow"/>
          <w:sz w:val="18"/>
          <w:szCs w:val="18"/>
        </w:rPr>
        <w:t>Source: Figure 2-8, p.66 of the submission</w:t>
      </w:r>
    </w:p>
    <w:p w:rsidR="00C31073" w:rsidRPr="007E1812" w:rsidRDefault="00C31073" w:rsidP="00127BF7"/>
    <w:p w:rsidR="00C31073" w:rsidRPr="007E1812" w:rsidRDefault="007E1812" w:rsidP="007E1812">
      <w:pPr>
        <w:pStyle w:val="Caption"/>
      </w:pPr>
      <w:bookmarkStart w:id="36" w:name="_Ref18506679"/>
      <w:r w:rsidRPr="007E1812">
        <w:t xml:space="preserve">Figure </w:t>
      </w:r>
      <w:r w:rsidRPr="007E1812">
        <w:rPr>
          <w:noProof/>
        </w:rPr>
        <w:t>2</w:t>
      </w:r>
      <w:bookmarkEnd w:id="36"/>
      <w:r w:rsidR="00C31073" w:rsidRPr="007E1812">
        <w:t>: Kaplan-Meier Plot of PFS (1 January 2017 cut-off; investigators-determined; ITT population) in ALEX</w:t>
      </w:r>
    </w:p>
    <w:p w:rsidR="00C31073" w:rsidRPr="007E1812" w:rsidRDefault="00C31073" w:rsidP="00620BD3">
      <w:pPr>
        <w:keepNext/>
        <w:keepLines/>
        <w:widowControl/>
        <w:suppressLineNumbers/>
        <w:suppressAutoHyphens/>
        <w:jc w:val="left"/>
      </w:pPr>
      <w:r w:rsidRPr="007E1812">
        <w:rPr>
          <w:noProof/>
          <w:lang w:eastAsia="en-AU"/>
        </w:rPr>
        <w:drawing>
          <wp:inline distT="0" distB="0" distL="0" distR="0" wp14:anchorId="208CABAE" wp14:editId="4FA30336">
            <wp:extent cx="3619877" cy="2965837"/>
            <wp:effectExtent l="0" t="0" r="0" b="6350"/>
            <wp:docPr id="7" name="Picture 7" title="Figure 4: Kaplan-Meier Plot of PFS (1 January 2017 cut-off; investigators-determined; ITT population) in A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2619" cy="2968083"/>
                    </a:xfrm>
                    <a:prstGeom prst="rect">
                      <a:avLst/>
                    </a:prstGeom>
                  </pic:spPr>
                </pic:pic>
              </a:graphicData>
            </a:graphic>
          </wp:inline>
        </w:drawing>
      </w:r>
    </w:p>
    <w:p w:rsidR="00C31073" w:rsidRPr="007E1812" w:rsidRDefault="00C31073" w:rsidP="00620BD3">
      <w:pPr>
        <w:pStyle w:val="TableFooter"/>
        <w:keepNext/>
        <w:keepLines/>
        <w:widowControl/>
        <w:suppressLineNumbers/>
        <w:suppressAutoHyphens/>
      </w:pPr>
      <w:r w:rsidRPr="007E1812">
        <w:t xml:space="preserve">Abbreviations: ITT </w:t>
      </w:r>
      <w:r w:rsidRPr="007E1812">
        <w:rPr>
          <w:szCs w:val="18"/>
        </w:rPr>
        <w:t>= intention to treat; PFS = progression free survival</w:t>
      </w:r>
    </w:p>
    <w:p w:rsidR="00C31073" w:rsidRPr="007E1812" w:rsidRDefault="00C31073" w:rsidP="00620BD3">
      <w:pPr>
        <w:pStyle w:val="TableFooter"/>
        <w:keepNext/>
        <w:keepLines/>
        <w:widowControl/>
        <w:suppressLineNumbers/>
        <w:suppressAutoHyphens/>
        <w:spacing w:after="240"/>
      </w:pPr>
      <w:r w:rsidRPr="007E1812">
        <w:t xml:space="preserve">Source: Figure 2-17, p.81 of the submission </w:t>
      </w:r>
    </w:p>
    <w:p w:rsidR="005B388D" w:rsidRPr="007E1812" w:rsidRDefault="00C31073" w:rsidP="00620BD3">
      <w:pPr>
        <w:pStyle w:val="ListParagraph"/>
        <w:widowControl/>
        <w:numPr>
          <w:ilvl w:val="1"/>
          <w:numId w:val="1"/>
        </w:numPr>
        <w:spacing w:before="120" w:after="120"/>
      </w:pPr>
      <w:r w:rsidRPr="007E1812">
        <w:t xml:space="preserve">A summary of the OS results for ALTA-1L and ALEX is presented in </w:t>
      </w:r>
      <w:r w:rsidR="00D745A0" w:rsidRPr="007E1812">
        <w:t>Table 6</w:t>
      </w:r>
      <w:r w:rsidRPr="007E1812">
        <w:t xml:space="preserve">. The trials showed a non-significant treatment </w:t>
      </w:r>
      <w:r w:rsidR="001C56C5" w:rsidRPr="007E1812">
        <w:t xml:space="preserve">benefit </w:t>
      </w:r>
      <w:r w:rsidRPr="007E1812">
        <w:t>for brigatinib and alectinib respectively, relative to crizotinib</w:t>
      </w:r>
      <w:r w:rsidR="001C56C5" w:rsidRPr="007E1812">
        <w:t>,</w:t>
      </w:r>
      <w:r w:rsidRPr="007E1812">
        <w:t xml:space="preserve"> in term of OS. However, the </w:t>
      </w:r>
      <w:r w:rsidR="008F2A26" w:rsidRPr="007E1812">
        <w:t xml:space="preserve">point difference </w:t>
      </w:r>
      <w:r w:rsidRPr="007E1812">
        <w:t xml:space="preserve">of the treatment effect for OS was more favourable for alectinib. While the CI for the HR on OS overlapped considerably, they were tighter for alectinib </w:t>
      </w:r>
      <w:r w:rsidR="00E62933" w:rsidRPr="007E1812">
        <w:t>likely resulting</w:t>
      </w:r>
      <w:r w:rsidRPr="007E1812">
        <w:t xml:space="preserve"> from a longer duration of follow-up. Nevertheless, the OS data from both trials were </w:t>
      </w:r>
      <w:r w:rsidR="0003657E" w:rsidRPr="007E1812">
        <w:t>immature,</w:t>
      </w:r>
      <w:r w:rsidRPr="007E1812">
        <w:t xml:space="preserve"> as </w:t>
      </w:r>
      <w:r w:rsidRPr="007E1812">
        <w:lastRenderedPageBreak/>
        <w:t xml:space="preserve">median OS was not reached in either trial. Comparison of the OS outcomes in the trials were likely to be confounded by differences in </w:t>
      </w:r>
      <w:r w:rsidR="008F2A26" w:rsidRPr="007E1812">
        <w:t xml:space="preserve">clinical </w:t>
      </w:r>
      <w:r w:rsidRPr="007E1812">
        <w:t>practice in the trials including crossover (only in ALTA-1L), treatment beyond progression and the types of treatment used after progression. However, limited data regarding these events were provided by the submission.</w:t>
      </w:r>
    </w:p>
    <w:p w:rsidR="00C31073" w:rsidRPr="007E1812" w:rsidRDefault="00C31073" w:rsidP="00620BD3">
      <w:pPr>
        <w:pStyle w:val="Caption"/>
      </w:pPr>
      <w:bookmarkStart w:id="37" w:name="_Ref18855155"/>
      <w:r w:rsidRPr="007E1812">
        <w:t xml:space="preserve">Table </w:t>
      </w:r>
      <w:r w:rsidR="007F3D8E" w:rsidRPr="007E1812">
        <w:t>6</w:t>
      </w:r>
      <w:bookmarkEnd w:id="37"/>
      <w:r w:rsidRPr="007E1812">
        <w:t xml:space="preserve">: Results of OS across the trials: time-to-event data </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Results of OS across the trials: time-to-event data "/>
      </w:tblPr>
      <w:tblGrid>
        <w:gridCol w:w="936"/>
        <w:gridCol w:w="965"/>
        <w:gridCol w:w="1391"/>
        <w:gridCol w:w="961"/>
        <w:gridCol w:w="1375"/>
        <w:gridCol w:w="1114"/>
        <w:gridCol w:w="969"/>
        <w:gridCol w:w="1241"/>
      </w:tblGrid>
      <w:tr w:rsidR="00C31073" w:rsidRPr="007E1812" w:rsidTr="008B784E">
        <w:trPr>
          <w:tblHeader/>
        </w:trPr>
        <w:tc>
          <w:tcPr>
            <w:tcW w:w="523" w:type="pct"/>
            <w:vMerge w:val="restart"/>
            <w:vAlign w:val="center"/>
          </w:tcPr>
          <w:p w:rsidR="00C31073" w:rsidRPr="007E1812" w:rsidRDefault="00C31073" w:rsidP="00620BD3">
            <w:pPr>
              <w:keepNext/>
              <w:keepLines/>
              <w:widowControl/>
              <w:jc w:val="left"/>
              <w:rPr>
                <w:rFonts w:ascii="Arial Narrow" w:hAnsi="Arial Narrow" w:cs="Times New Roman"/>
                <w:b/>
                <w:snapToGrid/>
                <w:sz w:val="20"/>
              </w:rPr>
            </w:pPr>
            <w:r w:rsidRPr="007E1812">
              <w:rPr>
                <w:rFonts w:ascii="Arial Narrow" w:hAnsi="Arial Narrow" w:cs="Times New Roman"/>
                <w:b/>
                <w:snapToGrid/>
                <w:sz w:val="20"/>
              </w:rPr>
              <w:t>Trial</w:t>
            </w:r>
          </w:p>
        </w:tc>
        <w:tc>
          <w:tcPr>
            <w:tcW w:w="1316" w:type="pct"/>
            <w:gridSpan w:val="2"/>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 xml:space="preserve">Studied intervention </w:t>
            </w:r>
          </w:p>
        </w:tc>
        <w:tc>
          <w:tcPr>
            <w:tcW w:w="1305" w:type="pct"/>
            <w:gridSpan w:val="2"/>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Comparator (crizotinib)</w:t>
            </w:r>
          </w:p>
        </w:tc>
        <w:tc>
          <w:tcPr>
            <w:tcW w:w="622" w:type="pct"/>
            <w:vMerge w:val="restart"/>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Difference in median</w:t>
            </w:r>
          </w:p>
        </w:tc>
        <w:tc>
          <w:tcPr>
            <w:tcW w:w="541" w:type="pct"/>
            <w:vMerge w:val="restart"/>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P value</w:t>
            </w:r>
          </w:p>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(log rank test)</w:t>
            </w:r>
          </w:p>
        </w:tc>
        <w:tc>
          <w:tcPr>
            <w:tcW w:w="693" w:type="pct"/>
            <w:vMerge w:val="restart"/>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Hazard ratio (95% CI)</w:t>
            </w:r>
          </w:p>
        </w:tc>
      </w:tr>
      <w:tr w:rsidR="00C31073" w:rsidRPr="007E1812" w:rsidTr="008B784E">
        <w:tc>
          <w:tcPr>
            <w:tcW w:w="523" w:type="pct"/>
            <w:vMerge/>
            <w:vAlign w:val="center"/>
          </w:tcPr>
          <w:p w:rsidR="00C31073" w:rsidRPr="007E1812" w:rsidRDefault="00C31073" w:rsidP="00620BD3">
            <w:pPr>
              <w:keepNext/>
              <w:keepLines/>
              <w:widowControl/>
              <w:jc w:val="left"/>
              <w:rPr>
                <w:rFonts w:ascii="Arial Narrow" w:hAnsi="Arial Narrow" w:cs="Times New Roman"/>
                <w:snapToGrid/>
                <w:sz w:val="20"/>
              </w:rPr>
            </w:pPr>
          </w:p>
        </w:tc>
        <w:tc>
          <w:tcPr>
            <w:tcW w:w="539"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
                <w:snapToGrid/>
                <w:sz w:val="20"/>
              </w:rPr>
              <w:t>n/N with event (%)</w:t>
            </w:r>
          </w:p>
        </w:tc>
        <w:tc>
          <w:tcPr>
            <w:tcW w:w="777"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
                <w:snapToGrid/>
                <w:sz w:val="20"/>
              </w:rPr>
              <w:t>Median time to event (95% CI)</w:t>
            </w:r>
          </w:p>
        </w:tc>
        <w:tc>
          <w:tcPr>
            <w:tcW w:w="537"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
                <w:snapToGrid/>
                <w:sz w:val="20"/>
              </w:rPr>
              <w:t>n/N with event (%)</w:t>
            </w:r>
          </w:p>
        </w:tc>
        <w:tc>
          <w:tcPr>
            <w:tcW w:w="768"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
                <w:snapToGrid/>
                <w:sz w:val="20"/>
              </w:rPr>
              <w:t>Median time to event (95% CI)</w:t>
            </w:r>
          </w:p>
        </w:tc>
        <w:tc>
          <w:tcPr>
            <w:tcW w:w="622" w:type="pct"/>
            <w:vMerge/>
            <w:vAlign w:val="center"/>
          </w:tcPr>
          <w:p w:rsidR="00C31073" w:rsidRPr="007E1812" w:rsidRDefault="00C31073" w:rsidP="00620BD3">
            <w:pPr>
              <w:keepNext/>
              <w:keepLines/>
              <w:widowControl/>
              <w:jc w:val="center"/>
              <w:rPr>
                <w:rFonts w:ascii="Arial Narrow" w:hAnsi="Arial Narrow" w:cs="Times New Roman"/>
                <w:snapToGrid/>
                <w:sz w:val="20"/>
              </w:rPr>
            </w:pPr>
          </w:p>
        </w:tc>
        <w:tc>
          <w:tcPr>
            <w:tcW w:w="541" w:type="pct"/>
            <w:vMerge/>
            <w:vAlign w:val="center"/>
          </w:tcPr>
          <w:p w:rsidR="00C31073" w:rsidRPr="007E1812" w:rsidRDefault="00C31073" w:rsidP="00620BD3">
            <w:pPr>
              <w:keepNext/>
              <w:keepLines/>
              <w:widowControl/>
              <w:jc w:val="center"/>
              <w:rPr>
                <w:rFonts w:ascii="Arial Narrow" w:hAnsi="Arial Narrow" w:cs="Times New Roman"/>
                <w:snapToGrid/>
                <w:sz w:val="20"/>
              </w:rPr>
            </w:pPr>
          </w:p>
        </w:tc>
        <w:tc>
          <w:tcPr>
            <w:tcW w:w="693" w:type="pct"/>
            <w:vMerge/>
            <w:vAlign w:val="center"/>
          </w:tcPr>
          <w:p w:rsidR="00C31073" w:rsidRPr="007E1812" w:rsidRDefault="00C31073" w:rsidP="00620BD3">
            <w:pPr>
              <w:keepNext/>
              <w:keepLines/>
              <w:widowControl/>
              <w:jc w:val="center"/>
              <w:rPr>
                <w:rFonts w:ascii="Arial Narrow" w:hAnsi="Arial Narrow" w:cs="Times New Roman"/>
                <w:b/>
                <w:snapToGrid/>
                <w:sz w:val="20"/>
              </w:rPr>
            </w:pPr>
          </w:p>
        </w:tc>
      </w:tr>
      <w:tr w:rsidR="00C31073" w:rsidRPr="007E1812" w:rsidTr="008B784E">
        <w:trPr>
          <w:trHeight w:val="271"/>
        </w:trPr>
        <w:tc>
          <w:tcPr>
            <w:tcW w:w="523" w:type="pct"/>
            <w:vAlign w:val="center"/>
          </w:tcPr>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snapToGrid/>
                <w:sz w:val="20"/>
              </w:rPr>
              <w:t>ALTA-1L (briga)</w:t>
            </w:r>
          </w:p>
        </w:tc>
        <w:tc>
          <w:tcPr>
            <w:tcW w:w="539"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17/137 (12.4)</w:t>
            </w:r>
          </w:p>
        </w:tc>
        <w:tc>
          <w:tcPr>
            <w:tcW w:w="777"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537"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17/138 (12.3)</w:t>
            </w:r>
          </w:p>
        </w:tc>
        <w:tc>
          <w:tcPr>
            <w:tcW w:w="768"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622"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541"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0.9611</w:t>
            </w:r>
          </w:p>
        </w:tc>
        <w:tc>
          <w:tcPr>
            <w:tcW w:w="693" w:type="pct"/>
            <w:vAlign w:val="center"/>
          </w:tcPr>
          <w:p w:rsidR="004E444B" w:rsidRPr="00EB5BC9" w:rsidRDefault="004E444B" w:rsidP="004E444B">
            <w:pPr>
              <w:keepNext/>
              <w:keepLines/>
              <w:widowControl/>
              <w:jc w:val="center"/>
              <w:rPr>
                <w:rFonts w:ascii="Arial Narrow" w:hAnsi="Arial Narrow" w:cs="Times New Roman"/>
                <w:snapToGrid/>
                <w:sz w:val="20"/>
              </w:rPr>
            </w:pPr>
            <w:r w:rsidRPr="00EB5BC9">
              <w:rPr>
                <w:rFonts w:ascii="Arial Narrow" w:hAnsi="Arial Narrow" w:cs="Times New Roman"/>
                <w:snapToGrid/>
                <w:sz w:val="20"/>
              </w:rPr>
              <w:t xml:space="preserve">0.983 </w:t>
            </w:r>
          </w:p>
          <w:p w:rsidR="00C31073" w:rsidRPr="007E1812" w:rsidRDefault="004E444B" w:rsidP="004E444B">
            <w:pPr>
              <w:keepNext/>
              <w:keepLines/>
              <w:widowControl/>
              <w:jc w:val="center"/>
              <w:rPr>
                <w:rFonts w:ascii="Arial Narrow" w:hAnsi="Arial Narrow" w:cs="Times New Roman"/>
                <w:snapToGrid/>
                <w:sz w:val="20"/>
              </w:rPr>
            </w:pPr>
            <w:r w:rsidRPr="00EB5BC9">
              <w:rPr>
                <w:rFonts w:ascii="Arial Narrow" w:hAnsi="Arial Narrow" w:cs="Times New Roman"/>
                <w:snapToGrid/>
                <w:sz w:val="20"/>
              </w:rPr>
              <w:t>(0.50, 1.93)</w:t>
            </w:r>
          </w:p>
        </w:tc>
      </w:tr>
      <w:tr w:rsidR="00C31073" w:rsidRPr="007E1812" w:rsidTr="008B784E">
        <w:tc>
          <w:tcPr>
            <w:tcW w:w="523" w:type="pct"/>
            <w:vAlign w:val="center"/>
          </w:tcPr>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snapToGrid/>
                <w:sz w:val="20"/>
              </w:rPr>
              <w:t>ALEX</w:t>
            </w:r>
            <w:r w:rsidRPr="007E1812">
              <w:rPr>
                <w:rFonts w:ascii="Arial Narrow" w:hAnsi="Arial Narrow" w:cs="Times New Roman"/>
                <w:snapToGrid/>
                <w:sz w:val="20"/>
                <w:vertAlign w:val="superscript"/>
              </w:rPr>
              <w:t xml:space="preserve">a </w:t>
            </w:r>
            <w:r w:rsidRPr="007E1812">
              <w:rPr>
                <w:rFonts w:ascii="Arial Narrow" w:hAnsi="Arial Narrow" w:cs="Times New Roman"/>
                <w:snapToGrid/>
                <w:sz w:val="20"/>
              </w:rPr>
              <w:t>(alect)</w:t>
            </w:r>
          </w:p>
        </w:tc>
        <w:tc>
          <w:tcPr>
            <w:tcW w:w="539"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40/152 (26)</w:t>
            </w:r>
          </w:p>
        </w:tc>
        <w:tc>
          <w:tcPr>
            <w:tcW w:w="777"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537"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35/151 (23)</w:t>
            </w:r>
          </w:p>
        </w:tc>
        <w:tc>
          <w:tcPr>
            <w:tcW w:w="768"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622"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541"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NR</w:t>
            </w:r>
          </w:p>
        </w:tc>
        <w:tc>
          <w:tcPr>
            <w:tcW w:w="693" w:type="pct"/>
            <w:vAlign w:val="center"/>
          </w:tcPr>
          <w:p w:rsidR="00E23DC5"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 xml:space="preserve">0.76 </w:t>
            </w:r>
          </w:p>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snapToGrid/>
                <w:sz w:val="20"/>
              </w:rPr>
              <w:t>(0.48, 1.20)</w:t>
            </w:r>
          </w:p>
        </w:tc>
      </w:tr>
      <w:tr w:rsidR="00C31073" w:rsidRPr="007E1812" w:rsidTr="008B784E">
        <w:tc>
          <w:tcPr>
            <w:tcW w:w="523" w:type="pct"/>
            <w:vAlign w:val="center"/>
          </w:tcPr>
          <w:p w:rsidR="00C31073" w:rsidRPr="007E1812" w:rsidRDefault="00C31073" w:rsidP="00620BD3">
            <w:pPr>
              <w:keepNext/>
              <w:keepLines/>
              <w:widowControl/>
              <w:jc w:val="left"/>
              <w:rPr>
                <w:rFonts w:ascii="Arial Narrow" w:hAnsi="Arial Narrow" w:cs="Times New Roman"/>
                <w:snapToGrid/>
                <w:sz w:val="20"/>
                <w:vertAlign w:val="superscript"/>
              </w:rPr>
            </w:pPr>
            <w:r w:rsidRPr="007E1812">
              <w:rPr>
                <w:rFonts w:ascii="Arial Narrow" w:hAnsi="Arial Narrow" w:cs="Times New Roman"/>
                <w:snapToGrid/>
                <w:sz w:val="20"/>
              </w:rPr>
              <w:t>ALEX</w:t>
            </w:r>
            <w:r w:rsidRPr="007E1812">
              <w:rPr>
                <w:rFonts w:ascii="Arial Narrow" w:hAnsi="Arial Narrow" w:cs="Times New Roman"/>
                <w:snapToGrid/>
                <w:sz w:val="20"/>
                <w:vertAlign w:val="superscript"/>
              </w:rPr>
              <w:t>b</w:t>
            </w:r>
          </w:p>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snapToGrid/>
                <w:sz w:val="20"/>
              </w:rPr>
              <w:t>(alect)</w:t>
            </w:r>
          </w:p>
        </w:tc>
        <w:tc>
          <w:tcPr>
            <w:tcW w:w="539"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43/152 (28.3)</w:t>
            </w:r>
          </w:p>
        </w:tc>
        <w:tc>
          <w:tcPr>
            <w:tcW w:w="777"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537"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48/151 (31.8)</w:t>
            </w:r>
          </w:p>
        </w:tc>
        <w:tc>
          <w:tcPr>
            <w:tcW w:w="768"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622"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541"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NR</w:t>
            </w:r>
          </w:p>
        </w:tc>
        <w:tc>
          <w:tcPr>
            <w:tcW w:w="693" w:type="pct"/>
            <w:vAlign w:val="center"/>
          </w:tcPr>
          <w:p w:rsidR="00E23DC5"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 xml:space="preserve">0.76 </w:t>
            </w:r>
          </w:p>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(0.50, 1.15)</w:t>
            </w:r>
          </w:p>
        </w:tc>
      </w:tr>
    </w:tbl>
    <w:p w:rsidR="00C31073" w:rsidRPr="007E1812" w:rsidRDefault="00C31073" w:rsidP="00620BD3">
      <w:pPr>
        <w:keepNext/>
        <w:keepLines/>
        <w:widowControl/>
        <w:rPr>
          <w:rFonts w:ascii="Arial Narrow" w:hAnsi="Arial Narrow"/>
          <w:sz w:val="18"/>
        </w:rPr>
      </w:pPr>
      <w:r w:rsidRPr="007E1812">
        <w:rPr>
          <w:rFonts w:ascii="Arial Narrow" w:hAnsi="Arial Narrow"/>
          <w:sz w:val="18"/>
          <w:szCs w:val="18"/>
        </w:rPr>
        <w:t xml:space="preserve">Abbreviations: CI = confidence interval; </w:t>
      </w:r>
      <w:r w:rsidRPr="007E1812">
        <w:rPr>
          <w:rFonts w:ascii="Arial Narrow" w:hAnsi="Arial Narrow"/>
          <w:sz w:val="18"/>
        </w:rPr>
        <w:t>n = number of participants with event; N = total participants in group</w:t>
      </w:r>
      <w:r w:rsidRPr="007E1812">
        <w:rPr>
          <w:rFonts w:ascii="Arial Narrow" w:hAnsi="Arial Narrow"/>
          <w:sz w:val="18"/>
          <w:szCs w:val="18"/>
        </w:rPr>
        <w:t xml:space="preserve">; </w:t>
      </w:r>
      <w:r w:rsidRPr="007E1812">
        <w:rPr>
          <w:rFonts w:ascii="Arial Narrow" w:hAnsi="Arial Narrow"/>
          <w:sz w:val="18"/>
        </w:rPr>
        <w:t>NE = not estimable; NR = not reported</w:t>
      </w:r>
    </w:p>
    <w:p w:rsidR="005929E2" w:rsidRPr="007E1812" w:rsidRDefault="00592855" w:rsidP="00620BD3">
      <w:pPr>
        <w:keepNext/>
        <w:keepLines/>
        <w:widowControl/>
        <w:rPr>
          <w:rFonts w:ascii="Arial Narrow" w:eastAsia="Calibri" w:hAnsi="Arial Narrow"/>
          <w:sz w:val="18"/>
          <w:vertAlign w:val="superscript"/>
        </w:rPr>
      </w:pPr>
      <w:r w:rsidRPr="007E1812">
        <w:rPr>
          <w:rFonts w:ascii="Arial Narrow" w:eastAsia="Calibri" w:hAnsi="Arial Narrow"/>
          <w:sz w:val="18"/>
        </w:rPr>
        <w:t>Notes: Numbers</w:t>
      </w:r>
      <w:r w:rsidR="00FC36F4" w:rsidRPr="007E1812">
        <w:rPr>
          <w:rFonts w:ascii="Arial Narrow" w:eastAsia="Calibri" w:hAnsi="Arial Narrow"/>
          <w:sz w:val="18"/>
        </w:rPr>
        <w:t xml:space="preserve"> in italics indicate values </w:t>
      </w:r>
      <w:r w:rsidRPr="007E1812">
        <w:rPr>
          <w:rFonts w:ascii="Arial Narrow" w:eastAsia="Calibri" w:hAnsi="Arial Narrow"/>
          <w:sz w:val="18"/>
        </w:rPr>
        <w:t>extracted</w:t>
      </w:r>
      <w:r w:rsidR="00FC36F4" w:rsidRPr="007E1812">
        <w:rPr>
          <w:rFonts w:ascii="Arial Narrow" w:eastAsia="Calibri" w:hAnsi="Arial Narrow"/>
          <w:sz w:val="18"/>
        </w:rPr>
        <w:t xml:space="preserve"> during evaluation</w:t>
      </w:r>
    </w:p>
    <w:p w:rsidR="00C31073" w:rsidRPr="007E1812" w:rsidRDefault="00C31073" w:rsidP="00620BD3">
      <w:pPr>
        <w:keepNext/>
        <w:keepLines/>
        <w:widowControl/>
        <w:rPr>
          <w:rFonts w:ascii="Arial Narrow" w:eastAsia="Calibri" w:hAnsi="Arial Narrow"/>
          <w:sz w:val="18"/>
        </w:rPr>
      </w:pPr>
      <w:r w:rsidRPr="007E1812">
        <w:rPr>
          <w:rFonts w:ascii="Arial Narrow" w:eastAsia="Calibri" w:hAnsi="Arial Narrow"/>
          <w:sz w:val="18"/>
          <w:vertAlign w:val="superscript"/>
        </w:rPr>
        <w:t>a</w:t>
      </w:r>
      <w:r w:rsidRPr="007E1812">
        <w:rPr>
          <w:rFonts w:ascii="Arial Narrow" w:eastAsia="Calibri" w:hAnsi="Arial Narrow"/>
          <w:sz w:val="18"/>
        </w:rPr>
        <w:t xml:space="preserve"> 1 January 2017 cut-off</w:t>
      </w:r>
    </w:p>
    <w:p w:rsidR="00C31073" w:rsidRPr="007E1812" w:rsidRDefault="00C31073" w:rsidP="00620BD3">
      <w:pPr>
        <w:keepNext/>
        <w:keepLines/>
        <w:widowControl/>
        <w:rPr>
          <w:rFonts w:ascii="Arial Narrow" w:eastAsia="Calibri" w:hAnsi="Arial Narrow"/>
          <w:sz w:val="18"/>
        </w:rPr>
      </w:pPr>
      <w:r w:rsidRPr="007E1812">
        <w:rPr>
          <w:rFonts w:ascii="Arial Narrow" w:eastAsia="Calibri" w:hAnsi="Arial Narrow"/>
          <w:sz w:val="18"/>
          <w:vertAlign w:val="superscript"/>
        </w:rPr>
        <w:t>b</w:t>
      </w:r>
      <w:r w:rsidRPr="007E1812">
        <w:rPr>
          <w:rFonts w:ascii="Arial Narrow" w:eastAsia="Calibri" w:hAnsi="Arial Narrow"/>
          <w:sz w:val="18"/>
        </w:rPr>
        <w:t xml:space="preserve"> 1 December 2017 cut-off, data were sought from the submission and Camidge et al 2019 (italic) by the evaluators.</w:t>
      </w:r>
    </w:p>
    <w:p w:rsidR="00C31073" w:rsidRPr="007E1812" w:rsidRDefault="00C31073" w:rsidP="00620BD3">
      <w:pPr>
        <w:keepNext/>
        <w:keepLines/>
        <w:widowControl/>
        <w:rPr>
          <w:rFonts w:ascii="Arial Narrow" w:hAnsi="Arial Narrow"/>
          <w:sz w:val="18"/>
          <w:szCs w:val="18"/>
        </w:rPr>
      </w:pPr>
      <w:r w:rsidRPr="007E1812">
        <w:rPr>
          <w:rFonts w:ascii="Arial Narrow" w:hAnsi="Arial Narrow"/>
          <w:sz w:val="18"/>
          <w:szCs w:val="18"/>
        </w:rPr>
        <w:t>Source: Table 2-24, p.73 of the submission</w:t>
      </w:r>
      <w:r w:rsidR="005929E2" w:rsidRPr="007E1812">
        <w:rPr>
          <w:rFonts w:ascii="Arial Narrow" w:hAnsi="Arial Narrow"/>
          <w:sz w:val="18"/>
          <w:szCs w:val="18"/>
        </w:rPr>
        <w:t>.</w:t>
      </w:r>
    </w:p>
    <w:p w:rsidR="00C31073" w:rsidRPr="007E1812" w:rsidRDefault="00C31073" w:rsidP="00620BD3">
      <w:pPr>
        <w:pStyle w:val="ListParagraph"/>
        <w:widowControl/>
        <w:numPr>
          <w:ilvl w:val="1"/>
          <w:numId w:val="1"/>
        </w:numPr>
        <w:spacing w:before="120" w:after="120"/>
      </w:pPr>
      <w:r w:rsidRPr="007E1812">
        <w:t>Results for HRQoL in ALTA-1L showed a clinically meaningful improvement from baseline was observed with both brigatinib (from Cycle 5) and crizotinib</w:t>
      </w:r>
      <w:r w:rsidR="0055770F" w:rsidRPr="007E1812">
        <w:t xml:space="preserve"> (from Cycle </w:t>
      </w:r>
      <w:r w:rsidRPr="007E1812">
        <w:t>6). The way the submission presented the results of HRQoL by reporting number of cycles showing improvement in HRQoL rather than reporting an average HRQoL score per health state (e.g. progression free or progressed disease) might be less meaningful for decision making and made it more difficult to compare t</w:t>
      </w:r>
      <w:r w:rsidR="00592855" w:rsidRPr="007E1812">
        <w:t>he results with HRQoL in ALEX.</w:t>
      </w:r>
    </w:p>
    <w:p w:rsidR="00C31073" w:rsidRPr="007E1812" w:rsidRDefault="00C31073" w:rsidP="00620BD3">
      <w:pPr>
        <w:pStyle w:val="ListParagraph"/>
        <w:widowControl/>
        <w:numPr>
          <w:ilvl w:val="1"/>
          <w:numId w:val="1"/>
        </w:numPr>
        <w:spacing w:before="120" w:after="120"/>
      </w:pPr>
      <w:r w:rsidRPr="007E1812">
        <w:t xml:space="preserve">The results of the indirect comparison of PFS, OS, ORR, and iORR between brigatinib and alectinib for the first line setting are </w:t>
      </w:r>
      <w:r w:rsidRPr="007E1812">
        <w:rPr>
          <w:rFonts w:asciiTheme="minorHAnsi" w:hAnsiTheme="minorHAnsi" w:cstheme="minorHAnsi"/>
          <w:szCs w:val="24"/>
        </w:rPr>
        <w:t xml:space="preserve">presented in </w:t>
      </w:r>
      <w:r w:rsidR="00592855" w:rsidRPr="007E1812">
        <w:rPr>
          <w:rFonts w:asciiTheme="minorHAnsi" w:hAnsiTheme="minorHAnsi" w:cstheme="minorHAnsi"/>
          <w:szCs w:val="24"/>
        </w:rPr>
        <w:t>Table 7</w:t>
      </w:r>
      <w:r w:rsidRPr="007E1812">
        <w:rPr>
          <w:rFonts w:asciiTheme="minorHAnsi" w:hAnsiTheme="minorHAnsi" w:cstheme="minorHAnsi"/>
          <w:szCs w:val="24"/>
        </w:rPr>
        <w:t>. A comparison of outco</w:t>
      </w:r>
      <w:r w:rsidR="004B7EA7" w:rsidRPr="007E1812">
        <w:rPr>
          <w:rFonts w:asciiTheme="minorHAnsi" w:hAnsiTheme="minorHAnsi" w:cstheme="minorHAnsi"/>
          <w:szCs w:val="24"/>
        </w:rPr>
        <w:t xml:space="preserve">mes for HRQoL was not presented, which was appropriate. </w:t>
      </w:r>
    </w:p>
    <w:p w:rsidR="00C31073" w:rsidRPr="007E1812" w:rsidRDefault="00C31073" w:rsidP="00620BD3">
      <w:pPr>
        <w:pStyle w:val="Caption"/>
      </w:pPr>
      <w:bookmarkStart w:id="38" w:name="_Ref18506779"/>
      <w:r w:rsidRPr="007E1812">
        <w:lastRenderedPageBreak/>
        <w:t xml:space="preserve">Table </w:t>
      </w:r>
      <w:r w:rsidR="007F3D8E" w:rsidRPr="007E1812">
        <w:t>7</w:t>
      </w:r>
      <w:bookmarkEnd w:id="38"/>
      <w:r w:rsidRPr="007E1812">
        <w:t>:</w:t>
      </w:r>
      <w:r w:rsidRPr="007E1812">
        <w:rPr>
          <w:rStyle w:val="CommentReference"/>
          <w:b/>
          <w:bCs w:val="0"/>
          <w:szCs w:val="20"/>
        </w:rPr>
        <w:t xml:space="preserve"> Results of the indirect comparison for PFS, OS, ORR, and iORR</w:t>
      </w:r>
    </w:p>
    <w:tbl>
      <w:tblPr>
        <w:tblStyle w:val="TableGrid"/>
        <w:tblW w:w="5028" w:type="pct"/>
        <w:tblLayout w:type="fixed"/>
        <w:tblLook w:val="04A0" w:firstRow="1" w:lastRow="0" w:firstColumn="1" w:lastColumn="0" w:noHBand="0" w:noVBand="1"/>
        <w:tblCaption w:val="Table 9: Results of the indirect comparison for PFS, OS, ORR, and iORR"/>
      </w:tblPr>
      <w:tblGrid>
        <w:gridCol w:w="933"/>
        <w:gridCol w:w="1761"/>
        <w:gridCol w:w="1211"/>
        <w:gridCol w:w="1599"/>
        <w:gridCol w:w="1012"/>
        <w:gridCol w:w="1416"/>
        <w:gridCol w:w="1135"/>
      </w:tblGrid>
      <w:tr w:rsidR="00C31073" w:rsidRPr="007E1812" w:rsidTr="00487A93">
        <w:trPr>
          <w:tblHeader/>
        </w:trPr>
        <w:tc>
          <w:tcPr>
            <w:tcW w:w="1485" w:type="pct"/>
            <w:gridSpan w:val="2"/>
            <w:vAlign w:val="center"/>
          </w:tcPr>
          <w:p w:rsidR="00C31073" w:rsidRPr="007E1812" w:rsidRDefault="00C31073" w:rsidP="00620BD3">
            <w:pPr>
              <w:keepNext/>
              <w:keepLines/>
              <w:widowControl/>
              <w:jc w:val="left"/>
              <w:rPr>
                <w:rFonts w:ascii="Arial Narrow" w:hAnsi="Arial Narrow" w:cs="Times New Roman"/>
                <w:b/>
                <w:snapToGrid/>
                <w:sz w:val="20"/>
                <w:szCs w:val="20"/>
              </w:rPr>
            </w:pPr>
            <w:r w:rsidRPr="007E1812">
              <w:rPr>
                <w:rFonts w:ascii="Arial Narrow" w:hAnsi="Arial Narrow" w:cs="Times New Roman"/>
                <w:b/>
                <w:snapToGrid/>
                <w:sz w:val="20"/>
                <w:szCs w:val="20"/>
              </w:rPr>
              <w:t xml:space="preserve">PFS </w:t>
            </w:r>
            <w:r w:rsidRPr="007E1812">
              <w:rPr>
                <w:rFonts w:ascii="Arial Narrow" w:hAnsi="Arial Narrow" w:cs="Times New Roman"/>
                <w:b/>
                <w:snapToGrid/>
                <w:sz w:val="20"/>
              </w:rPr>
              <w:t>(IRC)</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b/>
                <w:iCs/>
                <w:snapToGrid/>
                <w:sz w:val="20"/>
                <w:szCs w:val="20"/>
              </w:rPr>
              <w:t>Studied intervention</w:t>
            </w:r>
          </w:p>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iCs/>
                <w:snapToGrid/>
                <w:sz w:val="20"/>
                <w:szCs w:val="20"/>
              </w:rPr>
              <w:t>n/N (%)</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Common reference</w:t>
            </w:r>
          </w:p>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n/N (%)</w:t>
            </w:r>
          </w:p>
        </w:tc>
        <w:tc>
          <w:tcPr>
            <w:tcW w:w="558"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Absolute difference</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HR (95% CI)</w:t>
            </w:r>
          </w:p>
        </w:tc>
      </w:tr>
      <w:tr w:rsidR="00C31073" w:rsidRPr="007E1812" w:rsidTr="00487A93">
        <w:tc>
          <w:tcPr>
            <w:tcW w:w="514" w:type="pct"/>
            <w:vMerge w:val="restar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ALTA-1L</w:t>
            </w:r>
          </w:p>
        </w:tc>
        <w:tc>
          <w:tcPr>
            <w:tcW w:w="971" w:type="pct"/>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Progressed</w:t>
            </w:r>
          </w:p>
        </w:tc>
        <w:tc>
          <w:tcPr>
            <w:tcW w:w="66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rPr>
              <w:t>36/137 (26.3)</w:t>
            </w:r>
          </w:p>
        </w:tc>
        <w:tc>
          <w:tcPr>
            <w:tcW w:w="882"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rPr>
              <w:t>63/138 (45.7)</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19.4%</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w:t>
            </w:r>
          </w:p>
        </w:tc>
      </w:tr>
      <w:tr w:rsidR="00C31073" w:rsidRPr="007E1812" w:rsidTr="00487A93">
        <w:tc>
          <w:tcPr>
            <w:tcW w:w="514" w:type="pct"/>
            <w:vMerge/>
          </w:tcPr>
          <w:p w:rsidR="00C31073" w:rsidRPr="007E1812" w:rsidRDefault="00C31073" w:rsidP="00620BD3">
            <w:pPr>
              <w:keepNext/>
              <w:keepLines/>
              <w:widowControl/>
              <w:jc w:val="left"/>
              <w:rPr>
                <w:rFonts w:ascii="Arial Narrow" w:hAnsi="Arial Narrow" w:cs="Times New Roman"/>
                <w:snapToGrid/>
                <w:sz w:val="20"/>
                <w:szCs w:val="20"/>
              </w:rPr>
            </w:pPr>
          </w:p>
        </w:tc>
        <w:tc>
          <w:tcPr>
            <w:tcW w:w="971" w:type="pct"/>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Median months PFS</w:t>
            </w:r>
          </w:p>
        </w:tc>
        <w:tc>
          <w:tcPr>
            <w:tcW w:w="66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rPr>
              <w:t>NE</w:t>
            </w:r>
          </w:p>
        </w:tc>
        <w:tc>
          <w:tcPr>
            <w:tcW w:w="882"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rPr>
              <w:t>9.76 (9.03, 12.88)</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NE</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b/>
                <w:snapToGrid/>
                <w:sz w:val="20"/>
              </w:rPr>
              <w:t>0.49 (0.33, 0.74)</w:t>
            </w:r>
          </w:p>
        </w:tc>
      </w:tr>
      <w:tr w:rsidR="00C31073" w:rsidRPr="007E1812" w:rsidTr="00487A93">
        <w:tc>
          <w:tcPr>
            <w:tcW w:w="514" w:type="pct"/>
            <w:vMerge w:val="restar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ALEX</w:t>
            </w:r>
          </w:p>
        </w:tc>
        <w:tc>
          <w:tcPr>
            <w:tcW w:w="971" w:type="pct"/>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Progressed</w:t>
            </w:r>
          </w:p>
        </w:tc>
        <w:tc>
          <w:tcPr>
            <w:tcW w:w="66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NR</w:t>
            </w:r>
          </w:p>
        </w:tc>
        <w:tc>
          <w:tcPr>
            <w:tcW w:w="882"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NR</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NE</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w:t>
            </w:r>
          </w:p>
        </w:tc>
      </w:tr>
      <w:tr w:rsidR="00C31073" w:rsidRPr="007E1812" w:rsidTr="00487A93">
        <w:tc>
          <w:tcPr>
            <w:tcW w:w="514" w:type="pct"/>
            <w:vMerge/>
          </w:tcPr>
          <w:p w:rsidR="00C31073" w:rsidRPr="007E1812" w:rsidRDefault="00C31073" w:rsidP="00620BD3">
            <w:pPr>
              <w:keepNext/>
              <w:keepLines/>
              <w:widowControl/>
              <w:jc w:val="left"/>
              <w:rPr>
                <w:rFonts w:ascii="Arial Narrow" w:hAnsi="Arial Narrow" w:cs="Times New Roman"/>
                <w:snapToGrid/>
                <w:sz w:val="20"/>
                <w:szCs w:val="20"/>
              </w:rPr>
            </w:pPr>
          </w:p>
        </w:tc>
        <w:tc>
          <w:tcPr>
            <w:tcW w:w="971" w:type="pct"/>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Median months PFS</w:t>
            </w:r>
          </w:p>
        </w:tc>
        <w:tc>
          <w:tcPr>
            <w:tcW w:w="66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rPr>
              <w:t xml:space="preserve">25.7 </w:t>
            </w:r>
            <w:r w:rsidR="005633E4" w:rsidRPr="007E1812">
              <w:rPr>
                <w:rFonts w:ascii="Arial Narrow" w:hAnsi="Arial Narrow" w:cs="Times New Roman"/>
                <w:snapToGrid/>
                <w:sz w:val="20"/>
              </w:rPr>
              <w:br/>
            </w:r>
            <w:r w:rsidRPr="007E1812">
              <w:rPr>
                <w:rFonts w:ascii="Arial Narrow" w:hAnsi="Arial Narrow" w:cs="Times New Roman"/>
                <w:snapToGrid/>
                <w:sz w:val="20"/>
              </w:rPr>
              <w:t>(19.9, NE)</w:t>
            </w:r>
          </w:p>
        </w:tc>
        <w:tc>
          <w:tcPr>
            <w:tcW w:w="882"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rPr>
              <w:t>10.4 (7.7, 14.6)</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15.3</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b/>
                <w:snapToGrid/>
                <w:sz w:val="20"/>
              </w:rPr>
              <w:t>0.50 (0.36, 0.70)</w:t>
            </w:r>
          </w:p>
        </w:tc>
      </w:tr>
      <w:tr w:rsidR="00C31073" w:rsidRPr="007E1812" w:rsidTr="00487A93">
        <w:tc>
          <w:tcPr>
            <w:tcW w:w="3593" w:type="pct"/>
            <w:gridSpan w:val="5"/>
          </w:tcPr>
          <w:p w:rsidR="00C31073" w:rsidRPr="007E1812" w:rsidRDefault="00C31073" w:rsidP="00620BD3">
            <w:pPr>
              <w:keepNext/>
              <w:keepLines/>
              <w:widowControl/>
              <w:jc w:val="right"/>
              <w:rPr>
                <w:rFonts w:ascii="Arial Narrow" w:hAnsi="Arial Narrow" w:cs="Times New Roman"/>
                <w:snapToGrid/>
                <w:sz w:val="20"/>
                <w:szCs w:val="20"/>
              </w:rPr>
            </w:pPr>
            <w:r w:rsidRPr="007E1812">
              <w:rPr>
                <w:rFonts w:ascii="Arial Narrow" w:hAnsi="Arial Narrow" w:cs="Times New Roman"/>
                <w:b/>
                <w:snapToGrid/>
                <w:sz w:val="20"/>
                <w:szCs w:val="20"/>
              </w:rPr>
              <w:t>Indirect estimate of relative treatment effect</w:t>
            </w:r>
          </w:p>
        </w:tc>
        <w:tc>
          <w:tcPr>
            <w:tcW w:w="1407" w:type="pct"/>
            <w:gridSpan w:val="2"/>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Cs/>
                <w:snapToGrid/>
                <w:sz w:val="20"/>
                <w:szCs w:val="20"/>
              </w:rPr>
              <w:t>0</w:t>
            </w:r>
            <w:r w:rsidRPr="007E1812">
              <w:rPr>
                <w:rFonts w:ascii="Arial Narrow" w:hAnsi="Arial Narrow" w:cs="Times New Roman"/>
                <w:bCs/>
                <w:snapToGrid/>
                <w:sz w:val="20"/>
              </w:rPr>
              <w:t>.98 (0.58, 1.66)</w:t>
            </w:r>
          </w:p>
        </w:tc>
      </w:tr>
      <w:tr w:rsidR="00C31073" w:rsidRPr="007E1812" w:rsidTr="00487A93">
        <w:tc>
          <w:tcPr>
            <w:tcW w:w="1485" w:type="pct"/>
            <w:gridSpan w:val="2"/>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b/>
                <w:snapToGrid/>
                <w:sz w:val="20"/>
                <w:szCs w:val="20"/>
              </w:rPr>
              <w:t xml:space="preserve">PFS </w:t>
            </w:r>
            <w:r w:rsidRPr="007E1812">
              <w:rPr>
                <w:rFonts w:ascii="Arial Narrow" w:hAnsi="Arial Narrow" w:cs="Times New Roman"/>
                <w:b/>
                <w:snapToGrid/>
                <w:sz w:val="20"/>
              </w:rPr>
              <w:t>(INV)</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b/>
                <w:iCs/>
                <w:snapToGrid/>
                <w:sz w:val="20"/>
                <w:szCs w:val="20"/>
              </w:rPr>
              <w:t>Proposed medicine</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
                <w:iCs/>
                <w:snapToGrid/>
                <w:sz w:val="20"/>
                <w:szCs w:val="20"/>
              </w:rPr>
              <w:t>n/N (%)</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Common reference</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
                <w:snapToGrid/>
                <w:sz w:val="20"/>
                <w:szCs w:val="20"/>
              </w:rPr>
              <w:t>n/N (%)</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b/>
                <w:snapToGrid/>
                <w:sz w:val="20"/>
                <w:szCs w:val="20"/>
              </w:rPr>
              <w:t>Absolute difference</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szCs w:val="20"/>
              </w:rPr>
              <w:t>HR (95% CI)</w:t>
            </w:r>
          </w:p>
        </w:tc>
      </w:tr>
      <w:tr w:rsidR="00C31073" w:rsidRPr="007E1812" w:rsidTr="00487A93">
        <w:tc>
          <w:tcPr>
            <w:tcW w:w="514" w:type="pct"/>
            <w:vMerge w:val="restar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ALTA-1L</w:t>
            </w:r>
          </w:p>
        </w:tc>
        <w:tc>
          <w:tcPr>
            <w:tcW w:w="971" w:type="pct"/>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Progressed</w:t>
            </w:r>
          </w:p>
        </w:tc>
        <w:tc>
          <w:tcPr>
            <w:tcW w:w="668"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36/137 (26.3)</w:t>
            </w:r>
          </w:p>
        </w:tc>
        <w:tc>
          <w:tcPr>
            <w:tcW w:w="882"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67/138 (48.6)</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22.3%</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w:t>
            </w:r>
          </w:p>
        </w:tc>
      </w:tr>
      <w:tr w:rsidR="00C31073" w:rsidRPr="007E1812" w:rsidTr="00487A93">
        <w:tc>
          <w:tcPr>
            <w:tcW w:w="514" w:type="pct"/>
            <w:vMerge/>
          </w:tcPr>
          <w:p w:rsidR="00C31073" w:rsidRPr="007E1812" w:rsidRDefault="00C31073" w:rsidP="00620BD3">
            <w:pPr>
              <w:keepNext/>
              <w:keepLines/>
              <w:widowControl/>
              <w:jc w:val="left"/>
              <w:rPr>
                <w:rFonts w:ascii="Arial Narrow" w:hAnsi="Arial Narrow" w:cs="Times New Roman"/>
                <w:snapToGrid/>
                <w:sz w:val="20"/>
                <w:szCs w:val="20"/>
              </w:rPr>
            </w:pPr>
          </w:p>
        </w:tc>
        <w:tc>
          <w:tcPr>
            <w:tcW w:w="971" w:type="pct"/>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Median months PFS</w:t>
            </w:r>
          </w:p>
        </w:tc>
        <w:tc>
          <w:tcPr>
            <w:tcW w:w="668"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882"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9.23 (7.39, 12.94)</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NE</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0.45 (0.30, 0.68)</w:t>
            </w:r>
          </w:p>
        </w:tc>
      </w:tr>
      <w:tr w:rsidR="00C31073" w:rsidRPr="007E1812" w:rsidTr="00487A93">
        <w:tc>
          <w:tcPr>
            <w:tcW w:w="514" w:type="pct"/>
            <w:vMerge w:val="restart"/>
          </w:tcPr>
          <w:p w:rsidR="00C31073" w:rsidRPr="007E1812" w:rsidRDefault="00C31073" w:rsidP="00620BD3">
            <w:pPr>
              <w:keepNext/>
              <w:keepLines/>
              <w:widowControl/>
              <w:jc w:val="left"/>
              <w:rPr>
                <w:rFonts w:ascii="Arial Narrow" w:hAnsi="Arial Narrow" w:cs="Times New Roman"/>
                <w:snapToGrid/>
                <w:sz w:val="20"/>
                <w:szCs w:val="20"/>
                <w:vertAlign w:val="superscript"/>
              </w:rPr>
            </w:pPr>
            <w:r w:rsidRPr="007E1812">
              <w:rPr>
                <w:rFonts w:ascii="Arial Narrow" w:hAnsi="Arial Narrow" w:cs="Times New Roman"/>
                <w:snapToGrid/>
                <w:sz w:val="20"/>
                <w:szCs w:val="20"/>
              </w:rPr>
              <w:t>ALEX</w:t>
            </w:r>
            <w:r w:rsidRPr="007E1812">
              <w:rPr>
                <w:rFonts w:ascii="Arial Narrow" w:hAnsi="Arial Narrow" w:cs="Times New Roman"/>
                <w:snapToGrid/>
                <w:sz w:val="20"/>
                <w:szCs w:val="20"/>
                <w:vertAlign w:val="superscript"/>
              </w:rPr>
              <w:t>a</w:t>
            </w:r>
          </w:p>
        </w:tc>
        <w:tc>
          <w:tcPr>
            <w:tcW w:w="971" w:type="pct"/>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Progressed</w:t>
            </w:r>
          </w:p>
        </w:tc>
        <w:tc>
          <w:tcPr>
            <w:tcW w:w="668"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72/152 (47.7)</w:t>
            </w:r>
          </w:p>
        </w:tc>
        <w:tc>
          <w:tcPr>
            <w:tcW w:w="882"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116/151 (76.8)</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29.1%</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bCs/>
                <w:snapToGrid/>
                <w:sz w:val="20"/>
              </w:rPr>
            </w:pPr>
          </w:p>
        </w:tc>
      </w:tr>
      <w:tr w:rsidR="00C31073" w:rsidRPr="007E1812" w:rsidTr="00487A93">
        <w:tc>
          <w:tcPr>
            <w:tcW w:w="514" w:type="pct"/>
            <w:vMerge/>
          </w:tcPr>
          <w:p w:rsidR="00C31073" w:rsidRPr="007E1812" w:rsidRDefault="00C31073" w:rsidP="00620BD3">
            <w:pPr>
              <w:keepNext/>
              <w:keepLines/>
              <w:widowControl/>
              <w:jc w:val="left"/>
              <w:rPr>
                <w:rFonts w:ascii="Arial Narrow" w:hAnsi="Arial Narrow" w:cs="Times New Roman"/>
                <w:snapToGrid/>
                <w:sz w:val="20"/>
                <w:szCs w:val="20"/>
              </w:rPr>
            </w:pPr>
          </w:p>
        </w:tc>
        <w:tc>
          <w:tcPr>
            <w:tcW w:w="971" w:type="pct"/>
            <w:vAlign w:val="center"/>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Median months PFS</w:t>
            </w:r>
          </w:p>
        </w:tc>
        <w:tc>
          <w:tcPr>
            <w:tcW w:w="668" w:type="pct"/>
            <w:vAlign w:val="center"/>
          </w:tcPr>
          <w:p w:rsidR="00CC3D50"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34.8</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(17.7, NE)</w:t>
            </w:r>
          </w:p>
        </w:tc>
        <w:tc>
          <w:tcPr>
            <w:tcW w:w="882" w:type="pct"/>
            <w:vAlign w:val="center"/>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10.9 (9.1, 12.9)</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23.9</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rPr>
              <w:t>0.43 (0.34, 0.58)</w:t>
            </w:r>
          </w:p>
        </w:tc>
      </w:tr>
      <w:tr w:rsidR="00C31073" w:rsidRPr="007E1812" w:rsidTr="00487A93">
        <w:tc>
          <w:tcPr>
            <w:tcW w:w="3593" w:type="pct"/>
            <w:gridSpan w:val="5"/>
          </w:tcPr>
          <w:p w:rsidR="00C31073" w:rsidRPr="007E1812" w:rsidRDefault="00C31073" w:rsidP="00620BD3">
            <w:pPr>
              <w:keepNext/>
              <w:keepLines/>
              <w:widowControl/>
              <w:jc w:val="right"/>
              <w:rPr>
                <w:rFonts w:ascii="Arial Narrow" w:hAnsi="Arial Narrow" w:cs="Times New Roman"/>
                <w:snapToGrid/>
                <w:sz w:val="20"/>
                <w:szCs w:val="20"/>
              </w:rPr>
            </w:pPr>
            <w:r w:rsidRPr="007E1812">
              <w:rPr>
                <w:rFonts w:ascii="Arial Narrow" w:hAnsi="Arial Narrow" w:cs="Times New Roman"/>
                <w:b/>
                <w:snapToGrid/>
                <w:sz w:val="20"/>
                <w:szCs w:val="20"/>
              </w:rPr>
              <w:t>Indirect estimate of relative treatment effect</w:t>
            </w:r>
          </w:p>
        </w:tc>
        <w:tc>
          <w:tcPr>
            <w:tcW w:w="1407" w:type="pct"/>
            <w:gridSpan w:val="2"/>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Cs/>
                <w:snapToGrid/>
                <w:sz w:val="20"/>
                <w:szCs w:val="20"/>
              </w:rPr>
              <w:t>1</w:t>
            </w:r>
            <w:r w:rsidRPr="007E1812">
              <w:rPr>
                <w:rFonts w:ascii="Arial Narrow" w:hAnsi="Arial Narrow" w:cs="Times New Roman"/>
                <w:bCs/>
                <w:snapToGrid/>
                <w:sz w:val="20"/>
              </w:rPr>
              <w:t>.06 (0.64, 1.75)</w:t>
            </w:r>
          </w:p>
        </w:tc>
      </w:tr>
      <w:tr w:rsidR="00C31073" w:rsidRPr="007E1812" w:rsidTr="00487A93">
        <w:tc>
          <w:tcPr>
            <w:tcW w:w="1485" w:type="pct"/>
            <w:gridSpan w:val="2"/>
            <w:vAlign w:val="center"/>
          </w:tcPr>
          <w:p w:rsidR="00C31073" w:rsidRPr="007E1812" w:rsidRDefault="00C31073" w:rsidP="00620BD3">
            <w:pPr>
              <w:keepNext/>
              <w:keepLines/>
              <w:widowControl/>
              <w:jc w:val="left"/>
              <w:rPr>
                <w:rFonts w:ascii="Arial Narrow" w:hAnsi="Arial Narrow" w:cs="Times New Roman"/>
                <w:b/>
                <w:bCs/>
                <w:snapToGrid/>
                <w:sz w:val="20"/>
                <w:szCs w:val="20"/>
              </w:rPr>
            </w:pPr>
            <w:r w:rsidRPr="007E1812">
              <w:rPr>
                <w:rFonts w:ascii="Arial Narrow" w:hAnsi="Arial Narrow" w:cs="Times New Roman"/>
                <w:b/>
                <w:bCs/>
                <w:snapToGrid/>
                <w:sz w:val="20"/>
                <w:szCs w:val="20"/>
              </w:rPr>
              <w:t>OS</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b/>
                <w:iCs/>
                <w:snapToGrid/>
                <w:sz w:val="20"/>
                <w:szCs w:val="20"/>
              </w:rPr>
              <w:t>Proposed medicine</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
                <w:iCs/>
                <w:snapToGrid/>
                <w:sz w:val="20"/>
                <w:szCs w:val="20"/>
              </w:rPr>
              <w:t>n/N (%)</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Common reference</w:t>
            </w:r>
          </w:p>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b/>
                <w:snapToGrid/>
                <w:sz w:val="20"/>
                <w:szCs w:val="20"/>
              </w:rPr>
              <w:t>n/N (%)</w:t>
            </w:r>
          </w:p>
        </w:tc>
        <w:tc>
          <w:tcPr>
            <w:tcW w:w="558" w:type="pct"/>
            <w:vAlign w:val="center"/>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b/>
                <w:snapToGrid/>
                <w:sz w:val="20"/>
                <w:szCs w:val="20"/>
              </w:rPr>
              <w:t>Absolute difference</w:t>
            </w:r>
          </w:p>
        </w:tc>
        <w:tc>
          <w:tcPr>
            <w:tcW w:w="1407" w:type="pct"/>
            <w:gridSpan w:val="2"/>
            <w:vAlign w:val="center"/>
          </w:tcPr>
          <w:p w:rsidR="00C31073" w:rsidRPr="007E1812" w:rsidRDefault="00C31073" w:rsidP="00620BD3">
            <w:pPr>
              <w:keepNext/>
              <w:keepLines/>
              <w:widowControl/>
              <w:jc w:val="center"/>
              <w:rPr>
                <w:rFonts w:ascii="Arial Narrow" w:hAnsi="Arial Narrow" w:cs="Times New Roman"/>
                <w:b/>
                <w:snapToGrid/>
                <w:sz w:val="20"/>
              </w:rPr>
            </w:pPr>
            <w:r w:rsidRPr="007E1812">
              <w:rPr>
                <w:rFonts w:ascii="Arial Narrow" w:hAnsi="Arial Narrow" w:cs="Times New Roman"/>
                <w:b/>
                <w:snapToGrid/>
                <w:sz w:val="20"/>
                <w:szCs w:val="20"/>
              </w:rPr>
              <w:t>HR (95% CI)</w:t>
            </w:r>
          </w:p>
        </w:tc>
      </w:tr>
      <w:tr w:rsidR="00C31073" w:rsidRPr="007E1812" w:rsidTr="00487A93">
        <w:tc>
          <w:tcPr>
            <w:tcW w:w="514" w:type="pct"/>
            <w:vMerge w:val="restar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ALTA-1L</w:t>
            </w:r>
          </w:p>
        </w:tc>
        <w:tc>
          <w:tcPr>
            <w:tcW w:w="971" w:type="pc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Death</w:t>
            </w:r>
          </w:p>
        </w:tc>
        <w:tc>
          <w:tcPr>
            <w:tcW w:w="668" w:type="pct"/>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17/137 (12.4)</w:t>
            </w:r>
          </w:p>
        </w:tc>
        <w:tc>
          <w:tcPr>
            <w:tcW w:w="882" w:type="pct"/>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17/138 (12.3)</w:t>
            </w:r>
          </w:p>
        </w:tc>
        <w:tc>
          <w:tcPr>
            <w:tcW w:w="558" w:type="pct"/>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0.1%</w:t>
            </w:r>
          </w:p>
        </w:tc>
        <w:tc>
          <w:tcPr>
            <w:tcW w:w="1407" w:type="pct"/>
            <w:gridSpan w:val="2"/>
          </w:tcPr>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w:t>
            </w:r>
          </w:p>
        </w:tc>
      </w:tr>
      <w:tr w:rsidR="00C31073" w:rsidRPr="007E1812" w:rsidTr="00487A93">
        <w:tc>
          <w:tcPr>
            <w:tcW w:w="514" w:type="pct"/>
            <w:vMerge/>
          </w:tcPr>
          <w:p w:rsidR="00C31073" w:rsidRPr="007E1812" w:rsidRDefault="00C31073" w:rsidP="00620BD3">
            <w:pPr>
              <w:keepNext/>
              <w:keepLines/>
              <w:widowControl/>
              <w:jc w:val="left"/>
              <w:rPr>
                <w:rFonts w:ascii="Arial Narrow" w:hAnsi="Arial Narrow" w:cs="Times New Roman"/>
                <w:snapToGrid/>
                <w:sz w:val="20"/>
                <w:szCs w:val="20"/>
              </w:rPr>
            </w:pPr>
          </w:p>
        </w:tc>
        <w:tc>
          <w:tcPr>
            <w:tcW w:w="971" w:type="pc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Median month OS</w:t>
            </w:r>
          </w:p>
        </w:tc>
        <w:tc>
          <w:tcPr>
            <w:tcW w:w="668" w:type="pct"/>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882" w:type="pct"/>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NE</w:t>
            </w:r>
          </w:p>
        </w:tc>
        <w:tc>
          <w:tcPr>
            <w:tcW w:w="558" w:type="pct"/>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NE</w:t>
            </w:r>
          </w:p>
        </w:tc>
        <w:tc>
          <w:tcPr>
            <w:tcW w:w="1407" w:type="pct"/>
            <w:gridSpan w:val="2"/>
          </w:tcPr>
          <w:p w:rsidR="00C31073" w:rsidRPr="007E1812" w:rsidRDefault="00284A8C" w:rsidP="00620BD3">
            <w:pPr>
              <w:keepNext/>
              <w:keepLines/>
              <w:widowControl/>
              <w:jc w:val="center"/>
              <w:rPr>
                <w:rFonts w:ascii="Arial Narrow" w:hAnsi="Arial Narrow" w:cs="Times New Roman"/>
                <w:bCs/>
                <w:snapToGrid/>
                <w:sz w:val="20"/>
              </w:rPr>
            </w:pPr>
            <w:r w:rsidRPr="00284A8C">
              <w:rPr>
                <w:rFonts w:ascii="Arial Narrow" w:hAnsi="Arial Narrow" w:cs="Times New Roman"/>
                <w:bCs/>
                <w:snapToGrid/>
                <w:sz w:val="20"/>
              </w:rPr>
              <w:t>0.98 (0.50, 1.93)</w:t>
            </w:r>
          </w:p>
        </w:tc>
      </w:tr>
      <w:tr w:rsidR="00C31073" w:rsidRPr="007E1812" w:rsidTr="00487A93">
        <w:tc>
          <w:tcPr>
            <w:tcW w:w="514" w:type="pct"/>
            <w:vMerge w:val="restar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ALEX</w:t>
            </w:r>
          </w:p>
        </w:tc>
        <w:tc>
          <w:tcPr>
            <w:tcW w:w="971" w:type="pc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Death</w:t>
            </w:r>
          </w:p>
        </w:tc>
        <w:tc>
          <w:tcPr>
            <w:tcW w:w="668" w:type="pct"/>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43/152 (28.3)</w:t>
            </w:r>
          </w:p>
        </w:tc>
        <w:tc>
          <w:tcPr>
            <w:tcW w:w="882" w:type="pct"/>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48/151 (31.8)</w:t>
            </w:r>
          </w:p>
        </w:tc>
        <w:tc>
          <w:tcPr>
            <w:tcW w:w="558" w:type="pct"/>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-3.5%</w:t>
            </w:r>
          </w:p>
        </w:tc>
        <w:tc>
          <w:tcPr>
            <w:tcW w:w="1407" w:type="pct"/>
            <w:gridSpan w:val="2"/>
          </w:tcPr>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w:t>
            </w:r>
          </w:p>
        </w:tc>
      </w:tr>
      <w:tr w:rsidR="00C31073" w:rsidRPr="007E1812" w:rsidTr="00487A93">
        <w:tc>
          <w:tcPr>
            <w:tcW w:w="514" w:type="pct"/>
            <w:vMerge/>
          </w:tcPr>
          <w:p w:rsidR="00C31073" w:rsidRPr="007E1812" w:rsidRDefault="00C31073" w:rsidP="00620BD3">
            <w:pPr>
              <w:keepNext/>
              <w:keepLines/>
              <w:widowControl/>
              <w:jc w:val="left"/>
              <w:rPr>
                <w:rFonts w:ascii="Arial Narrow" w:hAnsi="Arial Narrow" w:cs="Times New Roman"/>
                <w:snapToGrid/>
                <w:sz w:val="20"/>
                <w:szCs w:val="20"/>
              </w:rPr>
            </w:pPr>
          </w:p>
        </w:tc>
        <w:tc>
          <w:tcPr>
            <w:tcW w:w="971" w:type="pct"/>
          </w:tcPr>
          <w:p w:rsidR="00C31073" w:rsidRPr="007E1812" w:rsidRDefault="00C31073" w:rsidP="00620BD3">
            <w:pPr>
              <w:keepNext/>
              <w:keepLines/>
              <w:widowControl/>
              <w:jc w:val="left"/>
              <w:rPr>
                <w:rFonts w:ascii="Arial Narrow" w:hAnsi="Arial Narrow" w:cs="Times New Roman"/>
                <w:snapToGrid/>
                <w:sz w:val="20"/>
                <w:szCs w:val="20"/>
              </w:rPr>
            </w:pPr>
            <w:r w:rsidRPr="007E1812">
              <w:rPr>
                <w:rFonts w:ascii="Arial Narrow" w:hAnsi="Arial Narrow" w:cs="Times New Roman"/>
                <w:snapToGrid/>
                <w:sz w:val="20"/>
                <w:szCs w:val="20"/>
              </w:rPr>
              <w:t>Median month OS</w:t>
            </w:r>
          </w:p>
        </w:tc>
        <w:tc>
          <w:tcPr>
            <w:tcW w:w="668" w:type="pct"/>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NR</w:t>
            </w:r>
          </w:p>
        </w:tc>
        <w:tc>
          <w:tcPr>
            <w:tcW w:w="882" w:type="pct"/>
          </w:tcPr>
          <w:p w:rsidR="00C31073"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rPr>
              <w:t>NR</w:t>
            </w:r>
          </w:p>
        </w:tc>
        <w:tc>
          <w:tcPr>
            <w:tcW w:w="558" w:type="pct"/>
          </w:tcPr>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NE</w:t>
            </w:r>
          </w:p>
        </w:tc>
        <w:tc>
          <w:tcPr>
            <w:tcW w:w="1407" w:type="pct"/>
            <w:gridSpan w:val="2"/>
          </w:tcPr>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0.76 (0.50, 1.15)</w:t>
            </w:r>
          </w:p>
        </w:tc>
      </w:tr>
      <w:tr w:rsidR="00C31073" w:rsidRPr="007E1812" w:rsidTr="00487A93">
        <w:tc>
          <w:tcPr>
            <w:tcW w:w="3593" w:type="pct"/>
            <w:gridSpan w:val="5"/>
          </w:tcPr>
          <w:p w:rsidR="00C31073" w:rsidRPr="007E1812" w:rsidRDefault="00C31073" w:rsidP="00620BD3">
            <w:pPr>
              <w:keepNext/>
              <w:keepLines/>
              <w:widowControl/>
              <w:jc w:val="right"/>
              <w:rPr>
                <w:rFonts w:ascii="Arial Narrow" w:hAnsi="Arial Narrow" w:cs="Times New Roman"/>
                <w:snapToGrid/>
                <w:sz w:val="20"/>
                <w:szCs w:val="20"/>
                <w:vertAlign w:val="superscript"/>
              </w:rPr>
            </w:pPr>
            <w:r w:rsidRPr="007E1812">
              <w:rPr>
                <w:rFonts w:ascii="Arial Narrow" w:hAnsi="Arial Narrow" w:cs="Times New Roman"/>
                <w:snapToGrid/>
                <w:sz w:val="20"/>
                <w:szCs w:val="20"/>
              </w:rPr>
              <w:t>Indirect estimate of relative treatment effect</w:t>
            </w:r>
            <w:r w:rsidR="006C6EA3" w:rsidRPr="007E1812">
              <w:rPr>
                <w:rFonts w:ascii="Arial Narrow" w:hAnsi="Arial Narrow" w:cs="Times New Roman"/>
                <w:snapToGrid/>
                <w:sz w:val="20"/>
                <w:szCs w:val="20"/>
                <w:vertAlign w:val="superscript"/>
              </w:rPr>
              <w:t>b</w:t>
            </w:r>
          </w:p>
        </w:tc>
        <w:tc>
          <w:tcPr>
            <w:tcW w:w="1407" w:type="pct"/>
            <w:gridSpan w:val="2"/>
          </w:tcPr>
          <w:p w:rsidR="00C31073" w:rsidRPr="007E1812" w:rsidRDefault="00C31073" w:rsidP="00620BD3">
            <w:pPr>
              <w:keepNext/>
              <w:keepLines/>
              <w:widowControl/>
              <w:jc w:val="center"/>
              <w:rPr>
                <w:rFonts w:ascii="Arial Narrow" w:hAnsi="Arial Narrow" w:cs="Times New Roman"/>
                <w:bCs/>
                <w:snapToGrid/>
                <w:sz w:val="20"/>
                <w:szCs w:val="20"/>
              </w:rPr>
            </w:pPr>
            <w:r w:rsidRPr="007E1812">
              <w:rPr>
                <w:rFonts w:ascii="Arial Narrow" w:hAnsi="Arial Narrow" w:cs="Times New Roman"/>
                <w:bCs/>
                <w:snapToGrid/>
                <w:sz w:val="20"/>
                <w:szCs w:val="20"/>
              </w:rPr>
              <w:t>1</w:t>
            </w:r>
            <w:r w:rsidRPr="007E1812">
              <w:rPr>
                <w:rFonts w:ascii="Arial Narrow" w:hAnsi="Arial Narrow" w:cs="Times New Roman"/>
                <w:bCs/>
                <w:snapToGrid/>
                <w:sz w:val="20"/>
              </w:rPr>
              <w:t>.29 (0.58, 2.85)</w:t>
            </w:r>
          </w:p>
        </w:tc>
      </w:tr>
      <w:tr w:rsidR="00C31073" w:rsidRPr="007E1812" w:rsidTr="00487A93">
        <w:tc>
          <w:tcPr>
            <w:tcW w:w="1485" w:type="pct"/>
            <w:gridSpan w:val="2"/>
            <w:vAlign w:val="center"/>
          </w:tcPr>
          <w:p w:rsidR="00C31073" w:rsidRPr="007E1812" w:rsidRDefault="00C31073" w:rsidP="00620BD3">
            <w:pPr>
              <w:keepNext/>
              <w:keepLines/>
              <w:widowControl/>
              <w:jc w:val="left"/>
              <w:rPr>
                <w:rFonts w:ascii="Arial Narrow" w:hAnsi="Arial Narrow" w:cs="Times New Roman"/>
                <w:b/>
                <w:snapToGrid/>
                <w:sz w:val="20"/>
                <w:szCs w:val="20"/>
              </w:rPr>
            </w:pPr>
            <w:r w:rsidRPr="007E1812">
              <w:rPr>
                <w:rFonts w:ascii="Arial Narrow" w:hAnsi="Arial Narrow" w:cs="Times New Roman"/>
                <w:b/>
                <w:snapToGrid/>
                <w:sz w:val="20"/>
                <w:szCs w:val="20"/>
              </w:rPr>
              <w:t xml:space="preserve">ORR </w:t>
            </w:r>
            <w:r w:rsidRPr="007E1812">
              <w:rPr>
                <w:rFonts w:ascii="Arial Narrow" w:hAnsi="Arial Narrow" w:cs="Times New Roman"/>
                <w:b/>
                <w:snapToGrid/>
                <w:sz w:val="20"/>
              </w:rPr>
              <w:t>(INV)</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b/>
                <w:iCs/>
                <w:snapToGrid/>
                <w:sz w:val="20"/>
                <w:szCs w:val="20"/>
              </w:rPr>
              <w:t>Proposed medicine</w:t>
            </w:r>
          </w:p>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iCs/>
                <w:snapToGrid/>
                <w:sz w:val="20"/>
                <w:szCs w:val="20"/>
              </w:rPr>
              <w:t>n/N (%)</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Common reference</w:t>
            </w:r>
          </w:p>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n/N (%)</w:t>
            </w:r>
          </w:p>
        </w:tc>
        <w:tc>
          <w:tcPr>
            <w:tcW w:w="558"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Absolute difference</w:t>
            </w:r>
          </w:p>
        </w:tc>
        <w:tc>
          <w:tcPr>
            <w:tcW w:w="781"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OR (95% CI)</w:t>
            </w:r>
          </w:p>
        </w:tc>
        <w:tc>
          <w:tcPr>
            <w:tcW w:w="626" w:type="pct"/>
            <w:vAlign w:val="center"/>
          </w:tcPr>
          <w:p w:rsidR="00487A9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 xml:space="preserve">RR </w:t>
            </w:r>
          </w:p>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(95% CI)</w:t>
            </w:r>
          </w:p>
        </w:tc>
      </w:tr>
      <w:tr w:rsidR="00C31073" w:rsidRPr="007E1812" w:rsidTr="00487A93">
        <w:tc>
          <w:tcPr>
            <w:tcW w:w="1485" w:type="pct"/>
            <w:gridSpan w:val="2"/>
          </w:tcPr>
          <w:p w:rsidR="00C31073" w:rsidRPr="007E1812" w:rsidRDefault="00C31073" w:rsidP="00620BD3">
            <w:pPr>
              <w:keepNext/>
              <w:keepLines/>
              <w:widowControl/>
              <w:jc w:val="left"/>
              <w:rPr>
                <w:rFonts w:ascii="Arial Narrow" w:hAnsi="Arial Narrow" w:cs="Times New Roman"/>
                <w:b/>
                <w:snapToGrid/>
                <w:sz w:val="20"/>
                <w:szCs w:val="20"/>
              </w:rPr>
            </w:pPr>
            <w:r w:rsidRPr="007E1812">
              <w:rPr>
                <w:rFonts w:ascii="Arial Narrow" w:hAnsi="Arial Narrow" w:cs="Times New Roman"/>
                <w:snapToGrid/>
                <w:sz w:val="20"/>
              </w:rPr>
              <w:t>ALTA-1L</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bCs/>
                <w:snapToGrid/>
                <w:sz w:val="20"/>
              </w:rPr>
              <w:t>104/137 (75.9)</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Cs/>
                <w:snapToGrid/>
                <w:sz w:val="20"/>
              </w:rPr>
              <w:t>91/138 (65.9)</w:t>
            </w:r>
          </w:p>
        </w:tc>
        <w:tc>
          <w:tcPr>
            <w:tcW w:w="558" w:type="pct"/>
            <w:vAlign w:val="center"/>
          </w:tcPr>
          <w:p w:rsidR="00C31073" w:rsidRPr="007E1812" w:rsidRDefault="00C31073" w:rsidP="00620BD3">
            <w:pPr>
              <w:keepNext/>
              <w:keepLines/>
              <w:widowControl/>
              <w:jc w:val="center"/>
              <w:rPr>
                <w:rFonts w:ascii="Arial Narrow" w:hAnsi="Arial Narrow" w:cs="Times New Roman"/>
                <w:bCs/>
                <w:snapToGrid/>
                <w:sz w:val="20"/>
                <w:szCs w:val="20"/>
              </w:rPr>
            </w:pPr>
            <w:r w:rsidRPr="007E1812">
              <w:rPr>
                <w:rFonts w:ascii="Arial Narrow" w:hAnsi="Arial Narrow" w:cs="Times New Roman"/>
                <w:b/>
                <w:bCs/>
                <w:snapToGrid/>
                <w:sz w:val="20"/>
                <w:szCs w:val="20"/>
              </w:rPr>
              <w:t>1</w:t>
            </w:r>
            <w:r w:rsidRPr="007E1812">
              <w:rPr>
                <w:rFonts w:ascii="Arial Narrow" w:hAnsi="Arial Narrow" w:cs="Times New Roman"/>
                <w:b/>
                <w:bCs/>
                <w:snapToGrid/>
                <w:sz w:val="20"/>
              </w:rPr>
              <w:t>0%</w:t>
            </w:r>
          </w:p>
        </w:tc>
        <w:tc>
          <w:tcPr>
            <w:tcW w:w="781"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Cs/>
                <w:snapToGrid/>
                <w:sz w:val="20"/>
              </w:rPr>
              <w:t>1.62 (0.95,2.75)</w:t>
            </w:r>
          </w:p>
        </w:tc>
        <w:tc>
          <w:tcPr>
            <w:tcW w:w="626"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snapToGrid/>
                <w:sz w:val="20"/>
              </w:rPr>
              <w:t>1.15 (0.99,1.34)</w:t>
            </w:r>
          </w:p>
        </w:tc>
      </w:tr>
      <w:tr w:rsidR="00C31073" w:rsidRPr="007E1812" w:rsidTr="00487A93">
        <w:tc>
          <w:tcPr>
            <w:tcW w:w="1485" w:type="pct"/>
            <w:gridSpan w:val="2"/>
          </w:tcPr>
          <w:p w:rsidR="00C31073" w:rsidRPr="007E1812" w:rsidRDefault="00C31073" w:rsidP="00620BD3">
            <w:pPr>
              <w:keepNext/>
              <w:keepLines/>
              <w:widowControl/>
              <w:jc w:val="left"/>
              <w:rPr>
                <w:rFonts w:ascii="Arial Narrow" w:hAnsi="Arial Narrow" w:cs="Times New Roman"/>
                <w:b/>
                <w:snapToGrid/>
                <w:sz w:val="20"/>
                <w:szCs w:val="20"/>
              </w:rPr>
            </w:pPr>
            <w:r w:rsidRPr="007E1812">
              <w:rPr>
                <w:rFonts w:ascii="Arial Narrow" w:hAnsi="Arial Narrow" w:cs="Times New Roman"/>
                <w:snapToGrid/>
                <w:sz w:val="20"/>
              </w:rPr>
              <w:t>ALEX</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bCs/>
                <w:snapToGrid/>
                <w:sz w:val="20"/>
              </w:rPr>
              <w:t>126/152 (82.9)</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Cs/>
                <w:snapToGrid/>
                <w:sz w:val="20"/>
              </w:rPr>
              <w:t>114/151 (75.4)</w:t>
            </w:r>
          </w:p>
        </w:tc>
        <w:tc>
          <w:tcPr>
            <w:tcW w:w="558" w:type="pct"/>
            <w:vAlign w:val="center"/>
          </w:tcPr>
          <w:p w:rsidR="00C31073" w:rsidRPr="007E1812" w:rsidRDefault="00C31073" w:rsidP="00620BD3">
            <w:pPr>
              <w:keepNext/>
              <w:keepLines/>
              <w:widowControl/>
              <w:jc w:val="center"/>
              <w:rPr>
                <w:rFonts w:ascii="Arial Narrow" w:hAnsi="Arial Narrow" w:cs="Times New Roman"/>
                <w:bCs/>
                <w:snapToGrid/>
                <w:sz w:val="20"/>
                <w:szCs w:val="20"/>
              </w:rPr>
            </w:pPr>
            <w:r w:rsidRPr="007E1812">
              <w:rPr>
                <w:rFonts w:ascii="Arial Narrow" w:hAnsi="Arial Narrow" w:cs="Times New Roman"/>
                <w:b/>
                <w:bCs/>
                <w:snapToGrid/>
                <w:sz w:val="20"/>
                <w:szCs w:val="20"/>
              </w:rPr>
              <w:t>7</w:t>
            </w:r>
            <w:r w:rsidRPr="007E1812">
              <w:rPr>
                <w:rFonts w:ascii="Arial Narrow" w:hAnsi="Arial Narrow" w:cs="Times New Roman"/>
                <w:b/>
                <w:bCs/>
                <w:snapToGrid/>
                <w:sz w:val="20"/>
              </w:rPr>
              <w:t>.5%</w:t>
            </w:r>
          </w:p>
        </w:tc>
        <w:tc>
          <w:tcPr>
            <w:tcW w:w="781" w:type="pct"/>
            <w:vAlign w:val="center"/>
          </w:tcPr>
          <w:p w:rsidR="00CC3D50"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1.57</w:t>
            </w:r>
          </w:p>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Cs/>
                <w:snapToGrid/>
                <w:sz w:val="20"/>
              </w:rPr>
              <w:t>(0.90, 2.76)</w:t>
            </w:r>
          </w:p>
        </w:tc>
        <w:tc>
          <w:tcPr>
            <w:tcW w:w="626" w:type="pct"/>
            <w:vAlign w:val="center"/>
          </w:tcPr>
          <w:p w:rsidR="00CC3D50"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Cs/>
                <w:snapToGrid/>
                <w:sz w:val="20"/>
              </w:rPr>
              <w:t>1.10</w:t>
            </w:r>
          </w:p>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Cs/>
                <w:snapToGrid/>
                <w:sz w:val="20"/>
              </w:rPr>
              <w:t>(0.98, 1.23)</w:t>
            </w:r>
          </w:p>
        </w:tc>
      </w:tr>
      <w:tr w:rsidR="00C31073" w:rsidRPr="007E1812" w:rsidTr="00487A93">
        <w:tc>
          <w:tcPr>
            <w:tcW w:w="3593" w:type="pct"/>
            <w:gridSpan w:val="5"/>
          </w:tcPr>
          <w:p w:rsidR="00C31073" w:rsidRPr="007E1812" w:rsidRDefault="00C31073" w:rsidP="00620BD3">
            <w:pPr>
              <w:keepNext/>
              <w:keepLines/>
              <w:widowControl/>
              <w:jc w:val="right"/>
              <w:rPr>
                <w:rFonts w:ascii="Arial Narrow" w:hAnsi="Arial Narrow" w:cs="Times New Roman"/>
                <w:bCs/>
                <w:snapToGrid/>
                <w:sz w:val="20"/>
                <w:szCs w:val="20"/>
              </w:rPr>
            </w:pPr>
            <w:r w:rsidRPr="007E1812">
              <w:rPr>
                <w:rFonts w:ascii="Arial Narrow" w:hAnsi="Arial Narrow" w:cs="Times New Roman"/>
                <w:b/>
                <w:snapToGrid/>
                <w:sz w:val="20"/>
                <w:szCs w:val="20"/>
              </w:rPr>
              <w:t>Indirect estimate of relative treatment effect</w:t>
            </w:r>
          </w:p>
        </w:tc>
        <w:tc>
          <w:tcPr>
            <w:tcW w:w="781" w:type="pct"/>
          </w:tcPr>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snapToGrid/>
                <w:sz w:val="20"/>
              </w:rPr>
              <w:t>1.03 (0.48,2.23)</w:t>
            </w:r>
          </w:p>
        </w:tc>
        <w:tc>
          <w:tcPr>
            <w:tcW w:w="626" w:type="pct"/>
          </w:tcPr>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snapToGrid/>
                <w:sz w:val="20"/>
              </w:rPr>
              <w:t>1.05 (0.87,1.26)</w:t>
            </w:r>
          </w:p>
        </w:tc>
      </w:tr>
      <w:tr w:rsidR="00C31073" w:rsidRPr="007E1812" w:rsidTr="00487A93">
        <w:tc>
          <w:tcPr>
            <w:tcW w:w="1485" w:type="pct"/>
            <w:gridSpan w:val="2"/>
            <w:vAlign w:val="center"/>
          </w:tcPr>
          <w:p w:rsidR="00C31073" w:rsidRPr="007E1812" w:rsidRDefault="00C31073" w:rsidP="00620BD3">
            <w:pPr>
              <w:keepNext/>
              <w:keepLines/>
              <w:widowControl/>
              <w:jc w:val="left"/>
              <w:rPr>
                <w:rFonts w:ascii="Arial Narrow" w:hAnsi="Arial Narrow" w:cs="Times New Roman"/>
                <w:snapToGrid/>
                <w:sz w:val="20"/>
              </w:rPr>
            </w:pPr>
            <w:r w:rsidRPr="007E1812">
              <w:rPr>
                <w:rFonts w:ascii="Arial Narrow" w:hAnsi="Arial Narrow" w:cs="Times New Roman"/>
                <w:b/>
                <w:snapToGrid/>
                <w:sz w:val="20"/>
                <w:szCs w:val="20"/>
              </w:rPr>
              <w:t>iORR (IRC)</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b/>
                <w:iCs/>
                <w:snapToGrid/>
                <w:sz w:val="20"/>
                <w:szCs w:val="20"/>
              </w:rPr>
              <w:t>Proposed medicine</w:t>
            </w:r>
          </w:p>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
                <w:iCs/>
                <w:snapToGrid/>
                <w:sz w:val="20"/>
                <w:szCs w:val="20"/>
              </w:rPr>
              <w:t>n/N (%)</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Common reference</w:t>
            </w:r>
          </w:p>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
                <w:snapToGrid/>
                <w:sz w:val="20"/>
                <w:szCs w:val="20"/>
              </w:rPr>
              <w:t>n/N (%)</w:t>
            </w:r>
          </w:p>
        </w:tc>
        <w:tc>
          <w:tcPr>
            <w:tcW w:w="558" w:type="pct"/>
            <w:vAlign w:val="center"/>
          </w:tcPr>
          <w:p w:rsidR="00C31073" w:rsidRPr="007E1812" w:rsidRDefault="00C31073" w:rsidP="00620BD3">
            <w:pPr>
              <w:keepNext/>
              <w:keepLines/>
              <w:widowControl/>
              <w:jc w:val="center"/>
              <w:rPr>
                <w:rFonts w:ascii="Arial Narrow" w:hAnsi="Arial Narrow" w:cs="Times New Roman"/>
                <w:bCs/>
                <w:snapToGrid/>
                <w:sz w:val="20"/>
                <w:szCs w:val="20"/>
              </w:rPr>
            </w:pPr>
            <w:r w:rsidRPr="007E1812">
              <w:rPr>
                <w:rFonts w:ascii="Arial Narrow" w:hAnsi="Arial Narrow" w:cs="Times New Roman"/>
                <w:b/>
                <w:snapToGrid/>
                <w:sz w:val="20"/>
                <w:szCs w:val="20"/>
              </w:rPr>
              <w:t>Absolute difference</w:t>
            </w:r>
          </w:p>
        </w:tc>
        <w:tc>
          <w:tcPr>
            <w:tcW w:w="781"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OR (95% CI)</w:t>
            </w:r>
          </w:p>
        </w:tc>
        <w:tc>
          <w:tcPr>
            <w:tcW w:w="626" w:type="pct"/>
            <w:vAlign w:val="center"/>
          </w:tcPr>
          <w:p w:rsidR="00487A9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snapToGrid/>
                <w:sz w:val="20"/>
                <w:szCs w:val="20"/>
              </w:rPr>
              <w:t xml:space="preserve">RR </w:t>
            </w:r>
          </w:p>
          <w:p w:rsidR="00C31073" w:rsidRPr="007E1812" w:rsidRDefault="00C31073" w:rsidP="00620BD3">
            <w:pPr>
              <w:keepNext/>
              <w:keepLines/>
              <w:widowControl/>
              <w:jc w:val="center"/>
              <w:rPr>
                <w:rFonts w:ascii="Arial Narrow" w:hAnsi="Arial Narrow" w:cs="Times New Roman"/>
                <w:bCs/>
                <w:snapToGrid/>
                <w:sz w:val="20"/>
              </w:rPr>
            </w:pPr>
            <w:r w:rsidRPr="007E1812">
              <w:rPr>
                <w:rFonts w:ascii="Arial Narrow" w:hAnsi="Arial Narrow" w:cs="Times New Roman"/>
                <w:b/>
                <w:snapToGrid/>
                <w:sz w:val="20"/>
                <w:szCs w:val="20"/>
              </w:rPr>
              <w:t>(95% CI)</w:t>
            </w:r>
          </w:p>
        </w:tc>
      </w:tr>
      <w:tr w:rsidR="00C31073" w:rsidRPr="007E1812" w:rsidTr="00487A93">
        <w:tc>
          <w:tcPr>
            <w:tcW w:w="1485" w:type="pct"/>
            <w:gridSpan w:val="2"/>
          </w:tcPr>
          <w:p w:rsidR="00C31073" w:rsidRPr="007E1812" w:rsidRDefault="00C31073" w:rsidP="00620BD3">
            <w:pPr>
              <w:keepNext/>
              <w:keepLines/>
              <w:widowControl/>
              <w:jc w:val="left"/>
              <w:rPr>
                <w:rFonts w:ascii="Arial Narrow" w:hAnsi="Arial Narrow" w:cs="Times New Roman"/>
                <w:b/>
                <w:snapToGrid/>
                <w:sz w:val="20"/>
                <w:szCs w:val="20"/>
              </w:rPr>
            </w:pPr>
            <w:r w:rsidRPr="007E1812">
              <w:rPr>
                <w:rFonts w:ascii="Arial Narrow" w:hAnsi="Arial Narrow" w:cs="Times New Roman"/>
                <w:snapToGrid/>
                <w:sz w:val="20"/>
              </w:rPr>
              <w:t>ALTA-1L</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snapToGrid/>
                <w:sz w:val="20"/>
                <w:szCs w:val="20"/>
              </w:rPr>
              <w:t>29/43 (67.4)</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snapToGrid/>
                <w:sz w:val="20"/>
                <w:szCs w:val="20"/>
              </w:rPr>
              <w:t>8/47 (17.0)</w:t>
            </w:r>
          </w:p>
        </w:tc>
        <w:tc>
          <w:tcPr>
            <w:tcW w:w="558"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bCs/>
                <w:snapToGrid/>
                <w:sz w:val="20"/>
                <w:szCs w:val="20"/>
              </w:rPr>
              <w:t>5</w:t>
            </w:r>
            <w:r w:rsidRPr="007E1812">
              <w:rPr>
                <w:rFonts w:ascii="Arial Narrow" w:hAnsi="Arial Narrow" w:cs="Times New Roman"/>
                <w:b/>
                <w:bCs/>
                <w:snapToGrid/>
                <w:sz w:val="20"/>
              </w:rPr>
              <w:t>0.4%</w:t>
            </w:r>
          </w:p>
        </w:tc>
        <w:tc>
          <w:tcPr>
            <w:tcW w:w="781" w:type="pct"/>
            <w:vAlign w:val="center"/>
          </w:tcPr>
          <w:p w:rsidR="00CC3D50" w:rsidRPr="007E1812" w:rsidRDefault="00C31073" w:rsidP="00620BD3">
            <w:pPr>
              <w:keepNext/>
              <w:keepLines/>
              <w:widowControl/>
              <w:jc w:val="center"/>
              <w:rPr>
                <w:rFonts w:ascii="Arial Narrow" w:hAnsi="Arial Narrow" w:cs="Times New Roman"/>
                <w:b/>
                <w:bCs/>
                <w:snapToGrid/>
                <w:sz w:val="20"/>
                <w:szCs w:val="20"/>
              </w:rPr>
            </w:pPr>
            <w:r w:rsidRPr="007E1812">
              <w:rPr>
                <w:rFonts w:ascii="Arial Narrow" w:hAnsi="Arial Narrow" w:cs="Times New Roman"/>
                <w:b/>
                <w:bCs/>
                <w:snapToGrid/>
                <w:sz w:val="20"/>
                <w:szCs w:val="20"/>
              </w:rPr>
              <w:t>10.10</w:t>
            </w:r>
          </w:p>
          <w:p w:rsidR="00C31073" w:rsidRPr="007E1812" w:rsidRDefault="00C31073" w:rsidP="00620BD3">
            <w:pPr>
              <w:keepNext/>
              <w:keepLines/>
              <w:widowControl/>
              <w:jc w:val="center"/>
              <w:rPr>
                <w:rFonts w:ascii="Arial Narrow" w:hAnsi="Arial Narrow" w:cs="Times New Roman"/>
                <w:bCs/>
                <w:snapToGrid/>
                <w:sz w:val="20"/>
                <w:szCs w:val="20"/>
              </w:rPr>
            </w:pPr>
            <w:r w:rsidRPr="007E1812">
              <w:rPr>
                <w:rFonts w:ascii="Arial Narrow" w:hAnsi="Arial Narrow" w:cs="Times New Roman"/>
                <w:b/>
                <w:bCs/>
                <w:snapToGrid/>
                <w:sz w:val="20"/>
                <w:szCs w:val="20"/>
              </w:rPr>
              <w:t>(3.74, 27.25)</w:t>
            </w:r>
          </w:p>
        </w:tc>
        <w:tc>
          <w:tcPr>
            <w:tcW w:w="626" w:type="pct"/>
            <w:vAlign w:val="center"/>
          </w:tcPr>
          <w:p w:rsidR="00CC3D50" w:rsidRPr="007E1812" w:rsidRDefault="00C31073" w:rsidP="00620BD3">
            <w:pPr>
              <w:keepNext/>
              <w:keepLines/>
              <w:widowControl/>
              <w:jc w:val="center"/>
              <w:rPr>
                <w:rFonts w:ascii="Arial Narrow" w:hAnsi="Arial Narrow" w:cs="Times New Roman"/>
                <w:b/>
                <w:bCs/>
                <w:snapToGrid/>
                <w:sz w:val="20"/>
                <w:szCs w:val="20"/>
              </w:rPr>
            </w:pPr>
            <w:r w:rsidRPr="007E1812">
              <w:rPr>
                <w:rFonts w:ascii="Arial Narrow" w:hAnsi="Arial Narrow" w:cs="Times New Roman"/>
                <w:b/>
                <w:bCs/>
                <w:snapToGrid/>
                <w:sz w:val="20"/>
                <w:szCs w:val="20"/>
              </w:rPr>
              <w:t>3.96</w:t>
            </w:r>
          </w:p>
          <w:p w:rsidR="00C31073" w:rsidRPr="007E1812" w:rsidRDefault="00C31073" w:rsidP="00620BD3">
            <w:pPr>
              <w:keepNext/>
              <w:keepLines/>
              <w:widowControl/>
              <w:jc w:val="center"/>
              <w:rPr>
                <w:rFonts w:ascii="Arial Narrow" w:hAnsi="Arial Narrow" w:cs="Times New Roman"/>
                <w:bCs/>
                <w:snapToGrid/>
                <w:sz w:val="20"/>
                <w:szCs w:val="20"/>
              </w:rPr>
            </w:pPr>
            <w:r w:rsidRPr="007E1812">
              <w:rPr>
                <w:rFonts w:ascii="Arial Narrow" w:hAnsi="Arial Narrow" w:cs="Times New Roman"/>
                <w:b/>
                <w:bCs/>
                <w:snapToGrid/>
                <w:sz w:val="20"/>
              </w:rPr>
              <w:t>(</w:t>
            </w:r>
            <w:r w:rsidRPr="007E1812">
              <w:rPr>
                <w:rFonts w:ascii="Arial Narrow" w:hAnsi="Arial Narrow" w:cs="Times New Roman"/>
                <w:b/>
                <w:bCs/>
                <w:snapToGrid/>
                <w:sz w:val="20"/>
                <w:szCs w:val="20"/>
              </w:rPr>
              <w:t>2.0</w:t>
            </w:r>
            <w:r w:rsidRPr="007E1812">
              <w:rPr>
                <w:rFonts w:ascii="Arial Narrow" w:hAnsi="Arial Narrow" w:cs="Times New Roman"/>
                <w:b/>
                <w:bCs/>
                <w:snapToGrid/>
                <w:sz w:val="20"/>
              </w:rPr>
              <w:t>4</w:t>
            </w:r>
            <w:r w:rsidRPr="007E1812">
              <w:rPr>
                <w:rFonts w:ascii="Arial Narrow" w:hAnsi="Arial Narrow" w:cs="Times New Roman"/>
                <w:b/>
                <w:bCs/>
                <w:snapToGrid/>
                <w:sz w:val="20"/>
                <w:szCs w:val="20"/>
              </w:rPr>
              <w:t>, 7.70</w:t>
            </w:r>
            <w:r w:rsidRPr="007E1812">
              <w:rPr>
                <w:rFonts w:ascii="Arial Narrow" w:hAnsi="Arial Narrow" w:cs="Times New Roman"/>
                <w:b/>
                <w:bCs/>
                <w:snapToGrid/>
                <w:sz w:val="20"/>
              </w:rPr>
              <w:t>)</w:t>
            </w:r>
          </w:p>
        </w:tc>
      </w:tr>
      <w:tr w:rsidR="00C31073" w:rsidRPr="007E1812" w:rsidTr="00487A93">
        <w:tc>
          <w:tcPr>
            <w:tcW w:w="1485" w:type="pct"/>
            <w:gridSpan w:val="2"/>
          </w:tcPr>
          <w:p w:rsidR="00C31073" w:rsidRPr="007E1812" w:rsidRDefault="00C31073" w:rsidP="00620BD3">
            <w:pPr>
              <w:keepNext/>
              <w:keepLines/>
              <w:widowControl/>
              <w:jc w:val="left"/>
              <w:rPr>
                <w:rFonts w:ascii="Arial Narrow" w:hAnsi="Arial Narrow" w:cs="Times New Roman"/>
                <w:b/>
                <w:snapToGrid/>
                <w:sz w:val="20"/>
                <w:szCs w:val="20"/>
              </w:rPr>
            </w:pPr>
            <w:r w:rsidRPr="007E1812">
              <w:rPr>
                <w:rFonts w:ascii="Arial Narrow" w:hAnsi="Arial Narrow" w:cs="Times New Roman"/>
                <w:snapToGrid/>
                <w:sz w:val="20"/>
              </w:rPr>
              <w:t>ALEX</w:t>
            </w:r>
          </w:p>
        </w:tc>
        <w:tc>
          <w:tcPr>
            <w:tcW w:w="668" w:type="pct"/>
            <w:vAlign w:val="center"/>
          </w:tcPr>
          <w:p w:rsidR="00C31073" w:rsidRPr="007E1812" w:rsidRDefault="00C31073" w:rsidP="00620BD3">
            <w:pPr>
              <w:keepNext/>
              <w:keepLines/>
              <w:widowControl/>
              <w:jc w:val="center"/>
              <w:rPr>
                <w:rFonts w:ascii="Arial Narrow" w:hAnsi="Arial Narrow" w:cs="Times New Roman"/>
                <w:b/>
                <w:iCs/>
                <w:snapToGrid/>
                <w:sz w:val="20"/>
                <w:szCs w:val="20"/>
              </w:rPr>
            </w:pPr>
            <w:r w:rsidRPr="007E1812">
              <w:rPr>
                <w:rFonts w:ascii="Arial Narrow" w:hAnsi="Arial Narrow" w:cs="Times New Roman"/>
                <w:snapToGrid/>
                <w:sz w:val="20"/>
                <w:szCs w:val="20"/>
              </w:rPr>
              <w:t>38/64 (59)</w:t>
            </w:r>
          </w:p>
        </w:tc>
        <w:tc>
          <w:tcPr>
            <w:tcW w:w="882"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snapToGrid/>
                <w:sz w:val="20"/>
                <w:szCs w:val="20"/>
              </w:rPr>
              <w:t>15/58 (26)</w:t>
            </w:r>
          </w:p>
        </w:tc>
        <w:tc>
          <w:tcPr>
            <w:tcW w:w="558" w:type="pct"/>
            <w:vAlign w:val="center"/>
          </w:tcPr>
          <w:p w:rsidR="00C31073" w:rsidRPr="007E1812" w:rsidRDefault="00C31073" w:rsidP="00620BD3">
            <w:pPr>
              <w:keepNext/>
              <w:keepLines/>
              <w:widowControl/>
              <w:jc w:val="center"/>
              <w:rPr>
                <w:rFonts w:ascii="Arial Narrow" w:hAnsi="Arial Narrow" w:cs="Times New Roman"/>
                <w:b/>
                <w:snapToGrid/>
                <w:sz w:val="20"/>
                <w:szCs w:val="20"/>
              </w:rPr>
            </w:pPr>
            <w:r w:rsidRPr="007E1812">
              <w:rPr>
                <w:rFonts w:ascii="Arial Narrow" w:hAnsi="Arial Narrow" w:cs="Times New Roman"/>
                <w:b/>
                <w:bCs/>
                <w:snapToGrid/>
                <w:sz w:val="20"/>
                <w:szCs w:val="20"/>
              </w:rPr>
              <w:t>3</w:t>
            </w:r>
            <w:r w:rsidRPr="007E1812">
              <w:rPr>
                <w:rFonts w:ascii="Arial Narrow" w:hAnsi="Arial Narrow" w:cs="Times New Roman"/>
                <w:b/>
                <w:bCs/>
                <w:snapToGrid/>
                <w:sz w:val="20"/>
              </w:rPr>
              <w:t>3%</w:t>
            </w:r>
          </w:p>
        </w:tc>
        <w:tc>
          <w:tcPr>
            <w:tcW w:w="781" w:type="pct"/>
            <w:vAlign w:val="center"/>
          </w:tcPr>
          <w:p w:rsidR="00CC3D50" w:rsidRPr="007E1812" w:rsidRDefault="00C31073" w:rsidP="00620BD3">
            <w:pPr>
              <w:keepNext/>
              <w:keepLines/>
              <w:widowControl/>
              <w:jc w:val="center"/>
              <w:rPr>
                <w:rFonts w:ascii="Arial Narrow" w:hAnsi="Arial Narrow" w:cs="Times New Roman"/>
                <w:b/>
                <w:bCs/>
                <w:snapToGrid/>
                <w:sz w:val="20"/>
              </w:rPr>
            </w:pPr>
            <w:r w:rsidRPr="007E1812">
              <w:rPr>
                <w:rFonts w:ascii="Arial Narrow" w:hAnsi="Arial Narrow" w:cs="Times New Roman"/>
                <w:b/>
                <w:bCs/>
                <w:snapToGrid/>
                <w:sz w:val="20"/>
                <w:szCs w:val="20"/>
              </w:rPr>
              <w:t>4.19</w:t>
            </w:r>
          </w:p>
          <w:p w:rsidR="00C31073" w:rsidRPr="007E1812" w:rsidRDefault="00C31073" w:rsidP="00620BD3">
            <w:pPr>
              <w:keepNext/>
              <w:keepLines/>
              <w:widowControl/>
              <w:jc w:val="center"/>
              <w:rPr>
                <w:rFonts w:ascii="Arial Narrow" w:hAnsi="Arial Narrow" w:cs="Times New Roman"/>
                <w:bCs/>
                <w:snapToGrid/>
                <w:sz w:val="20"/>
                <w:szCs w:val="20"/>
              </w:rPr>
            </w:pPr>
            <w:r w:rsidRPr="007E1812">
              <w:rPr>
                <w:rFonts w:ascii="Arial Narrow" w:hAnsi="Arial Narrow" w:cs="Times New Roman"/>
                <w:b/>
                <w:bCs/>
                <w:snapToGrid/>
                <w:sz w:val="20"/>
                <w:szCs w:val="20"/>
              </w:rPr>
              <w:t>(1.9</w:t>
            </w:r>
            <w:r w:rsidRPr="007E1812">
              <w:rPr>
                <w:rFonts w:ascii="Arial Narrow" w:hAnsi="Arial Narrow" w:cs="Times New Roman"/>
                <w:b/>
                <w:bCs/>
                <w:snapToGrid/>
                <w:sz w:val="20"/>
              </w:rPr>
              <w:t>4</w:t>
            </w:r>
            <w:r w:rsidRPr="007E1812">
              <w:rPr>
                <w:rFonts w:ascii="Arial Narrow" w:hAnsi="Arial Narrow" w:cs="Times New Roman"/>
                <w:b/>
                <w:bCs/>
                <w:snapToGrid/>
                <w:sz w:val="20"/>
                <w:szCs w:val="20"/>
              </w:rPr>
              <w:t>, 9.0</w:t>
            </w:r>
            <w:r w:rsidRPr="007E1812">
              <w:rPr>
                <w:rFonts w:ascii="Arial Narrow" w:hAnsi="Arial Narrow" w:cs="Times New Roman"/>
                <w:b/>
                <w:bCs/>
                <w:snapToGrid/>
                <w:sz w:val="20"/>
              </w:rPr>
              <w:t>6)</w:t>
            </w:r>
          </w:p>
        </w:tc>
        <w:tc>
          <w:tcPr>
            <w:tcW w:w="626" w:type="pct"/>
            <w:vAlign w:val="center"/>
          </w:tcPr>
          <w:p w:rsidR="00CC3D50" w:rsidRPr="007E1812" w:rsidRDefault="00C31073" w:rsidP="00620BD3">
            <w:pPr>
              <w:keepNext/>
              <w:keepLines/>
              <w:widowControl/>
              <w:jc w:val="center"/>
              <w:rPr>
                <w:rFonts w:ascii="Arial Narrow" w:hAnsi="Arial Narrow" w:cs="Times New Roman"/>
                <w:b/>
                <w:bCs/>
                <w:snapToGrid/>
                <w:sz w:val="20"/>
                <w:szCs w:val="20"/>
              </w:rPr>
            </w:pPr>
            <w:r w:rsidRPr="007E1812">
              <w:rPr>
                <w:rFonts w:ascii="Arial Narrow" w:hAnsi="Arial Narrow" w:cs="Times New Roman"/>
                <w:b/>
                <w:bCs/>
                <w:snapToGrid/>
                <w:sz w:val="20"/>
                <w:szCs w:val="20"/>
              </w:rPr>
              <w:t>2.30</w:t>
            </w:r>
          </w:p>
          <w:p w:rsidR="00C31073" w:rsidRPr="007E1812" w:rsidRDefault="00C31073" w:rsidP="00620BD3">
            <w:pPr>
              <w:keepNext/>
              <w:keepLines/>
              <w:widowControl/>
              <w:jc w:val="center"/>
              <w:rPr>
                <w:rFonts w:ascii="Arial Narrow" w:hAnsi="Arial Narrow" w:cs="Times New Roman"/>
                <w:bCs/>
                <w:snapToGrid/>
                <w:sz w:val="20"/>
                <w:szCs w:val="20"/>
              </w:rPr>
            </w:pPr>
            <w:r w:rsidRPr="007E1812">
              <w:rPr>
                <w:rFonts w:ascii="Arial Narrow" w:hAnsi="Arial Narrow" w:cs="Times New Roman"/>
                <w:b/>
                <w:bCs/>
                <w:snapToGrid/>
                <w:sz w:val="20"/>
                <w:szCs w:val="20"/>
              </w:rPr>
              <w:t>(1.42, 3.71)</w:t>
            </w:r>
          </w:p>
        </w:tc>
      </w:tr>
      <w:tr w:rsidR="00C31073" w:rsidRPr="007E1812" w:rsidTr="00487A93">
        <w:tc>
          <w:tcPr>
            <w:tcW w:w="3593" w:type="pct"/>
            <w:gridSpan w:val="5"/>
            <w:vAlign w:val="center"/>
          </w:tcPr>
          <w:p w:rsidR="00C31073" w:rsidRPr="007E1812" w:rsidRDefault="00C31073" w:rsidP="00620BD3">
            <w:pPr>
              <w:keepNext/>
              <w:keepLines/>
              <w:widowControl/>
              <w:jc w:val="right"/>
              <w:rPr>
                <w:rFonts w:ascii="Arial Narrow" w:hAnsi="Arial Narrow" w:cs="Times New Roman"/>
                <w:bCs/>
                <w:snapToGrid/>
                <w:sz w:val="20"/>
                <w:szCs w:val="20"/>
              </w:rPr>
            </w:pPr>
            <w:r w:rsidRPr="007E1812">
              <w:rPr>
                <w:rFonts w:ascii="Arial Narrow" w:hAnsi="Arial Narrow" w:cs="Times New Roman"/>
                <w:b/>
                <w:snapToGrid/>
                <w:sz w:val="20"/>
                <w:szCs w:val="20"/>
              </w:rPr>
              <w:t>Indirect estimate of relative treatment effect</w:t>
            </w:r>
          </w:p>
        </w:tc>
        <w:tc>
          <w:tcPr>
            <w:tcW w:w="781" w:type="pct"/>
          </w:tcPr>
          <w:p w:rsidR="00CC3D50"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 xml:space="preserve">2.41 </w:t>
            </w:r>
          </w:p>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(0.69, 8.47)</w:t>
            </w:r>
          </w:p>
        </w:tc>
        <w:tc>
          <w:tcPr>
            <w:tcW w:w="626" w:type="pct"/>
          </w:tcPr>
          <w:p w:rsidR="00CC3D50" w:rsidRPr="007E1812" w:rsidRDefault="00C31073" w:rsidP="00620BD3">
            <w:pPr>
              <w:keepNext/>
              <w:keepLines/>
              <w:widowControl/>
              <w:jc w:val="center"/>
              <w:rPr>
                <w:rFonts w:ascii="Arial Narrow" w:hAnsi="Arial Narrow" w:cs="Times New Roman"/>
                <w:snapToGrid/>
                <w:sz w:val="20"/>
              </w:rPr>
            </w:pPr>
            <w:r w:rsidRPr="007E1812">
              <w:rPr>
                <w:rFonts w:ascii="Arial Narrow" w:hAnsi="Arial Narrow" w:cs="Times New Roman"/>
                <w:snapToGrid/>
                <w:sz w:val="20"/>
                <w:szCs w:val="20"/>
              </w:rPr>
              <w:t>1.72</w:t>
            </w:r>
            <w:r w:rsidRPr="007E1812">
              <w:rPr>
                <w:rFonts w:ascii="Arial Narrow" w:hAnsi="Arial Narrow" w:cs="Times New Roman"/>
                <w:snapToGrid/>
                <w:sz w:val="20"/>
              </w:rPr>
              <w:t xml:space="preserve"> </w:t>
            </w:r>
          </w:p>
          <w:p w:rsidR="00C31073" w:rsidRPr="007E1812" w:rsidRDefault="00C31073" w:rsidP="00620BD3">
            <w:pPr>
              <w:keepNext/>
              <w:keepLines/>
              <w:widowControl/>
              <w:jc w:val="center"/>
              <w:rPr>
                <w:rFonts w:ascii="Arial Narrow" w:hAnsi="Arial Narrow" w:cs="Times New Roman"/>
                <w:snapToGrid/>
                <w:sz w:val="20"/>
                <w:szCs w:val="20"/>
              </w:rPr>
            </w:pPr>
            <w:r w:rsidRPr="007E1812">
              <w:rPr>
                <w:rFonts w:ascii="Arial Narrow" w:hAnsi="Arial Narrow" w:cs="Times New Roman"/>
                <w:snapToGrid/>
                <w:sz w:val="20"/>
                <w:szCs w:val="20"/>
              </w:rPr>
              <w:t>(0.76, 3.91)</w:t>
            </w:r>
          </w:p>
        </w:tc>
      </w:tr>
    </w:tbl>
    <w:p w:rsidR="00C31073" w:rsidRPr="007E1812" w:rsidRDefault="00C31073" w:rsidP="00620BD3">
      <w:pPr>
        <w:keepNext/>
        <w:keepLines/>
        <w:widowControl/>
        <w:rPr>
          <w:rFonts w:ascii="Arial Narrow" w:hAnsi="Arial Narrow"/>
          <w:sz w:val="18"/>
        </w:rPr>
      </w:pPr>
      <w:r w:rsidRPr="007E1812">
        <w:rPr>
          <w:rFonts w:ascii="Arial Narrow" w:hAnsi="Arial Narrow"/>
          <w:sz w:val="18"/>
          <w:szCs w:val="18"/>
        </w:rPr>
        <w:t>Abbreviations: CI = confidence interval;</w:t>
      </w:r>
      <w:r w:rsidRPr="007E1812">
        <w:rPr>
          <w:rFonts w:ascii="Candara" w:hAnsi="Candara" w:cs="Calibri"/>
          <w:sz w:val="20"/>
          <w:szCs w:val="18"/>
        </w:rPr>
        <w:t xml:space="preserve"> </w:t>
      </w:r>
      <w:r w:rsidRPr="007E1812">
        <w:rPr>
          <w:rFonts w:ascii="Arial Narrow" w:hAnsi="Arial Narrow"/>
          <w:sz w:val="18"/>
          <w:szCs w:val="18"/>
        </w:rPr>
        <w:t xml:space="preserve">HR = hazard ratio; IRC = blinded independent committee; PFS = progression free survival; PR = partial response; iORR = intracranial objective response rate; </w:t>
      </w:r>
      <w:r w:rsidRPr="007E1812">
        <w:rPr>
          <w:rFonts w:ascii="Arial Narrow" w:hAnsi="Arial Narrow"/>
          <w:sz w:val="18"/>
        </w:rPr>
        <w:t xml:space="preserve">n = number of participants with event; N = total participants in group; NE = not estimable; NR = not reported; OR = odds ratio; </w:t>
      </w:r>
      <w:r w:rsidRPr="007E1812">
        <w:rPr>
          <w:rFonts w:ascii="Arial Narrow" w:hAnsi="Arial Narrow"/>
          <w:sz w:val="18"/>
          <w:szCs w:val="18"/>
        </w:rPr>
        <w:t>ORR = objective response rate; OS = overall survival; RR = relative risk ratio</w:t>
      </w:r>
    </w:p>
    <w:p w:rsidR="00C31073" w:rsidRPr="007E1812" w:rsidRDefault="00C31073" w:rsidP="00620BD3">
      <w:pPr>
        <w:keepNext/>
        <w:keepLines/>
        <w:widowControl/>
        <w:rPr>
          <w:rFonts w:ascii="Arial Narrow" w:eastAsia="Calibri" w:hAnsi="Arial Narrow"/>
          <w:sz w:val="18"/>
        </w:rPr>
      </w:pPr>
      <w:r w:rsidRPr="007E1812">
        <w:rPr>
          <w:rFonts w:ascii="Arial Narrow" w:eastAsia="Calibri" w:hAnsi="Arial Narrow"/>
          <w:sz w:val="18"/>
          <w:vertAlign w:val="superscript"/>
        </w:rPr>
        <w:t>a</w:t>
      </w:r>
      <w:r w:rsidRPr="007E1812">
        <w:rPr>
          <w:rFonts w:ascii="Arial Narrow" w:eastAsia="Calibri" w:hAnsi="Arial Narrow"/>
          <w:sz w:val="18"/>
        </w:rPr>
        <w:t xml:space="preserve"> 1 December 2017 cut-off, data were sought from the submission and Camidge et al 2019 (italic) by the evaluators.</w:t>
      </w:r>
    </w:p>
    <w:p w:rsidR="006C6EA3" w:rsidRPr="007E1812" w:rsidRDefault="006C6EA3" w:rsidP="00620BD3">
      <w:pPr>
        <w:keepNext/>
        <w:keepLines/>
        <w:widowControl/>
        <w:rPr>
          <w:rFonts w:ascii="Arial Narrow" w:eastAsia="Calibri" w:hAnsi="Arial Narrow"/>
          <w:sz w:val="18"/>
        </w:rPr>
      </w:pPr>
      <w:r w:rsidRPr="007E1812">
        <w:rPr>
          <w:rFonts w:ascii="Arial Narrow" w:eastAsia="Calibri" w:hAnsi="Arial Narrow"/>
          <w:sz w:val="18"/>
          <w:vertAlign w:val="superscript"/>
        </w:rPr>
        <w:t xml:space="preserve">b </w:t>
      </w:r>
      <w:r w:rsidRPr="007E1812">
        <w:rPr>
          <w:rFonts w:ascii="Arial Narrow" w:eastAsia="Calibri" w:hAnsi="Arial Narrow"/>
          <w:sz w:val="18"/>
        </w:rPr>
        <w:t>Estimated during the evaluation.</w:t>
      </w:r>
    </w:p>
    <w:p w:rsidR="00C31073" w:rsidRPr="007E1812" w:rsidRDefault="00C31073" w:rsidP="00620BD3">
      <w:pPr>
        <w:keepNext/>
        <w:keepLines/>
        <w:widowControl/>
        <w:rPr>
          <w:rFonts w:ascii="Arial Narrow" w:hAnsi="Arial Narrow"/>
          <w:sz w:val="20"/>
        </w:rPr>
      </w:pPr>
      <w:r w:rsidRPr="007E1812">
        <w:rPr>
          <w:rFonts w:ascii="Arial Narrow" w:hAnsi="Arial Narrow"/>
          <w:sz w:val="18"/>
        </w:rPr>
        <w:t xml:space="preserve">Note: </w:t>
      </w:r>
      <w:r w:rsidR="00363D18" w:rsidRPr="007E1812">
        <w:rPr>
          <w:rFonts w:ascii="Arial Narrow" w:hAnsi="Arial Narrow"/>
          <w:sz w:val="18"/>
        </w:rPr>
        <w:t xml:space="preserve">Text </w:t>
      </w:r>
      <w:r w:rsidR="006E4D68" w:rsidRPr="007E1812">
        <w:rPr>
          <w:rFonts w:ascii="Arial Narrow" w:hAnsi="Arial Narrow"/>
          <w:sz w:val="18"/>
        </w:rPr>
        <w:t xml:space="preserve">in </w:t>
      </w:r>
      <w:r w:rsidR="00F03EB6" w:rsidRPr="007E1812">
        <w:rPr>
          <w:rFonts w:ascii="Arial Narrow" w:hAnsi="Arial Narrow"/>
          <w:sz w:val="18"/>
        </w:rPr>
        <w:t>bold indicate</w:t>
      </w:r>
      <w:r w:rsidRPr="007E1812">
        <w:rPr>
          <w:rFonts w:ascii="Arial Narrow" w:hAnsi="Arial Narrow"/>
          <w:sz w:val="18"/>
        </w:rPr>
        <w:t xml:space="preserve"> statically significant</w:t>
      </w:r>
      <w:r w:rsidR="0061415B" w:rsidRPr="007E1812">
        <w:rPr>
          <w:rFonts w:ascii="Arial Narrow" w:hAnsi="Arial Narrow"/>
          <w:sz w:val="18"/>
        </w:rPr>
        <w:t xml:space="preserve"> results</w:t>
      </w:r>
      <w:r w:rsidRPr="007E1812">
        <w:rPr>
          <w:rFonts w:ascii="Arial Narrow" w:hAnsi="Arial Narrow"/>
          <w:sz w:val="18"/>
        </w:rPr>
        <w:t>;</w:t>
      </w:r>
      <w:r w:rsidR="0061415B" w:rsidRPr="007E1812">
        <w:rPr>
          <w:rFonts w:ascii="Arial Narrow" w:hAnsi="Arial Narrow"/>
          <w:sz w:val="18"/>
        </w:rPr>
        <w:t xml:space="preserve"> Number in italics indicate values </w:t>
      </w:r>
      <w:r w:rsidR="005633E4" w:rsidRPr="007E1812">
        <w:rPr>
          <w:rFonts w:ascii="Arial Narrow" w:hAnsi="Arial Narrow"/>
          <w:sz w:val="18"/>
        </w:rPr>
        <w:t>added</w:t>
      </w:r>
      <w:r w:rsidR="0061415B" w:rsidRPr="007E1812">
        <w:rPr>
          <w:rFonts w:ascii="Arial Narrow" w:hAnsi="Arial Narrow"/>
          <w:sz w:val="18"/>
        </w:rPr>
        <w:t xml:space="preserve"> during </w:t>
      </w:r>
      <w:r w:rsidR="00093E6C" w:rsidRPr="007E1812">
        <w:rPr>
          <w:rFonts w:ascii="Arial Narrow" w:hAnsi="Arial Narrow"/>
          <w:sz w:val="18"/>
        </w:rPr>
        <w:t>evaluation</w:t>
      </w:r>
      <w:r w:rsidR="0061415B" w:rsidRPr="007E1812">
        <w:rPr>
          <w:rFonts w:ascii="Arial Narrow" w:hAnsi="Arial Narrow"/>
          <w:sz w:val="18"/>
        </w:rPr>
        <w:t>;</w:t>
      </w:r>
      <w:r w:rsidRPr="007E1812">
        <w:rPr>
          <w:rFonts w:ascii="Arial Narrow" w:hAnsi="Arial Narrow"/>
          <w:sz w:val="18"/>
        </w:rPr>
        <w:t xml:space="preserve"> Indirect estimate of relative treatment effect below 1 favours brigatinib.</w:t>
      </w:r>
    </w:p>
    <w:p w:rsidR="00C31073" w:rsidRPr="007E1812" w:rsidRDefault="00C31073" w:rsidP="00620BD3">
      <w:pPr>
        <w:keepNext/>
        <w:keepLines/>
        <w:widowControl/>
        <w:rPr>
          <w:rFonts w:ascii="Arial Narrow" w:hAnsi="Arial Narrow"/>
          <w:sz w:val="18"/>
        </w:rPr>
      </w:pPr>
      <w:r w:rsidRPr="007E1812">
        <w:rPr>
          <w:rFonts w:ascii="Arial Narrow" w:hAnsi="Arial Narrow"/>
          <w:sz w:val="18"/>
        </w:rPr>
        <w:t>Source: Table 2-72, p.131-132 of the submission.</w:t>
      </w:r>
    </w:p>
    <w:p w:rsidR="00053AF3" w:rsidRPr="007E1812" w:rsidRDefault="00C31073" w:rsidP="00620BD3">
      <w:pPr>
        <w:pStyle w:val="ListParagraph"/>
        <w:widowControl/>
        <w:numPr>
          <w:ilvl w:val="1"/>
          <w:numId w:val="1"/>
        </w:numPr>
        <w:spacing w:before="120" w:after="120"/>
      </w:pPr>
      <w:r w:rsidRPr="007E1812">
        <w:rPr>
          <w:rFonts w:asciiTheme="minorHAnsi" w:hAnsiTheme="minorHAnsi" w:cstheme="minorHAnsi"/>
          <w:szCs w:val="24"/>
        </w:rPr>
        <w:lastRenderedPageBreak/>
        <w:t xml:space="preserve">The results of the ITC showed there was no </w:t>
      </w:r>
      <w:r w:rsidR="00956BBB" w:rsidRPr="007E1812">
        <w:rPr>
          <w:rFonts w:asciiTheme="minorHAnsi" w:hAnsiTheme="minorHAnsi" w:cstheme="minorHAnsi"/>
          <w:szCs w:val="24"/>
        </w:rPr>
        <w:t xml:space="preserve">significant </w:t>
      </w:r>
      <w:r w:rsidRPr="007E1812">
        <w:rPr>
          <w:rFonts w:asciiTheme="minorHAnsi" w:hAnsiTheme="minorHAnsi" w:cstheme="minorHAnsi"/>
          <w:szCs w:val="24"/>
        </w:rPr>
        <w:t>difference in treatment effects for PFS, ORR, and iORR between brigatinib and alectinib.</w:t>
      </w:r>
      <w:r w:rsidR="0042566B" w:rsidRPr="007E1812">
        <w:rPr>
          <w:rFonts w:asciiTheme="minorHAnsi" w:hAnsiTheme="minorHAnsi" w:cstheme="minorHAnsi"/>
          <w:szCs w:val="24"/>
        </w:rPr>
        <w:t xml:space="preserve"> </w:t>
      </w:r>
      <w:r w:rsidR="00956BBB" w:rsidRPr="007E1812">
        <w:t xml:space="preserve">The ESC </w:t>
      </w:r>
      <w:r w:rsidR="009F1558" w:rsidRPr="007E1812">
        <w:t xml:space="preserve">noted the </w:t>
      </w:r>
      <w:r w:rsidR="008F2A26" w:rsidRPr="007E1812">
        <w:t xml:space="preserve">results of the </w:t>
      </w:r>
      <w:r w:rsidR="00443FF4" w:rsidRPr="007E1812">
        <w:t xml:space="preserve">crizotinib </w:t>
      </w:r>
      <w:r w:rsidR="008F2A26" w:rsidRPr="007E1812">
        <w:t xml:space="preserve">arm </w:t>
      </w:r>
      <w:r w:rsidR="00443FF4" w:rsidRPr="007E1812">
        <w:t xml:space="preserve">of the ALTA-1L trial </w:t>
      </w:r>
      <w:r w:rsidR="007966F7" w:rsidRPr="007E1812">
        <w:t xml:space="preserve">were poorer than </w:t>
      </w:r>
      <w:r w:rsidR="008F2A26" w:rsidRPr="007E1812">
        <w:t xml:space="preserve">in </w:t>
      </w:r>
      <w:r w:rsidR="007966F7" w:rsidRPr="007E1812">
        <w:t>the ALEX trial (e.g. 48.6% vs 76.</w:t>
      </w:r>
      <w:r w:rsidR="001A572B" w:rsidRPr="007E1812">
        <w:t>8</w:t>
      </w:r>
      <w:r w:rsidR="007966F7" w:rsidRPr="007E1812">
        <w:t xml:space="preserve">% for PFS (INV); 65.9% vs 75.4% for ORR (INV); 17% vs 26% for iORR (IRC)). These differences in the common reference arm </w:t>
      </w:r>
      <w:r w:rsidR="008F2A26" w:rsidRPr="007E1812">
        <w:t>contribute</w:t>
      </w:r>
      <w:r w:rsidR="006C6EA3" w:rsidRPr="007E1812">
        <w:t>d</w:t>
      </w:r>
      <w:r w:rsidR="008F2A26" w:rsidRPr="007E1812">
        <w:t xml:space="preserve"> to uncertainty in assessing any differential </w:t>
      </w:r>
      <w:r w:rsidR="00A94357" w:rsidRPr="007E1812">
        <w:t>treatment effec</w:t>
      </w:r>
      <w:r w:rsidR="008F2A26" w:rsidRPr="007E1812">
        <w:t>ts</w:t>
      </w:r>
      <w:r w:rsidR="00A94357" w:rsidRPr="007E1812">
        <w:t xml:space="preserve"> of brigatinib </w:t>
      </w:r>
      <w:r w:rsidR="008F2A26" w:rsidRPr="007E1812">
        <w:t xml:space="preserve">and </w:t>
      </w:r>
      <w:r w:rsidR="00A94357" w:rsidRPr="007E1812">
        <w:t xml:space="preserve">alectinib. </w:t>
      </w:r>
    </w:p>
    <w:p w:rsidR="00C31073" w:rsidRPr="007E1812" w:rsidRDefault="00C31073" w:rsidP="00620BD3">
      <w:pPr>
        <w:pStyle w:val="ListParagraph"/>
        <w:widowControl/>
        <w:numPr>
          <w:ilvl w:val="1"/>
          <w:numId w:val="1"/>
        </w:numPr>
        <w:spacing w:before="120" w:after="120"/>
        <w:rPr>
          <w:rFonts w:asciiTheme="minorHAnsi" w:hAnsiTheme="minorHAnsi" w:cstheme="minorHAnsi"/>
          <w:szCs w:val="24"/>
        </w:rPr>
      </w:pPr>
      <w:r w:rsidRPr="007E1812">
        <w:rPr>
          <w:rFonts w:asciiTheme="minorHAnsi" w:hAnsiTheme="minorHAnsi" w:cstheme="minorHAnsi"/>
          <w:szCs w:val="24"/>
        </w:rPr>
        <w:t xml:space="preserve">The submission did not undertake the ITC for OS on the basis that the data for OS were immature, particularly for ALTA-1L, and median OS had not been reached in any treatment arm across the two trials. </w:t>
      </w:r>
    </w:p>
    <w:p w:rsidR="00C31073" w:rsidRPr="007E1812" w:rsidRDefault="00C31073" w:rsidP="00620BD3">
      <w:pPr>
        <w:pStyle w:val="ListParagraph"/>
        <w:widowControl/>
        <w:numPr>
          <w:ilvl w:val="1"/>
          <w:numId w:val="1"/>
        </w:numPr>
        <w:spacing w:before="120" w:after="120"/>
        <w:rPr>
          <w:rFonts w:asciiTheme="minorHAnsi" w:hAnsiTheme="minorHAnsi" w:cstheme="minorHAnsi"/>
          <w:szCs w:val="24"/>
        </w:rPr>
      </w:pPr>
      <w:r w:rsidRPr="007E1812">
        <w:rPr>
          <w:rFonts w:asciiTheme="minorHAnsi" w:hAnsiTheme="minorHAnsi" w:cstheme="minorHAnsi"/>
          <w:szCs w:val="24"/>
        </w:rPr>
        <w:t>The submission excluded two trials (J-ALEX and ALESIA) w</w:t>
      </w:r>
      <w:r w:rsidR="00AE7A9C" w:rsidRPr="007E1812">
        <w:rPr>
          <w:rFonts w:asciiTheme="minorHAnsi" w:hAnsiTheme="minorHAnsi" w:cstheme="minorHAnsi"/>
          <w:szCs w:val="24"/>
        </w:rPr>
        <w:t>ith inadequate justification</w:t>
      </w:r>
      <w:r w:rsidRPr="007E1812">
        <w:rPr>
          <w:rFonts w:asciiTheme="minorHAnsi" w:hAnsiTheme="minorHAnsi" w:cstheme="minorHAnsi"/>
          <w:szCs w:val="24"/>
        </w:rPr>
        <w:t xml:space="preserve">. In general, clinical outcomes in J-ALEX and ALESIA were consistent with those from ALEX. Compared to crizotinib, the magnitude of PFS treatment effect for alectinib in J-ALEX and ALESIA was numerically greater than brigatinib for </w:t>
      </w:r>
      <w:r w:rsidR="008F2A26" w:rsidRPr="007E1812">
        <w:rPr>
          <w:rFonts w:asciiTheme="minorHAnsi" w:hAnsiTheme="minorHAnsi" w:cstheme="minorHAnsi"/>
          <w:szCs w:val="24"/>
        </w:rPr>
        <w:t xml:space="preserve">both </w:t>
      </w:r>
      <w:r w:rsidRPr="007E1812">
        <w:rPr>
          <w:rFonts w:asciiTheme="minorHAnsi" w:hAnsiTheme="minorHAnsi" w:cstheme="minorHAnsi"/>
          <w:szCs w:val="24"/>
        </w:rPr>
        <w:t xml:space="preserve">the IRC or investigator assessments. </w:t>
      </w:r>
      <w:r w:rsidR="00515174" w:rsidRPr="007E1812">
        <w:t>A</w:t>
      </w:r>
      <w:r w:rsidRPr="007E1812">
        <w:t xml:space="preserve"> sensitivity analysis</w:t>
      </w:r>
      <w:r w:rsidR="00515174" w:rsidRPr="007E1812">
        <w:t xml:space="preserve"> was performed during the evaluation</w:t>
      </w:r>
      <w:r w:rsidRPr="007E1812">
        <w:t xml:space="preserve"> for the ITC in which it included the data for alectinib from J-ALEX and ALESIA. The results from this analysis did not alter the conclusion of non-inferiority presented by the submission’s analysis. </w:t>
      </w:r>
    </w:p>
    <w:p w:rsidR="00620BD3" w:rsidRPr="007E1812" w:rsidRDefault="00620BD3" w:rsidP="003B26AC">
      <w:pPr>
        <w:pStyle w:val="ListParagraph"/>
        <w:widowControl/>
        <w:numPr>
          <w:ilvl w:val="1"/>
          <w:numId w:val="1"/>
        </w:numPr>
        <w:spacing w:before="120" w:after="120"/>
        <w:rPr>
          <w:rFonts w:asciiTheme="minorHAnsi" w:hAnsiTheme="minorHAnsi" w:cstheme="minorHAnsi"/>
          <w:szCs w:val="24"/>
        </w:rPr>
      </w:pPr>
      <w:r w:rsidRPr="007E1812">
        <w:rPr>
          <w:rFonts w:asciiTheme="minorHAnsi" w:hAnsiTheme="minorHAnsi" w:cstheme="minorHAnsi"/>
          <w:szCs w:val="24"/>
        </w:rPr>
        <w:t xml:space="preserve">The PBAC noted </w:t>
      </w:r>
      <w:r w:rsidRPr="00284A8C">
        <w:rPr>
          <w:rFonts w:asciiTheme="minorHAnsi" w:hAnsiTheme="minorHAnsi" w:cstheme="minorHAnsi"/>
          <w:szCs w:val="24"/>
        </w:rPr>
        <w:t xml:space="preserve">that the second interim analysis (IA2) for brigatinib from the clinical data of ALTA-1L (data cut-off date of </w:t>
      </w:r>
      <w:r w:rsidR="00284A8C" w:rsidRPr="00284A8C">
        <w:rPr>
          <w:rFonts w:asciiTheme="minorHAnsi" w:hAnsiTheme="minorHAnsi" w:cstheme="minorHAnsi"/>
          <w:szCs w:val="24"/>
        </w:rPr>
        <w:t>28th June 2019</w:t>
      </w:r>
      <w:r w:rsidRPr="00284A8C">
        <w:rPr>
          <w:rFonts w:asciiTheme="minorHAnsi" w:hAnsiTheme="minorHAnsi" w:cstheme="minorHAnsi"/>
          <w:szCs w:val="24"/>
        </w:rPr>
        <w:t>) was</w:t>
      </w:r>
      <w:r w:rsidRPr="007E1812">
        <w:rPr>
          <w:rFonts w:asciiTheme="minorHAnsi" w:hAnsiTheme="minorHAnsi" w:cstheme="minorHAnsi"/>
          <w:szCs w:val="24"/>
        </w:rPr>
        <w:t xml:space="preserve"> presented in the pre-PBAC response but the results from the IA2 were not independently evaluated for consideration by the PBAC. </w:t>
      </w:r>
    </w:p>
    <w:p w:rsidR="00C31073" w:rsidRPr="007E1812" w:rsidRDefault="00C31073" w:rsidP="00620BD3">
      <w:pPr>
        <w:pStyle w:val="Heading3"/>
        <w:widowControl/>
      </w:pPr>
      <w:r w:rsidRPr="007E1812">
        <w:t>Second-line setting</w:t>
      </w:r>
    </w:p>
    <w:p w:rsidR="00C31073" w:rsidRPr="007E1812" w:rsidRDefault="00C31073" w:rsidP="00620BD3">
      <w:pPr>
        <w:pStyle w:val="ListParagraph"/>
        <w:widowControl/>
        <w:numPr>
          <w:ilvl w:val="1"/>
          <w:numId w:val="1"/>
        </w:numPr>
        <w:spacing w:before="120" w:after="120"/>
      </w:pPr>
      <w:r w:rsidRPr="007E1812">
        <w:t xml:space="preserve">A summary of the results for the second-line setting and the subsequent naïve comparison between brigatinib and alectinib is presented in </w:t>
      </w:r>
      <w:r w:rsidR="005633E4" w:rsidRPr="007E1812">
        <w:t>Table 8</w:t>
      </w:r>
      <w:r w:rsidRPr="007E1812">
        <w:t>.</w:t>
      </w:r>
    </w:p>
    <w:p w:rsidR="00C31073" w:rsidRPr="007E1812" w:rsidRDefault="00C31073" w:rsidP="00620BD3">
      <w:pPr>
        <w:pStyle w:val="Caption"/>
      </w:pPr>
      <w:bookmarkStart w:id="39" w:name="_Ref18506901"/>
      <w:r w:rsidRPr="007E1812">
        <w:t xml:space="preserve">Table </w:t>
      </w:r>
      <w:r w:rsidR="007F3D8E" w:rsidRPr="007E1812">
        <w:t>8</w:t>
      </w:r>
      <w:bookmarkEnd w:id="39"/>
      <w:r w:rsidRPr="007E1812">
        <w:t>: Naïve comparison between Study 201-ALTA (brigatinib) and ALUR (alectinib)</w:t>
      </w:r>
    </w:p>
    <w:tbl>
      <w:tblPr>
        <w:tblStyle w:val="TableGrid"/>
        <w:tblW w:w="0" w:type="auto"/>
        <w:tblLook w:val="04A0" w:firstRow="1" w:lastRow="0" w:firstColumn="1" w:lastColumn="0" w:noHBand="0" w:noVBand="1"/>
        <w:tblCaption w:val="Table 10: Naïve comparison between Study 201-ALTA (brigatinib) and ALUR (alectinib)"/>
      </w:tblPr>
      <w:tblGrid>
        <w:gridCol w:w="2254"/>
        <w:gridCol w:w="2254"/>
        <w:gridCol w:w="2254"/>
        <w:gridCol w:w="2255"/>
      </w:tblGrid>
      <w:tr w:rsidR="00C31073" w:rsidRPr="007E1812" w:rsidTr="00A8476B">
        <w:trPr>
          <w:tblHeader/>
        </w:trPr>
        <w:tc>
          <w:tcPr>
            <w:tcW w:w="2254" w:type="dxa"/>
          </w:tcPr>
          <w:p w:rsidR="00C31073" w:rsidRPr="007E1812" w:rsidRDefault="00C31073" w:rsidP="00620BD3">
            <w:pPr>
              <w:keepNext/>
              <w:keepLines/>
              <w:widowControl/>
              <w:jc w:val="left"/>
              <w:rPr>
                <w:rFonts w:ascii="Arial Narrow" w:hAnsi="Arial Narrow"/>
                <w:b/>
                <w:sz w:val="20"/>
                <w:szCs w:val="16"/>
              </w:rPr>
            </w:pPr>
            <w:r w:rsidRPr="007E1812">
              <w:rPr>
                <w:rFonts w:ascii="Arial Narrow" w:hAnsi="Arial Narrow"/>
                <w:b/>
                <w:sz w:val="20"/>
                <w:szCs w:val="16"/>
              </w:rPr>
              <w:t>Outcome</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b/>
                <w:sz w:val="20"/>
                <w:szCs w:val="16"/>
              </w:rPr>
              <w:t>180 mg brigatinib</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b/>
                <w:sz w:val="20"/>
                <w:szCs w:val="16"/>
              </w:rPr>
              <w:t>Alectinib</w:t>
            </w:r>
          </w:p>
        </w:tc>
        <w:tc>
          <w:tcPr>
            <w:tcW w:w="2255"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b/>
                <w:sz w:val="20"/>
                <w:szCs w:val="16"/>
              </w:rPr>
              <w:t>Absolute difference</w:t>
            </w:r>
          </w:p>
        </w:tc>
      </w:tr>
      <w:tr w:rsidR="00C31073" w:rsidRPr="007E1812" w:rsidTr="008B784E">
        <w:tc>
          <w:tcPr>
            <w:tcW w:w="2254" w:type="dxa"/>
          </w:tcPr>
          <w:p w:rsidR="00C31073" w:rsidRPr="007E1812" w:rsidRDefault="00C31073" w:rsidP="00620BD3">
            <w:pPr>
              <w:keepNext/>
              <w:keepLines/>
              <w:widowControl/>
              <w:rPr>
                <w:rFonts w:ascii="Arial Narrow" w:hAnsi="Arial Narrow" w:cs="Times New Roman"/>
                <w:snapToGrid/>
                <w:sz w:val="20"/>
                <w:szCs w:val="20"/>
              </w:rPr>
            </w:pPr>
            <w:r w:rsidRPr="007E1812">
              <w:rPr>
                <w:rFonts w:ascii="Arial Narrow" w:hAnsi="Arial Narrow"/>
                <w:b/>
                <w:sz w:val="20"/>
                <w:szCs w:val="16"/>
              </w:rPr>
              <w:t>PFS (IRC)</w:t>
            </w:r>
          </w:p>
        </w:tc>
        <w:tc>
          <w:tcPr>
            <w:tcW w:w="2254" w:type="dxa"/>
          </w:tcPr>
          <w:p w:rsidR="00C31073" w:rsidRPr="007E1812" w:rsidRDefault="00C31073" w:rsidP="00620BD3">
            <w:pPr>
              <w:keepNext/>
              <w:keepLines/>
              <w:widowControl/>
              <w:jc w:val="center"/>
              <w:rPr>
                <w:rFonts w:ascii="Arial Narrow" w:hAnsi="Arial Narrow" w:cs="Times New Roman"/>
                <w:snapToGrid/>
                <w:sz w:val="20"/>
                <w:szCs w:val="20"/>
              </w:rPr>
            </w:pPr>
          </w:p>
        </w:tc>
        <w:tc>
          <w:tcPr>
            <w:tcW w:w="2254" w:type="dxa"/>
          </w:tcPr>
          <w:p w:rsidR="00C31073" w:rsidRPr="007E1812" w:rsidRDefault="00C31073" w:rsidP="00620BD3">
            <w:pPr>
              <w:keepNext/>
              <w:keepLines/>
              <w:widowControl/>
              <w:jc w:val="center"/>
              <w:rPr>
                <w:rFonts w:ascii="Arial Narrow" w:hAnsi="Arial Narrow" w:cs="Times New Roman"/>
                <w:snapToGrid/>
                <w:sz w:val="20"/>
                <w:szCs w:val="20"/>
              </w:rPr>
            </w:pPr>
          </w:p>
        </w:tc>
        <w:tc>
          <w:tcPr>
            <w:tcW w:w="2255" w:type="dxa"/>
          </w:tcPr>
          <w:p w:rsidR="00C31073" w:rsidRPr="007E1812" w:rsidRDefault="00C31073" w:rsidP="00620BD3">
            <w:pPr>
              <w:keepNext/>
              <w:keepLines/>
              <w:widowControl/>
              <w:jc w:val="center"/>
              <w:rPr>
                <w:rFonts w:ascii="Arial Narrow" w:hAnsi="Arial Narrow"/>
                <w:bCs/>
                <w:sz w:val="20"/>
                <w:szCs w:val="16"/>
              </w:rPr>
            </w:pP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snapToGrid/>
                <w:sz w:val="20"/>
                <w:szCs w:val="20"/>
              </w:rPr>
              <w:t xml:space="preserve">  Progressed</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szCs w:val="20"/>
              </w:rPr>
              <w:t>NR</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szCs w:val="20"/>
              </w:rPr>
              <w:t>28/72 (39)</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NE</w:t>
            </w: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snapToGrid/>
                <w:sz w:val="20"/>
                <w:szCs w:val="20"/>
              </w:rPr>
              <w:t xml:space="preserve">  Median months PFS</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szCs w:val="20"/>
              </w:rPr>
              <w:t>16.7</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szCs w:val="20"/>
              </w:rPr>
              <w:t>7.1</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9.6 month</w:t>
            </w:r>
            <w:r w:rsidR="0008681C" w:rsidRPr="007E1812">
              <w:rPr>
                <w:rFonts w:ascii="Arial Narrow" w:hAnsi="Arial Narrow"/>
                <w:bCs/>
                <w:sz w:val="20"/>
                <w:szCs w:val="16"/>
              </w:rPr>
              <w:t>s</w:t>
            </w: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b/>
                <w:snapToGrid/>
                <w:sz w:val="20"/>
                <w:szCs w:val="20"/>
              </w:rPr>
              <w:t xml:space="preserve">PFS </w:t>
            </w:r>
            <w:r w:rsidRPr="007E1812">
              <w:rPr>
                <w:rFonts w:ascii="Arial Narrow" w:hAnsi="Arial Narrow" w:cs="Times New Roman"/>
                <w:b/>
                <w:snapToGrid/>
                <w:sz w:val="20"/>
              </w:rPr>
              <w:t>(INV)</w:t>
            </w:r>
          </w:p>
        </w:tc>
        <w:tc>
          <w:tcPr>
            <w:tcW w:w="2254" w:type="dxa"/>
          </w:tcPr>
          <w:p w:rsidR="00C31073" w:rsidRPr="007E1812" w:rsidRDefault="00C31073" w:rsidP="00620BD3">
            <w:pPr>
              <w:keepNext/>
              <w:keepLines/>
              <w:widowControl/>
              <w:jc w:val="center"/>
              <w:rPr>
                <w:rFonts w:ascii="Arial Narrow" w:hAnsi="Arial Narrow"/>
                <w:b/>
                <w:sz w:val="20"/>
                <w:szCs w:val="16"/>
              </w:rPr>
            </w:pPr>
          </w:p>
        </w:tc>
        <w:tc>
          <w:tcPr>
            <w:tcW w:w="2254" w:type="dxa"/>
          </w:tcPr>
          <w:p w:rsidR="00C31073" w:rsidRPr="007E1812" w:rsidRDefault="00C31073" w:rsidP="00620BD3">
            <w:pPr>
              <w:keepNext/>
              <w:keepLines/>
              <w:widowControl/>
              <w:jc w:val="center"/>
              <w:rPr>
                <w:rFonts w:ascii="Arial Narrow" w:hAnsi="Arial Narrow"/>
                <w:b/>
                <w:sz w:val="20"/>
                <w:szCs w:val="16"/>
              </w:rPr>
            </w:pPr>
          </w:p>
        </w:tc>
        <w:tc>
          <w:tcPr>
            <w:tcW w:w="2255" w:type="dxa"/>
          </w:tcPr>
          <w:p w:rsidR="00C31073" w:rsidRPr="007E1812" w:rsidRDefault="00C31073" w:rsidP="00620BD3">
            <w:pPr>
              <w:keepNext/>
              <w:keepLines/>
              <w:widowControl/>
              <w:jc w:val="center"/>
              <w:rPr>
                <w:rFonts w:ascii="Arial Narrow" w:hAnsi="Arial Narrow"/>
                <w:bCs/>
                <w:sz w:val="20"/>
                <w:szCs w:val="16"/>
              </w:rPr>
            </w:pP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snapToGrid/>
                <w:sz w:val="20"/>
                <w:szCs w:val="20"/>
              </w:rPr>
              <w:t xml:space="preserve">  Progressed</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NR</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25/72 (33)</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NE</w:t>
            </w: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snapToGrid/>
                <w:sz w:val="20"/>
                <w:szCs w:val="20"/>
              </w:rPr>
              <w:t xml:space="preserve">  Median months PFS</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15.6</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9.6</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6 months</w:t>
            </w: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b/>
                <w:sz w:val="20"/>
                <w:szCs w:val="16"/>
              </w:rPr>
              <w:t>OS</w:t>
            </w:r>
          </w:p>
        </w:tc>
        <w:tc>
          <w:tcPr>
            <w:tcW w:w="2254" w:type="dxa"/>
          </w:tcPr>
          <w:p w:rsidR="00C31073" w:rsidRPr="007E1812" w:rsidRDefault="00C31073" w:rsidP="00620BD3">
            <w:pPr>
              <w:keepNext/>
              <w:keepLines/>
              <w:widowControl/>
              <w:jc w:val="center"/>
              <w:rPr>
                <w:rFonts w:ascii="Arial Narrow" w:hAnsi="Arial Narrow"/>
                <w:b/>
                <w:sz w:val="20"/>
                <w:szCs w:val="16"/>
              </w:rPr>
            </w:pPr>
          </w:p>
        </w:tc>
        <w:tc>
          <w:tcPr>
            <w:tcW w:w="2254" w:type="dxa"/>
          </w:tcPr>
          <w:p w:rsidR="00C31073" w:rsidRPr="007E1812" w:rsidRDefault="00C31073" w:rsidP="00620BD3">
            <w:pPr>
              <w:keepNext/>
              <w:keepLines/>
              <w:widowControl/>
              <w:jc w:val="center"/>
              <w:rPr>
                <w:rFonts w:ascii="Arial Narrow" w:hAnsi="Arial Narrow"/>
                <w:b/>
                <w:sz w:val="20"/>
                <w:szCs w:val="16"/>
              </w:rPr>
            </w:pPr>
          </w:p>
        </w:tc>
        <w:tc>
          <w:tcPr>
            <w:tcW w:w="2255" w:type="dxa"/>
          </w:tcPr>
          <w:p w:rsidR="00C31073" w:rsidRPr="007E1812" w:rsidRDefault="00C31073" w:rsidP="00620BD3">
            <w:pPr>
              <w:keepNext/>
              <w:keepLines/>
              <w:widowControl/>
              <w:jc w:val="center"/>
              <w:rPr>
                <w:rFonts w:ascii="Arial Narrow" w:hAnsi="Arial Narrow"/>
                <w:bCs/>
                <w:sz w:val="20"/>
                <w:szCs w:val="16"/>
              </w:rPr>
            </w:pP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snapToGrid/>
                <w:sz w:val="20"/>
                <w:szCs w:val="20"/>
              </w:rPr>
              <w:t xml:space="preserve">  Death</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32/110 (29)</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NR (22)</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7%</w:t>
            </w: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snapToGrid/>
                <w:sz w:val="20"/>
                <w:szCs w:val="20"/>
              </w:rPr>
              <w:t xml:space="preserve">  Median month</w:t>
            </w:r>
            <w:r w:rsidR="0008681C" w:rsidRPr="007E1812">
              <w:rPr>
                <w:rFonts w:ascii="Arial Narrow" w:hAnsi="Arial Narrow" w:cs="Times New Roman"/>
                <w:snapToGrid/>
                <w:sz w:val="20"/>
                <w:szCs w:val="20"/>
              </w:rPr>
              <w:t>s</w:t>
            </w:r>
            <w:r w:rsidRPr="007E1812">
              <w:rPr>
                <w:rFonts w:ascii="Arial Narrow" w:hAnsi="Arial Narrow" w:cs="Times New Roman"/>
                <w:snapToGrid/>
                <w:sz w:val="20"/>
                <w:szCs w:val="20"/>
              </w:rPr>
              <w:t xml:space="preserve"> OS</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27.6</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12.6</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15 months</w:t>
            </w: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b/>
                <w:snapToGrid/>
                <w:sz w:val="20"/>
                <w:szCs w:val="20"/>
              </w:rPr>
              <w:t xml:space="preserve">ORR </w:t>
            </w:r>
            <w:r w:rsidRPr="007E1812">
              <w:rPr>
                <w:rFonts w:ascii="Arial Narrow" w:hAnsi="Arial Narrow" w:cs="Times New Roman"/>
                <w:b/>
                <w:snapToGrid/>
                <w:sz w:val="20"/>
              </w:rPr>
              <w:t>(IRC)</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60/110 (54.5)</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26/72 (36.1)</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18.4%</w:t>
            </w:r>
          </w:p>
        </w:tc>
      </w:tr>
      <w:tr w:rsidR="00C31073" w:rsidRPr="007E1812" w:rsidTr="008B784E">
        <w:tc>
          <w:tcPr>
            <w:tcW w:w="2254" w:type="dxa"/>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b/>
                <w:snapToGrid/>
                <w:sz w:val="20"/>
                <w:szCs w:val="20"/>
              </w:rPr>
              <w:t>ORR (INV)</w:t>
            </w:r>
          </w:p>
        </w:tc>
        <w:tc>
          <w:tcPr>
            <w:tcW w:w="2254" w:type="dxa"/>
            <w:vAlign w:val="center"/>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61/110 (55.5)</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27/72 (37.5)</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18%</w:t>
            </w:r>
          </w:p>
        </w:tc>
      </w:tr>
      <w:tr w:rsidR="00C31073" w:rsidRPr="007E1812" w:rsidTr="008B784E">
        <w:tc>
          <w:tcPr>
            <w:tcW w:w="2254" w:type="dxa"/>
            <w:vAlign w:val="center"/>
          </w:tcPr>
          <w:p w:rsidR="00C31073" w:rsidRPr="007E1812" w:rsidRDefault="00C31073" w:rsidP="00620BD3">
            <w:pPr>
              <w:keepNext/>
              <w:keepLines/>
              <w:widowControl/>
              <w:rPr>
                <w:rFonts w:ascii="Arial Narrow" w:hAnsi="Arial Narrow"/>
                <w:b/>
                <w:sz w:val="20"/>
                <w:szCs w:val="16"/>
              </w:rPr>
            </w:pPr>
            <w:r w:rsidRPr="007E1812">
              <w:rPr>
                <w:rFonts w:ascii="Arial Narrow" w:hAnsi="Arial Narrow" w:cs="Times New Roman"/>
                <w:b/>
                <w:snapToGrid/>
                <w:sz w:val="20"/>
                <w:szCs w:val="20"/>
              </w:rPr>
              <w:t xml:space="preserve">iORR </w:t>
            </w:r>
            <w:r w:rsidRPr="007E1812">
              <w:rPr>
                <w:rFonts w:ascii="Arial Narrow" w:hAnsi="Arial Narrow" w:cs="Times New Roman"/>
                <w:b/>
                <w:snapToGrid/>
                <w:sz w:val="20"/>
              </w:rPr>
              <w:t>(IRC)</w:t>
            </w:r>
          </w:p>
        </w:tc>
        <w:tc>
          <w:tcPr>
            <w:tcW w:w="2254" w:type="dxa"/>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22/73 (30)</w:t>
            </w:r>
          </w:p>
        </w:tc>
        <w:tc>
          <w:tcPr>
            <w:tcW w:w="2254" w:type="dxa"/>
            <w:vAlign w:val="center"/>
          </w:tcPr>
          <w:p w:rsidR="00C31073" w:rsidRPr="007E1812" w:rsidRDefault="00C31073" w:rsidP="00620BD3">
            <w:pPr>
              <w:keepNext/>
              <w:keepLines/>
              <w:widowControl/>
              <w:jc w:val="center"/>
              <w:rPr>
                <w:rFonts w:ascii="Arial Narrow" w:hAnsi="Arial Narrow"/>
                <w:b/>
                <w:sz w:val="20"/>
                <w:szCs w:val="16"/>
              </w:rPr>
            </w:pPr>
            <w:r w:rsidRPr="007E1812">
              <w:rPr>
                <w:rFonts w:ascii="Arial Narrow" w:hAnsi="Arial Narrow" w:cs="Times New Roman"/>
                <w:snapToGrid/>
                <w:sz w:val="20"/>
              </w:rPr>
              <w:t>31/74 (42)</w:t>
            </w:r>
          </w:p>
        </w:tc>
        <w:tc>
          <w:tcPr>
            <w:tcW w:w="2255" w:type="dxa"/>
          </w:tcPr>
          <w:p w:rsidR="00C31073" w:rsidRPr="007E1812" w:rsidRDefault="00C31073" w:rsidP="00620BD3">
            <w:pPr>
              <w:keepNext/>
              <w:keepLines/>
              <w:widowControl/>
              <w:jc w:val="center"/>
              <w:rPr>
                <w:rFonts w:ascii="Arial Narrow" w:hAnsi="Arial Narrow"/>
                <w:bCs/>
                <w:sz w:val="20"/>
                <w:szCs w:val="16"/>
              </w:rPr>
            </w:pPr>
            <w:r w:rsidRPr="007E1812">
              <w:rPr>
                <w:rFonts w:ascii="Arial Narrow" w:hAnsi="Arial Narrow"/>
                <w:bCs/>
                <w:sz w:val="20"/>
                <w:szCs w:val="16"/>
              </w:rPr>
              <w:t>12%</w:t>
            </w:r>
          </w:p>
        </w:tc>
      </w:tr>
    </w:tbl>
    <w:p w:rsidR="00C31073" w:rsidRPr="007E1812" w:rsidRDefault="00C31073" w:rsidP="00620BD3">
      <w:pPr>
        <w:widowControl/>
        <w:rPr>
          <w:rFonts w:ascii="Arial Narrow" w:hAnsi="Arial Narrow"/>
          <w:sz w:val="18"/>
        </w:rPr>
      </w:pPr>
      <w:r w:rsidRPr="007E1812">
        <w:rPr>
          <w:rFonts w:ascii="Arial Narrow" w:hAnsi="Arial Narrow"/>
          <w:sz w:val="18"/>
          <w:szCs w:val="18"/>
        </w:rPr>
        <w:t>Abbreviations: CI = confidence interval;</w:t>
      </w:r>
      <w:r w:rsidRPr="007E1812">
        <w:rPr>
          <w:rFonts w:ascii="Candara" w:hAnsi="Candara" w:cs="Calibri"/>
          <w:sz w:val="20"/>
          <w:szCs w:val="18"/>
        </w:rPr>
        <w:t xml:space="preserve"> </w:t>
      </w:r>
      <w:r w:rsidRPr="007E1812">
        <w:rPr>
          <w:rFonts w:ascii="Arial Narrow" w:hAnsi="Arial Narrow"/>
          <w:sz w:val="18"/>
          <w:szCs w:val="18"/>
        </w:rPr>
        <w:t xml:space="preserve">HR = hazard ratio; iORR = intracranial objective response rate; IRC = blinded independent committee; </w:t>
      </w:r>
      <w:r w:rsidRPr="007E1812">
        <w:rPr>
          <w:rFonts w:ascii="Arial Narrow" w:hAnsi="Arial Narrow"/>
          <w:sz w:val="18"/>
        </w:rPr>
        <w:t xml:space="preserve">n = number of participants with event; N = total participants in group; NA = not applicable; NE = not estimable; NR = not reported; </w:t>
      </w:r>
      <w:r w:rsidRPr="007E1812">
        <w:rPr>
          <w:rFonts w:ascii="Arial Narrow" w:hAnsi="Arial Narrow"/>
          <w:sz w:val="18"/>
          <w:szCs w:val="18"/>
        </w:rPr>
        <w:t>PFS = progression free survival; OR = odd ratio; ORR objective response rate; RR = relative risk</w:t>
      </w:r>
    </w:p>
    <w:p w:rsidR="0089169D" w:rsidRPr="007E1812" w:rsidRDefault="00C31073" w:rsidP="00620BD3">
      <w:pPr>
        <w:widowControl/>
        <w:rPr>
          <w:rFonts w:ascii="Arial Narrow" w:hAnsi="Arial Narrow"/>
          <w:sz w:val="18"/>
        </w:rPr>
      </w:pPr>
      <w:r w:rsidRPr="007E1812">
        <w:rPr>
          <w:rFonts w:ascii="Arial Narrow" w:hAnsi="Arial Narrow"/>
          <w:sz w:val="18"/>
        </w:rPr>
        <w:t>Source: Table 2-77, p.136 of the submission.</w:t>
      </w:r>
    </w:p>
    <w:p w:rsidR="00C40BAD" w:rsidRPr="007E1812" w:rsidRDefault="00C31073" w:rsidP="00620BD3">
      <w:pPr>
        <w:pStyle w:val="ListParagraph"/>
        <w:widowControl/>
        <w:numPr>
          <w:ilvl w:val="1"/>
          <w:numId w:val="1"/>
        </w:numPr>
        <w:spacing w:before="120" w:after="120"/>
      </w:pPr>
      <w:r w:rsidRPr="007E1812">
        <w:lastRenderedPageBreak/>
        <w:t>Both median PFS and median OS were longer for brigatinib compared with alectinib. While it appears reasonable to claim that brigatinib provided PFS and OS outcomes at least of a similar magnitude compared with alectinib in the second-line setting, this comparison was not informed by a common reference. The submission did not provide an explanation of the apparent differences in the magnitude of PFS and OS, particularly given the claim of non-inferiority. It was possible that these differences could have arisen due to differences in clinical practice or baseline characteristics of patients across the trials.</w:t>
      </w:r>
      <w:r w:rsidR="00BA1ABC" w:rsidRPr="007E1812">
        <w:t xml:space="preserve"> </w:t>
      </w:r>
      <w:r w:rsidR="00352237" w:rsidRPr="007E1812">
        <w:t xml:space="preserve">The PSCR </w:t>
      </w:r>
      <w:r w:rsidR="00F2523A" w:rsidRPr="007E1812">
        <w:t xml:space="preserve">accepted that without a common reference arm, interpretation of these relative survival outcomes is difficult. However, it argued that despite some noted demographic differences, subjects enrolled in the Study 201-ALTA and ALUR trials were well matched on key baseline disease characteristics – ECOG status, histopathology, disease staging, and prior exposure to crizotinib (protocol mandated). Moreover, it suggested that the first-line evidence reinforced a similar trend in survival and tolerability. </w:t>
      </w:r>
      <w:r w:rsidR="00352237" w:rsidRPr="007E1812">
        <w:t>Nonetheless,</w:t>
      </w:r>
      <w:r w:rsidR="000942B7" w:rsidRPr="007E1812">
        <w:t xml:space="preserve"> the ESC </w:t>
      </w:r>
      <w:r w:rsidR="00F2523A" w:rsidRPr="007E1812">
        <w:t>considered that the results should</w:t>
      </w:r>
      <w:r w:rsidR="00352237" w:rsidRPr="007E1812">
        <w:t xml:space="preserve"> be interpreted with caution given differences in patient demog</w:t>
      </w:r>
      <w:r w:rsidR="000942B7" w:rsidRPr="007E1812">
        <w:t>raphics and duration of follow-up</w:t>
      </w:r>
      <w:r w:rsidR="00F2523A" w:rsidRPr="007E1812">
        <w:t xml:space="preserve"> between the trials</w:t>
      </w:r>
      <w:r w:rsidR="00352237" w:rsidRPr="007E1812">
        <w:t xml:space="preserve">. </w:t>
      </w:r>
    </w:p>
    <w:p w:rsidR="00C31073" w:rsidRPr="007E1812" w:rsidRDefault="00C31073" w:rsidP="00620BD3">
      <w:pPr>
        <w:pStyle w:val="Heading2"/>
        <w:widowControl/>
        <w:spacing w:after="240"/>
      </w:pPr>
      <w:bookmarkStart w:id="40" w:name="_Toc371170707"/>
      <w:bookmarkStart w:id="41" w:name="_Toc18922042"/>
      <w:bookmarkStart w:id="42" w:name="_Toc19710260"/>
      <w:r w:rsidRPr="007E1812">
        <w:t>Comparative harms</w:t>
      </w:r>
      <w:bookmarkEnd w:id="40"/>
      <w:bookmarkEnd w:id="41"/>
      <w:bookmarkEnd w:id="42"/>
    </w:p>
    <w:p w:rsidR="00C31073" w:rsidRPr="007E1812" w:rsidRDefault="00C31073" w:rsidP="00620BD3">
      <w:pPr>
        <w:pStyle w:val="Heading3"/>
        <w:widowControl/>
      </w:pPr>
      <w:r w:rsidRPr="007E1812">
        <w:t>First-line setting</w:t>
      </w:r>
    </w:p>
    <w:p w:rsidR="008413FD" w:rsidRPr="007E1812" w:rsidRDefault="00C31073" w:rsidP="00620BD3">
      <w:pPr>
        <w:pStyle w:val="ListParagraph"/>
        <w:widowControl/>
        <w:numPr>
          <w:ilvl w:val="1"/>
          <w:numId w:val="1"/>
        </w:numPr>
        <w:spacing w:before="120" w:after="120"/>
        <w:rPr>
          <w:iCs/>
        </w:rPr>
      </w:pPr>
      <w:r w:rsidRPr="007E1812">
        <w:t xml:space="preserve">A summary of the </w:t>
      </w:r>
      <w:r w:rsidR="008413FD" w:rsidRPr="007E1812">
        <w:t xml:space="preserve">corrected </w:t>
      </w:r>
      <w:r w:rsidRPr="007E1812">
        <w:t xml:space="preserve">results from the ITC for safety for the first-line setting is presented </w:t>
      </w:r>
      <w:r w:rsidRPr="007E1812">
        <w:rPr>
          <w:rFonts w:asciiTheme="minorHAnsi" w:hAnsiTheme="minorHAnsi" w:cstheme="minorHAnsi"/>
          <w:szCs w:val="24"/>
        </w:rPr>
        <w:t xml:space="preserve">in </w:t>
      </w:r>
      <w:r w:rsidR="009663B6" w:rsidRPr="007E1812">
        <w:rPr>
          <w:rFonts w:asciiTheme="minorHAnsi" w:hAnsiTheme="minorHAnsi" w:cstheme="minorHAnsi"/>
          <w:szCs w:val="24"/>
        </w:rPr>
        <w:t>Table 9</w:t>
      </w:r>
      <w:r w:rsidRPr="007E1812">
        <w:t>.</w:t>
      </w:r>
      <w:r w:rsidR="008413FD" w:rsidRPr="007E1812">
        <w:t xml:space="preserve"> </w:t>
      </w:r>
      <w:r w:rsidR="008413FD" w:rsidRPr="007E1812">
        <w:rPr>
          <w:iCs/>
        </w:rPr>
        <w:t xml:space="preserve">The PSCR noted that the submission included errors in the treatment emergent adverse event (TEAE) rates, and these were </w:t>
      </w:r>
      <w:r w:rsidR="00DC629C" w:rsidRPr="007E1812">
        <w:rPr>
          <w:iCs/>
        </w:rPr>
        <w:t>repeated during the evaluation.</w:t>
      </w:r>
    </w:p>
    <w:p w:rsidR="00C31073" w:rsidRPr="007E1812" w:rsidRDefault="00C31073" w:rsidP="00620BD3">
      <w:pPr>
        <w:pStyle w:val="Caption"/>
      </w:pPr>
      <w:bookmarkStart w:id="43" w:name="_Ref18506958"/>
      <w:r w:rsidRPr="007E1812">
        <w:lastRenderedPageBreak/>
        <w:t xml:space="preserve">Table </w:t>
      </w:r>
      <w:r w:rsidR="007F3D8E" w:rsidRPr="007E1812">
        <w:t>9</w:t>
      </w:r>
      <w:bookmarkEnd w:id="43"/>
      <w:r w:rsidRPr="007E1812">
        <w:t>:</w:t>
      </w:r>
      <w:r w:rsidR="00481851" w:rsidRPr="007E1812">
        <w:t xml:space="preserve"> </w:t>
      </w:r>
      <w:r w:rsidR="00481851" w:rsidRPr="007E1812">
        <w:rPr>
          <w:b w:val="0"/>
        </w:rPr>
        <w:t>Corrected</w:t>
      </w:r>
      <w:r w:rsidRPr="007E1812">
        <w:t xml:space="preserve"> ITC Safety results in ALTA-1L and ALEX</w:t>
      </w:r>
    </w:p>
    <w:tbl>
      <w:tblPr>
        <w:tblStyle w:val="TableGrid14"/>
        <w:tblW w:w="5067" w:type="pct"/>
        <w:tblLayout w:type="fixed"/>
        <w:tblCellMar>
          <w:left w:w="57" w:type="dxa"/>
          <w:right w:w="57" w:type="dxa"/>
        </w:tblCellMar>
        <w:tblLook w:val="04A0" w:firstRow="1" w:lastRow="0" w:firstColumn="1" w:lastColumn="0" w:noHBand="0" w:noVBand="1"/>
        <w:tblCaption w:val="Table 11: ITC Safety results in ALTA-1L and ALEX"/>
      </w:tblPr>
      <w:tblGrid>
        <w:gridCol w:w="1458"/>
        <w:gridCol w:w="806"/>
        <w:gridCol w:w="852"/>
        <w:gridCol w:w="1557"/>
        <w:gridCol w:w="850"/>
        <w:gridCol w:w="852"/>
        <w:gridCol w:w="1418"/>
        <w:gridCol w:w="1345"/>
      </w:tblGrid>
      <w:tr w:rsidR="00C067EB" w:rsidRPr="007E1812" w:rsidTr="00C067EB">
        <w:trPr>
          <w:trHeight w:val="202"/>
          <w:tblHeader/>
        </w:trPr>
        <w:tc>
          <w:tcPr>
            <w:tcW w:w="798" w:type="pct"/>
            <w:vMerge w:val="restart"/>
            <w:noWrap/>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Outcome</w:t>
            </w:r>
          </w:p>
        </w:tc>
        <w:tc>
          <w:tcPr>
            <w:tcW w:w="907" w:type="pct"/>
            <w:gridSpan w:val="2"/>
            <w:noWrap/>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ALTA-1L</w:t>
            </w:r>
            <w:r w:rsidRPr="007E1812">
              <w:rPr>
                <w:rFonts w:ascii="Arial Narrow" w:hAnsi="Arial Narrow"/>
                <w:b/>
                <w:bCs/>
                <w:snapToGrid/>
                <w:sz w:val="20"/>
                <w:szCs w:val="20"/>
                <w:vertAlign w:val="superscript"/>
                <w:lang w:eastAsia="en-AU" w:bidi="th-TH"/>
              </w:rPr>
              <w:t>c</w:t>
            </w:r>
          </w:p>
        </w:tc>
        <w:tc>
          <w:tcPr>
            <w:tcW w:w="852" w:type="pct"/>
            <w:vMerge w:val="restart"/>
            <w:noWrap/>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O</w:t>
            </w:r>
            <w:r w:rsidRPr="007E1812">
              <w:rPr>
                <w:rFonts w:ascii="Arial Narrow" w:hAnsi="Arial Narrow"/>
                <w:b/>
                <w:snapToGrid/>
                <w:sz w:val="20"/>
                <w:szCs w:val="20"/>
                <w:lang w:eastAsia="en-AU" w:bidi="th-TH"/>
              </w:rPr>
              <w:t>R/RD</w:t>
            </w:r>
            <w:r w:rsidRPr="007E1812">
              <w:rPr>
                <w:rFonts w:ascii="Arial Narrow" w:hAnsi="Arial Narrow"/>
                <w:b/>
                <w:bCs/>
                <w:snapToGrid/>
                <w:sz w:val="20"/>
                <w:szCs w:val="20"/>
                <w:lang w:eastAsia="en-AU" w:bidi="th-TH"/>
              </w:rPr>
              <w:t xml:space="preserve"> (95% CI)</w:t>
            </w:r>
            <w:r w:rsidRPr="007E1812">
              <w:rPr>
                <w:rFonts w:ascii="Arial Narrow" w:hAnsi="Arial Narrow"/>
                <w:b/>
                <w:bCs/>
                <w:snapToGrid/>
                <w:sz w:val="20"/>
                <w:szCs w:val="20"/>
                <w:vertAlign w:val="superscript"/>
                <w:lang w:eastAsia="en-AU" w:bidi="th-TH"/>
              </w:rPr>
              <w:t>d</w:t>
            </w:r>
          </w:p>
        </w:tc>
        <w:tc>
          <w:tcPr>
            <w:tcW w:w="931" w:type="pct"/>
            <w:gridSpan w:val="2"/>
            <w:noWrap/>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ALEX</w:t>
            </w:r>
          </w:p>
        </w:tc>
        <w:tc>
          <w:tcPr>
            <w:tcW w:w="776" w:type="pct"/>
            <w:vMerge w:val="restart"/>
            <w:noWrap/>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OR/RD (95% CI)</w:t>
            </w:r>
            <w:r w:rsidRPr="007E1812">
              <w:rPr>
                <w:rFonts w:ascii="Arial Narrow" w:hAnsi="Arial Narrow"/>
                <w:b/>
                <w:bCs/>
                <w:snapToGrid/>
                <w:sz w:val="20"/>
                <w:szCs w:val="20"/>
                <w:vertAlign w:val="superscript"/>
                <w:lang w:eastAsia="en-AU" w:bidi="th-TH"/>
              </w:rPr>
              <w:t>d</w:t>
            </w:r>
          </w:p>
        </w:tc>
        <w:tc>
          <w:tcPr>
            <w:tcW w:w="736" w:type="pct"/>
            <w:vMerge w:val="restart"/>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 xml:space="preserve">ITC </w:t>
            </w:r>
            <w:r w:rsidRPr="007E1812">
              <w:rPr>
                <w:rFonts w:ascii="Arial Narrow" w:hAnsi="Arial Narrow"/>
                <w:b/>
                <w:snapToGrid/>
                <w:sz w:val="20"/>
                <w:szCs w:val="20"/>
                <w:lang w:eastAsia="en-AU" w:bidi="th-TH"/>
              </w:rPr>
              <w:t xml:space="preserve">OR </w:t>
            </w:r>
            <w:r w:rsidRPr="007E1812">
              <w:rPr>
                <w:rFonts w:ascii="Arial Narrow" w:hAnsi="Arial Narrow"/>
                <w:b/>
                <w:snapToGrid/>
                <w:sz w:val="20"/>
                <w:szCs w:val="20"/>
                <w:lang w:eastAsia="en-AU" w:bidi="th-TH"/>
              </w:rPr>
              <w:br/>
            </w:r>
            <w:r w:rsidRPr="007E1812">
              <w:rPr>
                <w:rFonts w:ascii="Arial Narrow" w:hAnsi="Arial Narrow"/>
                <w:b/>
                <w:bCs/>
                <w:snapToGrid/>
                <w:sz w:val="20"/>
                <w:szCs w:val="20"/>
                <w:lang w:eastAsia="en-AU" w:bidi="th-TH"/>
              </w:rPr>
              <w:t>(95% CI)</w:t>
            </w:r>
            <w:r w:rsidRPr="007E1812">
              <w:rPr>
                <w:rFonts w:ascii="Arial Narrow" w:hAnsi="Arial Narrow"/>
                <w:b/>
                <w:bCs/>
                <w:snapToGrid/>
                <w:sz w:val="20"/>
                <w:szCs w:val="20"/>
                <w:vertAlign w:val="superscript"/>
                <w:lang w:eastAsia="en-AU" w:bidi="th-TH"/>
              </w:rPr>
              <w:t>d</w:t>
            </w:r>
          </w:p>
        </w:tc>
      </w:tr>
      <w:tr w:rsidR="00C067EB" w:rsidRPr="007E1812" w:rsidTr="00C067EB">
        <w:trPr>
          <w:trHeight w:val="345"/>
          <w:tblHeader/>
        </w:trPr>
        <w:tc>
          <w:tcPr>
            <w:tcW w:w="798" w:type="pct"/>
            <w:vMerge/>
            <w:noWrap/>
            <w:hideMark/>
          </w:tcPr>
          <w:p w:rsidR="00C067EB" w:rsidRPr="007E1812" w:rsidRDefault="00C067EB" w:rsidP="00620BD3">
            <w:pPr>
              <w:keepNext/>
              <w:widowControl/>
              <w:jc w:val="center"/>
              <w:rPr>
                <w:rFonts w:ascii="Arial Narrow" w:hAnsi="Arial Narrow"/>
                <w:b/>
                <w:bCs/>
                <w:snapToGrid/>
                <w:sz w:val="20"/>
                <w:szCs w:val="20"/>
                <w:lang w:eastAsia="en-AU" w:bidi="th-TH"/>
              </w:rPr>
            </w:pPr>
          </w:p>
        </w:tc>
        <w:tc>
          <w:tcPr>
            <w:tcW w:w="441" w:type="pct"/>
            <w:noWrap/>
            <w:hideMark/>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Brigatinib (N=136)</w:t>
            </w:r>
          </w:p>
        </w:tc>
        <w:tc>
          <w:tcPr>
            <w:tcW w:w="466" w:type="pct"/>
            <w:noWrap/>
            <w:hideMark/>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Crizotinib</w:t>
            </w:r>
          </w:p>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(N=137)</w:t>
            </w:r>
          </w:p>
        </w:tc>
        <w:tc>
          <w:tcPr>
            <w:tcW w:w="852" w:type="pct"/>
            <w:vMerge/>
            <w:noWrap/>
            <w:hideMark/>
          </w:tcPr>
          <w:p w:rsidR="00C067EB" w:rsidRPr="007E1812" w:rsidRDefault="00C067EB" w:rsidP="00620BD3">
            <w:pPr>
              <w:keepNext/>
              <w:widowControl/>
              <w:jc w:val="center"/>
              <w:rPr>
                <w:rFonts w:ascii="Arial Narrow" w:hAnsi="Arial Narrow"/>
                <w:b/>
                <w:bCs/>
                <w:i/>
                <w:iCs/>
                <w:snapToGrid/>
                <w:sz w:val="20"/>
                <w:szCs w:val="20"/>
                <w:lang w:eastAsia="en-AU" w:bidi="th-TH"/>
              </w:rPr>
            </w:pPr>
          </w:p>
        </w:tc>
        <w:tc>
          <w:tcPr>
            <w:tcW w:w="465" w:type="pct"/>
            <w:noWrap/>
            <w:hideMark/>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Alectinib (N=152)</w:t>
            </w:r>
          </w:p>
        </w:tc>
        <w:tc>
          <w:tcPr>
            <w:tcW w:w="466" w:type="pct"/>
            <w:noWrap/>
            <w:hideMark/>
          </w:tcPr>
          <w:p w:rsidR="00C067EB" w:rsidRPr="007E1812" w:rsidRDefault="00C067EB"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Crizotinib (N=151)</w:t>
            </w:r>
          </w:p>
        </w:tc>
        <w:tc>
          <w:tcPr>
            <w:tcW w:w="776" w:type="pct"/>
            <w:vMerge/>
            <w:noWrap/>
            <w:hideMark/>
          </w:tcPr>
          <w:p w:rsidR="00C067EB" w:rsidRPr="007E1812" w:rsidRDefault="00C067EB" w:rsidP="00620BD3">
            <w:pPr>
              <w:keepNext/>
              <w:widowControl/>
              <w:jc w:val="center"/>
              <w:rPr>
                <w:rFonts w:ascii="Arial Narrow" w:hAnsi="Arial Narrow"/>
                <w:b/>
                <w:bCs/>
                <w:snapToGrid/>
                <w:sz w:val="20"/>
                <w:szCs w:val="20"/>
                <w:lang w:eastAsia="en-AU" w:bidi="th-TH"/>
              </w:rPr>
            </w:pPr>
          </w:p>
        </w:tc>
        <w:tc>
          <w:tcPr>
            <w:tcW w:w="736" w:type="pct"/>
            <w:vMerge/>
          </w:tcPr>
          <w:p w:rsidR="00C067EB" w:rsidRPr="007E1812" w:rsidRDefault="00C067EB" w:rsidP="00620BD3">
            <w:pPr>
              <w:keepNext/>
              <w:widowControl/>
              <w:jc w:val="center"/>
              <w:rPr>
                <w:rFonts w:ascii="Arial Narrow" w:hAnsi="Arial Narrow"/>
                <w:b/>
                <w:bCs/>
                <w:snapToGrid/>
                <w:sz w:val="20"/>
                <w:szCs w:val="20"/>
                <w:lang w:eastAsia="en-AU" w:bidi="th-TH"/>
              </w:rPr>
            </w:pPr>
          </w:p>
        </w:tc>
      </w:tr>
      <w:tr w:rsidR="00C31073" w:rsidRPr="007E1812" w:rsidTr="00C067EB">
        <w:trPr>
          <w:trHeight w:val="56"/>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Grade ≥3</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83 (61.0)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76 (55.5)</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1.26 (0.78, 2.04)</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63 (41)</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70 (50)</w:t>
            </w:r>
          </w:p>
        </w:tc>
        <w:tc>
          <w:tcPr>
            <w:tcW w:w="77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0.75 (0.46, 1.22)</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1.68 (0.80, 3.51)</w:t>
            </w:r>
          </w:p>
        </w:tc>
      </w:tr>
      <w:tr w:rsidR="00C31073" w:rsidRPr="007E1812" w:rsidTr="00C067EB">
        <w:trPr>
          <w:trHeight w:val="204"/>
        </w:trPr>
        <w:tc>
          <w:tcPr>
            <w:tcW w:w="798" w:type="pct"/>
            <w:noWrap/>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Patients with Serious AE</w:t>
            </w:r>
          </w:p>
        </w:tc>
        <w:tc>
          <w:tcPr>
            <w:tcW w:w="441"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34 (25.0)</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45 (32.8)</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0.68 (0.40, 1.15)</w:t>
            </w:r>
          </w:p>
        </w:tc>
        <w:tc>
          <w:tcPr>
            <w:tcW w:w="465"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43 (28.0)</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44 (29.0)</w:t>
            </w:r>
          </w:p>
        </w:tc>
        <w:tc>
          <w:tcPr>
            <w:tcW w:w="77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0.96 (0.58, 1.58)</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0.71 (0.34, 1.47)</w:t>
            </w:r>
          </w:p>
        </w:tc>
      </w:tr>
      <w:tr w:rsidR="00C31073" w:rsidRPr="007E1812" w:rsidTr="00C067EB">
        <w:trPr>
          <w:trHeight w:val="204"/>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Leading to study drug discontinuation</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16 (11.8)</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12 (8.8)</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1.39 (0.63, 3.06)</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17 (11.0)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19 (13.0)</w:t>
            </w:r>
          </w:p>
        </w:tc>
        <w:tc>
          <w:tcPr>
            <w:tcW w:w="77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0.87 (0.44, 1.76)</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1.60 (0.56, 4.57)</w:t>
            </w:r>
          </w:p>
        </w:tc>
      </w:tr>
      <w:tr w:rsidR="00C31073" w:rsidRPr="007E1812" w:rsidTr="00C067EB">
        <w:trPr>
          <w:trHeight w:val="56"/>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Leading to dose reduction</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39 (28.7)</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29 (21.2)</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1.50 (0.86, 2.60)</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24 (16.0)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31 (21.0)</w:t>
            </w:r>
          </w:p>
        </w:tc>
        <w:tc>
          <w:tcPr>
            <w:tcW w:w="77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0.73 (0.40, 1.31)</w:t>
            </w:r>
          </w:p>
        </w:tc>
        <w:tc>
          <w:tcPr>
            <w:tcW w:w="736" w:type="pct"/>
          </w:tcPr>
          <w:p w:rsidR="00C31073" w:rsidRPr="007E1812" w:rsidRDefault="00C31073" w:rsidP="00620BD3">
            <w:pPr>
              <w:keepNext/>
              <w:widowControl/>
              <w:jc w:val="center"/>
              <w:rPr>
                <w:rFonts w:ascii="Arial Narrow" w:hAnsi="Arial Narrow"/>
                <w:snapToGrid/>
                <w:sz w:val="20"/>
                <w:szCs w:val="20"/>
                <w:vertAlign w:val="superscript"/>
                <w:lang w:eastAsia="en-AU" w:bidi="th-TH"/>
              </w:rPr>
            </w:pPr>
            <w:r w:rsidRPr="007E1812">
              <w:rPr>
                <w:rFonts w:ascii="Arial Narrow" w:hAnsi="Arial Narrow"/>
                <w:snapToGrid/>
                <w:sz w:val="20"/>
                <w:szCs w:val="20"/>
                <w:lang w:eastAsia="en-AU" w:bidi="th-TH"/>
              </w:rPr>
              <w:t>2.05 (0.91,4.62)</w:t>
            </w:r>
            <w:r w:rsidRPr="007E1812">
              <w:rPr>
                <w:rFonts w:ascii="Arial Narrow" w:hAnsi="Arial Narrow"/>
                <w:snapToGrid/>
                <w:sz w:val="20"/>
                <w:szCs w:val="20"/>
                <w:vertAlign w:val="superscript"/>
                <w:lang w:eastAsia="en-AU" w:bidi="th-TH"/>
              </w:rPr>
              <w:t>b</w:t>
            </w:r>
          </w:p>
        </w:tc>
      </w:tr>
      <w:tr w:rsidR="00C31073" w:rsidRPr="007E1812" w:rsidTr="00C067EB">
        <w:trPr>
          <w:trHeight w:val="56"/>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Leading to dose interruption</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72 (52.9)</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58 (42.3)</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1.53 (0.95, 2.47)</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29 (19.0)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38 (25.0)</w:t>
            </w:r>
          </w:p>
        </w:tc>
        <w:tc>
          <w:tcPr>
            <w:tcW w:w="77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0.70 (0.41, 1.21)</w:t>
            </w:r>
          </w:p>
        </w:tc>
        <w:tc>
          <w:tcPr>
            <w:tcW w:w="736" w:type="pct"/>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2.19 (1.06, 4.50)</w:t>
            </w:r>
          </w:p>
        </w:tc>
      </w:tr>
      <w:tr w:rsidR="00C31073" w:rsidRPr="007E1812" w:rsidTr="00C067EB">
        <w:trPr>
          <w:trHeight w:val="50"/>
        </w:trPr>
        <w:tc>
          <w:tcPr>
            <w:tcW w:w="798" w:type="pct"/>
            <w:noWrap/>
            <w:hideMark/>
          </w:tcPr>
          <w:p w:rsidR="00C31073" w:rsidRPr="007E1812" w:rsidRDefault="00C31073" w:rsidP="00620BD3">
            <w:pPr>
              <w:keepNext/>
              <w:widowControl/>
              <w:jc w:val="left"/>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Any grade AE</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p>
        </w:tc>
        <w:tc>
          <w:tcPr>
            <w:tcW w:w="466" w:type="pct"/>
            <w:noWrap/>
            <w:hideMark/>
          </w:tcPr>
          <w:p w:rsidR="00C31073" w:rsidRPr="007E1812" w:rsidRDefault="00C31073" w:rsidP="00620BD3">
            <w:pPr>
              <w:keepNext/>
              <w:widowControl/>
              <w:jc w:val="center"/>
              <w:rPr>
                <w:rFonts w:ascii="Arial Narrow" w:hAnsi="Arial Narrow" w:cs="Times New Roman"/>
                <w:snapToGrid/>
                <w:sz w:val="20"/>
                <w:szCs w:val="20"/>
                <w:lang w:eastAsia="en-AU" w:bidi="th-TH"/>
              </w:rPr>
            </w:pPr>
          </w:p>
        </w:tc>
        <w:tc>
          <w:tcPr>
            <w:tcW w:w="852" w:type="pct"/>
            <w:noWrap/>
          </w:tcPr>
          <w:p w:rsidR="00C31073" w:rsidRPr="007E1812" w:rsidRDefault="00C31073" w:rsidP="00620BD3">
            <w:pPr>
              <w:keepNext/>
              <w:widowControl/>
              <w:jc w:val="center"/>
              <w:rPr>
                <w:rFonts w:ascii="Arial Narrow" w:hAnsi="Arial Narrow"/>
                <w:i/>
                <w:iCs/>
                <w:snapToGrid/>
                <w:sz w:val="20"/>
                <w:szCs w:val="20"/>
                <w:lang w:eastAsia="en-AU" w:bidi="th-TH"/>
              </w:rPr>
            </w:pPr>
          </w:p>
        </w:tc>
        <w:tc>
          <w:tcPr>
            <w:tcW w:w="465" w:type="pct"/>
            <w:noWrap/>
            <w:hideMark/>
          </w:tcPr>
          <w:p w:rsidR="00C31073" w:rsidRPr="007E1812" w:rsidRDefault="00C31073" w:rsidP="00620BD3">
            <w:pPr>
              <w:keepNext/>
              <w:widowControl/>
              <w:jc w:val="center"/>
              <w:rPr>
                <w:rFonts w:ascii="Arial Narrow" w:hAnsi="Arial Narrow" w:cs="Times New Roman"/>
                <w:snapToGrid/>
                <w:sz w:val="20"/>
                <w:szCs w:val="20"/>
                <w:lang w:eastAsia="en-AU" w:bidi="th-TH"/>
              </w:rPr>
            </w:pPr>
          </w:p>
        </w:tc>
        <w:tc>
          <w:tcPr>
            <w:tcW w:w="466" w:type="pct"/>
            <w:noWrap/>
            <w:hideMark/>
          </w:tcPr>
          <w:p w:rsidR="00C31073" w:rsidRPr="007E1812" w:rsidRDefault="00C31073" w:rsidP="00620BD3">
            <w:pPr>
              <w:keepNext/>
              <w:widowControl/>
              <w:jc w:val="center"/>
              <w:rPr>
                <w:rFonts w:ascii="Arial Narrow" w:hAnsi="Arial Narrow" w:cs="Times New Roman"/>
                <w:snapToGrid/>
                <w:sz w:val="20"/>
                <w:szCs w:val="20"/>
                <w:lang w:eastAsia="en-AU" w:bidi="th-TH"/>
              </w:rPr>
            </w:pPr>
          </w:p>
        </w:tc>
        <w:tc>
          <w:tcPr>
            <w:tcW w:w="776" w:type="pct"/>
            <w:noWrap/>
          </w:tcPr>
          <w:p w:rsidR="00C31073" w:rsidRPr="007E1812" w:rsidRDefault="00C31073" w:rsidP="00620BD3">
            <w:pPr>
              <w:keepNext/>
              <w:widowControl/>
              <w:jc w:val="center"/>
              <w:rPr>
                <w:rFonts w:ascii="Arial Narrow" w:hAnsi="Arial Narrow" w:cs="Times New Roman"/>
                <w:i/>
                <w:iCs/>
                <w:snapToGrid/>
                <w:sz w:val="20"/>
                <w:szCs w:val="20"/>
                <w:lang w:eastAsia="en-AU" w:bidi="th-TH"/>
              </w:rPr>
            </w:pPr>
          </w:p>
        </w:tc>
        <w:tc>
          <w:tcPr>
            <w:tcW w:w="736" w:type="pct"/>
          </w:tcPr>
          <w:p w:rsidR="00C31073" w:rsidRPr="007E1812" w:rsidRDefault="00C31073" w:rsidP="00620BD3">
            <w:pPr>
              <w:keepNext/>
              <w:widowControl/>
              <w:jc w:val="center"/>
              <w:rPr>
                <w:rFonts w:ascii="Arial Narrow" w:hAnsi="Arial Narrow" w:cs="Times New Roman"/>
                <w:i/>
                <w:iCs/>
                <w:snapToGrid/>
                <w:sz w:val="20"/>
                <w:szCs w:val="20"/>
                <w:lang w:eastAsia="en-AU" w:bidi="th-TH"/>
              </w:rPr>
            </w:pPr>
          </w:p>
        </w:tc>
      </w:tr>
      <w:tr w:rsidR="00C31073" w:rsidRPr="007E1812" w:rsidTr="00C067EB">
        <w:trPr>
          <w:trHeight w:val="207"/>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Nausea</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36 (26.5)</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77 (56.2)</w:t>
            </w:r>
          </w:p>
        </w:tc>
        <w:tc>
          <w:tcPr>
            <w:tcW w:w="852"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0.28 (0.17, 0.47)</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21 (14.0)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72 (48.0)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0.18 (0.10, 0.31)</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1.56 (0.73, 3.33)</w:t>
            </w:r>
          </w:p>
        </w:tc>
      </w:tr>
      <w:tr w:rsidR="00C31073" w:rsidRPr="007E1812" w:rsidTr="00C067EB">
        <w:trPr>
          <w:trHeight w:val="240"/>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Diarrhoea</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67 (49.3)</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75 (54.7)</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0.80 (0.50, 1.29)</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18 (12.0)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68 (45.0)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0.16 (0.09, 0.29)</w:t>
            </w:r>
          </w:p>
        </w:tc>
        <w:tc>
          <w:tcPr>
            <w:tcW w:w="736" w:type="pct"/>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 xml:space="preserve">5.00 </w:t>
            </w:r>
            <w:r w:rsidR="00B517B4" w:rsidRPr="007E1812">
              <w:rPr>
                <w:rFonts w:ascii="Arial Narrow" w:hAnsi="Arial Narrow"/>
                <w:b/>
                <w:bCs/>
                <w:snapToGrid/>
                <w:sz w:val="20"/>
                <w:szCs w:val="20"/>
                <w:lang w:eastAsia="en-AU" w:bidi="th-TH"/>
              </w:rPr>
              <w:br/>
            </w:r>
            <w:r w:rsidRPr="007E1812">
              <w:rPr>
                <w:rFonts w:ascii="Arial Narrow" w:hAnsi="Arial Narrow"/>
                <w:b/>
                <w:bCs/>
                <w:snapToGrid/>
                <w:sz w:val="20"/>
                <w:szCs w:val="20"/>
                <w:lang w:eastAsia="en-AU" w:bidi="th-TH"/>
              </w:rPr>
              <w:t>(2.39, 10.46)</w:t>
            </w:r>
          </w:p>
        </w:tc>
      </w:tr>
      <w:tr w:rsidR="00C31073" w:rsidRPr="007E1812" w:rsidTr="00C067EB">
        <w:trPr>
          <w:trHeight w:val="285"/>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Vomiting</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25 (18.4)</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54 (39.4)</w:t>
            </w:r>
          </w:p>
        </w:tc>
        <w:tc>
          <w:tcPr>
            <w:tcW w:w="852"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0.35 (0.20, 0.60)</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11 (7.0)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58 (38.0)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0.13 (0.06, 0.25)</w:t>
            </w:r>
          </w:p>
        </w:tc>
        <w:tc>
          <w:tcPr>
            <w:tcW w:w="736" w:type="pct"/>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2.69 (1.09, 6.63)</w:t>
            </w:r>
          </w:p>
        </w:tc>
      </w:tr>
      <w:tr w:rsidR="00C31073" w:rsidRPr="007E1812" w:rsidTr="00C067EB">
        <w:trPr>
          <w:trHeight w:val="56"/>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ALT increased</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26 (19.1)</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44 (32.1)</w:t>
            </w:r>
          </w:p>
        </w:tc>
        <w:tc>
          <w:tcPr>
            <w:tcW w:w="852"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0.50 (0.29, 0.87)</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23 (15.0)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45 (30.0)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0.42 (0.24, 0.74)</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1.19 (0.54, 2.61)</w:t>
            </w:r>
          </w:p>
        </w:tc>
      </w:tr>
      <w:tr w:rsidR="00C31073" w:rsidRPr="007E1812" w:rsidTr="00C067EB">
        <w:trPr>
          <w:trHeight w:val="56"/>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AST increased</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31 (22.8)</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34 (24.8)</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0.89 (0.51, 1.56)</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21 (14.0)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37 (25.0)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0.49 (0.27, 0.89)</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1.82 (0.80, 4.11)</w:t>
            </w:r>
          </w:p>
        </w:tc>
      </w:tr>
      <w:tr w:rsidR="00C31073" w:rsidRPr="007E1812" w:rsidTr="00C067EB">
        <w:trPr>
          <w:trHeight w:val="56"/>
        </w:trPr>
        <w:tc>
          <w:tcPr>
            <w:tcW w:w="798" w:type="pct"/>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Blood bilirubin increased</w:t>
            </w:r>
          </w:p>
        </w:tc>
        <w:tc>
          <w:tcPr>
            <w:tcW w:w="441"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 (1.5)</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 (2.2)</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0.67 (0.11, 4.05)</w:t>
            </w:r>
          </w:p>
        </w:tc>
        <w:tc>
          <w:tcPr>
            <w:tcW w:w="465"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23 (15)</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 (2)</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8.80 (2.58, 29.98)</w:t>
            </w:r>
          </w:p>
        </w:tc>
        <w:tc>
          <w:tcPr>
            <w:tcW w:w="736" w:type="pct"/>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0.08 (0.01, 0.67)</w:t>
            </w:r>
          </w:p>
        </w:tc>
      </w:tr>
      <w:tr w:rsidR="00C31073" w:rsidRPr="007E1812" w:rsidTr="00C067EB">
        <w:trPr>
          <w:trHeight w:val="56"/>
        </w:trPr>
        <w:tc>
          <w:tcPr>
            <w:tcW w:w="798" w:type="pct"/>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Dizziness</w:t>
            </w:r>
          </w:p>
        </w:tc>
        <w:tc>
          <w:tcPr>
            <w:tcW w:w="441"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13 (9.6)</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21 (15.3)</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0.58 (0.28, 1.22)</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12 (8.0)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21 (14.0)</w:t>
            </w:r>
          </w:p>
        </w:tc>
        <w:tc>
          <w:tcPr>
            <w:tcW w:w="77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0.53 (0.25, 1.12)</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1.09 (0.38, 3.13)</w:t>
            </w:r>
          </w:p>
        </w:tc>
      </w:tr>
      <w:tr w:rsidR="00C31073" w:rsidRPr="007E1812" w:rsidTr="00C067EB">
        <w:trPr>
          <w:trHeight w:val="56"/>
        </w:trPr>
        <w:tc>
          <w:tcPr>
            <w:tcW w:w="798" w:type="pct"/>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Dysgeusia</w:t>
            </w:r>
          </w:p>
        </w:tc>
        <w:tc>
          <w:tcPr>
            <w:tcW w:w="441" w:type="pct"/>
            <w:noWrap/>
            <w:hideMark/>
          </w:tcPr>
          <w:p w:rsidR="00C31073" w:rsidRPr="007E1812" w:rsidRDefault="008247AB"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6 (4.4)</w:t>
            </w:r>
          </w:p>
        </w:tc>
        <w:tc>
          <w:tcPr>
            <w:tcW w:w="466" w:type="pct"/>
            <w:noWrap/>
            <w:hideMark/>
          </w:tcPr>
          <w:p w:rsidR="00C31073" w:rsidRPr="007E1812" w:rsidRDefault="008247AB"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26 (19.0)</w:t>
            </w:r>
          </w:p>
        </w:tc>
        <w:tc>
          <w:tcPr>
            <w:tcW w:w="852" w:type="pct"/>
            <w:noWrap/>
          </w:tcPr>
          <w:p w:rsidR="00C31073" w:rsidRPr="007E1812" w:rsidRDefault="00C24EE4" w:rsidP="00620BD3">
            <w:pPr>
              <w:keepNext/>
              <w:widowControl/>
              <w:jc w:val="center"/>
              <w:rPr>
                <w:rFonts w:ascii="Arial Narrow" w:hAnsi="Arial Narrow"/>
                <w:snapToGrid/>
                <w:sz w:val="20"/>
                <w:szCs w:val="20"/>
                <w:lang w:eastAsia="en-AU" w:bidi="th-TH"/>
              </w:rPr>
            </w:pPr>
            <w:r w:rsidRPr="007E1812">
              <w:rPr>
                <w:rFonts w:ascii="Arial Narrow" w:hAnsi="Arial Narrow"/>
                <w:b/>
                <w:bCs/>
                <w:snapToGrid/>
                <w:sz w:val="20"/>
                <w:szCs w:val="20"/>
                <w:lang w:eastAsia="en-AU" w:bidi="th-TH"/>
              </w:rPr>
              <w:t>0.</w:t>
            </w:r>
            <w:r w:rsidR="00481851" w:rsidRPr="007E1812">
              <w:rPr>
                <w:rFonts w:ascii="Arial Narrow" w:hAnsi="Arial Narrow"/>
                <w:b/>
                <w:bCs/>
                <w:snapToGrid/>
                <w:sz w:val="20"/>
                <w:szCs w:val="20"/>
                <w:lang w:eastAsia="en-AU" w:bidi="th-TH"/>
              </w:rPr>
              <w:t>20</w:t>
            </w:r>
            <w:r w:rsidRPr="007E1812">
              <w:rPr>
                <w:rFonts w:ascii="Arial Narrow" w:hAnsi="Arial Narrow"/>
                <w:b/>
                <w:bCs/>
                <w:snapToGrid/>
                <w:sz w:val="20"/>
                <w:szCs w:val="20"/>
                <w:lang w:eastAsia="en-AU" w:bidi="th-TH"/>
              </w:rPr>
              <w:t xml:space="preserve"> (0.0</w:t>
            </w:r>
            <w:r w:rsidR="00481851" w:rsidRPr="007E1812">
              <w:rPr>
                <w:rFonts w:ascii="Arial Narrow" w:hAnsi="Arial Narrow"/>
                <w:b/>
                <w:bCs/>
                <w:snapToGrid/>
                <w:sz w:val="20"/>
                <w:szCs w:val="20"/>
                <w:lang w:eastAsia="en-AU" w:bidi="th-TH"/>
              </w:rPr>
              <w:t>8</w:t>
            </w:r>
            <w:r w:rsidR="00872085" w:rsidRPr="007E1812">
              <w:rPr>
                <w:rFonts w:ascii="Arial Narrow" w:hAnsi="Arial Narrow"/>
                <w:b/>
                <w:bCs/>
                <w:snapToGrid/>
                <w:sz w:val="20"/>
                <w:szCs w:val="20"/>
                <w:lang w:eastAsia="en-AU" w:bidi="th-TH"/>
              </w:rPr>
              <w:t>, 0.</w:t>
            </w:r>
            <w:r w:rsidR="00481851" w:rsidRPr="007E1812">
              <w:rPr>
                <w:rFonts w:ascii="Arial Narrow" w:hAnsi="Arial Narrow"/>
                <w:b/>
                <w:bCs/>
                <w:snapToGrid/>
                <w:sz w:val="20"/>
                <w:szCs w:val="20"/>
                <w:lang w:eastAsia="en-AU" w:bidi="th-TH"/>
              </w:rPr>
              <w:t>50</w:t>
            </w:r>
            <w:r w:rsidR="008247AB" w:rsidRPr="007E1812">
              <w:rPr>
                <w:rFonts w:ascii="Arial Narrow" w:hAnsi="Arial Narrow"/>
                <w:b/>
                <w:bCs/>
                <w:snapToGrid/>
                <w:sz w:val="20"/>
                <w:szCs w:val="20"/>
                <w:lang w:eastAsia="en-AU" w:bidi="th-TH"/>
              </w:rPr>
              <w:t>)</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 (3.0)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29 (19.0)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0.11 (0.0</w:t>
            </w:r>
            <w:r w:rsidR="00481851" w:rsidRPr="007E1812">
              <w:rPr>
                <w:rFonts w:ascii="Arial Narrow" w:hAnsi="Arial Narrow"/>
                <w:b/>
                <w:bCs/>
                <w:snapToGrid/>
                <w:sz w:val="20"/>
                <w:szCs w:val="20"/>
                <w:lang w:eastAsia="en-AU" w:bidi="th-TH"/>
              </w:rPr>
              <w:t>4</w:t>
            </w:r>
            <w:r w:rsidRPr="007E1812">
              <w:rPr>
                <w:rFonts w:ascii="Arial Narrow" w:hAnsi="Arial Narrow"/>
                <w:b/>
                <w:bCs/>
                <w:snapToGrid/>
                <w:sz w:val="20"/>
                <w:szCs w:val="20"/>
                <w:lang w:eastAsia="en-AU" w:bidi="th-TH"/>
              </w:rPr>
              <w:t>, 0.33)</w:t>
            </w:r>
          </w:p>
        </w:tc>
        <w:tc>
          <w:tcPr>
            <w:tcW w:w="736" w:type="pct"/>
          </w:tcPr>
          <w:p w:rsidR="00C31073" w:rsidRPr="007E1812" w:rsidRDefault="00B81B89"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1.73 (0.42, 7.12)</w:t>
            </w:r>
          </w:p>
        </w:tc>
      </w:tr>
      <w:tr w:rsidR="00C31073" w:rsidRPr="007E1812" w:rsidTr="00C067EB">
        <w:trPr>
          <w:trHeight w:val="245"/>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Visual impairment</w:t>
            </w:r>
          </w:p>
        </w:tc>
        <w:tc>
          <w:tcPr>
            <w:tcW w:w="441" w:type="pct"/>
            <w:noWrap/>
            <w:hideMark/>
          </w:tcPr>
          <w:p w:rsidR="00C31073" w:rsidRPr="007E1812" w:rsidRDefault="00CD3348"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w:t>
            </w:r>
          </w:p>
        </w:tc>
        <w:tc>
          <w:tcPr>
            <w:tcW w:w="466" w:type="pct"/>
            <w:noWrap/>
            <w:hideMark/>
          </w:tcPr>
          <w:p w:rsidR="00C31073" w:rsidRPr="007E1812" w:rsidRDefault="00CD3348"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22 (16.1)</w:t>
            </w:r>
          </w:p>
        </w:tc>
        <w:tc>
          <w:tcPr>
            <w:tcW w:w="852" w:type="pct"/>
            <w:noWrap/>
          </w:tcPr>
          <w:p w:rsidR="00C31073" w:rsidRPr="007E1812" w:rsidRDefault="00877F8A" w:rsidP="00620BD3">
            <w:pPr>
              <w:keepNext/>
              <w:widowControl/>
              <w:jc w:val="center"/>
              <w:rPr>
                <w:rFonts w:ascii="Arial Narrow" w:hAnsi="Arial Narrow"/>
                <w:snapToGrid/>
                <w:sz w:val="20"/>
                <w:szCs w:val="20"/>
                <w:vertAlign w:val="superscript"/>
                <w:lang w:eastAsia="en-AU" w:bidi="th-TH"/>
              </w:rPr>
            </w:pPr>
            <w:r w:rsidRPr="007E1812">
              <w:rPr>
                <w:rFonts w:ascii="Arial Narrow" w:hAnsi="Arial Narrow"/>
                <w:b/>
                <w:bCs/>
                <w:snapToGrid/>
                <w:sz w:val="20"/>
                <w:szCs w:val="20"/>
                <w:lang w:eastAsia="en-AU" w:bidi="th-TH"/>
              </w:rPr>
              <w:t>-</w:t>
            </w:r>
            <w:r w:rsidR="00C31073" w:rsidRPr="007E1812">
              <w:rPr>
                <w:rFonts w:ascii="Arial Narrow" w:hAnsi="Arial Narrow"/>
                <w:b/>
                <w:bCs/>
                <w:snapToGrid/>
                <w:sz w:val="20"/>
                <w:szCs w:val="20"/>
                <w:lang w:eastAsia="en-AU" w:bidi="th-TH"/>
              </w:rPr>
              <w:t>0.16 (</w:t>
            </w:r>
            <w:r w:rsidR="001022CE" w:rsidRPr="007E1812">
              <w:rPr>
                <w:rFonts w:ascii="Arial Narrow" w:hAnsi="Arial Narrow"/>
                <w:b/>
                <w:bCs/>
                <w:snapToGrid/>
                <w:sz w:val="20"/>
                <w:szCs w:val="20"/>
                <w:lang w:eastAsia="en-AU" w:bidi="th-TH"/>
              </w:rPr>
              <w:t>-</w:t>
            </w:r>
            <w:r w:rsidRPr="007E1812">
              <w:rPr>
                <w:rFonts w:ascii="Arial Narrow" w:hAnsi="Arial Narrow"/>
                <w:b/>
                <w:bCs/>
                <w:snapToGrid/>
                <w:sz w:val="20"/>
                <w:szCs w:val="20"/>
                <w:lang w:eastAsia="en-AU" w:bidi="th-TH"/>
              </w:rPr>
              <w:t>0.22</w:t>
            </w:r>
            <w:r w:rsidR="00C31073" w:rsidRPr="007E1812">
              <w:rPr>
                <w:rFonts w:ascii="Arial Narrow" w:hAnsi="Arial Narrow"/>
                <w:b/>
                <w:bCs/>
                <w:snapToGrid/>
                <w:sz w:val="20"/>
                <w:szCs w:val="20"/>
                <w:lang w:eastAsia="en-AU" w:bidi="th-TH"/>
              </w:rPr>
              <w:t xml:space="preserve">, </w:t>
            </w:r>
            <w:r w:rsidR="009A3800" w:rsidRPr="007E1812">
              <w:rPr>
                <w:rFonts w:ascii="Arial Narrow" w:hAnsi="Arial Narrow"/>
                <w:b/>
                <w:bCs/>
                <w:snapToGrid/>
                <w:sz w:val="20"/>
                <w:szCs w:val="20"/>
                <w:lang w:eastAsia="en-AU" w:bidi="th-TH"/>
              </w:rPr>
              <w:t>-</w:t>
            </w:r>
            <w:r w:rsidRPr="007E1812">
              <w:rPr>
                <w:rFonts w:ascii="Arial Narrow" w:hAnsi="Arial Narrow"/>
                <w:b/>
                <w:bCs/>
                <w:snapToGrid/>
                <w:sz w:val="20"/>
                <w:szCs w:val="20"/>
                <w:lang w:eastAsia="en-AU" w:bidi="th-TH"/>
              </w:rPr>
              <w:t>0.</w:t>
            </w:r>
            <w:r w:rsidR="001022CE" w:rsidRPr="007E1812">
              <w:rPr>
                <w:rFonts w:ascii="Arial Narrow" w:hAnsi="Arial Narrow"/>
                <w:b/>
                <w:bCs/>
                <w:snapToGrid/>
                <w:sz w:val="20"/>
                <w:szCs w:val="20"/>
                <w:lang w:eastAsia="en-AU" w:bidi="th-TH"/>
              </w:rPr>
              <w:t>10</w:t>
            </w:r>
            <w:r w:rsidR="00C31073" w:rsidRPr="007E1812">
              <w:rPr>
                <w:rFonts w:ascii="Arial Narrow" w:hAnsi="Arial Narrow"/>
                <w:b/>
                <w:bCs/>
                <w:snapToGrid/>
                <w:sz w:val="20"/>
                <w:szCs w:val="20"/>
                <w:lang w:eastAsia="en-AU" w:bidi="th-TH"/>
              </w:rPr>
              <w:t>)</w:t>
            </w:r>
            <w:r w:rsidR="00C31073" w:rsidRPr="007E1812">
              <w:rPr>
                <w:rFonts w:ascii="Arial Narrow" w:hAnsi="Arial Narrow"/>
                <w:snapToGrid/>
                <w:sz w:val="20"/>
                <w:szCs w:val="20"/>
                <w:vertAlign w:val="superscript"/>
                <w:lang w:eastAsia="en-AU" w:bidi="th-TH"/>
              </w:rPr>
              <w:t>a</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 (1.0)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18 (12.0)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 xml:space="preserve">-0.11 </w:t>
            </w:r>
            <w:r w:rsidR="00B517B4" w:rsidRPr="007E1812">
              <w:rPr>
                <w:rFonts w:ascii="Arial Narrow" w:hAnsi="Arial Narrow"/>
                <w:b/>
                <w:bCs/>
                <w:snapToGrid/>
                <w:sz w:val="20"/>
                <w:szCs w:val="20"/>
                <w:lang w:eastAsia="en-AU" w:bidi="th-TH"/>
              </w:rPr>
              <w:br/>
            </w:r>
            <w:r w:rsidRPr="007E1812">
              <w:rPr>
                <w:rFonts w:ascii="Arial Narrow" w:hAnsi="Arial Narrow"/>
                <w:b/>
                <w:bCs/>
                <w:snapToGrid/>
                <w:sz w:val="20"/>
                <w:szCs w:val="20"/>
                <w:lang w:eastAsia="en-AU" w:bidi="th-TH"/>
              </w:rPr>
              <w:t>(-0.16,</w:t>
            </w:r>
            <w:r w:rsidR="00F42A4A" w:rsidRPr="007E1812">
              <w:rPr>
                <w:rFonts w:ascii="Arial Narrow" w:hAnsi="Arial Narrow"/>
                <w:b/>
                <w:bCs/>
                <w:snapToGrid/>
                <w:sz w:val="20"/>
                <w:szCs w:val="20"/>
                <w:lang w:eastAsia="en-AU" w:bidi="th-TH"/>
              </w:rPr>
              <w:t>-</w:t>
            </w:r>
            <w:r w:rsidRPr="007E1812">
              <w:rPr>
                <w:rFonts w:ascii="Arial Narrow" w:hAnsi="Arial Narrow"/>
                <w:b/>
                <w:bCs/>
                <w:snapToGrid/>
                <w:sz w:val="20"/>
                <w:szCs w:val="20"/>
                <w:lang w:eastAsia="en-AU" w:bidi="th-TH"/>
              </w:rPr>
              <w:t>0.05)</w:t>
            </w:r>
            <w:r w:rsidR="003E58AC" w:rsidRPr="007E1812">
              <w:rPr>
                <w:rFonts w:ascii="Arial Narrow" w:hAnsi="Arial Narrow"/>
                <w:b/>
                <w:bCs/>
                <w:snapToGrid/>
                <w:sz w:val="20"/>
                <w:szCs w:val="20"/>
                <w:vertAlign w:val="superscript"/>
                <w:lang w:eastAsia="en-AU" w:bidi="th-TH"/>
              </w:rPr>
              <w:t>a</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NE</w:t>
            </w:r>
          </w:p>
        </w:tc>
      </w:tr>
      <w:tr w:rsidR="00C31073" w:rsidRPr="007E1812" w:rsidTr="00C067EB">
        <w:trPr>
          <w:trHeight w:val="56"/>
        </w:trPr>
        <w:tc>
          <w:tcPr>
            <w:tcW w:w="798" w:type="pct"/>
            <w:noWrap/>
            <w:hideMark/>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Photopsia</w:t>
            </w:r>
          </w:p>
        </w:tc>
        <w:tc>
          <w:tcPr>
            <w:tcW w:w="441" w:type="pct"/>
            <w:noWrap/>
            <w:hideMark/>
          </w:tcPr>
          <w:p w:rsidR="00C31073" w:rsidRPr="007E1812" w:rsidRDefault="00F9609E"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 (0.7)</w:t>
            </w:r>
          </w:p>
        </w:tc>
        <w:tc>
          <w:tcPr>
            <w:tcW w:w="466" w:type="pct"/>
            <w:noWrap/>
            <w:hideMark/>
          </w:tcPr>
          <w:p w:rsidR="00C31073" w:rsidRPr="007E1812" w:rsidRDefault="00F9609E"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28 (20.4)</w:t>
            </w:r>
          </w:p>
        </w:tc>
        <w:tc>
          <w:tcPr>
            <w:tcW w:w="852" w:type="pct"/>
            <w:noWrap/>
          </w:tcPr>
          <w:p w:rsidR="00C31073" w:rsidRPr="007E1812" w:rsidRDefault="007D2087"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w:t>
            </w:r>
            <w:r w:rsidRPr="007E1812">
              <w:rPr>
                <w:rFonts w:ascii="Arial Narrow" w:hAnsi="Arial Narrow"/>
                <w:b/>
                <w:bCs/>
                <w:snapToGrid/>
                <w:sz w:val="20"/>
                <w:szCs w:val="20"/>
                <w:lang w:eastAsia="en-AU" w:bidi="th-TH"/>
              </w:rPr>
              <w:t>0.20</w:t>
            </w:r>
            <w:r w:rsidR="00C31073" w:rsidRPr="007E1812">
              <w:rPr>
                <w:rFonts w:ascii="Arial Narrow" w:hAnsi="Arial Narrow"/>
                <w:b/>
                <w:bCs/>
                <w:snapToGrid/>
                <w:sz w:val="20"/>
                <w:szCs w:val="20"/>
                <w:lang w:eastAsia="en-AU" w:bidi="th-TH"/>
              </w:rPr>
              <w:t xml:space="preserve"> (</w:t>
            </w:r>
            <w:r w:rsidRPr="007E1812">
              <w:rPr>
                <w:rFonts w:ascii="Arial Narrow" w:hAnsi="Arial Narrow"/>
                <w:b/>
                <w:bCs/>
                <w:snapToGrid/>
                <w:sz w:val="20"/>
                <w:szCs w:val="20"/>
                <w:lang w:eastAsia="en-AU" w:bidi="th-TH"/>
              </w:rPr>
              <w:t>-0.27</w:t>
            </w:r>
            <w:r w:rsidR="00C31073" w:rsidRPr="007E1812">
              <w:rPr>
                <w:rFonts w:ascii="Arial Narrow" w:hAnsi="Arial Narrow"/>
                <w:b/>
                <w:bCs/>
                <w:snapToGrid/>
                <w:sz w:val="20"/>
                <w:szCs w:val="20"/>
                <w:lang w:eastAsia="en-AU" w:bidi="th-TH"/>
              </w:rPr>
              <w:t xml:space="preserve">, </w:t>
            </w:r>
            <w:r w:rsidRPr="007E1812">
              <w:rPr>
                <w:rFonts w:ascii="Arial Narrow" w:hAnsi="Arial Narrow"/>
                <w:b/>
                <w:bCs/>
                <w:snapToGrid/>
                <w:sz w:val="20"/>
                <w:szCs w:val="20"/>
                <w:lang w:eastAsia="en-AU" w:bidi="th-TH"/>
              </w:rPr>
              <w:t>-0.13</w:t>
            </w:r>
            <w:r w:rsidR="00C31073" w:rsidRPr="007E1812">
              <w:rPr>
                <w:rFonts w:ascii="Arial Narrow" w:hAnsi="Arial Narrow"/>
                <w:b/>
                <w:bCs/>
                <w:snapToGrid/>
                <w:sz w:val="20"/>
                <w:szCs w:val="20"/>
                <w:lang w:eastAsia="en-AU" w:bidi="th-TH"/>
              </w:rPr>
              <w:t>)</w:t>
            </w:r>
            <w:r w:rsidRPr="007E1812">
              <w:rPr>
                <w:rFonts w:ascii="Arial Narrow" w:hAnsi="Arial Narrow"/>
                <w:snapToGrid/>
                <w:sz w:val="20"/>
                <w:szCs w:val="20"/>
                <w:vertAlign w:val="superscript"/>
                <w:lang w:eastAsia="en-AU" w:bidi="th-TH"/>
              </w:rPr>
              <w:t>a</w:t>
            </w:r>
            <w:r w:rsidR="00C31073" w:rsidRPr="007E1812">
              <w:rPr>
                <w:rFonts w:ascii="Arial Narrow" w:hAnsi="Arial Narrow"/>
                <w:snapToGrid/>
                <w:sz w:val="20"/>
                <w:szCs w:val="20"/>
                <w:vertAlign w:val="superscript"/>
                <w:lang w:eastAsia="en-AU" w:bidi="th-TH"/>
              </w:rPr>
              <w:t xml:space="preserve"> </w:t>
            </w:r>
          </w:p>
        </w:tc>
        <w:tc>
          <w:tcPr>
            <w:tcW w:w="465"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w:t>
            </w:r>
          </w:p>
        </w:tc>
        <w:tc>
          <w:tcPr>
            <w:tcW w:w="466" w:type="pct"/>
            <w:noWrap/>
            <w:hideMark/>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9 (6.0)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 xml:space="preserve">-0.06 </w:t>
            </w:r>
            <w:r w:rsidR="00B517B4" w:rsidRPr="007E1812">
              <w:rPr>
                <w:rFonts w:ascii="Arial Narrow" w:hAnsi="Arial Narrow"/>
                <w:b/>
                <w:bCs/>
                <w:snapToGrid/>
                <w:sz w:val="20"/>
                <w:szCs w:val="20"/>
                <w:lang w:eastAsia="en-AU" w:bidi="th-TH"/>
              </w:rPr>
              <w:br/>
            </w:r>
            <w:r w:rsidRPr="007E1812">
              <w:rPr>
                <w:rFonts w:ascii="Arial Narrow" w:hAnsi="Arial Narrow"/>
                <w:b/>
                <w:bCs/>
                <w:snapToGrid/>
                <w:sz w:val="20"/>
                <w:szCs w:val="20"/>
                <w:lang w:eastAsia="en-AU" w:bidi="th-TH"/>
              </w:rPr>
              <w:t>(-0.10, -0.02)</w:t>
            </w:r>
            <w:r w:rsidRPr="007E1812">
              <w:rPr>
                <w:rFonts w:ascii="Arial Narrow" w:hAnsi="Arial Narrow"/>
                <w:b/>
                <w:bCs/>
                <w:snapToGrid/>
                <w:sz w:val="20"/>
                <w:szCs w:val="20"/>
                <w:vertAlign w:val="superscript"/>
                <w:lang w:eastAsia="en-AU" w:bidi="th-TH"/>
              </w:rPr>
              <w:t>a</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NE</w:t>
            </w:r>
          </w:p>
        </w:tc>
      </w:tr>
      <w:tr w:rsidR="00C31073" w:rsidRPr="007E1812" w:rsidTr="00C067EB">
        <w:trPr>
          <w:trHeight w:val="56"/>
        </w:trPr>
        <w:tc>
          <w:tcPr>
            <w:tcW w:w="798" w:type="pct"/>
            <w:noWrap/>
          </w:tcPr>
          <w:p w:rsidR="00C31073" w:rsidRPr="007E1812" w:rsidRDefault="00C31073" w:rsidP="00620BD3">
            <w:pPr>
              <w:keepNext/>
              <w:widowControl/>
              <w:jc w:val="left"/>
              <w:rPr>
                <w:rFonts w:ascii="Arial Narrow" w:hAnsi="Arial Narrow"/>
                <w:iCs/>
                <w:snapToGrid/>
                <w:sz w:val="20"/>
                <w:szCs w:val="20"/>
                <w:lang w:eastAsia="en-AU" w:bidi="th-TH"/>
              </w:rPr>
            </w:pPr>
            <w:r w:rsidRPr="007E1812">
              <w:rPr>
                <w:rFonts w:ascii="Arial Narrow" w:hAnsi="Arial Narrow"/>
                <w:iCs/>
                <w:snapToGrid/>
                <w:sz w:val="20"/>
                <w:szCs w:val="20"/>
                <w:lang w:eastAsia="en-AU" w:bidi="th-TH"/>
              </w:rPr>
              <w:t>Visual impairment or photopsia</w:t>
            </w:r>
            <w:r w:rsidR="009015D6" w:rsidRPr="007E1812">
              <w:rPr>
                <w:rFonts w:ascii="Arial Narrow" w:hAnsi="Arial Narrow"/>
                <w:iCs/>
                <w:snapToGrid/>
                <w:sz w:val="20"/>
                <w:szCs w:val="20"/>
                <w:vertAlign w:val="superscript"/>
                <w:lang w:eastAsia="en-AU" w:bidi="th-TH"/>
              </w:rPr>
              <w:t>d</w:t>
            </w:r>
          </w:p>
        </w:tc>
        <w:tc>
          <w:tcPr>
            <w:tcW w:w="441" w:type="pct"/>
            <w:noWrap/>
          </w:tcPr>
          <w:p w:rsidR="00C31073" w:rsidRPr="007E1812" w:rsidRDefault="001C21D6"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 (0.7)</w:t>
            </w:r>
          </w:p>
        </w:tc>
        <w:tc>
          <w:tcPr>
            <w:tcW w:w="466" w:type="pct"/>
            <w:noWrap/>
          </w:tcPr>
          <w:p w:rsidR="00C31073" w:rsidRPr="007E1812" w:rsidRDefault="001C21D6"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50 (36.5)</w:t>
            </w:r>
          </w:p>
        </w:tc>
        <w:tc>
          <w:tcPr>
            <w:tcW w:w="852" w:type="pct"/>
            <w:noWrap/>
          </w:tcPr>
          <w:p w:rsidR="00C31073" w:rsidRPr="007E1812" w:rsidRDefault="001C21D6" w:rsidP="00620BD3">
            <w:pPr>
              <w:keepNext/>
              <w:widowControl/>
              <w:jc w:val="center"/>
              <w:rPr>
                <w:rFonts w:ascii="Arial Narrow" w:hAnsi="Arial Narrow"/>
                <w:bCs/>
                <w:snapToGrid/>
                <w:sz w:val="20"/>
                <w:szCs w:val="20"/>
                <w:lang w:eastAsia="en-AU" w:bidi="th-TH"/>
              </w:rPr>
            </w:pPr>
            <w:r w:rsidRPr="007E1812">
              <w:rPr>
                <w:rFonts w:ascii="Arial Narrow" w:hAnsi="Arial Narrow"/>
                <w:bCs/>
                <w:snapToGrid/>
                <w:sz w:val="20"/>
                <w:szCs w:val="20"/>
                <w:lang w:eastAsia="en-AU" w:bidi="th-TH"/>
              </w:rPr>
              <w:t>0.01</w:t>
            </w:r>
            <w:r w:rsidR="00C31073" w:rsidRPr="007E1812">
              <w:rPr>
                <w:rFonts w:ascii="Arial Narrow" w:hAnsi="Arial Narrow"/>
                <w:bCs/>
                <w:snapToGrid/>
                <w:sz w:val="20"/>
                <w:szCs w:val="20"/>
                <w:lang w:eastAsia="en-AU" w:bidi="th-TH"/>
              </w:rPr>
              <w:t xml:space="preserve"> (</w:t>
            </w:r>
            <w:r w:rsidRPr="007E1812">
              <w:rPr>
                <w:rFonts w:ascii="Arial Narrow" w:hAnsi="Arial Narrow"/>
                <w:bCs/>
                <w:snapToGrid/>
                <w:sz w:val="20"/>
                <w:szCs w:val="20"/>
                <w:lang w:eastAsia="en-AU" w:bidi="th-TH"/>
              </w:rPr>
              <w:t>0.0</w:t>
            </w:r>
            <w:r w:rsidR="001022CE" w:rsidRPr="007E1812">
              <w:rPr>
                <w:rFonts w:ascii="Arial Narrow" w:hAnsi="Arial Narrow"/>
                <w:bCs/>
                <w:snapToGrid/>
                <w:sz w:val="20"/>
                <w:szCs w:val="20"/>
                <w:lang w:eastAsia="en-AU" w:bidi="th-TH"/>
              </w:rPr>
              <w:t>1</w:t>
            </w:r>
            <w:r w:rsidR="00C31073" w:rsidRPr="007E1812">
              <w:rPr>
                <w:rFonts w:ascii="Arial Narrow" w:hAnsi="Arial Narrow"/>
                <w:bCs/>
                <w:snapToGrid/>
                <w:sz w:val="20"/>
                <w:szCs w:val="20"/>
                <w:lang w:eastAsia="en-AU" w:bidi="th-TH"/>
              </w:rPr>
              <w:t xml:space="preserve">, </w:t>
            </w:r>
            <w:r w:rsidRPr="007E1812">
              <w:rPr>
                <w:rFonts w:ascii="Arial Narrow" w:hAnsi="Arial Narrow"/>
                <w:bCs/>
                <w:snapToGrid/>
                <w:sz w:val="20"/>
                <w:szCs w:val="20"/>
                <w:lang w:eastAsia="en-AU" w:bidi="th-TH"/>
              </w:rPr>
              <w:t>0.</w:t>
            </w:r>
            <w:r w:rsidR="001022CE" w:rsidRPr="007E1812">
              <w:rPr>
                <w:rFonts w:ascii="Arial Narrow" w:hAnsi="Arial Narrow"/>
                <w:bCs/>
                <w:snapToGrid/>
                <w:sz w:val="20"/>
                <w:szCs w:val="20"/>
                <w:lang w:eastAsia="en-AU" w:bidi="th-TH"/>
              </w:rPr>
              <w:t>10</w:t>
            </w:r>
            <w:r w:rsidR="00C31073" w:rsidRPr="007E1812">
              <w:rPr>
                <w:rFonts w:ascii="Arial Narrow" w:hAnsi="Arial Narrow"/>
                <w:bCs/>
                <w:snapToGrid/>
                <w:sz w:val="20"/>
                <w:szCs w:val="20"/>
                <w:lang w:eastAsia="en-AU" w:bidi="th-TH"/>
              </w:rPr>
              <w:t>)</w:t>
            </w:r>
          </w:p>
        </w:tc>
        <w:tc>
          <w:tcPr>
            <w:tcW w:w="465"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 (1.0)</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27 (18.0)</w:t>
            </w:r>
          </w:p>
        </w:tc>
        <w:tc>
          <w:tcPr>
            <w:tcW w:w="776" w:type="pct"/>
            <w:noWrap/>
          </w:tcPr>
          <w:p w:rsidR="00C31073" w:rsidRPr="007E1812" w:rsidRDefault="00C31073" w:rsidP="00620BD3">
            <w:pPr>
              <w:keepNext/>
              <w:widowControl/>
              <w:jc w:val="center"/>
              <w:rPr>
                <w:rFonts w:ascii="Arial Narrow" w:hAnsi="Arial Narrow"/>
                <w:bCs/>
                <w:snapToGrid/>
                <w:sz w:val="20"/>
                <w:szCs w:val="20"/>
                <w:lang w:eastAsia="en-AU" w:bidi="th-TH"/>
              </w:rPr>
            </w:pPr>
            <w:r w:rsidRPr="007E1812">
              <w:rPr>
                <w:rFonts w:ascii="Arial Narrow" w:hAnsi="Arial Narrow"/>
                <w:bCs/>
                <w:snapToGrid/>
                <w:sz w:val="20"/>
                <w:szCs w:val="20"/>
                <w:lang w:eastAsia="en-AU" w:bidi="th-TH"/>
              </w:rPr>
              <w:t>0.06 (0.01, 0.26)</w:t>
            </w:r>
          </w:p>
        </w:tc>
        <w:tc>
          <w:tcPr>
            <w:tcW w:w="736" w:type="pct"/>
          </w:tcPr>
          <w:p w:rsidR="00C31073" w:rsidRPr="007E1812" w:rsidRDefault="001C21D6" w:rsidP="00620BD3">
            <w:pPr>
              <w:keepNext/>
              <w:widowControl/>
              <w:jc w:val="center"/>
              <w:rPr>
                <w:rFonts w:ascii="Arial Narrow" w:hAnsi="Arial Narrow"/>
                <w:iCs/>
                <w:snapToGrid/>
                <w:sz w:val="20"/>
                <w:szCs w:val="20"/>
                <w:lang w:eastAsia="en-AU" w:bidi="th-TH"/>
              </w:rPr>
            </w:pPr>
            <w:r w:rsidRPr="007E1812">
              <w:rPr>
                <w:rFonts w:ascii="Arial Narrow" w:hAnsi="Arial Narrow"/>
                <w:iCs/>
                <w:snapToGrid/>
                <w:sz w:val="20"/>
                <w:szCs w:val="20"/>
                <w:lang w:eastAsia="en-AU" w:bidi="th-TH"/>
              </w:rPr>
              <w:t>0.21</w:t>
            </w:r>
            <w:r w:rsidR="00C31073" w:rsidRPr="007E1812">
              <w:rPr>
                <w:rFonts w:ascii="Arial Narrow" w:hAnsi="Arial Narrow"/>
                <w:iCs/>
                <w:snapToGrid/>
                <w:sz w:val="20"/>
                <w:szCs w:val="20"/>
                <w:lang w:eastAsia="en-AU" w:bidi="th-TH"/>
              </w:rPr>
              <w:t xml:space="preserve"> (</w:t>
            </w:r>
            <w:r w:rsidRPr="007E1812">
              <w:rPr>
                <w:rFonts w:ascii="Arial Narrow" w:hAnsi="Arial Narrow"/>
                <w:iCs/>
                <w:snapToGrid/>
                <w:sz w:val="20"/>
                <w:szCs w:val="20"/>
                <w:lang w:eastAsia="en-AU" w:bidi="th-TH"/>
              </w:rPr>
              <w:t>0.0</w:t>
            </w:r>
            <w:r w:rsidR="00B517B4" w:rsidRPr="007E1812">
              <w:rPr>
                <w:rFonts w:ascii="Arial Narrow" w:hAnsi="Arial Narrow"/>
                <w:iCs/>
                <w:snapToGrid/>
                <w:sz w:val="20"/>
                <w:szCs w:val="20"/>
                <w:lang w:eastAsia="en-AU" w:bidi="th-TH"/>
              </w:rPr>
              <w:t>2</w:t>
            </w:r>
            <w:r w:rsidR="00C31073" w:rsidRPr="007E1812">
              <w:rPr>
                <w:rFonts w:ascii="Arial Narrow" w:hAnsi="Arial Narrow"/>
                <w:iCs/>
                <w:snapToGrid/>
                <w:sz w:val="20"/>
                <w:szCs w:val="20"/>
                <w:lang w:eastAsia="en-AU" w:bidi="th-TH"/>
              </w:rPr>
              <w:t xml:space="preserve">, </w:t>
            </w:r>
            <w:r w:rsidR="004D2F1E" w:rsidRPr="007E1812">
              <w:rPr>
                <w:rFonts w:ascii="Arial Narrow" w:hAnsi="Arial Narrow"/>
                <w:iCs/>
                <w:snapToGrid/>
                <w:sz w:val="20"/>
                <w:szCs w:val="20"/>
                <w:lang w:eastAsia="en-AU" w:bidi="th-TH"/>
              </w:rPr>
              <w:t>2.4</w:t>
            </w:r>
            <w:r w:rsidR="00B517B4" w:rsidRPr="007E1812">
              <w:rPr>
                <w:rFonts w:ascii="Arial Narrow" w:hAnsi="Arial Narrow"/>
                <w:iCs/>
                <w:snapToGrid/>
                <w:sz w:val="20"/>
                <w:szCs w:val="20"/>
                <w:lang w:eastAsia="en-AU" w:bidi="th-TH"/>
              </w:rPr>
              <w:t>1</w:t>
            </w:r>
            <w:r w:rsidR="00C31073" w:rsidRPr="007E1812">
              <w:rPr>
                <w:rFonts w:ascii="Arial Narrow" w:hAnsi="Arial Narrow"/>
                <w:iCs/>
                <w:snapToGrid/>
                <w:sz w:val="20"/>
                <w:szCs w:val="20"/>
                <w:lang w:eastAsia="en-AU" w:bidi="th-TH"/>
              </w:rPr>
              <w:t>)</w:t>
            </w:r>
          </w:p>
        </w:tc>
      </w:tr>
      <w:tr w:rsidR="00C31073" w:rsidRPr="007E1812" w:rsidTr="00C067EB">
        <w:trPr>
          <w:trHeight w:val="56"/>
        </w:trPr>
        <w:tc>
          <w:tcPr>
            <w:tcW w:w="798" w:type="pct"/>
            <w:noWrap/>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Photosensitivity reaction</w:t>
            </w:r>
          </w:p>
        </w:tc>
        <w:tc>
          <w:tcPr>
            <w:tcW w:w="441"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 (3.7)</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 (0.7)</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 xml:space="preserve">5.19 (0.60, 45.03) </w:t>
            </w:r>
          </w:p>
        </w:tc>
        <w:tc>
          <w:tcPr>
            <w:tcW w:w="465"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8 (5)</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 (1)</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8.33 (1.03, 67.47)</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 xml:space="preserve">0.62 </w:t>
            </w:r>
            <w:r w:rsidR="00B517B4" w:rsidRPr="007E1812">
              <w:rPr>
                <w:rFonts w:ascii="Arial Narrow" w:hAnsi="Arial Narrow"/>
                <w:snapToGrid/>
                <w:sz w:val="20"/>
                <w:szCs w:val="20"/>
                <w:lang w:eastAsia="en-AU" w:bidi="th-TH"/>
              </w:rPr>
              <w:br/>
            </w:r>
            <w:r w:rsidRPr="007E1812">
              <w:rPr>
                <w:rFonts w:ascii="Arial Narrow" w:hAnsi="Arial Narrow"/>
                <w:snapToGrid/>
                <w:sz w:val="20"/>
                <w:szCs w:val="20"/>
                <w:lang w:eastAsia="en-AU" w:bidi="th-TH"/>
              </w:rPr>
              <w:t>(0.03, 12.59)</w:t>
            </w:r>
          </w:p>
        </w:tc>
      </w:tr>
      <w:tr w:rsidR="00C31073" w:rsidRPr="007E1812" w:rsidTr="00C067EB">
        <w:trPr>
          <w:trHeight w:val="56"/>
        </w:trPr>
        <w:tc>
          <w:tcPr>
            <w:tcW w:w="798" w:type="pct"/>
            <w:noWrap/>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Myalgia</w:t>
            </w:r>
          </w:p>
        </w:tc>
        <w:tc>
          <w:tcPr>
            <w:tcW w:w="441"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8 (5.9)</w:t>
            </w:r>
          </w:p>
        </w:tc>
        <w:tc>
          <w:tcPr>
            <w:tcW w:w="466" w:type="pct"/>
            <w:noWrap/>
          </w:tcPr>
          <w:p w:rsidR="00C31073" w:rsidRPr="007E1812" w:rsidRDefault="00F85364"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6 (4.4)</w:t>
            </w:r>
          </w:p>
        </w:tc>
        <w:tc>
          <w:tcPr>
            <w:tcW w:w="852" w:type="pct"/>
            <w:noWrap/>
          </w:tcPr>
          <w:p w:rsidR="00C31073" w:rsidRPr="007E1812" w:rsidRDefault="00F85364"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1.36</w:t>
            </w:r>
            <w:r w:rsidR="00C31073" w:rsidRPr="007E1812">
              <w:rPr>
                <w:rFonts w:ascii="Arial Narrow" w:hAnsi="Arial Narrow"/>
                <w:snapToGrid/>
                <w:sz w:val="20"/>
                <w:szCs w:val="20"/>
                <w:lang w:eastAsia="en-AU" w:bidi="th-TH"/>
              </w:rPr>
              <w:t xml:space="preserve"> (</w:t>
            </w:r>
            <w:r w:rsidRPr="007E1812">
              <w:rPr>
                <w:rFonts w:ascii="Arial Narrow" w:hAnsi="Arial Narrow"/>
                <w:snapToGrid/>
                <w:sz w:val="20"/>
                <w:szCs w:val="20"/>
                <w:lang w:eastAsia="en-AU" w:bidi="th-TH"/>
              </w:rPr>
              <w:t>0.46</w:t>
            </w:r>
            <w:r w:rsidR="00C31073" w:rsidRPr="007E1812">
              <w:rPr>
                <w:rFonts w:ascii="Arial Narrow" w:hAnsi="Arial Narrow"/>
                <w:snapToGrid/>
                <w:sz w:val="20"/>
                <w:szCs w:val="20"/>
                <w:lang w:eastAsia="en-AU" w:bidi="th-TH"/>
              </w:rPr>
              <w:t xml:space="preserve">, </w:t>
            </w:r>
            <w:r w:rsidRPr="007E1812">
              <w:rPr>
                <w:rFonts w:ascii="Arial Narrow" w:hAnsi="Arial Narrow"/>
                <w:snapToGrid/>
                <w:sz w:val="20"/>
                <w:szCs w:val="20"/>
                <w:lang w:eastAsia="en-AU" w:bidi="th-TH"/>
              </w:rPr>
              <w:t>4.04</w:t>
            </w:r>
            <w:r w:rsidR="00C31073" w:rsidRPr="007E1812">
              <w:rPr>
                <w:rFonts w:ascii="Arial Narrow" w:hAnsi="Arial Narrow"/>
                <w:snapToGrid/>
                <w:sz w:val="20"/>
                <w:szCs w:val="20"/>
                <w:lang w:eastAsia="en-AU" w:bidi="th-TH"/>
              </w:rPr>
              <w:t>)</w:t>
            </w:r>
          </w:p>
        </w:tc>
        <w:tc>
          <w:tcPr>
            <w:tcW w:w="465"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24 (16)</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 (2)</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9.25 (2.72, 31.44)</w:t>
            </w:r>
          </w:p>
        </w:tc>
        <w:tc>
          <w:tcPr>
            <w:tcW w:w="736" w:type="pct"/>
          </w:tcPr>
          <w:p w:rsidR="00C31073" w:rsidRPr="007E1812" w:rsidRDefault="005816C6"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0.1</w:t>
            </w:r>
            <w:r w:rsidR="00B517B4" w:rsidRPr="007E1812">
              <w:rPr>
                <w:rFonts w:ascii="Arial Narrow" w:hAnsi="Arial Narrow"/>
                <w:b/>
                <w:bCs/>
                <w:snapToGrid/>
                <w:sz w:val="20"/>
                <w:szCs w:val="20"/>
                <w:lang w:eastAsia="en-AU" w:bidi="th-TH"/>
              </w:rPr>
              <w:t>5</w:t>
            </w:r>
            <w:r w:rsidR="00C31073" w:rsidRPr="007E1812">
              <w:rPr>
                <w:rFonts w:ascii="Arial Narrow" w:hAnsi="Arial Narrow"/>
                <w:b/>
                <w:bCs/>
                <w:snapToGrid/>
                <w:sz w:val="20"/>
                <w:szCs w:val="20"/>
                <w:lang w:eastAsia="en-AU" w:bidi="th-TH"/>
              </w:rPr>
              <w:t xml:space="preserve"> (0.0</w:t>
            </w:r>
            <w:r w:rsidR="00B517B4" w:rsidRPr="007E1812">
              <w:rPr>
                <w:rFonts w:ascii="Arial Narrow" w:hAnsi="Arial Narrow"/>
                <w:b/>
                <w:bCs/>
                <w:snapToGrid/>
                <w:sz w:val="20"/>
                <w:szCs w:val="20"/>
                <w:lang w:eastAsia="en-AU" w:bidi="th-TH"/>
              </w:rPr>
              <w:t>3</w:t>
            </w:r>
            <w:r w:rsidR="00C31073" w:rsidRPr="007E1812">
              <w:rPr>
                <w:rFonts w:ascii="Arial Narrow" w:hAnsi="Arial Narrow"/>
                <w:b/>
                <w:bCs/>
                <w:snapToGrid/>
                <w:sz w:val="20"/>
                <w:szCs w:val="20"/>
                <w:lang w:eastAsia="en-AU" w:bidi="th-TH"/>
              </w:rPr>
              <w:t xml:space="preserve">, </w:t>
            </w:r>
            <w:r w:rsidRPr="007E1812">
              <w:rPr>
                <w:rFonts w:ascii="Arial Narrow" w:hAnsi="Arial Narrow"/>
                <w:b/>
                <w:bCs/>
                <w:snapToGrid/>
                <w:sz w:val="20"/>
                <w:szCs w:val="20"/>
                <w:lang w:eastAsia="en-AU" w:bidi="th-TH"/>
              </w:rPr>
              <w:t>0.7</w:t>
            </w:r>
            <w:r w:rsidR="00B517B4" w:rsidRPr="007E1812">
              <w:rPr>
                <w:rFonts w:ascii="Arial Narrow" w:hAnsi="Arial Narrow"/>
                <w:b/>
                <w:bCs/>
                <w:snapToGrid/>
                <w:sz w:val="20"/>
                <w:szCs w:val="20"/>
                <w:lang w:eastAsia="en-AU" w:bidi="th-TH"/>
              </w:rPr>
              <w:t>6</w:t>
            </w:r>
            <w:r w:rsidR="00C31073" w:rsidRPr="007E1812">
              <w:rPr>
                <w:rFonts w:ascii="Arial Narrow" w:hAnsi="Arial Narrow"/>
                <w:b/>
                <w:bCs/>
                <w:snapToGrid/>
                <w:sz w:val="20"/>
                <w:szCs w:val="20"/>
                <w:lang w:eastAsia="en-AU" w:bidi="th-TH"/>
              </w:rPr>
              <w:t>)</w:t>
            </w:r>
          </w:p>
        </w:tc>
      </w:tr>
      <w:tr w:rsidR="00C31073" w:rsidRPr="007E1812" w:rsidTr="00C067EB">
        <w:trPr>
          <w:trHeight w:val="56"/>
        </w:trPr>
        <w:tc>
          <w:tcPr>
            <w:tcW w:w="798" w:type="pct"/>
            <w:noWrap/>
          </w:tcPr>
          <w:p w:rsidR="00C31073" w:rsidRPr="007E1812" w:rsidRDefault="00C31073" w:rsidP="00620BD3">
            <w:pPr>
              <w:keepNext/>
              <w:widowControl/>
              <w:jc w:val="left"/>
              <w:rPr>
                <w:rFonts w:ascii="Arial Narrow" w:hAnsi="Arial Narrow"/>
                <w:i/>
                <w:snapToGrid/>
                <w:sz w:val="20"/>
                <w:szCs w:val="20"/>
                <w:lang w:eastAsia="en-AU" w:bidi="th-TH"/>
              </w:rPr>
            </w:pPr>
            <w:r w:rsidRPr="007E1812">
              <w:rPr>
                <w:rFonts w:ascii="Arial Narrow" w:hAnsi="Arial Narrow"/>
                <w:snapToGrid/>
                <w:sz w:val="20"/>
                <w:szCs w:val="20"/>
                <w:lang w:eastAsia="en-AU" w:bidi="th-TH"/>
              </w:rPr>
              <w:t>Musculoskeletal pain</w:t>
            </w:r>
          </w:p>
        </w:tc>
        <w:tc>
          <w:tcPr>
            <w:tcW w:w="441"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 (3.7)</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8 (5.8)</w:t>
            </w:r>
          </w:p>
        </w:tc>
        <w:tc>
          <w:tcPr>
            <w:tcW w:w="852" w:type="pct"/>
            <w:noWrap/>
          </w:tcPr>
          <w:p w:rsidR="00C31073" w:rsidRPr="007E1812" w:rsidRDefault="00CF16BF" w:rsidP="00620BD3">
            <w:pPr>
              <w:keepNext/>
              <w:widowControl/>
              <w:jc w:val="center"/>
              <w:rPr>
                <w:rFonts w:ascii="Arial Narrow" w:hAnsi="Arial Narrow"/>
                <w:snapToGrid/>
                <w:sz w:val="20"/>
                <w:szCs w:val="20"/>
                <w:lang w:eastAsia="en-AU" w:bidi="th-TH"/>
              </w:rPr>
            </w:pPr>
            <w:r w:rsidRPr="007E1812">
              <w:rPr>
                <w:rFonts w:ascii="Arial Narrow" w:hAnsi="Arial Narrow"/>
                <w:b/>
                <w:bCs/>
                <w:snapToGrid/>
                <w:sz w:val="20"/>
                <w:szCs w:val="20"/>
                <w:lang w:eastAsia="en-AU" w:bidi="th-TH"/>
              </w:rPr>
              <w:t>-0.02</w:t>
            </w:r>
            <w:r w:rsidR="00C31073" w:rsidRPr="007E1812">
              <w:rPr>
                <w:rFonts w:ascii="Arial Narrow" w:hAnsi="Arial Narrow"/>
                <w:b/>
                <w:bCs/>
                <w:snapToGrid/>
                <w:sz w:val="20"/>
                <w:szCs w:val="20"/>
                <w:lang w:eastAsia="en-AU" w:bidi="th-TH"/>
              </w:rPr>
              <w:t xml:space="preserve"> (</w:t>
            </w:r>
            <w:r w:rsidRPr="007E1812">
              <w:rPr>
                <w:rFonts w:ascii="Arial Narrow" w:hAnsi="Arial Narrow"/>
                <w:b/>
                <w:bCs/>
                <w:snapToGrid/>
                <w:sz w:val="20"/>
                <w:szCs w:val="20"/>
                <w:lang w:eastAsia="en-AU" w:bidi="th-TH"/>
              </w:rPr>
              <w:t>-0.07</w:t>
            </w:r>
            <w:r w:rsidR="00C31073" w:rsidRPr="007E1812">
              <w:rPr>
                <w:rFonts w:ascii="Arial Narrow" w:hAnsi="Arial Narrow"/>
                <w:b/>
                <w:bCs/>
                <w:snapToGrid/>
                <w:sz w:val="20"/>
                <w:szCs w:val="20"/>
                <w:lang w:eastAsia="en-AU" w:bidi="th-TH"/>
              </w:rPr>
              <w:t xml:space="preserve">, </w:t>
            </w:r>
            <w:r w:rsidRPr="007E1812">
              <w:rPr>
                <w:rFonts w:ascii="Arial Narrow" w:hAnsi="Arial Narrow"/>
                <w:b/>
                <w:bCs/>
                <w:snapToGrid/>
                <w:sz w:val="20"/>
                <w:szCs w:val="20"/>
                <w:lang w:eastAsia="en-AU" w:bidi="th-TH"/>
              </w:rPr>
              <w:t>0.03</w:t>
            </w:r>
            <w:r w:rsidR="00C31073" w:rsidRPr="007E1812">
              <w:rPr>
                <w:rFonts w:ascii="Arial Narrow" w:hAnsi="Arial Narrow"/>
                <w:b/>
                <w:bCs/>
                <w:snapToGrid/>
                <w:sz w:val="20"/>
                <w:szCs w:val="20"/>
                <w:lang w:eastAsia="en-AU" w:bidi="th-TH"/>
              </w:rPr>
              <w:t>)</w:t>
            </w:r>
            <w:r w:rsidR="00720135" w:rsidRPr="007E1812">
              <w:rPr>
                <w:rFonts w:ascii="Arial Narrow" w:hAnsi="Arial Narrow"/>
                <w:snapToGrid/>
                <w:sz w:val="20"/>
                <w:szCs w:val="20"/>
                <w:vertAlign w:val="superscript"/>
                <w:lang w:eastAsia="en-AU" w:bidi="th-TH"/>
              </w:rPr>
              <w:t>a</w:t>
            </w:r>
          </w:p>
        </w:tc>
        <w:tc>
          <w:tcPr>
            <w:tcW w:w="465"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11 (7)</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0.07 (0.03, 0.11)</w:t>
            </w:r>
            <w:r w:rsidRPr="007E1812">
              <w:rPr>
                <w:rFonts w:ascii="Arial Narrow" w:hAnsi="Arial Narrow"/>
                <w:b/>
                <w:bCs/>
                <w:snapToGrid/>
                <w:sz w:val="20"/>
                <w:szCs w:val="20"/>
                <w:vertAlign w:val="superscript"/>
                <w:lang w:eastAsia="en-AU" w:bidi="th-TH"/>
              </w:rPr>
              <w:t>a</w:t>
            </w:r>
          </w:p>
        </w:tc>
        <w:tc>
          <w:tcPr>
            <w:tcW w:w="736" w:type="pct"/>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NE</w:t>
            </w:r>
          </w:p>
        </w:tc>
      </w:tr>
      <w:tr w:rsidR="00C31073" w:rsidRPr="007E1812" w:rsidTr="00C067EB">
        <w:trPr>
          <w:trHeight w:val="56"/>
        </w:trPr>
        <w:tc>
          <w:tcPr>
            <w:tcW w:w="798" w:type="pct"/>
            <w:noWrap/>
          </w:tcPr>
          <w:p w:rsidR="00C31073" w:rsidRPr="007E1812" w:rsidRDefault="00C31073" w:rsidP="00620BD3">
            <w:pPr>
              <w:keepNext/>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Anaemia</w:t>
            </w:r>
          </w:p>
        </w:tc>
        <w:tc>
          <w:tcPr>
            <w:tcW w:w="441"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 (3.7)</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7 (5.1)</w:t>
            </w:r>
          </w:p>
        </w:tc>
        <w:tc>
          <w:tcPr>
            <w:tcW w:w="852"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0.71 (0.22, 2.29)</w:t>
            </w:r>
          </w:p>
        </w:tc>
        <w:tc>
          <w:tcPr>
            <w:tcW w:w="465"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30 (20)</w:t>
            </w:r>
          </w:p>
        </w:tc>
        <w:tc>
          <w:tcPr>
            <w:tcW w:w="466" w:type="pct"/>
            <w:noWrap/>
          </w:tcPr>
          <w:p w:rsidR="00C31073" w:rsidRPr="007E1812" w:rsidRDefault="00C31073" w:rsidP="00620BD3">
            <w:pPr>
              <w:keepNext/>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7 (5.0)</w:t>
            </w:r>
          </w:p>
        </w:tc>
        <w:tc>
          <w:tcPr>
            <w:tcW w:w="776" w:type="pct"/>
            <w:noWrap/>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5.06 (2.15, 11.92)</w:t>
            </w:r>
          </w:p>
        </w:tc>
        <w:tc>
          <w:tcPr>
            <w:tcW w:w="736" w:type="pct"/>
          </w:tcPr>
          <w:p w:rsidR="00C31073" w:rsidRPr="007E1812" w:rsidRDefault="00C31073" w:rsidP="00620BD3">
            <w:pPr>
              <w:keepNext/>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0.14 (0.03, 0.60)</w:t>
            </w:r>
          </w:p>
        </w:tc>
      </w:tr>
    </w:tbl>
    <w:p w:rsidR="00C31073" w:rsidRPr="007E1812" w:rsidRDefault="00C31073" w:rsidP="00620BD3">
      <w:pPr>
        <w:keepNext/>
        <w:widowControl/>
        <w:rPr>
          <w:rFonts w:ascii="Arial Narrow" w:hAnsi="Arial Narrow"/>
          <w:sz w:val="18"/>
          <w:szCs w:val="18"/>
        </w:rPr>
      </w:pPr>
      <w:r w:rsidRPr="007E1812">
        <w:rPr>
          <w:rFonts w:ascii="Arial Narrow" w:hAnsi="Arial Narrow"/>
          <w:sz w:val="18"/>
          <w:szCs w:val="18"/>
        </w:rPr>
        <w:t>Abbreviations:</w:t>
      </w:r>
      <w:r w:rsidR="005929E2" w:rsidRPr="007E1812">
        <w:rPr>
          <w:rFonts w:ascii="Arial Narrow" w:hAnsi="Arial Narrow"/>
          <w:sz w:val="18"/>
          <w:szCs w:val="18"/>
        </w:rPr>
        <w:t xml:space="preserve"> </w:t>
      </w:r>
      <w:r w:rsidRPr="007E1812">
        <w:rPr>
          <w:rFonts w:ascii="Arial Narrow" w:hAnsi="Arial Narrow"/>
          <w:sz w:val="18"/>
          <w:szCs w:val="18"/>
        </w:rPr>
        <w:t>AE = adverse event; CI = confidence interval; N = total participants in group; NE = not estimable; OR = odds ratio</w:t>
      </w:r>
    </w:p>
    <w:p w:rsidR="00C31073" w:rsidRPr="007E1812" w:rsidRDefault="00C31073" w:rsidP="00620BD3">
      <w:pPr>
        <w:keepNext/>
        <w:widowControl/>
        <w:rPr>
          <w:rFonts w:ascii="Arial Narrow" w:hAnsi="Arial Narrow"/>
          <w:iCs/>
          <w:sz w:val="18"/>
          <w:szCs w:val="18"/>
        </w:rPr>
      </w:pPr>
      <w:r w:rsidRPr="007E1812">
        <w:rPr>
          <w:rFonts w:ascii="Arial Narrow" w:hAnsi="Arial Narrow"/>
          <w:sz w:val="18"/>
          <w:szCs w:val="18"/>
        </w:rPr>
        <w:t xml:space="preserve">Note: </w:t>
      </w:r>
      <w:r w:rsidR="00F14DA7" w:rsidRPr="007E1812">
        <w:rPr>
          <w:rFonts w:ascii="Arial Narrow" w:hAnsi="Arial Narrow"/>
          <w:iCs/>
          <w:sz w:val="18"/>
          <w:szCs w:val="18"/>
        </w:rPr>
        <w:t>Figure</w:t>
      </w:r>
      <w:r w:rsidR="0047437B" w:rsidRPr="007E1812">
        <w:rPr>
          <w:rFonts w:ascii="Arial Narrow" w:hAnsi="Arial Narrow"/>
          <w:iCs/>
          <w:sz w:val="18"/>
          <w:szCs w:val="18"/>
        </w:rPr>
        <w:t xml:space="preserve"> in bold</w:t>
      </w:r>
      <w:r w:rsidRPr="007E1812">
        <w:rPr>
          <w:rFonts w:ascii="Arial Narrow" w:hAnsi="Arial Narrow"/>
          <w:iCs/>
          <w:sz w:val="18"/>
          <w:szCs w:val="18"/>
        </w:rPr>
        <w:t xml:space="preserve"> indicate statically significant</w:t>
      </w:r>
      <w:r w:rsidR="0047437B" w:rsidRPr="007E1812">
        <w:rPr>
          <w:rFonts w:ascii="Arial Narrow" w:hAnsi="Arial Narrow"/>
          <w:iCs/>
          <w:sz w:val="18"/>
          <w:szCs w:val="18"/>
        </w:rPr>
        <w:t xml:space="preserve"> results</w:t>
      </w:r>
      <w:r w:rsidR="00996416" w:rsidRPr="007E1812">
        <w:rPr>
          <w:rFonts w:ascii="Arial Narrow" w:hAnsi="Arial Narrow"/>
          <w:iCs/>
          <w:sz w:val="18"/>
          <w:szCs w:val="18"/>
        </w:rPr>
        <w:t>;</w:t>
      </w:r>
      <w:r w:rsidRPr="007E1812">
        <w:rPr>
          <w:rFonts w:ascii="Arial Narrow" w:hAnsi="Arial Narrow"/>
          <w:iCs/>
          <w:sz w:val="18"/>
          <w:szCs w:val="18"/>
        </w:rPr>
        <w:t xml:space="preserve"> </w:t>
      </w:r>
      <w:r w:rsidR="0047437B" w:rsidRPr="007E1812">
        <w:rPr>
          <w:rFonts w:ascii="Arial Narrow" w:hAnsi="Arial Narrow"/>
          <w:iCs/>
          <w:sz w:val="18"/>
          <w:szCs w:val="18"/>
        </w:rPr>
        <w:t xml:space="preserve">Number in italics indicate values </w:t>
      </w:r>
      <w:r w:rsidR="00F14DA7" w:rsidRPr="007E1812">
        <w:rPr>
          <w:rFonts w:ascii="Arial Narrow" w:hAnsi="Arial Narrow"/>
          <w:iCs/>
          <w:sz w:val="18"/>
          <w:szCs w:val="18"/>
        </w:rPr>
        <w:t>amended</w:t>
      </w:r>
      <w:r w:rsidR="00481851" w:rsidRPr="007E1812">
        <w:rPr>
          <w:rFonts w:ascii="Arial Narrow" w:hAnsi="Arial Narrow"/>
          <w:iCs/>
          <w:sz w:val="18"/>
          <w:szCs w:val="18"/>
        </w:rPr>
        <w:t xml:space="preserve"> since the evaluation.</w:t>
      </w:r>
      <w:r w:rsidR="00F14DA7" w:rsidRPr="007E1812">
        <w:rPr>
          <w:rFonts w:ascii="Arial Narrow" w:hAnsi="Arial Narrow"/>
          <w:iCs/>
          <w:sz w:val="18"/>
          <w:szCs w:val="18"/>
        </w:rPr>
        <w:t xml:space="preserve"> </w:t>
      </w:r>
    </w:p>
    <w:p w:rsidR="00C31073" w:rsidRPr="007E1812" w:rsidRDefault="00C31073" w:rsidP="00620BD3">
      <w:pPr>
        <w:keepNext/>
        <w:widowControl/>
        <w:rPr>
          <w:rFonts w:ascii="Arial Narrow" w:hAnsi="Arial Narrow"/>
          <w:sz w:val="18"/>
          <w:szCs w:val="18"/>
        </w:rPr>
      </w:pPr>
      <w:r w:rsidRPr="007E1812">
        <w:rPr>
          <w:rFonts w:ascii="Arial Narrow" w:hAnsi="Arial Narrow"/>
          <w:sz w:val="18"/>
          <w:szCs w:val="18"/>
        </w:rPr>
        <w:t>a Risk difference (</w:t>
      </w:r>
      <w:r w:rsidR="00810D7C" w:rsidRPr="007E1812">
        <w:rPr>
          <w:rFonts w:ascii="Arial Narrow" w:hAnsi="Arial Narrow"/>
          <w:sz w:val="18"/>
          <w:szCs w:val="18"/>
        </w:rPr>
        <w:t>95% CI</w:t>
      </w:r>
      <w:r w:rsidRPr="007E1812">
        <w:rPr>
          <w:rFonts w:ascii="Arial Narrow" w:hAnsi="Arial Narrow"/>
          <w:sz w:val="18"/>
          <w:szCs w:val="18"/>
        </w:rPr>
        <w:t>)</w:t>
      </w:r>
    </w:p>
    <w:p w:rsidR="00C31073" w:rsidRPr="007E1812" w:rsidRDefault="00C31073" w:rsidP="00620BD3">
      <w:pPr>
        <w:keepNext/>
        <w:widowControl/>
        <w:rPr>
          <w:rFonts w:ascii="Arial Narrow" w:hAnsi="Arial Narrow"/>
          <w:sz w:val="18"/>
          <w:szCs w:val="18"/>
        </w:rPr>
      </w:pPr>
      <w:r w:rsidRPr="007E1812">
        <w:rPr>
          <w:rFonts w:ascii="Arial Narrow" w:hAnsi="Arial Narrow"/>
          <w:sz w:val="18"/>
          <w:szCs w:val="18"/>
        </w:rPr>
        <w:t>b p value &lt; 0.10</w:t>
      </w:r>
    </w:p>
    <w:p w:rsidR="00810D7C" w:rsidRPr="007E1812" w:rsidRDefault="00810D7C" w:rsidP="00620BD3">
      <w:pPr>
        <w:keepNext/>
        <w:keepLines/>
        <w:widowControl/>
        <w:jc w:val="left"/>
        <w:rPr>
          <w:rFonts w:ascii="Arial Narrow" w:hAnsi="Arial Narrow" w:cs="Tahoma"/>
          <w:color w:val="000000"/>
          <w:sz w:val="18"/>
          <w:szCs w:val="18"/>
          <w:lang w:eastAsia="en-AU"/>
        </w:rPr>
      </w:pPr>
      <w:r w:rsidRPr="007E1812">
        <w:rPr>
          <w:rFonts w:ascii="Arial Narrow" w:hAnsi="Arial Narrow"/>
          <w:sz w:val="18"/>
          <w:szCs w:val="18"/>
        </w:rPr>
        <w:t xml:space="preserve">c </w:t>
      </w:r>
      <w:r w:rsidRPr="007E1812">
        <w:rPr>
          <w:rFonts w:ascii="Arial Narrow" w:hAnsi="Arial Narrow" w:cs="Tahoma"/>
          <w:color w:val="000000"/>
          <w:sz w:val="18"/>
          <w:szCs w:val="18"/>
          <w:lang w:eastAsia="en-AU"/>
        </w:rPr>
        <w:t>Data presented for ALTA-1L are from the first pre-planned interim analysis, collection through to data cut-off on 19 February 2018. Additional interim analyses are planned prior to study completion</w:t>
      </w:r>
    </w:p>
    <w:p w:rsidR="0093268B" w:rsidRPr="007E1812" w:rsidRDefault="0093268B" w:rsidP="00620BD3">
      <w:pPr>
        <w:keepNext/>
        <w:keepLines/>
        <w:widowControl/>
        <w:jc w:val="left"/>
        <w:rPr>
          <w:rFonts w:ascii="Arial Narrow" w:hAnsi="Arial Narrow" w:cs="Tahoma"/>
          <w:color w:val="000000"/>
          <w:sz w:val="18"/>
          <w:szCs w:val="18"/>
          <w:lang w:eastAsia="en-AU"/>
        </w:rPr>
      </w:pPr>
      <w:r w:rsidRPr="007E1812">
        <w:rPr>
          <w:rFonts w:ascii="Arial Narrow" w:hAnsi="Arial Narrow" w:cs="Tahoma"/>
          <w:color w:val="000000"/>
          <w:sz w:val="18"/>
          <w:szCs w:val="18"/>
          <w:lang w:eastAsia="en-AU"/>
        </w:rPr>
        <w:t>d Values originally calculated during the evaluation</w:t>
      </w:r>
    </w:p>
    <w:p w:rsidR="00C31073" w:rsidRPr="007E1812" w:rsidRDefault="00C31073" w:rsidP="00620BD3">
      <w:pPr>
        <w:widowControl/>
        <w:rPr>
          <w:rFonts w:ascii="Arial Narrow" w:hAnsi="Arial Narrow"/>
          <w:sz w:val="18"/>
          <w:szCs w:val="18"/>
        </w:rPr>
      </w:pPr>
      <w:r w:rsidRPr="007E1812">
        <w:rPr>
          <w:rFonts w:ascii="Arial Narrow" w:hAnsi="Arial Narrow"/>
          <w:sz w:val="18"/>
          <w:szCs w:val="18"/>
        </w:rPr>
        <w:t>Source: developed during the evaluation based on Table 2-46, p.105; Table 2.47, p.106; Table 2-52, p.113; Table 2.53, p.114; of the</w:t>
      </w:r>
      <w:r w:rsidR="00AD4AF8" w:rsidRPr="007E1812">
        <w:rPr>
          <w:rFonts w:ascii="Arial Narrow" w:hAnsi="Arial Narrow"/>
          <w:sz w:val="18"/>
          <w:szCs w:val="18"/>
        </w:rPr>
        <w:t xml:space="preserve"> </w:t>
      </w:r>
      <w:r w:rsidRPr="007E1812">
        <w:rPr>
          <w:rFonts w:ascii="Arial Narrow" w:hAnsi="Arial Narrow"/>
          <w:sz w:val="18"/>
          <w:szCs w:val="18"/>
        </w:rPr>
        <w:t>submission; Table 15.3.1.2.1.2 of Study 301 - ALTA-1L End-of-Text Tables; Table S2 Peter et al 2017</w:t>
      </w:r>
    </w:p>
    <w:p w:rsidR="00C31073" w:rsidRPr="007E1812" w:rsidRDefault="00C31073" w:rsidP="00620BD3">
      <w:pPr>
        <w:pStyle w:val="ListParagraph"/>
        <w:widowControl/>
        <w:numPr>
          <w:ilvl w:val="1"/>
          <w:numId w:val="1"/>
        </w:numPr>
        <w:spacing w:before="120" w:after="120"/>
      </w:pPr>
      <w:r w:rsidRPr="007E1812">
        <w:t xml:space="preserve">While the follow-up time from ALTA-1L was shorter than for ALEX, there were more types of AEs that were observed in brigatinib than alectinib. This was consistent with the finding that statistically significantly more patients who received brigatinib experienced more dose interruptions/reductions than alectinib patients. </w:t>
      </w:r>
    </w:p>
    <w:p w:rsidR="00C31073" w:rsidRPr="007E1812" w:rsidRDefault="00C31073" w:rsidP="00620BD3">
      <w:pPr>
        <w:pStyle w:val="ListParagraph"/>
        <w:widowControl/>
        <w:numPr>
          <w:ilvl w:val="1"/>
          <w:numId w:val="1"/>
        </w:numPr>
        <w:spacing w:before="120" w:after="120"/>
        <w:rPr>
          <w:rFonts w:asciiTheme="minorHAnsi" w:hAnsiTheme="minorHAnsi" w:cstheme="minorHAnsi"/>
          <w:iCs/>
          <w:szCs w:val="24"/>
        </w:rPr>
      </w:pPr>
      <w:r w:rsidRPr="007E1812">
        <w:lastRenderedPageBreak/>
        <w:t>The results of the ITC for safety indicate that occurrences of diarrhoea</w:t>
      </w:r>
      <w:r w:rsidR="00414D38" w:rsidRPr="007E1812">
        <w:t xml:space="preserve"> and</w:t>
      </w:r>
      <w:r w:rsidR="00AD4AF8" w:rsidRPr="007E1812">
        <w:t xml:space="preserve"> </w:t>
      </w:r>
      <w:r w:rsidRPr="007E1812">
        <w:t>vomiting</w:t>
      </w:r>
      <w:r w:rsidR="00AD4AF8" w:rsidRPr="007E1812">
        <w:t xml:space="preserve"> </w:t>
      </w:r>
      <w:r w:rsidRPr="007E1812">
        <w:t xml:space="preserve">were statistically significantly higher for brigatinib than alectinib. Patients treated with brigatinib appeared to have significantly fewer myalgia, anaemia, and blood bilirubin increased events than patients treated with alectinib. </w:t>
      </w:r>
      <w:r w:rsidR="008F2A26" w:rsidRPr="007E1812">
        <w:t xml:space="preserve">The ESC noted, however, that </w:t>
      </w:r>
      <w:r w:rsidRPr="007E1812">
        <w:t xml:space="preserve">these were based on a shorter duration of follow-up for brigatinib. </w:t>
      </w:r>
    </w:p>
    <w:p w:rsidR="00C31073" w:rsidRPr="007E1812" w:rsidRDefault="00C31073" w:rsidP="00620BD3">
      <w:pPr>
        <w:pStyle w:val="Heading3"/>
        <w:widowControl/>
      </w:pPr>
      <w:r w:rsidRPr="007E1812">
        <w:t>Second-line setting</w:t>
      </w:r>
    </w:p>
    <w:p w:rsidR="00C31073" w:rsidRPr="007E1812" w:rsidRDefault="00C31073" w:rsidP="00620BD3">
      <w:pPr>
        <w:pStyle w:val="ListParagraph"/>
        <w:widowControl/>
        <w:numPr>
          <w:ilvl w:val="1"/>
          <w:numId w:val="1"/>
        </w:numPr>
        <w:spacing w:before="120" w:after="120"/>
      </w:pPr>
      <w:r w:rsidRPr="007E1812">
        <w:t xml:space="preserve">Results from a naïve </w:t>
      </w:r>
      <w:r w:rsidR="00862C74" w:rsidRPr="007E1812">
        <w:t>comparison</w:t>
      </w:r>
      <w:r w:rsidRPr="007E1812">
        <w:t xml:space="preserve"> of AEs between brigatinib versus alectinib in the second-line setting is presented in</w:t>
      </w:r>
      <w:r w:rsidRPr="007E1812">
        <w:rPr>
          <w:rFonts w:asciiTheme="minorHAnsi" w:hAnsiTheme="minorHAnsi" w:cstheme="minorHAnsi"/>
          <w:szCs w:val="24"/>
        </w:rPr>
        <w:t xml:space="preserve"> </w:t>
      </w:r>
      <w:r w:rsidR="00E338C8" w:rsidRPr="007E1812">
        <w:rPr>
          <w:rFonts w:asciiTheme="minorHAnsi" w:hAnsiTheme="minorHAnsi" w:cstheme="minorHAnsi"/>
          <w:szCs w:val="24"/>
        </w:rPr>
        <w:t>Table 10.</w:t>
      </w:r>
    </w:p>
    <w:p w:rsidR="00C31073" w:rsidRPr="007E1812" w:rsidRDefault="00C31073" w:rsidP="00620BD3">
      <w:pPr>
        <w:pStyle w:val="Caption"/>
      </w:pPr>
      <w:bookmarkStart w:id="44" w:name="_Ref18507023"/>
      <w:r w:rsidRPr="007E1812">
        <w:t xml:space="preserve">Table </w:t>
      </w:r>
      <w:r w:rsidR="007F3D8E" w:rsidRPr="007E1812">
        <w:t>10</w:t>
      </w:r>
      <w:bookmarkEnd w:id="44"/>
      <w:r w:rsidRPr="007E1812">
        <w:t>: Safety results of brigatinib in Study 201-ALTA versus alectinib in ALUR</w:t>
      </w:r>
    </w:p>
    <w:tbl>
      <w:tblPr>
        <w:tblStyle w:val="TableGrid14"/>
        <w:tblW w:w="5000" w:type="pct"/>
        <w:tblCellMar>
          <w:left w:w="85" w:type="dxa"/>
          <w:right w:w="85" w:type="dxa"/>
        </w:tblCellMar>
        <w:tblLook w:val="04A0" w:firstRow="1" w:lastRow="0" w:firstColumn="1" w:lastColumn="0" w:noHBand="0" w:noVBand="1"/>
        <w:tblCaption w:val="Table 12: Safety results of brigatinib in Study 201-ALTA versus alectinib in ALUR"/>
      </w:tblPr>
      <w:tblGrid>
        <w:gridCol w:w="3761"/>
        <w:gridCol w:w="2628"/>
        <w:gridCol w:w="2628"/>
      </w:tblGrid>
      <w:tr w:rsidR="00C31073" w:rsidRPr="007E1812" w:rsidTr="00F878C5">
        <w:trPr>
          <w:trHeight w:val="229"/>
          <w:tblHeader/>
        </w:trPr>
        <w:tc>
          <w:tcPr>
            <w:tcW w:w="2085" w:type="pct"/>
            <w:noWrap/>
          </w:tcPr>
          <w:p w:rsidR="00C31073" w:rsidRPr="007E1812" w:rsidRDefault="00C31073" w:rsidP="00620BD3">
            <w:pPr>
              <w:keepNext/>
              <w:keepLines/>
              <w:widowControl/>
              <w:jc w:val="left"/>
              <w:rPr>
                <w:rFonts w:ascii="Arial Narrow" w:hAnsi="Arial Narrow"/>
                <w:snapToGrid/>
                <w:sz w:val="20"/>
                <w:szCs w:val="20"/>
                <w:lang w:eastAsia="en-AU" w:bidi="th-TH"/>
              </w:rPr>
            </w:pP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b/>
                <w:bCs/>
                <w:snapToGrid/>
                <w:sz w:val="20"/>
                <w:szCs w:val="20"/>
                <w:lang w:eastAsia="en-AU" w:bidi="th-TH"/>
              </w:rPr>
              <w:t>Brigatinib 180 mg (N=110)</w:t>
            </w:r>
          </w:p>
        </w:tc>
        <w:tc>
          <w:tcPr>
            <w:tcW w:w="1457" w:type="pct"/>
            <w:noWrap/>
          </w:tcPr>
          <w:p w:rsidR="00C31073" w:rsidRPr="007E1812" w:rsidRDefault="00C31073" w:rsidP="00620BD3">
            <w:pPr>
              <w:keepNext/>
              <w:keepLines/>
              <w:widowControl/>
              <w:jc w:val="center"/>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Alectinib (N=70)</w:t>
            </w:r>
          </w:p>
        </w:tc>
      </w:tr>
      <w:tr w:rsidR="00C31073" w:rsidRPr="007E1812" w:rsidTr="00F878C5">
        <w:trPr>
          <w:trHeight w:val="229"/>
        </w:trPr>
        <w:tc>
          <w:tcPr>
            <w:tcW w:w="2085" w:type="pct"/>
            <w:noWrap/>
            <w:hideMark/>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Patients with AE</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110 (100)</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54 (77.1)</w:t>
            </w:r>
          </w:p>
        </w:tc>
      </w:tr>
      <w:tr w:rsidR="00C31073" w:rsidRPr="007E1812" w:rsidTr="00F878C5">
        <w:trPr>
          <w:trHeight w:val="230"/>
        </w:trPr>
        <w:tc>
          <w:tcPr>
            <w:tcW w:w="2085" w:type="pct"/>
            <w:noWrap/>
            <w:hideMark/>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Grade ≥3</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60 (54.5)</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19 (27.1)</w:t>
            </w:r>
          </w:p>
        </w:tc>
      </w:tr>
      <w:tr w:rsidR="00C31073" w:rsidRPr="007E1812" w:rsidTr="00F878C5">
        <w:trPr>
          <w:trHeight w:val="229"/>
        </w:trPr>
        <w:tc>
          <w:tcPr>
            <w:tcW w:w="2085" w:type="pct"/>
            <w:noWrap/>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Patients with Serious AEs</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48 (43.6)</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13 (18.6)</w:t>
            </w:r>
          </w:p>
        </w:tc>
      </w:tr>
      <w:tr w:rsidR="00C31073" w:rsidRPr="007E1812" w:rsidTr="00F878C5">
        <w:trPr>
          <w:trHeight w:val="230"/>
        </w:trPr>
        <w:tc>
          <w:tcPr>
            <w:tcW w:w="2085" w:type="pct"/>
            <w:noWrap/>
            <w:hideMark/>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Study drug discontinuation due to AEs</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11 (10)</w:t>
            </w:r>
          </w:p>
        </w:tc>
        <w:tc>
          <w:tcPr>
            <w:tcW w:w="1457" w:type="pct"/>
            <w:noWrap/>
            <w:vAlign w:val="to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 (5.7)</w:t>
            </w:r>
          </w:p>
        </w:tc>
      </w:tr>
      <w:tr w:rsidR="00C31073" w:rsidRPr="007E1812" w:rsidTr="00F878C5">
        <w:trPr>
          <w:trHeight w:val="229"/>
        </w:trPr>
        <w:tc>
          <w:tcPr>
            <w:tcW w:w="2085" w:type="pct"/>
            <w:noWrap/>
            <w:hideMark/>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Dose reduction due to AEs</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25 (22.7)</w:t>
            </w:r>
          </w:p>
        </w:tc>
        <w:tc>
          <w:tcPr>
            <w:tcW w:w="1457" w:type="pct"/>
            <w:noWrap/>
            <w:vAlign w:val="to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 (4.3)</w:t>
            </w:r>
          </w:p>
        </w:tc>
      </w:tr>
      <w:tr w:rsidR="00C31073" w:rsidRPr="007E1812" w:rsidTr="00F878C5">
        <w:trPr>
          <w:trHeight w:val="230"/>
        </w:trPr>
        <w:tc>
          <w:tcPr>
            <w:tcW w:w="2085" w:type="pct"/>
            <w:noWrap/>
            <w:hideMark/>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snapToGrid/>
                <w:sz w:val="20"/>
                <w:szCs w:val="20"/>
                <w:lang w:eastAsia="en-AU" w:bidi="th-TH"/>
              </w:rPr>
              <w:t>Dose interruption due to AEs</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54 (49.1)</w:t>
            </w:r>
          </w:p>
        </w:tc>
        <w:tc>
          <w:tcPr>
            <w:tcW w:w="1457" w:type="pct"/>
            <w:noWrap/>
            <w:vAlign w:val="to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13 (18.6)</w:t>
            </w:r>
          </w:p>
        </w:tc>
      </w:tr>
      <w:tr w:rsidR="00C31073" w:rsidRPr="007E1812" w:rsidTr="00F878C5">
        <w:trPr>
          <w:trHeight w:val="229"/>
        </w:trPr>
        <w:tc>
          <w:tcPr>
            <w:tcW w:w="2085" w:type="pct"/>
            <w:noWrap/>
          </w:tcPr>
          <w:p w:rsidR="00C31073" w:rsidRPr="007E1812" w:rsidRDefault="00C31073" w:rsidP="00620BD3">
            <w:pPr>
              <w:keepNext/>
              <w:keepLines/>
              <w:widowControl/>
              <w:jc w:val="left"/>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Grade ≥3</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p>
        </w:tc>
      </w:tr>
      <w:tr w:rsidR="00C31073" w:rsidRPr="007E1812" w:rsidTr="00F878C5">
        <w:trPr>
          <w:trHeight w:val="230"/>
        </w:trPr>
        <w:tc>
          <w:tcPr>
            <w:tcW w:w="2085" w:type="pct"/>
            <w:noWrap/>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sz w:val="20"/>
                <w:szCs w:val="20"/>
                <w:lang w:eastAsia="en-AU" w:bidi="th-TH"/>
              </w:rPr>
              <w:t>Pneumonia</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6 (5.5)</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2 (2.9)</w:t>
            </w:r>
          </w:p>
        </w:tc>
      </w:tr>
      <w:tr w:rsidR="00C31073" w:rsidRPr="007E1812" w:rsidTr="00F878C5">
        <w:trPr>
          <w:trHeight w:val="229"/>
        </w:trPr>
        <w:tc>
          <w:tcPr>
            <w:tcW w:w="2085" w:type="pct"/>
          </w:tcPr>
          <w:p w:rsidR="00C31073" w:rsidRPr="007E1812" w:rsidRDefault="00C31073" w:rsidP="00620BD3">
            <w:pPr>
              <w:keepNext/>
              <w:keepLines/>
              <w:widowControl/>
              <w:jc w:val="left"/>
              <w:rPr>
                <w:rFonts w:ascii="Arial Narrow" w:hAnsi="Arial Narrow"/>
                <w:b/>
                <w:bCs/>
                <w:snapToGrid/>
                <w:sz w:val="20"/>
                <w:szCs w:val="20"/>
                <w:lang w:eastAsia="en-AU" w:bidi="th-TH"/>
              </w:rPr>
            </w:pPr>
            <w:r w:rsidRPr="007E1812">
              <w:rPr>
                <w:rFonts w:ascii="Arial Narrow" w:hAnsi="Arial Narrow"/>
                <w:b/>
                <w:bCs/>
                <w:snapToGrid/>
                <w:sz w:val="20"/>
                <w:szCs w:val="20"/>
                <w:lang w:eastAsia="en-AU" w:bidi="th-TH"/>
              </w:rPr>
              <w:t>Treatment emergent AE</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p>
        </w:tc>
      </w:tr>
      <w:tr w:rsidR="00C31073" w:rsidRPr="007E1812" w:rsidTr="00F878C5">
        <w:trPr>
          <w:trHeight w:val="230"/>
        </w:trPr>
        <w:tc>
          <w:tcPr>
            <w:tcW w:w="2085" w:type="pct"/>
            <w:vAlign w:val="top"/>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cstheme="minorHAnsi"/>
                <w:sz w:val="20"/>
                <w:szCs w:val="20"/>
              </w:rPr>
              <w:t>Nausea</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z w:val="20"/>
                <w:szCs w:val="20"/>
              </w:rPr>
              <w:t>47 (42.7)</w:t>
            </w:r>
          </w:p>
        </w:tc>
        <w:tc>
          <w:tcPr>
            <w:tcW w:w="1457" w:type="pct"/>
            <w:noWrap/>
            <w:vAlign w:val="to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z w:val="20"/>
                <w:szCs w:val="20"/>
              </w:rPr>
              <w:t>1 (1.4)</w:t>
            </w:r>
          </w:p>
        </w:tc>
      </w:tr>
      <w:tr w:rsidR="00C31073" w:rsidRPr="007E1812" w:rsidTr="00F878C5">
        <w:trPr>
          <w:trHeight w:val="229"/>
        </w:trPr>
        <w:tc>
          <w:tcPr>
            <w:tcW w:w="2085" w:type="pct"/>
            <w:vAlign w:val="top"/>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cstheme="minorHAnsi"/>
                <w:sz w:val="20"/>
                <w:szCs w:val="20"/>
              </w:rPr>
              <w:t>Diarrhoea</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z w:val="20"/>
                <w:szCs w:val="20"/>
              </w:rPr>
              <w:t>43 (39.1)</w:t>
            </w:r>
          </w:p>
        </w:tc>
        <w:tc>
          <w:tcPr>
            <w:tcW w:w="1457" w:type="pct"/>
            <w:noWrap/>
            <w:vAlign w:val="to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z w:val="20"/>
                <w:szCs w:val="20"/>
              </w:rPr>
              <w:t>2 (2.9)</w:t>
            </w:r>
          </w:p>
        </w:tc>
      </w:tr>
      <w:tr w:rsidR="00C31073" w:rsidRPr="007E1812" w:rsidTr="00F878C5">
        <w:trPr>
          <w:trHeight w:val="230"/>
        </w:trPr>
        <w:tc>
          <w:tcPr>
            <w:tcW w:w="2085" w:type="pct"/>
            <w:noWrap/>
            <w:vAlign w:val="top"/>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cstheme="minorHAnsi"/>
                <w:sz w:val="20"/>
                <w:szCs w:val="20"/>
              </w:rPr>
              <w:t>Fatigue</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32 (29.1)</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napToGrid/>
                <w:sz w:val="20"/>
                <w:szCs w:val="20"/>
                <w:lang w:eastAsia="en-AU" w:bidi="th-TH"/>
              </w:rPr>
              <w:t>4 (5.7)</w:t>
            </w:r>
          </w:p>
        </w:tc>
      </w:tr>
      <w:tr w:rsidR="00C31073" w:rsidRPr="007E1812" w:rsidTr="00F878C5">
        <w:trPr>
          <w:trHeight w:val="229"/>
        </w:trPr>
        <w:tc>
          <w:tcPr>
            <w:tcW w:w="2085" w:type="pct"/>
            <w:noWrap/>
            <w:vAlign w:val="top"/>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cstheme="minorHAnsi"/>
                <w:sz w:val="20"/>
                <w:szCs w:val="20"/>
              </w:rPr>
              <w:t>Dyspnoea</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z w:val="20"/>
                <w:szCs w:val="20"/>
              </w:rPr>
              <w:t>25 (22.7)</w:t>
            </w:r>
          </w:p>
        </w:tc>
        <w:tc>
          <w:tcPr>
            <w:tcW w:w="1457" w:type="pct"/>
            <w:noWrap/>
            <w:vAlign w:val="to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z w:val="20"/>
                <w:szCs w:val="20"/>
              </w:rPr>
              <w:t>6 (8.6)</w:t>
            </w:r>
          </w:p>
        </w:tc>
      </w:tr>
      <w:tr w:rsidR="00C31073" w:rsidRPr="007E1812" w:rsidTr="00F878C5">
        <w:trPr>
          <w:trHeight w:val="230"/>
        </w:trPr>
        <w:tc>
          <w:tcPr>
            <w:tcW w:w="2085" w:type="pct"/>
            <w:noWrap/>
            <w:vAlign w:val="top"/>
          </w:tcPr>
          <w:p w:rsidR="00C31073" w:rsidRPr="007E1812" w:rsidRDefault="00C31073" w:rsidP="00620BD3">
            <w:pPr>
              <w:keepNext/>
              <w:keepLines/>
              <w:widowControl/>
              <w:jc w:val="left"/>
              <w:rPr>
                <w:rFonts w:ascii="Arial Narrow" w:hAnsi="Arial Narrow"/>
                <w:snapToGrid/>
                <w:sz w:val="20"/>
                <w:szCs w:val="20"/>
                <w:lang w:eastAsia="en-AU" w:bidi="th-TH"/>
              </w:rPr>
            </w:pPr>
            <w:r w:rsidRPr="007E1812">
              <w:rPr>
                <w:rFonts w:ascii="Arial Narrow" w:hAnsi="Arial Narrow" w:cstheme="minorHAnsi"/>
                <w:sz w:val="20"/>
                <w:szCs w:val="20"/>
              </w:rPr>
              <w:t>Constipation</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z w:val="20"/>
                <w:szCs w:val="20"/>
              </w:rPr>
              <w:t>19 (17.3)</w:t>
            </w:r>
          </w:p>
        </w:tc>
        <w:tc>
          <w:tcPr>
            <w:tcW w:w="1457" w:type="pct"/>
            <w:noWrap/>
          </w:tcPr>
          <w:p w:rsidR="00C31073" w:rsidRPr="007E1812" w:rsidRDefault="00C31073" w:rsidP="00620BD3">
            <w:pPr>
              <w:keepNext/>
              <w:keepLines/>
              <w:widowControl/>
              <w:jc w:val="center"/>
              <w:rPr>
                <w:rFonts w:ascii="Arial Narrow" w:hAnsi="Arial Narrow"/>
                <w:snapToGrid/>
                <w:sz w:val="20"/>
                <w:szCs w:val="20"/>
                <w:lang w:eastAsia="en-AU" w:bidi="th-TH"/>
              </w:rPr>
            </w:pPr>
            <w:r w:rsidRPr="007E1812">
              <w:rPr>
                <w:rFonts w:ascii="Arial Narrow" w:hAnsi="Arial Narrow"/>
                <w:sz w:val="20"/>
                <w:szCs w:val="20"/>
              </w:rPr>
              <w:t>13 (18.6)</w:t>
            </w:r>
          </w:p>
        </w:tc>
      </w:tr>
    </w:tbl>
    <w:p w:rsidR="00C31073" w:rsidRPr="007E1812" w:rsidRDefault="00C31073" w:rsidP="00620BD3">
      <w:pPr>
        <w:keepNext/>
        <w:keepLines/>
        <w:widowControl/>
        <w:rPr>
          <w:rFonts w:ascii="Arial Narrow" w:hAnsi="Arial Narrow"/>
          <w:sz w:val="18"/>
        </w:rPr>
      </w:pPr>
      <w:r w:rsidRPr="007E1812">
        <w:rPr>
          <w:rFonts w:ascii="Arial Narrow" w:hAnsi="Arial Narrow"/>
          <w:sz w:val="18"/>
        </w:rPr>
        <w:t>Abbreviations; AE = adverse event; CI = confidence interval; N = total participants in group</w:t>
      </w:r>
    </w:p>
    <w:p w:rsidR="00C31073" w:rsidRPr="007E1812" w:rsidRDefault="00C31073" w:rsidP="00620BD3">
      <w:pPr>
        <w:keepNext/>
        <w:keepLines/>
        <w:widowControl/>
        <w:rPr>
          <w:rFonts w:ascii="Arial Narrow" w:hAnsi="Arial Narrow"/>
          <w:sz w:val="20"/>
        </w:rPr>
      </w:pPr>
      <w:r w:rsidRPr="007E1812">
        <w:rPr>
          <w:rFonts w:ascii="Arial Narrow" w:hAnsi="Arial Narrow"/>
          <w:sz w:val="18"/>
        </w:rPr>
        <w:t>Note: AE data for 180 mg brigatinib were available from Study 201-ALTA for prior data cut-off (31 May 2016) for median follow-up time of 11 months.</w:t>
      </w:r>
    </w:p>
    <w:p w:rsidR="00C31073" w:rsidRPr="007E1812" w:rsidRDefault="00C31073" w:rsidP="00620BD3">
      <w:pPr>
        <w:keepNext/>
        <w:keepLines/>
        <w:widowControl/>
        <w:rPr>
          <w:rFonts w:ascii="Arial Narrow" w:hAnsi="Arial Narrow"/>
          <w:sz w:val="20"/>
        </w:rPr>
      </w:pPr>
      <w:r w:rsidRPr="007E1812">
        <w:rPr>
          <w:rFonts w:ascii="Arial Narrow" w:hAnsi="Arial Narrow"/>
          <w:sz w:val="18"/>
        </w:rPr>
        <w:t xml:space="preserve">Source: </w:t>
      </w:r>
      <w:r w:rsidRPr="007E1812">
        <w:rPr>
          <w:rFonts w:ascii="Arial Narrow" w:hAnsi="Arial Narrow"/>
          <w:sz w:val="18"/>
          <w:szCs w:val="16"/>
        </w:rPr>
        <w:t>Table 12-2, p.129; Table 12-3, p.131; Table 12-5, p.134; Table 12-9, p.141 of</w:t>
      </w:r>
      <w:r w:rsidRPr="007E1812">
        <w:rPr>
          <w:rFonts w:ascii="Arial Narrow" w:hAnsi="Arial Narrow"/>
          <w:sz w:val="18"/>
        </w:rPr>
        <w:t xml:space="preserve"> </w:t>
      </w:r>
      <w:r w:rsidRPr="007E1812">
        <w:rPr>
          <w:rFonts w:ascii="Arial Narrow" w:hAnsi="Arial Narrow"/>
          <w:sz w:val="18"/>
          <w:szCs w:val="16"/>
        </w:rPr>
        <w:t>Attachment 4a - Study 201 CSR</w:t>
      </w:r>
      <w:r w:rsidRPr="007E1812">
        <w:rPr>
          <w:rFonts w:ascii="Arial Narrow" w:hAnsi="Arial Narrow"/>
          <w:sz w:val="18"/>
        </w:rPr>
        <w:t>; Table 2-64, 2-65, p.121; Table 2-67, p.122; of the submission; Table S8 Novello et al 2018</w:t>
      </w:r>
    </w:p>
    <w:p w:rsidR="00C31073" w:rsidRPr="007E1812" w:rsidRDefault="00C31073" w:rsidP="00620BD3">
      <w:pPr>
        <w:pStyle w:val="ListParagraph"/>
        <w:widowControl/>
        <w:numPr>
          <w:ilvl w:val="1"/>
          <w:numId w:val="1"/>
        </w:numPr>
        <w:spacing w:before="120" w:after="120"/>
      </w:pPr>
      <w:r w:rsidRPr="007E1812">
        <w:t xml:space="preserve">The naïve comparison suggests that in the second-line setting, brigatinib is associated with a higher incidence of AEs, noting that the comparison does not include a common reference. However, a higher incidence of AEs for brigatinib than alectinib in the second-line setting </w:t>
      </w:r>
      <w:r w:rsidR="009F3221" w:rsidRPr="007E1812">
        <w:t>was</w:t>
      </w:r>
      <w:r w:rsidR="008F2A26" w:rsidRPr="007E1812">
        <w:t xml:space="preserve"> likely to</w:t>
      </w:r>
      <w:r w:rsidRPr="007E1812">
        <w:t xml:space="preserve"> </w:t>
      </w:r>
      <w:r w:rsidR="009C3ED8">
        <w:t xml:space="preserve">be impacted </w:t>
      </w:r>
      <w:r w:rsidR="006C6EA3" w:rsidRPr="007E1812">
        <w:t xml:space="preserve">by </w:t>
      </w:r>
      <w:r w:rsidRPr="007E1812">
        <w:t>the longer duration of treatment for brigatinib (approximate median of 10.28 months) than alectinib (app</w:t>
      </w:r>
      <w:r w:rsidR="00776641" w:rsidRPr="007E1812">
        <w:t>roximate median of 5 </w:t>
      </w:r>
      <w:r w:rsidRPr="007E1812">
        <w:t>months), w</w:t>
      </w:r>
      <w:r w:rsidR="009F3221" w:rsidRPr="007E1812">
        <w:t>hich was</w:t>
      </w:r>
      <w:r w:rsidRPr="007E1812">
        <w:t xml:space="preserve"> consistent with the absolute difference observed in PFS outcomes.</w:t>
      </w:r>
    </w:p>
    <w:p w:rsidR="006D3C24" w:rsidRPr="007E1812" w:rsidRDefault="006D3C24" w:rsidP="00620BD3">
      <w:pPr>
        <w:pStyle w:val="Heading2"/>
        <w:widowControl/>
        <w:spacing w:before="120" w:after="120"/>
      </w:pPr>
      <w:bookmarkStart w:id="45" w:name="_Toc19710261"/>
      <w:r w:rsidRPr="007E1812">
        <w:t>Benefits/harms</w:t>
      </w:r>
      <w:bookmarkEnd w:id="45"/>
    </w:p>
    <w:p w:rsidR="00575B14" w:rsidRPr="007E1812" w:rsidRDefault="006D3C24" w:rsidP="00620BD3">
      <w:pPr>
        <w:pStyle w:val="ListParagraph"/>
        <w:widowControl/>
        <w:numPr>
          <w:ilvl w:val="1"/>
          <w:numId w:val="1"/>
        </w:numPr>
        <w:spacing w:before="120" w:after="120"/>
      </w:pPr>
      <w:r w:rsidRPr="007E1812">
        <w:t xml:space="preserve">The naïve comparison presented in the submission did not allow for a quantitative comparison of the benefits and harms of brigatinib and alectinib. Accordingly, a benefits/harms table has not been presented. </w:t>
      </w:r>
      <w:bookmarkStart w:id="46" w:name="_Toc371170709"/>
      <w:bookmarkStart w:id="47" w:name="_Toc18922043"/>
    </w:p>
    <w:p w:rsidR="00C31073" w:rsidRPr="007E1812" w:rsidRDefault="00C31073" w:rsidP="00620BD3">
      <w:pPr>
        <w:pStyle w:val="Heading2"/>
        <w:keepNext/>
        <w:keepLines/>
        <w:widowControl/>
        <w:spacing w:before="120" w:after="120"/>
      </w:pPr>
      <w:bookmarkStart w:id="48" w:name="_Toc19710262"/>
      <w:r w:rsidRPr="007E1812">
        <w:lastRenderedPageBreak/>
        <w:t>Clinical claim</w:t>
      </w:r>
      <w:bookmarkEnd w:id="46"/>
      <w:bookmarkEnd w:id="47"/>
      <w:bookmarkEnd w:id="48"/>
    </w:p>
    <w:p w:rsidR="00C31073" w:rsidRPr="007E1812" w:rsidRDefault="00C31073" w:rsidP="00620BD3">
      <w:pPr>
        <w:pStyle w:val="ListParagraph"/>
        <w:keepNext/>
        <w:keepLines/>
        <w:widowControl/>
        <w:numPr>
          <w:ilvl w:val="1"/>
          <w:numId w:val="1"/>
        </w:numPr>
        <w:spacing w:before="120" w:after="120"/>
      </w:pPr>
      <w:r w:rsidRPr="007E1812">
        <w:t xml:space="preserve">The submission stated that brigatinib provides at least similar efficacy to alectinib for the key clinical outcomes (ORR, DOR, PFS, OS and HRQoL) and is associated with a different but overall non-inferior safety and tolerability profile to that seen with alectinib and other ALK targeted TKIs. </w:t>
      </w:r>
    </w:p>
    <w:p w:rsidR="00C31073" w:rsidRPr="007E1812" w:rsidRDefault="00C31073" w:rsidP="00620BD3">
      <w:pPr>
        <w:pStyle w:val="ListParagraph"/>
        <w:widowControl/>
        <w:numPr>
          <w:ilvl w:val="1"/>
          <w:numId w:val="1"/>
        </w:numPr>
        <w:spacing w:before="120" w:after="120"/>
      </w:pPr>
      <w:r w:rsidRPr="007E1812">
        <w:t>For the first-line setting, the claim for non-inferiority in terms of PFS was supported by the evidence presented in the submission. The claim of non-inferiority for OS in the first-line setting was not supported by the evidence</w:t>
      </w:r>
      <w:r w:rsidR="00BD7A59" w:rsidRPr="007E1812">
        <w:t xml:space="preserve">, noting </w:t>
      </w:r>
      <w:r w:rsidR="006730D4" w:rsidRPr="007E1812">
        <w:t>the immature nature of the data</w:t>
      </w:r>
      <w:r w:rsidRPr="007E1812">
        <w:t>. The ITC suggested that OS outcomes favoured alectinib over brigatinib. However, the comparison of OS outcomes was potentially confounded by indirect nature of the comparison, differences in the duration of follow-up and difference in practice between trials. Similarly, the claim of non-inferior HRQoL was not supported given the lack of comparative data across the trials (ALTA-1L and ALEX).</w:t>
      </w:r>
      <w:r w:rsidR="006F7786" w:rsidRPr="007E1812">
        <w:t xml:space="preserve"> </w:t>
      </w:r>
    </w:p>
    <w:p w:rsidR="00C31073" w:rsidRPr="007E1812" w:rsidRDefault="008F2A26" w:rsidP="00620BD3">
      <w:pPr>
        <w:pStyle w:val="ListParagraph"/>
        <w:widowControl/>
        <w:numPr>
          <w:ilvl w:val="1"/>
          <w:numId w:val="1"/>
        </w:numPr>
        <w:spacing w:before="120" w:after="120"/>
      </w:pPr>
      <w:r w:rsidRPr="007E1812">
        <w:t>For the first-line setting, t</w:t>
      </w:r>
      <w:r w:rsidR="00C31073" w:rsidRPr="007E1812">
        <w:t xml:space="preserve">he claim of non-inferiority in safety compared to alectinib was not </w:t>
      </w:r>
      <w:r w:rsidR="00245F4C" w:rsidRPr="007E1812">
        <w:t xml:space="preserve">adequately </w:t>
      </w:r>
      <w:r w:rsidR="00C31073" w:rsidRPr="007E1812">
        <w:t xml:space="preserve">supported by the evidence; the ITC suggesting that brigatinib </w:t>
      </w:r>
      <w:r w:rsidR="00245F4C" w:rsidRPr="007E1812">
        <w:t>may have</w:t>
      </w:r>
      <w:r w:rsidR="00C31073" w:rsidRPr="007E1812">
        <w:t xml:space="preserve"> a worse safety profile compared to alectinib. In addition, patients receiving brigatinib appeared to have higher rates of dose interruption/reduction and discontinuation of drug compared to alectinib. These trends were observed despite the shorter duration of follow-up for brigatinib with a high number of patients still receiving treatment in ALTA-1L compared with ALEX.</w:t>
      </w:r>
      <w:r w:rsidR="00DE10FD" w:rsidRPr="007E1812">
        <w:t xml:space="preserve"> </w:t>
      </w:r>
      <w:r w:rsidR="00DE10FD" w:rsidRPr="007E1812">
        <w:rPr>
          <w:iCs/>
        </w:rPr>
        <w:t xml:space="preserve">The ESC </w:t>
      </w:r>
      <w:r w:rsidR="00040DBF" w:rsidRPr="007E1812">
        <w:rPr>
          <w:iCs/>
        </w:rPr>
        <w:t>noted that ALK-TKIs have different adverse event profiles, making comparison</w:t>
      </w:r>
      <w:r w:rsidRPr="007E1812">
        <w:rPr>
          <w:iCs/>
        </w:rPr>
        <w:t>s</w:t>
      </w:r>
      <w:r w:rsidR="00040DBF" w:rsidRPr="007E1812">
        <w:rPr>
          <w:iCs/>
        </w:rPr>
        <w:t xml:space="preserve"> difficult.</w:t>
      </w:r>
    </w:p>
    <w:p w:rsidR="003E4D89" w:rsidRPr="007E1812" w:rsidRDefault="00C31073" w:rsidP="00620BD3">
      <w:pPr>
        <w:pStyle w:val="ListParagraph"/>
        <w:widowControl/>
        <w:numPr>
          <w:ilvl w:val="1"/>
          <w:numId w:val="1"/>
        </w:numPr>
        <w:spacing w:before="120" w:after="120"/>
        <w:rPr>
          <w:iCs/>
        </w:rPr>
      </w:pPr>
      <w:r w:rsidRPr="007E1812">
        <w:t xml:space="preserve">In the second-line setting, the efficacy claims for PFS and OS </w:t>
      </w:r>
      <w:r w:rsidR="008F2A26" w:rsidRPr="007E1812">
        <w:t xml:space="preserve">may </w:t>
      </w:r>
      <w:r w:rsidR="00570858" w:rsidRPr="007E1812">
        <w:t xml:space="preserve">have </w:t>
      </w:r>
      <w:r w:rsidR="008F2A26" w:rsidRPr="007E1812">
        <w:t>be</w:t>
      </w:r>
      <w:r w:rsidR="00570858" w:rsidRPr="007E1812">
        <w:t>en</w:t>
      </w:r>
      <w:r w:rsidR="008F2A26" w:rsidRPr="007E1812">
        <w:t xml:space="preserve"> reasonable,</w:t>
      </w:r>
      <w:r w:rsidRPr="007E1812">
        <w:t xml:space="preserve"> but </w:t>
      </w:r>
      <w:r w:rsidR="00570858" w:rsidRPr="007E1812">
        <w:t>were</w:t>
      </w:r>
      <w:r w:rsidR="006C6EA3" w:rsidRPr="007E1812">
        <w:t xml:space="preserve"> </w:t>
      </w:r>
      <w:r w:rsidRPr="007E1812">
        <w:t xml:space="preserve">based on comparison of single arms from RCTs and </w:t>
      </w:r>
      <w:r w:rsidR="00570858" w:rsidRPr="007E1812">
        <w:t>were</w:t>
      </w:r>
      <w:r w:rsidR="008F2A26" w:rsidRPr="007E1812">
        <w:t xml:space="preserve"> </w:t>
      </w:r>
      <w:r w:rsidRPr="007E1812">
        <w:t xml:space="preserve">not informed by a common reference. </w:t>
      </w:r>
      <w:r w:rsidR="00040DBF" w:rsidRPr="007E1812">
        <w:t>The ESC considered that</w:t>
      </w:r>
      <w:r w:rsidRPr="007E1812">
        <w:t xml:space="preserve"> the claim was not adequately supported by the data presented.</w:t>
      </w:r>
      <w:r w:rsidR="001F5A91" w:rsidRPr="007E1812">
        <w:t xml:space="preserve"> </w:t>
      </w:r>
      <w:r w:rsidRPr="007E1812">
        <w:t xml:space="preserve">Similar to the first-line setting, there was a lack of a </w:t>
      </w:r>
      <w:r w:rsidR="003E4D89" w:rsidRPr="007E1812">
        <w:t xml:space="preserve">meaningful </w:t>
      </w:r>
      <w:r w:rsidRPr="007E1812">
        <w:t>comparative analysis of HRQoL between brigatinib and alectinib</w:t>
      </w:r>
      <w:r w:rsidR="003E4D89" w:rsidRPr="007E1812">
        <w:t xml:space="preserve">. </w:t>
      </w:r>
    </w:p>
    <w:p w:rsidR="00C31073" w:rsidRPr="007E1812" w:rsidRDefault="008F2A26" w:rsidP="00620BD3">
      <w:pPr>
        <w:pStyle w:val="ListParagraph"/>
        <w:widowControl/>
        <w:numPr>
          <w:ilvl w:val="1"/>
          <w:numId w:val="1"/>
        </w:numPr>
        <w:spacing w:before="120" w:after="120"/>
        <w:rPr>
          <w:iCs/>
        </w:rPr>
      </w:pPr>
      <w:r w:rsidRPr="007E1812">
        <w:t>In the second-line setting, b</w:t>
      </w:r>
      <w:r w:rsidR="00C31073" w:rsidRPr="007E1812">
        <w:t>rigatinib appeared to have a worse safety profile compared to alectinib</w:t>
      </w:r>
      <w:r w:rsidR="00040DBF" w:rsidRPr="007E1812">
        <w:t>, although the ESC considered that the differen</w:t>
      </w:r>
      <w:r w:rsidR="00A9751E" w:rsidRPr="007E1812">
        <w:t>t</w:t>
      </w:r>
      <w:r w:rsidR="00040DBF" w:rsidRPr="007E1812">
        <w:t xml:space="preserve"> safety profiles </w:t>
      </w:r>
      <w:r w:rsidR="003E4D89" w:rsidRPr="007E1812">
        <w:t>make</w:t>
      </w:r>
      <w:r w:rsidR="00040DBF" w:rsidRPr="007E1812">
        <w:t xml:space="preserve"> </w:t>
      </w:r>
      <w:r w:rsidR="00A9751E" w:rsidRPr="007E1812">
        <w:t xml:space="preserve">the </w:t>
      </w:r>
      <w:r w:rsidR="00040DBF" w:rsidRPr="007E1812">
        <w:t>comparison difficult</w:t>
      </w:r>
      <w:r w:rsidR="003E4D89" w:rsidRPr="007E1812">
        <w:t>, with or without a common reference arm</w:t>
      </w:r>
      <w:r w:rsidR="000C5F62" w:rsidRPr="007E1812">
        <w:t xml:space="preserve">. </w:t>
      </w:r>
      <w:r w:rsidRPr="007E1812">
        <w:t>F</w:t>
      </w:r>
      <w:r w:rsidR="003E4D89" w:rsidRPr="007E1812">
        <w:t xml:space="preserve">urthermore, </w:t>
      </w:r>
      <w:r w:rsidRPr="007E1812">
        <w:t xml:space="preserve">the ESC </w:t>
      </w:r>
      <w:r w:rsidR="003E4D89" w:rsidRPr="007E1812">
        <w:t xml:space="preserve">considered that </w:t>
      </w:r>
      <w:r w:rsidR="003E4D89" w:rsidRPr="007E1812">
        <w:rPr>
          <w:iCs/>
        </w:rPr>
        <w:t>the</w:t>
      </w:r>
      <w:r w:rsidR="00E015EA" w:rsidRPr="007E1812">
        <w:rPr>
          <w:iCs/>
        </w:rPr>
        <w:t xml:space="preserve"> higher incidence of AEs for brigatinib than alectinib in the second-line setting </w:t>
      </w:r>
      <w:r w:rsidR="003E4D89" w:rsidRPr="007E1812">
        <w:rPr>
          <w:iCs/>
        </w:rPr>
        <w:t>may</w:t>
      </w:r>
      <w:r w:rsidR="00E015EA" w:rsidRPr="007E1812">
        <w:rPr>
          <w:iCs/>
        </w:rPr>
        <w:t xml:space="preserve"> </w:t>
      </w:r>
      <w:r w:rsidR="00364BD0" w:rsidRPr="007E1812">
        <w:rPr>
          <w:iCs/>
        </w:rPr>
        <w:t xml:space="preserve">also </w:t>
      </w:r>
      <w:r w:rsidR="00E015EA" w:rsidRPr="007E1812">
        <w:rPr>
          <w:iCs/>
        </w:rPr>
        <w:t>reflect the longer duration of treatment for brigatinib</w:t>
      </w:r>
      <w:r w:rsidR="00DB2FDE" w:rsidRPr="007E1812">
        <w:rPr>
          <w:iCs/>
        </w:rPr>
        <w:t xml:space="preserve">. </w:t>
      </w:r>
    </w:p>
    <w:p w:rsidR="00757EE7" w:rsidRPr="007E1812" w:rsidRDefault="00757EE7" w:rsidP="00620BD3">
      <w:pPr>
        <w:pStyle w:val="ListParagraph"/>
        <w:widowControl/>
        <w:numPr>
          <w:ilvl w:val="1"/>
          <w:numId w:val="1"/>
        </w:numPr>
      </w:pPr>
      <w:r w:rsidRPr="007E1812">
        <w:rPr>
          <w:iCs/>
        </w:rPr>
        <w:t>The PBAC considered that the claim of non-inferior effectiveness</w:t>
      </w:r>
      <w:r w:rsidR="00E74788" w:rsidRPr="007E1812">
        <w:rPr>
          <w:iCs/>
        </w:rPr>
        <w:t xml:space="preserve"> </w:t>
      </w:r>
      <w:r w:rsidR="003B3578" w:rsidRPr="007E1812">
        <w:rPr>
          <w:iCs/>
        </w:rPr>
        <w:t xml:space="preserve">compared with </w:t>
      </w:r>
      <w:r w:rsidR="00E74788" w:rsidRPr="007E1812">
        <w:rPr>
          <w:iCs/>
        </w:rPr>
        <w:t>alectinib in the first-line setting was reasonable</w:t>
      </w:r>
      <w:r w:rsidR="003B3578" w:rsidRPr="007E1812">
        <w:rPr>
          <w:iCs/>
        </w:rPr>
        <w:t>.</w:t>
      </w:r>
      <w:r w:rsidR="00E74788" w:rsidRPr="007E1812">
        <w:rPr>
          <w:iCs/>
        </w:rPr>
        <w:t xml:space="preserve"> </w:t>
      </w:r>
      <w:r w:rsidR="003B3578" w:rsidRPr="007E1812">
        <w:rPr>
          <w:iCs/>
        </w:rPr>
        <w:t>The PBAC considered that the claim of non-inferior effective</w:t>
      </w:r>
      <w:r w:rsidR="0090386E" w:rsidRPr="007E1812">
        <w:rPr>
          <w:iCs/>
        </w:rPr>
        <w:t xml:space="preserve">ness compared with alectinib </w:t>
      </w:r>
      <w:r w:rsidR="003878BC" w:rsidRPr="007E1812">
        <w:rPr>
          <w:iCs/>
        </w:rPr>
        <w:t>in the second-line setting</w:t>
      </w:r>
      <w:r w:rsidR="00ED761B" w:rsidRPr="007E1812">
        <w:rPr>
          <w:iCs/>
        </w:rPr>
        <w:t xml:space="preserve"> </w:t>
      </w:r>
      <w:r w:rsidR="00ED761B" w:rsidRPr="007E1812">
        <w:t xml:space="preserve">was </w:t>
      </w:r>
      <w:r w:rsidR="008E1063" w:rsidRPr="007E1812">
        <w:t>uncertain</w:t>
      </w:r>
      <w:r w:rsidR="003B3578" w:rsidRPr="007E1812">
        <w:t xml:space="preserve">, however, </w:t>
      </w:r>
      <w:r w:rsidR="00ED761B" w:rsidRPr="007E1812">
        <w:t xml:space="preserve">considered </w:t>
      </w:r>
      <w:r w:rsidR="003B3578" w:rsidRPr="007E1812">
        <w:t xml:space="preserve">it </w:t>
      </w:r>
      <w:r w:rsidR="008E1063" w:rsidRPr="007E1812">
        <w:t xml:space="preserve">reasonable to conclude </w:t>
      </w:r>
      <w:r w:rsidR="003B3578" w:rsidRPr="007E1812">
        <w:t xml:space="preserve">that the effectiveness of </w:t>
      </w:r>
      <w:r w:rsidR="00ED761B" w:rsidRPr="007E1812">
        <w:t xml:space="preserve">brigatinib </w:t>
      </w:r>
      <w:r w:rsidR="008E1063" w:rsidRPr="007E1812">
        <w:t>is</w:t>
      </w:r>
      <w:r w:rsidR="003B3578" w:rsidRPr="007E1812">
        <w:t xml:space="preserve"> </w:t>
      </w:r>
      <w:r w:rsidR="006E564C" w:rsidRPr="007E1812">
        <w:t xml:space="preserve">also </w:t>
      </w:r>
      <w:r w:rsidR="003B3578" w:rsidRPr="007E1812">
        <w:t xml:space="preserve">similar </w:t>
      </w:r>
      <w:r w:rsidR="00ED761B" w:rsidRPr="007E1812">
        <w:t>to alectinib post-crizotinib therapy</w:t>
      </w:r>
      <w:r w:rsidR="00AF5140" w:rsidRPr="007E1812">
        <w:t>.</w:t>
      </w:r>
    </w:p>
    <w:p w:rsidR="00CB61DA" w:rsidRPr="007E1812" w:rsidRDefault="00CB61DA" w:rsidP="00620BD3">
      <w:pPr>
        <w:pStyle w:val="ListParagraph"/>
        <w:keepNext/>
        <w:keepLines/>
        <w:widowControl/>
        <w:numPr>
          <w:ilvl w:val="1"/>
          <w:numId w:val="1"/>
        </w:numPr>
        <w:spacing w:before="120" w:after="120"/>
      </w:pPr>
      <w:r w:rsidRPr="007E1812">
        <w:rPr>
          <w:iCs/>
        </w:rPr>
        <w:lastRenderedPageBreak/>
        <w:t>The PBAC considered that the safety</w:t>
      </w:r>
      <w:r w:rsidR="008E1063" w:rsidRPr="007E1812">
        <w:rPr>
          <w:iCs/>
        </w:rPr>
        <w:t xml:space="preserve"> profile of brigatinib</w:t>
      </w:r>
      <w:r w:rsidRPr="007E1812">
        <w:rPr>
          <w:iCs/>
        </w:rPr>
        <w:t xml:space="preserve"> to </w:t>
      </w:r>
      <w:r w:rsidR="008E1063" w:rsidRPr="007E1812">
        <w:rPr>
          <w:iCs/>
        </w:rPr>
        <w:t xml:space="preserve">be different to </w:t>
      </w:r>
      <w:r w:rsidRPr="007E1812">
        <w:rPr>
          <w:iCs/>
        </w:rPr>
        <w:t>alectinib</w:t>
      </w:r>
      <w:r w:rsidR="006E564C" w:rsidRPr="007E1812">
        <w:rPr>
          <w:iCs/>
        </w:rPr>
        <w:t>, making the comparison difficult, however accepted that there is no substantive difference in safety across the two drugs</w:t>
      </w:r>
      <w:r w:rsidR="00976EBC" w:rsidRPr="007E1812">
        <w:rPr>
          <w:iCs/>
        </w:rPr>
        <w:t xml:space="preserve">. </w:t>
      </w:r>
    </w:p>
    <w:p w:rsidR="00C31073" w:rsidRPr="007E1812" w:rsidRDefault="00C31073" w:rsidP="00620BD3">
      <w:pPr>
        <w:pStyle w:val="Heading2"/>
        <w:keepNext/>
        <w:keepLines/>
        <w:widowControl/>
        <w:spacing w:before="120" w:after="120"/>
      </w:pPr>
      <w:bookmarkStart w:id="49" w:name="_Toc371170710"/>
      <w:bookmarkStart w:id="50" w:name="_Toc18922044"/>
      <w:bookmarkStart w:id="51" w:name="_Toc19710263"/>
      <w:r w:rsidRPr="007E1812">
        <w:t>Economic analysis</w:t>
      </w:r>
      <w:bookmarkEnd w:id="49"/>
      <w:bookmarkEnd w:id="50"/>
      <w:bookmarkEnd w:id="51"/>
      <w:r w:rsidRPr="007E1812">
        <w:t xml:space="preserve"> </w:t>
      </w:r>
    </w:p>
    <w:p w:rsidR="00C31073" w:rsidRPr="007E1812" w:rsidRDefault="00C31073" w:rsidP="00620BD3">
      <w:pPr>
        <w:pStyle w:val="ListParagraph"/>
        <w:keepNext/>
        <w:keepLines/>
        <w:widowControl/>
        <w:numPr>
          <w:ilvl w:val="1"/>
          <w:numId w:val="1"/>
        </w:numPr>
        <w:spacing w:before="120" w:after="120"/>
        <w:rPr>
          <w:rFonts w:asciiTheme="minorHAnsi" w:hAnsiTheme="minorHAnsi" w:cstheme="minorHAnsi"/>
          <w:szCs w:val="24"/>
        </w:rPr>
      </w:pPr>
      <w:r w:rsidRPr="007E1812">
        <w:t>The submission presented a CMA comparing brigatinib to alectinib</w:t>
      </w:r>
      <w:r w:rsidR="000C5F62" w:rsidRPr="007E1812">
        <w:t xml:space="preserve">. </w:t>
      </w:r>
      <w:r w:rsidRPr="007E1812">
        <w:t xml:space="preserve">The components and assumptions of the CMA are </w:t>
      </w:r>
      <w:r w:rsidRPr="007E1812">
        <w:rPr>
          <w:rFonts w:asciiTheme="minorHAnsi" w:hAnsiTheme="minorHAnsi" w:cstheme="minorHAnsi"/>
          <w:szCs w:val="24"/>
        </w:rPr>
        <w:t xml:space="preserve">presented in </w:t>
      </w:r>
      <w:r w:rsidR="000D078D" w:rsidRPr="007E1812">
        <w:rPr>
          <w:rFonts w:asciiTheme="minorHAnsi" w:hAnsiTheme="minorHAnsi" w:cstheme="minorHAnsi"/>
          <w:szCs w:val="24"/>
        </w:rPr>
        <w:t>Table 11</w:t>
      </w:r>
      <w:r w:rsidRPr="007E1812">
        <w:rPr>
          <w:rFonts w:asciiTheme="minorHAnsi" w:hAnsiTheme="minorHAnsi" w:cstheme="minorHAnsi"/>
          <w:szCs w:val="24"/>
        </w:rPr>
        <w:t xml:space="preserve">. </w:t>
      </w:r>
    </w:p>
    <w:p w:rsidR="00C31073" w:rsidRPr="007E1812" w:rsidRDefault="00C31073" w:rsidP="00620BD3">
      <w:pPr>
        <w:pStyle w:val="Caption"/>
        <w:rPr>
          <w:rStyle w:val="CommentReference"/>
          <w:b/>
          <w:szCs w:val="20"/>
        </w:rPr>
      </w:pPr>
      <w:bookmarkStart w:id="52" w:name="_Ref18507164"/>
      <w:r w:rsidRPr="007E1812">
        <w:t xml:space="preserve">Table </w:t>
      </w:r>
      <w:r w:rsidR="007F3D8E" w:rsidRPr="007E1812">
        <w:t>11</w:t>
      </w:r>
      <w:bookmarkEnd w:id="52"/>
      <w:r w:rsidRPr="007E1812">
        <w:rPr>
          <w:rStyle w:val="CommentReference"/>
          <w:szCs w:val="20"/>
        </w:rPr>
        <w:t>:</w:t>
      </w:r>
      <w:r w:rsidRPr="007E1812">
        <w:rPr>
          <w:rStyle w:val="CommentReference"/>
          <w:b/>
          <w:szCs w:val="20"/>
        </w:rPr>
        <w:t xml:space="preserve"> Summary of 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Summary of key components and assumptions of the cost-minimisation analysis"/>
      </w:tblPr>
      <w:tblGrid>
        <w:gridCol w:w="2518"/>
        <w:gridCol w:w="6499"/>
      </w:tblGrid>
      <w:tr w:rsidR="00C31073" w:rsidRPr="007E1812" w:rsidTr="008B784E">
        <w:trPr>
          <w:tblHeader/>
        </w:trPr>
        <w:tc>
          <w:tcPr>
            <w:tcW w:w="1396" w:type="pct"/>
            <w:shd w:val="clear" w:color="auto" w:fill="auto"/>
            <w:vAlign w:val="center"/>
          </w:tcPr>
          <w:p w:rsidR="00C31073" w:rsidRPr="007E1812" w:rsidRDefault="00C31073" w:rsidP="00620BD3">
            <w:pPr>
              <w:pStyle w:val="Tabletext"/>
              <w:keepNext/>
              <w:keepLines/>
              <w:rPr>
                <w:b/>
              </w:rPr>
            </w:pPr>
            <w:r w:rsidRPr="007E1812">
              <w:rPr>
                <w:b/>
              </w:rPr>
              <w:t>Component</w:t>
            </w:r>
          </w:p>
        </w:tc>
        <w:tc>
          <w:tcPr>
            <w:tcW w:w="3604" w:type="pct"/>
            <w:shd w:val="clear" w:color="auto" w:fill="auto"/>
            <w:vAlign w:val="center"/>
          </w:tcPr>
          <w:p w:rsidR="00C31073" w:rsidRPr="007E1812" w:rsidRDefault="00C31073" w:rsidP="00620BD3">
            <w:pPr>
              <w:pStyle w:val="Tabletext"/>
              <w:keepNext/>
              <w:keepLines/>
              <w:jc w:val="center"/>
              <w:rPr>
                <w:b/>
              </w:rPr>
            </w:pPr>
            <w:r w:rsidRPr="007E1812">
              <w:rPr>
                <w:b/>
              </w:rPr>
              <w:t>Summary</w:t>
            </w:r>
          </w:p>
        </w:tc>
      </w:tr>
      <w:tr w:rsidR="00C31073" w:rsidRPr="007E1812" w:rsidTr="008B784E">
        <w:tc>
          <w:tcPr>
            <w:tcW w:w="1396" w:type="pct"/>
            <w:vAlign w:val="center"/>
          </w:tcPr>
          <w:p w:rsidR="00C31073" w:rsidRPr="007E1812" w:rsidRDefault="00C31073" w:rsidP="00620BD3">
            <w:pPr>
              <w:pStyle w:val="Tabletext"/>
              <w:keepNext/>
              <w:keepLines/>
            </w:pPr>
            <w:r w:rsidRPr="007E1812">
              <w:t>Therapeutic claim: effectiveness</w:t>
            </w:r>
          </w:p>
        </w:tc>
        <w:tc>
          <w:tcPr>
            <w:tcW w:w="3604" w:type="pct"/>
            <w:vAlign w:val="center"/>
          </w:tcPr>
          <w:p w:rsidR="00C31073" w:rsidRPr="007E1812" w:rsidRDefault="00C31073" w:rsidP="00620BD3">
            <w:pPr>
              <w:pStyle w:val="Tabletext"/>
              <w:keepNext/>
              <w:keepLines/>
            </w:pPr>
            <w:r w:rsidRPr="007E1812">
              <w:t xml:space="preserve">Based on evidence presented </w:t>
            </w:r>
            <w:r w:rsidR="008B400C" w:rsidRPr="007E1812">
              <w:t>in the submission</w:t>
            </w:r>
            <w:r w:rsidRPr="007E1812">
              <w:t>, effectiveness is assumed to be non-inferior</w:t>
            </w:r>
          </w:p>
        </w:tc>
      </w:tr>
      <w:tr w:rsidR="00C31073" w:rsidRPr="007E1812" w:rsidTr="008B784E">
        <w:tc>
          <w:tcPr>
            <w:tcW w:w="1396" w:type="pct"/>
            <w:vAlign w:val="center"/>
          </w:tcPr>
          <w:p w:rsidR="00C31073" w:rsidRPr="007E1812" w:rsidRDefault="00C31073" w:rsidP="00620BD3">
            <w:pPr>
              <w:pStyle w:val="Tabletext"/>
              <w:keepNext/>
              <w:keepLines/>
            </w:pPr>
            <w:r w:rsidRPr="007E1812">
              <w:t>Therapeutic claim: safety</w:t>
            </w:r>
          </w:p>
        </w:tc>
        <w:tc>
          <w:tcPr>
            <w:tcW w:w="3604" w:type="pct"/>
            <w:vAlign w:val="center"/>
          </w:tcPr>
          <w:p w:rsidR="00C31073" w:rsidRPr="007E1812" w:rsidRDefault="00C31073" w:rsidP="00620BD3">
            <w:pPr>
              <w:pStyle w:val="Tabletext"/>
              <w:keepNext/>
              <w:keepLines/>
            </w:pPr>
            <w:r w:rsidRPr="007E1812">
              <w:t>Based on</w:t>
            </w:r>
            <w:r w:rsidR="008B400C" w:rsidRPr="007E1812">
              <w:t xml:space="preserve"> evidence presented in the submission</w:t>
            </w:r>
            <w:r w:rsidRPr="007E1812">
              <w:t>, safety is assumed to be non-inferior, with slightly different profile of adverse events</w:t>
            </w:r>
          </w:p>
        </w:tc>
      </w:tr>
      <w:tr w:rsidR="00C31073" w:rsidRPr="007E1812" w:rsidTr="008B784E">
        <w:tc>
          <w:tcPr>
            <w:tcW w:w="1396" w:type="pct"/>
            <w:vAlign w:val="center"/>
          </w:tcPr>
          <w:p w:rsidR="00C31073" w:rsidRPr="007E1812" w:rsidRDefault="00C31073" w:rsidP="00620BD3">
            <w:pPr>
              <w:pStyle w:val="Tabletext"/>
              <w:keepNext/>
              <w:keepLines/>
            </w:pPr>
            <w:r w:rsidRPr="007E1812">
              <w:t>Evidence base</w:t>
            </w:r>
          </w:p>
        </w:tc>
        <w:tc>
          <w:tcPr>
            <w:tcW w:w="3604" w:type="pct"/>
            <w:vAlign w:val="center"/>
          </w:tcPr>
          <w:p w:rsidR="00C31073" w:rsidRPr="007E1812" w:rsidRDefault="00C31073" w:rsidP="00620BD3">
            <w:pPr>
              <w:pStyle w:val="Tabletext"/>
              <w:keepNext/>
              <w:keepLines/>
            </w:pPr>
            <w:r w:rsidRPr="007E1812">
              <w:t xml:space="preserve">Treatment naïve patients: </w:t>
            </w:r>
          </w:p>
          <w:p w:rsidR="00C31073" w:rsidRPr="007E1812" w:rsidRDefault="00C31073" w:rsidP="00620BD3">
            <w:pPr>
              <w:pStyle w:val="Tabletext"/>
              <w:keepNext/>
              <w:keepLines/>
            </w:pPr>
            <w:r w:rsidRPr="007E1812">
              <w:t>Indirect comparison based on ALTA-1L and ALEX</w:t>
            </w:r>
          </w:p>
          <w:p w:rsidR="00C31073" w:rsidRPr="007E1812" w:rsidRDefault="00C31073" w:rsidP="00620BD3">
            <w:pPr>
              <w:pStyle w:val="Tabletext"/>
              <w:keepNext/>
              <w:keepLines/>
            </w:pPr>
            <w:r w:rsidRPr="007E1812">
              <w:t>Crizotinib treated patients:</w:t>
            </w:r>
          </w:p>
          <w:p w:rsidR="00C31073" w:rsidRPr="007E1812" w:rsidRDefault="00C31073" w:rsidP="00620BD3">
            <w:pPr>
              <w:pStyle w:val="Tabletext"/>
              <w:keepNext/>
              <w:keepLines/>
            </w:pPr>
            <w:r w:rsidRPr="007E1812">
              <w:t>Naïve indirect comparison based on Study 201-ALTA and ALUR</w:t>
            </w:r>
          </w:p>
        </w:tc>
      </w:tr>
      <w:tr w:rsidR="00C31073" w:rsidRPr="007E1812" w:rsidTr="008B784E">
        <w:tc>
          <w:tcPr>
            <w:tcW w:w="1396" w:type="pct"/>
            <w:vAlign w:val="center"/>
          </w:tcPr>
          <w:p w:rsidR="00C31073" w:rsidRPr="007E1812" w:rsidRDefault="00C31073" w:rsidP="00620BD3">
            <w:pPr>
              <w:pStyle w:val="Tabletext"/>
              <w:keepNext/>
              <w:keepLines/>
            </w:pPr>
            <w:r w:rsidRPr="007E1812">
              <w:t>Equi-effective doses</w:t>
            </w:r>
          </w:p>
        </w:tc>
        <w:tc>
          <w:tcPr>
            <w:tcW w:w="3604" w:type="pct"/>
            <w:vAlign w:val="center"/>
          </w:tcPr>
          <w:p w:rsidR="00C31073" w:rsidRPr="007E1812" w:rsidRDefault="00C31073" w:rsidP="00620BD3">
            <w:pPr>
              <w:pStyle w:val="Tabletext"/>
              <w:keepNext/>
              <w:keepLines/>
            </w:pPr>
            <w:r w:rsidRPr="00AB20EC">
              <w:t xml:space="preserve">Brigatinib </w:t>
            </w:r>
            <w:r w:rsidR="00765787">
              <w:rPr>
                <w:noProof/>
                <w:color w:val="000000"/>
                <w:highlight w:val="black"/>
              </w:rPr>
              <w:t>'''''''''''''''''</w:t>
            </w:r>
            <w:r w:rsidR="00AB20EC" w:rsidRPr="00AB20EC">
              <w:t xml:space="preserve"> mg </w:t>
            </w:r>
            <w:r w:rsidRPr="00AB20EC">
              <w:t>daily</w:t>
            </w:r>
            <w:r w:rsidRPr="007E1812">
              <w:t xml:space="preserve"> = Alectinib 1,147.20 mg daily (divided dose)</w:t>
            </w:r>
          </w:p>
        </w:tc>
      </w:tr>
      <w:tr w:rsidR="00C31073" w:rsidRPr="007E1812" w:rsidTr="008B784E">
        <w:tc>
          <w:tcPr>
            <w:tcW w:w="1396" w:type="pct"/>
            <w:vAlign w:val="center"/>
          </w:tcPr>
          <w:p w:rsidR="00C31073" w:rsidRPr="007E1812" w:rsidRDefault="00C31073" w:rsidP="00620BD3">
            <w:pPr>
              <w:pStyle w:val="Tabletext"/>
              <w:keepNext/>
              <w:keepLines/>
            </w:pPr>
            <w:r w:rsidRPr="007E1812">
              <w:t>Direct medicine costs</w:t>
            </w:r>
          </w:p>
        </w:tc>
        <w:tc>
          <w:tcPr>
            <w:tcW w:w="3604" w:type="pct"/>
            <w:vAlign w:val="center"/>
          </w:tcPr>
          <w:p w:rsidR="00C31073" w:rsidRPr="007E1812" w:rsidRDefault="00C31073" w:rsidP="00620BD3">
            <w:pPr>
              <w:pStyle w:val="Tabletext"/>
              <w:keepNext/>
              <w:keepLines/>
            </w:pPr>
            <w:r w:rsidRPr="007E1812">
              <w:t>Alectinib Approved Ex-Manufacturer Price (AEMP) (224 x 150 mg) = $6,653.08</w:t>
            </w:r>
          </w:p>
        </w:tc>
      </w:tr>
      <w:tr w:rsidR="00C31073" w:rsidRPr="007E1812" w:rsidTr="008B784E">
        <w:tc>
          <w:tcPr>
            <w:tcW w:w="1396" w:type="pct"/>
            <w:vAlign w:val="center"/>
          </w:tcPr>
          <w:p w:rsidR="00C31073" w:rsidRPr="007E1812" w:rsidRDefault="00C31073" w:rsidP="00620BD3">
            <w:pPr>
              <w:pStyle w:val="Tabletext"/>
              <w:keepNext/>
              <w:keepLines/>
            </w:pPr>
            <w:r w:rsidRPr="007E1812">
              <w:t>Other costs or cost offsets</w:t>
            </w:r>
          </w:p>
        </w:tc>
        <w:tc>
          <w:tcPr>
            <w:tcW w:w="3604" w:type="pct"/>
            <w:vAlign w:val="center"/>
          </w:tcPr>
          <w:p w:rsidR="00C31073" w:rsidRPr="007E1812" w:rsidRDefault="00C31073" w:rsidP="00620BD3">
            <w:pPr>
              <w:pStyle w:val="Tabletext"/>
              <w:keepNext/>
              <w:keepLines/>
            </w:pPr>
            <w:r w:rsidRPr="007E1812">
              <w:t>None included</w:t>
            </w:r>
          </w:p>
        </w:tc>
      </w:tr>
    </w:tbl>
    <w:p w:rsidR="00C31073" w:rsidRPr="007E1812" w:rsidRDefault="00C31073" w:rsidP="00620BD3">
      <w:pPr>
        <w:pStyle w:val="TableFooter"/>
        <w:keepNext/>
        <w:keepLines/>
        <w:widowControl/>
      </w:pPr>
      <w:r w:rsidRPr="007E1812">
        <w:t xml:space="preserve">Abbreviations: AEMP = approved ex-manufacturer price; mg = milligram </w:t>
      </w:r>
    </w:p>
    <w:p w:rsidR="00C31073" w:rsidRPr="007E1812" w:rsidRDefault="00C31073" w:rsidP="00620BD3">
      <w:pPr>
        <w:pStyle w:val="TableFooter"/>
        <w:keepNext/>
        <w:keepLines/>
        <w:widowControl/>
      </w:pPr>
      <w:r w:rsidRPr="007E1812">
        <w:t xml:space="preserve">Source: Table 3-1, p154 of the submission </w:t>
      </w:r>
    </w:p>
    <w:p w:rsidR="00C31073" w:rsidRPr="007E1812" w:rsidRDefault="00C31073" w:rsidP="00620BD3">
      <w:pPr>
        <w:pStyle w:val="ListParagraph"/>
        <w:widowControl/>
        <w:numPr>
          <w:ilvl w:val="1"/>
          <w:numId w:val="1"/>
        </w:numPr>
        <w:spacing w:before="120" w:after="120"/>
      </w:pPr>
      <w:r w:rsidRPr="007E1812">
        <w:t xml:space="preserve">The equi-effective doses </w:t>
      </w:r>
      <w:r w:rsidR="006E564C" w:rsidRPr="007E1812">
        <w:t xml:space="preserve">proposed in the submission </w:t>
      </w:r>
      <w:r w:rsidRPr="007E1812">
        <w:t>were</w:t>
      </w:r>
      <w:r w:rsidR="0065721A" w:rsidRPr="007E1812">
        <w:t xml:space="preserve"> estimated </w:t>
      </w:r>
      <w:r w:rsidR="0030594C" w:rsidRPr="007E1812">
        <w:t xml:space="preserve">assuming </w:t>
      </w:r>
      <w:r w:rsidR="0065721A" w:rsidRPr="007E1812">
        <w:t xml:space="preserve">that </w:t>
      </w:r>
      <w:r w:rsidR="000D078D" w:rsidRPr="007E1812">
        <w:t xml:space="preserve">brigatinib </w:t>
      </w:r>
      <w:r w:rsidR="00765787">
        <w:rPr>
          <w:noProof/>
          <w:color w:val="000000"/>
          <w:highlight w:val="black"/>
        </w:rPr>
        <w:t>''''''''''''''</w:t>
      </w:r>
      <w:r w:rsidR="000D078D" w:rsidRPr="007E1812">
        <w:t> </w:t>
      </w:r>
      <w:r w:rsidRPr="007E1812">
        <w:t>mg/day is equivalent to alectinib 1147.2 mg/day</w:t>
      </w:r>
      <w:r w:rsidR="00C9723F" w:rsidRPr="007E1812">
        <w:t xml:space="preserve"> based on the relative dose intensity (RDI) reported in ALTA-1L (brigatinib RDI, </w:t>
      </w:r>
      <w:r w:rsidR="00765787">
        <w:rPr>
          <w:noProof/>
          <w:color w:val="000000"/>
          <w:highlight w:val="black"/>
        </w:rPr>
        <w:t>''''''''''</w:t>
      </w:r>
      <w:r w:rsidR="00C9723F" w:rsidRPr="007E1812">
        <w:t>%) and ALEX (alectinib RDI, 95.6%)</w:t>
      </w:r>
      <w:r w:rsidRPr="007E1812">
        <w:t xml:space="preserve">. The estimates of the equi-effective doses were not directly incorporated into the CMA </w:t>
      </w:r>
      <w:r w:rsidR="003525BA" w:rsidRPr="007E1812">
        <w:t>as the submission applied</w:t>
      </w:r>
      <w:r w:rsidR="00980003" w:rsidRPr="007E1812">
        <w:t xml:space="preserve"> the RDI for alectinib </w:t>
      </w:r>
      <w:r w:rsidRPr="007E1812">
        <w:t xml:space="preserve">to calculate the </w:t>
      </w:r>
      <w:r w:rsidR="002B42F1" w:rsidRPr="007E1812">
        <w:t>cost-</w:t>
      </w:r>
      <w:r w:rsidR="008D170D" w:rsidRPr="007E1812">
        <w:t>minimised</w:t>
      </w:r>
      <w:r w:rsidRPr="007E1812">
        <w:t xml:space="preserve"> price of brigatinib. The calculations applied in the submission were based on use in the first-line setting only.</w:t>
      </w:r>
      <w:r w:rsidR="008E48CB" w:rsidRPr="007E1812">
        <w:t xml:space="preserve"> </w:t>
      </w:r>
    </w:p>
    <w:p w:rsidR="00C31073" w:rsidRPr="007E1812" w:rsidRDefault="00414B71" w:rsidP="00620BD3">
      <w:pPr>
        <w:pStyle w:val="ListParagraph"/>
        <w:widowControl/>
        <w:numPr>
          <w:ilvl w:val="1"/>
          <w:numId w:val="1"/>
        </w:numPr>
        <w:spacing w:before="120" w:after="120"/>
      </w:pPr>
      <w:r w:rsidRPr="007E1812">
        <w:t>The submission also did not apply the treatment duration for brigatinib and alectinib in its calculation of the equi-effective doses.</w:t>
      </w:r>
      <w:r w:rsidRPr="007E1812">
        <w:rPr>
          <w:i/>
          <w:iCs/>
        </w:rPr>
        <w:t xml:space="preserve"> </w:t>
      </w:r>
      <w:r w:rsidR="00C31073" w:rsidRPr="007E1812">
        <w:t xml:space="preserve">The submission noted that the median treatment duration in the brigatinib trial (ALTA-1L) and alectinib trial (ALEX) was censored due to the end of follow-up and argued that this did not provide an appropriate basis for comparison between the trials. The submission proposed using Kaplan-Meier estimates of PFS as a proxy for treatment duration. This was not reasonable given that Kaplan-Meier estimates of PFS were also immature in ALTA-1L. Regardless, the submission did not use PFS as a proxy for treatment duration, but assumed non-inferiority of PFS and thus did not adjust drug exposure for duration. </w:t>
      </w:r>
      <w:r w:rsidR="00D90AD2" w:rsidRPr="007E1812">
        <w:t xml:space="preserve">However, </w:t>
      </w:r>
      <w:r w:rsidR="000D5BEE" w:rsidRPr="007E1812">
        <w:t>evidence</w:t>
      </w:r>
      <w:r w:rsidR="00C31073" w:rsidRPr="007E1812">
        <w:t xml:space="preserve"> from the comparison of brigatinib to alectinib in </w:t>
      </w:r>
      <w:r w:rsidR="009905E4" w:rsidRPr="007E1812">
        <w:t>the second-line setting suggested</w:t>
      </w:r>
      <w:r w:rsidR="00C31073" w:rsidRPr="007E1812">
        <w:t xml:space="preserve"> a </w:t>
      </w:r>
      <w:r w:rsidR="00A51F1B" w:rsidRPr="007E1812">
        <w:t xml:space="preserve">significant </w:t>
      </w:r>
      <w:r w:rsidR="00C31073" w:rsidRPr="007E1812">
        <w:t>difference in median treatment duration (17.25 months for brigatinib in Study 201 and 5 months for alectinib in ALUR).</w:t>
      </w:r>
    </w:p>
    <w:p w:rsidR="00C31073" w:rsidRPr="007E1812" w:rsidRDefault="00C31073" w:rsidP="00620BD3">
      <w:pPr>
        <w:pStyle w:val="ListParagraph"/>
        <w:widowControl/>
        <w:numPr>
          <w:ilvl w:val="1"/>
          <w:numId w:val="1"/>
        </w:numPr>
        <w:spacing w:before="120" w:after="120"/>
        <w:rPr>
          <w:iCs/>
        </w:rPr>
      </w:pPr>
      <w:r w:rsidRPr="007E1812">
        <w:t>The CMA applied the RDI directly from ALEX for alectinib (9</w:t>
      </w:r>
      <w:r w:rsidR="00A6762E" w:rsidRPr="007E1812">
        <w:t>5</w:t>
      </w:r>
      <w:r w:rsidR="00AB7BD2" w:rsidRPr="007E1812">
        <w:t>.60</w:t>
      </w:r>
      <w:r w:rsidRPr="007E1812">
        <w:t>%), while the RDI for brigat</w:t>
      </w:r>
      <w:r w:rsidR="00722BAA" w:rsidRPr="007E1812">
        <w:t xml:space="preserve">inib (ALTA-1L) was not applied, which was not </w:t>
      </w:r>
      <w:r w:rsidRPr="007E1812">
        <w:t xml:space="preserve">appropriate. </w:t>
      </w:r>
      <w:r w:rsidR="005C3229" w:rsidRPr="007E1812">
        <w:rPr>
          <w:iCs/>
        </w:rPr>
        <w:t>The PSCR argued that</w:t>
      </w:r>
      <w:r w:rsidR="005C3229" w:rsidRPr="007E1812">
        <w:t xml:space="preserve"> </w:t>
      </w:r>
      <w:r w:rsidR="005C3229" w:rsidRPr="007E1812">
        <w:rPr>
          <w:iCs/>
        </w:rPr>
        <w:t xml:space="preserve">no adjustments for the RDI of brigatinib </w:t>
      </w:r>
      <w:r w:rsidR="00364BD0" w:rsidRPr="007E1812">
        <w:rPr>
          <w:iCs/>
        </w:rPr>
        <w:t xml:space="preserve">were </w:t>
      </w:r>
      <w:r w:rsidR="005C3229" w:rsidRPr="007E1812">
        <w:rPr>
          <w:iCs/>
        </w:rPr>
        <w:t xml:space="preserve">made in the CMA given the multiple </w:t>
      </w:r>
      <w:r w:rsidR="005C3229" w:rsidRPr="007E1812">
        <w:rPr>
          <w:iCs/>
        </w:rPr>
        <w:lastRenderedPageBreak/>
        <w:t>dose forms available and flat pricing structure proposed across these forms.</w:t>
      </w:r>
      <w:r w:rsidR="002929BA" w:rsidRPr="007E1812">
        <w:rPr>
          <w:iCs/>
        </w:rPr>
        <w:t xml:space="preserve"> It argued that titrations of brigatinib dosing would be reflected in the distribution of packs dispensed, rather than result in an increase in the number of days of treatment dispensed per pack.</w:t>
      </w:r>
    </w:p>
    <w:p w:rsidR="00C31073" w:rsidRPr="007E1812" w:rsidRDefault="00C31073" w:rsidP="00620BD3">
      <w:pPr>
        <w:pStyle w:val="ListParagraph"/>
        <w:widowControl/>
        <w:numPr>
          <w:ilvl w:val="1"/>
          <w:numId w:val="1"/>
        </w:numPr>
        <w:spacing w:before="120" w:after="120"/>
      </w:pPr>
      <w:r w:rsidRPr="007E1812">
        <w:t xml:space="preserve">The submission estimated a cost-minimised </w:t>
      </w:r>
      <w:r w:rsidR="000D078D" w:rsidRPr="007E1812">
        <w:t xml:space="preserve">AEMP published </w:t>
      </w:r>
      <w:r w:rsidRPr="007E1812">
        <w:t xml:space="preserve">price for brigatinib of </w:t>
      </w:r>
      <w:r w:rsidR="00AB20EC" w:rsidRPr="00AB20EC">
        <w:t>$</w:t>
      </w:r>
      <w:r w:rsidR="00765787">
        <w:rPr>
          <w:noProof/>
          <w:color w:val="000000"/>
          <w:highlight w:val="black"/>
        </w:rPr>
        <w:t>'''''''''''''''''</w:t>
      </w:r>
      <w:r w:rsidR="00AB20EC" w:rsidRPr="00AB20EC">
        <w:t xml:space="preserve"> </w:t>
      </w:r>
      <w:r w:rsidRPr="00AB20EC">
        <w:t>per pack</w:t>
      </w:r>
      <w:r w:rsidRPr="007E1812">
        <w:t xml:space="preserve"> </w:t>
      </w:r>
      <w:r w:rsidRPr="007E1812">
        <w:rPr>
          <w:rFonts w:asciiTheme="minorHAnsi" w:hAnsiTheme="minorHAnsi" w:cstheme="minorHAnsi"/>
          <w:szCs w:val="24"/>
        </w:rPr>
        <w:t>(</w:t>
      </w:r>
      <w:r w:rsidR="000D078D" w:rsidRPr="007E1812">
        <w:t>Table 12</w:t>
      </w:r>
      <w:r w:rsidRPr="007E1812">
        <w:rPr>
          <w:rFonts w:asciiTheme="minorHAnsi" w:hAnsiTheme="minorHAnsi" w:cstheme="minorHAnsi"/>
          <w:szCs w:val="24"/>
        </w:rPr>
        <w:t>), calculated</w:t>
      </w:r>
      <w:r w:rsidRPr="007E1812">
        <w:t xml:space="preserve"> based on the total cost per day of treatment for alectinib. The ESC has previously considered that cost-minimisation analysis based on the cost per day assumes that the mean duration of treatment between the drug and its comparator was the same (</w:t>
      </w:r>
      <w:r w:rsidR="00CB3EF9" w:rsidRPr="007E1812">
        <w:t xml:space="preserve">paragraph 6.51, </w:t>
      </w:r>
      <w:r w:rsidR="008C345B" w:rsidRPr="007E1812">
        <w:t>a</w:t>
      </w:r>
      <w:r w:rsidRPr="007E1812">
        <w:t xml:space="preserve">lectinib </w:t>
      </w:r>
      <w:r w:rsidR="00CB3EF9" w:rsidRPr="007E1812">
        <w:t>P</w:t>
      </w:r>
      <w:r w:rsidRPr="007E1812">
        <w:t xml:space="preserve">SD, July 2017). </w:t>
      </w:r>
      <w:r w:rsidR="008C345B" w:rsidRPr="007E1812">
        <w:t>Data</w:t>
      </w:r>
      <w:r w:rsidR="00791BEF" w:rsidRPr="007E1812">
        <w:t xml:space="preserve"> from ALTA-1L </w:t>
      </w:r>
      <w:r w:rsidR="00E60F75" w:rsidRPr="007E1812">
        <w:t>were</w:t>
      </w:r>
      <w:r w:rsidRPr="007E1812">
        <w:t xml:space="preserve"> immature with respect to follow-up</w:t>
      </w:r>
      <w:r w:rsidR="008C345B" w:rsidRPr="007E1812">
        <w:t>, and d</w:t>
      </w:r>
      <w:r w:rsidRPr="007E1812">
        <w:t xml:space="preserve">ata from the second-line setting </w:t>
      </w:r>
      <w:r w:rsidR="0030594C" w:rsidRPr="007E1812">
        <w:t>suggest</w:t>
      </w:r>
      <w:r w:rsidR="00D8397D" w:rsidRPr="007E1812">
        <w:t>ed</w:t>
      </w:r>
      <w:r w:rsidR="0030594C" w:rsidRPr="007E1812">
        <w:t xml:space="preserve"> </w:t>
      </w:r>
      <w:r w:rsidRPr="007E1812">
        <w:t xml:space="preserve">that the duration of therapy for brigatinib </w:t>
      </w:r>
      <w:r w:rsidR="0030594C" w:rsidRPr="007E1812">
        <w:t xml:space="preserve">may have been </w:t>
      </w:r>
      <w:r w:rsidR="00560F0A" w:rsidRPr="007E1812">
        <w:t xml:space="preserve">substantially longer than </w:t>
      </w:r>
      <w:r w:rsidRPr="007E1812">
        <w:t>that for alectinib.</w:t>
      </w:r>
      <w:r w:rsidR="0030594C" w:rsidRPr="007E1812">
        <w:t xml:space="preserve"> </w:t>
      </w:r>
      <w:r w:rsidR="008C345B" w:rsidRPr="007E1812">
        <w:t>Whilst</w:t>
      </w:r>
      <w:r w:rsidR="0062776A" w:rsidRPr="007E1812">
        <w:t xml:space="preserve"> there were transitivity issues between the trials in the second-line setting</w:t>
      </w:r>
      <w:r w:rsidR="0030594C" w:rsidRPr="007E1812">
        <w:t xml:space="preserve"> due to differences in the patient population and study conduct</w:t>
      </w:r>
      <w:r w:rsidR="008C345B" w:rsidRPr="007E1812">
        <w:t>, the ESC remained of the view that it was not reasonable to assume the same mean duration of treatment for both drugs in the CMA.</w:t>
      </w:r>
    </w:p>
    <w:p w:rsidR="00C31073" w:rsidRPr="007E1812" w:rsidRDefault="00C31073" w:rsidP="00620BD3">
      <w:pPr>
        <w:pStyle w:val="ListParagraph"/>
        <w:widowControl/>
        <w:numPr>
          <w:ilvl w:val="1"/>
          <w:numId w:val="1"/>
        </w:numPr>
        <w:spacing w:before="120" w:after="120"/>
        <w:rPr>
          <w:rFonts w:asciiTheme="minorHAnsi" w:hAnsiTheme="minorHAnsi" w:cstheme="minorHAnsi"/>
          <w:szCs w:val="24"/>
        </w:rPr>
      </w:pPr>
      <w:r w:rsidRPr="007E1812">
        <w:t>The submission based its CMA on the comparison of brigatinib with alectinib. The initial listing for alectinib assumed a dose equivalence for alectinib 600 mg BID with ceritinib 750 mg QD. However, ceritinib dosing has been revised to 450 mg QD. The impact on the resulting</w:t>
      </w:r>
      <w:r w:rsidR="000D078D" w:rsidRPr="007E1812">
        <w:t xml:space="preserve"> published</w:t>
      </w:r>
      <w:r w:rsidRPr="007E1812">
        <w:t xml:space="preserve"> treatment cost per day is presented in </w:t>
      </w:r>
      <w:r w:rsidR="000D078D" w:rsidRPr="007E1812">
        <w:t>Table 12</w:t>
      </w:r>
      <w:r w:rsidRPr="007E1812">
        <w:rPr>
          <w:rFonts w:asciiTheme="minorHAnsi" w:hAnsiTheme="minorHAnsi" w:cstheme="minorHAnsi"/>
          <w:szCs w:val="24"/>
        </w:rPr>
        <w:t>.</w:t>
      </w:r>
      <w:r w:rsidR="00904810" w:rsidRPr="007E1812">
        <w:rPr>
          <w:rFonts w:asciiTheme="minorHAnsi" w:hAnsiTheme="minorHAnsi" w:cstheme="minorHAnsi"/>
          <w:szCs w:val="24"/>
        </w:rPr>
        <w:t xml:space="preserve"> </w:t>
      </w:r>
    </w:p>
    <w:p w:rsidR="00C31073" w:rsidRPr="007E1812" w:rsidRDefault="00C31073" w:rsidP="00620BD3">
      <w:pPr>
        <w:pStyle w:val="Caption"/>
      </w:pPr>
      <w:bookmarkStart w:id="53" w:name="_Ref20912555"/>
      <w:bookmarkStart w:id="54" w:name="_Ref18919930"/>
      <w:bookmarkStart w:id="55" w:name="_Ref18919922"/>
      <w:r w:rsidRPr="007E1812">
        <w:t xml:space="preserve">Table </w:t>
      </w:r>
      <w:r w:rsidR="007F3D8E" w:rsidRPr="007E1812">
        <w:t>12</w:t>
      </w:r>
      <w:bookmarkEnd w:id="53"/>
      <w:r w:rsidRPr="007E1812">
        <w:t>: Results of the cost-minimisation analysis</w:t>
      </w:r>
      <w:bookmarkEnd w:id="54"/>
      <w:bookmarkEnd w:id="55"/>
    </w:p>
    <w:tbl>
      <w:tblPr>
        <w:tblStyle w:val="TableGrid"/>
        <w:tblW w:w="5000" w:type="pct"/>
        <w:tblLayout w:type="fixed"/>
        <w:tblLook w:val="04A0" w:firstRow="1" w:lastRow="0" w:firstColumn="1" w:lastColumn="0" w:noHBand="0" w:noVBand="1"/>
        <w:tblCaption w:val="Table 14: Results of the cost-minimisation analysis"/>
      </w:tblPr>
      <w:tblGrid>
        <w:gridCol w:w="1413"/>
        <w:gridCol w:w="992"/>
        <w:gridCol w:w="1102"/>
        <w:gridCol w:w="1102"/>
        <w:gridCol w:w="1102"/>
        <w:gridCol w:w="805"/>
        <w:gridCol w:w="1250"/>
        <w:gridCol w:w="1251"/>
      </w:tblGrid>
      <w:tr w:rsidR="00C31073" w:rsidRPr="007E1812" w:rsidTr="008B722A">
        <w:trPr>
          <w:trHeight w:val="20"/>
          <w:tblHeader/>
        </w:trPr>
        <w:tc>
          <w:tcPr>
            <w:tcW w:w="1413" w:type="dxa"/>
            <w:noWrap/>
            <w:hideMark/>
          </w:tcPr>
          <w:p w:rsidR="00C31073" w:rsidRPr="007E1812" w:rsidRDefault="00C31073" w:rsidP="00620BD3">
            <w:pPr>
              <w:keepNext/>
              <w:keepLines/>
              <w:widowControl/>
              <w:suppressLineNumbers/>
              <w:suppressAutoHyphens/>
              <w:jc w:val="left"/>
              <w:rPr>
                <w:rFonts w:ascii="Arial Narrow" w:hAnsi="Arial Narrow"/>
                <w:b/>
                <w:bCs/>
                <w:sz w:val="20"/>
                <w:szCs w:val="20"/>
              </w:rPr>
            </w:pPr>
            <w:r w:rsidRPr="007E1812">
              <w:rPr>
                <w:rFonts w:ascii="Arial Narrow" w:hAnsi="Arial Narrow"/>
                <w:b/>
                <w:bCs/>
                <w:sz w:val="20"/>
                <w:szCs w:val="20"/>
              </w:rPr>
              <w:t>Name, restriction, manner of administration, form</w:t>
            </w:r>
          </w:p>
        </w:tc>
        <w:tc>
          <w:tcPr>
            <w:tcW w:w="992" w:type="dxa"/>
            <w:vAlign w:val="center"/>
            <w:hideMark/>
          </w:tcPr>
          <w:p w:rsidR="00C31073" w:rsidRPr="007E1812" w:rsidRDefault="00C31073" w:rsidP="00620BD3">
            <w:pPr>
              <w:keepNext/>
              <w:keepLines/>
              <w:widowControl/>
              <w:suppressLineNumbers/>
              <w:suppressAutoHyphens/>
              <w:jc w:val="center"/>
              <w:rPr>
                <w:rFonts w:ascii="Arial Narrow" w:hAnsi="Arial Narrow"/>
                <w:b/>
                <w:bCs/>
                <w:sz w:val="20"/>
                <w:szCs w:val="20"/>
              </w:rPr>
            </w:pPr>
            <w:r w:rsidRPr="007E1812">
              <w:rPr>
                <w:rFonts w:ascii="Arial Narrow" w:hAnsi="Arial Narrow"/>
                <w:b/>
                <w:bCs/>
                <w:sz w:val="20"/>
                <w:szCs w:val="20"/>
              </w:rPr>
              <w:t>Maximum quantity (units)</w:t>
            </w:r>
          </w:p>
        </w:tc>
        <w:tc>
          <w:tcPr>
            <w:tcW w:w="1102" w:type="dxa"/>
            <w:vAlign w:val="center"/>
            <w:hideMark/>
          </w:tcPr>
          <w:p w:rsidR="00C31073" w:rsidRPr="007E1812" w:rsidRDefault="00C31073" w:rsidP="00620BD3">
            <w:pPr>
              <w:keepNext/>
              <w:keepLines/>
              <w:widowControl/>
              <w:suppressLineNumbers/>
              <w:suppressAutoHyphens/>
              <w:jc w:val="center"/>
              <w:rPr>
                <w:rFonts w:ascii="Arial Narrow" w:hAnsi="Arial Narrow"/>
                <w:b/>
                <w:bCs/>
                <w:sz w:val="20"/>
                <w:szCs w:val="20"/>
              </w:rPr>
            </w:pPr>
            <w:r w:rsidRPr="007E1812">
              <w:rPr>
                <w:rFonts w:ascii="Arial Narrow" w:hAnsi="Arial Narrow"/>
                <w:b/>
                <w:bCs/>
                <w:sz w:val="20"/>
                <w:szCs w:val="20"/>
              </w:rPr>
              <w:t>Days of treatment per pack</w:t>
            </w:r>
          </w:p>
        </w:tc>
        <w:tc>
          <w:tcPr>
            <w:tcW w:w="1102" w:type="dxa"/>
            <w:vAlign w:val="center"/>
            <w:hideMark/>
          </w:tcPr>
          <w:p w:rsidR="00C31073" w:rsidRPr="007E1812" w:rsidRDefault="00C31073" w:rsidP="00620BD3">
            <w:pPr>
              <w:keepNext/>
              <w:keepLines/>
              <w:widowControl/>
              <w:suppressLineNumbers/>
              <w:suppressAutoHyphens/>
              <w:jc w:val="center"/>
              <w:rPr>
                <w:rFonts w:ascii="Arial Narrow" w:hAnsi="Arial Narrow"/>
                <w:b/>
                <w:bCs/>
                <w:sz w:val="20"/>
                <w:szCs w:val="20"/>
              </w:rPr>
            </w:pPr>
            <w:r w:rsidRPr="007E1812">
              <w:rPr>
                <w:rFonts w:ascii="Arial Narrow" w:hAnsi="Arial Narrow"/>
                <w:b/>
                <w:bCs/>
                <w:sz w:val="20"/>
                <w:szCs w:val="20"/>
              </w:rPr>
              <w:t>DPMQ (</w:t>
            </w:r>
            <w:r w:rsidR="000D078D" w:rsidRPr="007E1812">
              <w:rPr>
                <w:rFonts w:ascii="Arial Narrow" w:hAnsi="Arial Narrow"/>
                <w:b/>
                <w:bCs/>
                <w:sz w:val="20"/>
                <w:szCs w:val="20"/>
              </w:rPr>
              <w:t>p</w:t>
            </w:r>
            <w:r w:rsidRPr="007E1812">
              <w:rPr>
                <w:rFonts w:ascii="Arial Narrow" w:hAnsi="Arial Narrow"/>
                <w:b/>
                <w:bCs/>
                <w:sz w:val="20"/>
                <w:szCs w:val="20"/>
              </w:rPr>
              <w:t>ublished)</w:t>
            </w:r>
          </w:p>
        </w:tc>
        <w:tc>
          <w:tcPr>
            <w:tcW w:w="1102" w:type="dxa"/>
            <w:vAlign w:val="center"/>
            <w:hideMark/>
          </w:tcPr>
          <w:p w:rsidR="00C31073" w:rsidRPr="007E1812" w:rsidRDefault="00C31073" w:rsidP="00620BD3">
            <w:pPr>
              <w:keepNext/>
              <w:keepLines/>
              <w:widowControl/>
              <w:suppressLineNumbers/>
              <w:suppressAutoHyphens/>
              <w:jc w:val="center"/>
              <w:rPr>
                <w:rFonts w:ascii="Arial Narrow" w:hAnsi="Arial Narrow"/>
                <w:b/>
                <w:bCs/>
                <w:sz w:val="20"/>
                <w:szCs w:val="20"/>
              </w:rPr>
            </w:pPr>
            <w:r w:rsidRPr="007E1812">
              <w:rPr>
                <w:rFonts w:ascii="Arial Narrow" w:hAnsi="Arial Narrow"/>
                <w:b/>
                <w:bCs/>
                <w:sz w:val="20"/>
                <w:szCs w:val="20"/>
              </w:rPr>
              <w:t>AEMP (</w:t>
            </w:r>
            <w:r w:rsidR="000D078D" w:rsidRPr="007E1812">
              <w:rPr>
                <w:rFonts w:ascii="Arial Narrow" w:hAnsi="Arial Narrow"/>
                <w:b/>
                <w:bCs/>
                <w:sz w:val="20"/>
                <w:szCs w:val="20"/>
              </w:rPr>
              <w:t>p</w:t>
            </w:r>
            <w:r w:rsidRPr="007E1812">
              <w:rPr>
                <w:rFonts w:ascii="Arial Narrow" w:hAnsi="Arial Narrow"/>
                <w:b/>
                <w:bCs/>
                <w:sz w:val="20"/>
                <w:szCs w:val="20"/>
              </w:rPr>
              <w:t>ublished)</w:t>
            </w:r>
          </w:p>
        </w:tc>
        <w:tc>
          <w:tcPr>
            <w:tcW w:w="805" w:type="dxa"/>
            <w:vAlign w:val="center"/>
            <w:hideMark/>
          </w:tcPr>
          <w:p w:rsidR="00C31073" w:rsidRPr="007E1812" w:rsidRDefault="00C31073" w:rsidP="00620BD3">
            <w:pPr>
              <w:keepNext/>
              <w:keepLines/>
              <w:widowControl/>
              <w:suppressLineNumbers/>
              <w:suppressAutoHyphens/>
              <w:jc w:val="center"/>
              <w:rPr>
                <w:rFonts w:ascii="Arial Narrow" w:hAnsi="Arial Narrow"/>
                <w:b/>
                <w:bCs/>
                <w:sz w:val="20"/>
                <w:szCs w:val="20"/>
              </w:rPr>
            </w:pPr>
            <w:r w:rsidRPr="007E1812">
              <w:rPr>
                <w:rFonts w:ascii="Arial Narrow" w:hAnsi="Arial Narrow"/>
                <w:b/>
                <w:bCs/>
                <w:sz w:val="20"/>
                <w:szCs w:val="20"/>
              </w:rPr>
              <w:t>RDI</w:t>
            </w:r>
          </w:p>
        </w:tc>
        <w:tc>
          <w:tcPr>
            <w:tcW w:w="1250" w:type="dxa"/>
            <w:vAlign w:val="center"/>
            <w:hideMark/>
          </w:tcPr>
          <w:p w:rsidR="00C31073" w:rsidRPr="007E1812" w:rsidRDefault="00C31073" w:rsidP="00620BD3">
            <w:pPr>
              <w:keepNext/>
              <w:keepLines/>
              <w:widowControl/>
              <w:suppressLineNumbers/>
              <w:suppressAutoHyphens/>
              <w:jc w:val="center"/>
              <w:rPr>
                <w:rFonts w:ascii="Arial Narrow" w:hAnsi="Arial Narrow"/>
                <w:b/>
                <w:bCs/>
                <w:sz w:val="20"/>
                <w:szCs w:val="20"/>
              </w:rPr>
            </w:pPr>
            <w:r w:rsidRPr="007E1812">
              <w:rPr>
                <w:rFonts w:ascii="Arial Narrow" w:hAnsi="Arial Narrow"/>
                <w:b/>
                <w:bCs/>
                <w:sz w:val="20"/>
                <w:szCs w:val="20"/>
              </w:rPr>
              <w:t>Treatment cost (daily)</w:t>
            </w:r>
            <w:r w:rsidR="00FB0CD8" w:rsidRPr="007E1812">
              <w:rPr>
                <w:rFonts w:ascii="Arial Narrow" w:hAnsi="Arial Narrow"/>
                <w:b/>
                <w:bCs/>
                <w:sz w:val="20"/>
                <w:szCs w:val="20"/>
              </w:rPr>
              <w:br/>
              <w:t>(AEMP)</w:t>
            </w:r>
          </w:p>
        </w:tc>
        <w:tc>
          <w:tcPr>
            <w:tcW w:w="1251" w:type="dxa"/>
            <w:vAlign w:val="center"/>
            <w:hideMark/>
          </w:tcPr>
          <w:p w:rsidR="00C31073" w:rsidRPr="007E1812" w:rsidRDefault="00C31073" w:rsidP="00620BD3">
            <w:pPr>
              <w:keepNext/>
              <w:keepLines/>
              <w:widowControl/>
              <w:suppressLineNumbers/>
              <w:suppressAutoHyphens/>
              <w:jc w:val="center"/>
              <w:rPr>
                <w:rFonts w:ascii="Arial Narrow" w:hAnsi="Arial Narrow"/>
                <w:b/>
                <w:bCs/>
                <w:sz w:val="20"/>
                <w:szCs w:val="20"/>
              </w:rPr>
            </w:pPr>
            <w:r w:rsidRPr="007E1812">
              <w:rPr>
                <w:rFonts w:ascii="Arial Narrow" w:hAnsi="Arial Narrow"/>
                <w:b/>
                <w:bCs/>
                <w:sz w:val="20"/>
                <w:szCs w:val="20"/>
              </w:rPr>
              <w:t>Dose regimen assumption</w:t>
            </w:r>
          </w:p>
        </w:tc>
      </w:tr>
      <w:tr w:rsidR="00C31073" w:rsidRPr="007E1812" w:rsidTr="008B722A">
        <w:trPr>
          <w:trHeight w:val="20"/>
        </w:trPr>
        <w:tc>
          <w:tcPr>
            <w:tcW w:w="1413" w:type="dxa"/>
            <w:noWrap/>
            <w:hideMark/>
          </w:tcPr>
          <w:p w:rsidR="00C31073" w:rsidRPr="007E1812" w:rsidRDefault="00C31073" w:rsidP="00620BD3">
            <w:pPr>
              <w:keepNext/>
              <w:keepLines/>
              <w:widowControl/>
              <w:suppressLineNumbers/>
              <w:suppressAutoHyphens/>
              <w:jc w:val="left"/>
              <w:rPr>
                <w:rFonts w:ascii="Arial Narrow" w:hAnsi="Arial Narrow"/>
                <w:sz w:val="20"/>
                <w:szCs w:val="20"/>
              </w:rPr>
            </w:pPr>
            <w:r w:rsidRPr="007E1812">
              <w:rPr>
                <w:rFonts w:ascii="Arial Narrow" w:hAnsi="Arial Narrow"/>
                <w:sz w:val="20"/>
                <w:szCs w:val="20"/>
              </w:rPr>
              <w:t>Alectinib 150</w:t>
            </w:r>
            <w:r w:rsidR="00B7414E" w:rsidRPr="007E1812">
              <w:rPr>
                <w:rFonts w:ascii="Arial Narrow" w:hAnsi="Arial Narrow"/>
                <w:sz w:val="20"/>
                <w:szCs w:val="20"/>
              </w:rPr>
              <w:t> </w:t>
            </w:r>
            <w:r w:rsidRPr="007E1812">
              <w:rPr>
                <w:rFonts w:ascii="Arial Narrow" w:hAnsi="Arial Narrow"/>
                <w:sz w:val="20"/>
                <w:szCs w:val="20"/>
              </w:rPr>
              <w:t>mg</w:t>
            </w:r>
            <w:r w:rsidR="000D078D" w:rsidRPr="007E1812">
              <w:rPr>
                <w:rFonts w:ascii="Arial Narrow" w:hAnsi="Arial Narrow"/>
                <w:sz w:val="20"/>
                <w:szCs w:val="20"/>
              </w:rPr>
              <w:t xml:space="preserve"> capsule</w:t>
            </w:r>
          </w:p>
        </w:tc>
        <w:tc>
          <w:tcPr>
            <w:tcW w:w="992"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224</w:t>
            </w:r>
          </w:p>
        </w:tc>
        <w:tc>
          <w:tcPr>
            <w:tcW w:w="1102" w:type="dxa"/>
            <w:noWrap/>
            <w:vAlign w:val="center"/>
            <w:hideMark/>
          </w:tcPr>
          <w:p w:rsidR="00C31073" w:rsidRPr="007E1812"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28</w:t>
            </w:r>
          </w:p>
        </w:tc>
        <w:tc>
          <w:tcPr>
            <w:tcW w:w="1102"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$6,805.20</w:t>
            </w:r>
          </w:p>
        </w:tc>
        <w:tc>
          <w:tcPr>
            <w:tcW w:w="1102"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$6,653.08</w:t>
            </w:r>
          </w:p>
        </w:tc>
        <w:tc>
          <w:tcPr>
            <w:tcW w:w="805"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95.60%</w:t>
            </w:r>
          </w:p>
        </w:tc>
        <w:tc>
          <w:tcPr>
            <w:tcW w:w="1250" w:type="dxa"/>
            <w:noWrap/>
            <w:vAlign w:val="center"/>
            <w:hideMark/>
          </w:tcPr>
          <w:p w:rsidR="00C31073" w:rsidRPr="007E1812"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$227.16</w:t>
            </w:r>
          </w:p>
        </w:tc>
        <w:tc>
          <w:tcPr>
            <w:tcW w:w="1251"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600 mg BID</w:t>
            </w:r>
          </w:p>
        </w:tc>
      </w:tr>
      <w:tr w:rsidR="00C31073" w:rsidRPr="007E1812" w:rsidTr="008B722A">
        <w:trPr>
          <w:trHeight w:val="20"/>
        </w:trPr>
        <w:tc>
          <w:tcPr>
            <w:tcW w:w="1413" w:type="dxa"/>
            <w:noWrap/>
            <w:hideMark/>
          </w:tcPr>
          <w:p w:rsidR="00C31073" w:rsidRPr="007E1812" w:rsidRDefault="00C31073" w:rsidP="00620BD3">
            <w:pPr>
              <w:keepNext/>
              <w:keepLines/>
              <w:widowControl/>
              <w:suppressLineNumbers/>
              <w:suppressAutoHyphens/>
              <w:jc w:val="left"/>
              <w:rPr>
                <w:rFonts w:ascii="Arial Narrow" w:hAnsi="Arial Narrow"/>
                <w:sz w:val="20"/>
                <w:szCs w:val="20"/>
              </w:rPr>
            </w:pPr>
            <w:r w:rsidRPr="007E1812">
              <w:rPr>
                <w:rFonts w:ascii="Arial Narrow" w:hAnsi="Arial Narrow"/>
                <w:sz w:val="20"/>
                <w:szCs w:val="20"/>
              </w:rPr>
              <w:t>Brigatinib 180</w:t>
            </w:r>
            <w:r w:rsidR="00B7414E" w:rsidRPr="007E1812">
              <w:rPr>
                <w:rFonts w:ascii="Arial Narrow" w:hAnsi="Arial Narrow"/>
                <w:sz w:val="20"/>
                <w:szCs w:val="20"/>
              </w:rPr>
              <w:t> </w:t>
            </w:r>
            <w:r w:rsidRPr="007E1812">
              <w:rPr>
                <w:rFonts w:ascii="Arial Narrow" w:hAnsi="Arial Narrow"/>
                <w:sz w:val="20"/>
                <w:szCs w:val="20"/>
              </w:rPr>
              <w:t>mg tablet</w:t>
            </w:r>
          </w:p>
        </w:tc>
        <w:tc>
          <w:tcPr>
            <w:tcW w:w="992"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180</w:t>
            </w:r>
          </w:p>
        </w:tc>
        <w:tc>
          <w:tcPr>
            <w:tcW w:w="1102" w:type="dxa"/>
            <w:noWrap/>
            <w:vAlign w:val="center"/>
            <w:hideMark/>
          </w:tcPr>
          <w:p w:rsidR="00C31073" w:rsidRPr="007E1812"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28</w:t>
            </w:r>
          </w:p>
        </w:tc>
        <w:tc>
          <w:tcPr>
            <w:tcW w:w="1102"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w:t>
            </w:r>
            <w:r w:rsidR="00765787">
              <w:rPr>
                <w:rFonts w:ascii="Arial Narrow" w:hAnsi="Arial Narrow"/>
                <w:noProof/>
                <w:color w:val="000000"/>
                <w:sz w:val="20"/>
                <w:szCs w:val="20"/>
                <w:highlight w:val="black"/>
              </w:rPr>
              <w:t>''''''''''''''''''''''</w:t>
            </w:r>
          </w:p>
        </w:tc>
        <w:tc>
          <w:tcPr>
            <w:tcW w:w="1102"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w:t>
            </w:r>
            <w:r w:rsidR="00765787">
              <w:rPr>
                <w:rFonts w:ascii="Arial Narrow" w:hAnsi="Arial Narrow"/>
                <w:noProof/>
                <w:color w:val="000000"/>
                <w:sz w:val="20"/>
                <w:szCs w:val="20"/>
                <w:highlight w:val="black"/>
              </w:rPr>
              <w:t>'''''''''''''''''''</w:t>
            </w:r>
          </w:p>
        </w:tc>
        <w:tc>
          <w:tcPr>
            <w:tcW w:w="805" w:type="dxa"/>
            <w:noWrap/>
            <w:vAlign w:val="center"/>
            <w:hideMark/>
          </w:tcPr>
          <w:p w:rsidR="00C31073" w:rsidRPr="00F65301" w:rsidRDefault="00C31073" w:rsidP="00620BD3">
            <w:pPr>
              <w:keepNext/>
              <w:keepLines/>
              <w:widowControl/>
              <w:suppressLineNumbers/>
              <w:suppressAutoHyphens/>
              <w:jc w:val="center"/>
              <w:rPr>
                <w:rFonts w:ascii="Arial Narrow" w:hAnsi="Arial Narrow"/>
                <w:sz w:val="20"/>
                <w:szCs w:val="20"/>
              </w:rPr>
            </w:pPr>
            <w:r w:rsidRPr="00F65301">
              <w:rPr>
                <w:rFonts w:ascii="Arial Narrow" w:hAnsi="Arial Narrow"/>
                <w:sz w:val="20"/>
                <w:szCs w:val="20"/>
              </w:rPr>
              <w:t>NA</w:t>
            </w:r>
          </w:p>
        </w:tc>
        <w:tc>
          <w:tcPr>
            <w:tcW w:w="1250" w:type="dxa"/>
            <w:noWrap/>
            <w:vAlign w:val="center"/>
            <w:hideMark/>
          </w:tcPr>
          <w:p w:rsidR="00C31073" w:rsidRPr="00F65301" w:rsidRDefault="00F65301" w:rsidP="00620BD3">
            <w:pPr>
              <w:keepNext/>
              <w:keepLines/>
              <w:widowControl/>
              <w:suppressLineNumbers/>
              <w:suppressAutoHyphens/>
              <w:jc w:val="center"/>
              <w:rPr>
                <w:rFonts w:ascii="Arial Narrow" w:hAnsi="Arial Narrow"/>
                <w:iCs/>
                <w:sz w:val="20"/>
                <w:szCs w:val="20"/>
              </w:rPr>
            </w:pPr>
            <w:r w:rsidRPr="00F65301">
              <w:rPr>
                <w:rFonts w:ascii="Arial Narrow" w:hAnsi="Arial Narrow"/>
                <w:iCs/>
                <w:sz w:val="20"/>
                <w:szCs w:val="20"/>
              </w:rPr>
              <w:t>$</w:t>
            </w:r>
            <w:r w:rsidR="00765787">
              <w:rPr>
                <w:rFonts w:ascii="Arial Narrow" w:hAnsi="Arial Narrow"/>
                <w:iCs/>
                <w:noProof/>
                <w:color w:val="000000"/>
                <w:sz w:val="20"/>
                <w:szCs w:val="20"/>
                <w:highlight w:val="black"/>
              </w:rPr>
              <w:t>''''''''''''''''</w:t>
            </w:r>
          </w:p>
        </w:tc>
        <w:tc>
          <w:tcPr>
            <w:tcW w:w="1251" w:type="dxa"/>
            <w:noWrap/>
            <w:vAlign w:val="center"/>
            <w:hideMark/>
          </w:tcPr>
          <w:p w:rsidR="00C31073" w:rsidRPr="007E1812"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180 mg QD</w:t>
            </w:r>
          </w:p>
        </w:tc>
      </w:tr>
      <w:tr w:rsidR="00C31073" w:rsidRPr="007E1812" w:rsidTr="008B722A">
        <w:trPr>
          <w:trHeight w:val="20"/>
        </w:trPr>
        <w:tc>
          <w:tcPr>
            <w:tcW w:w="1413" w:type="dxa"/>
            <w:noWrap/>
          </w:tcPr>
          <w:p w:rsidR="00C31073" w:rsidRPr="007E1812" w:rsidDel="00CD0F87" w:rsidRDefault="00C31073" w:rsidP="00620BD3">
            <w:pPr>
              <w:keepNext/>
              <w:keepLines/>
              <w:widowControl/>
              <w:suppressLineNumbers/>
              <w:suppressAutoHyphens/>
              <w:jc w:val="left"/>
              <w:rPr>
                <w:rFonts w:ascii="Arial Narrow" w:hAnsi="Arial Narrow"/>
                <w:sz w:val="20"/>
                <w:szCs w:val="20"/>
              </w:rPr>
            </w:pPr>
            <w:r w:rsidRPr="007E1812">
              <w:rPr>
                <w:rFonts w:ascii="Arial Narrow" w:hAnsi="Arial Narrow"/>
                <w:sz w:val="20"/>
                <w:szCs w:val="20"/>
              </w:rPr>
              <w:t>Ceritinib</w:t>
            </w:r>
            <w:r w:rsidR="00B7414E" w:rsidRPr="007E1812">
              <w:rPr>
                <w:rFonts w:ascii="Arial Narrow" w:hAnsi="Arial Narrow"/>
                <w:sz w:val="20"/>
                <w:szCs w:val="20"/>
              </w:rPr>
              <w:br/>
            </w:r>
            <w:r w:rsidRPr="007E1812">
              <w:rPr>
                <w:rFonts w:ascii="Arial Narrow" w:hAnsi="Arial Narrow"/>
                <w:sz w:val="20"/>
                <w:szCs w:val="20"/>
              </w:rPr>
              <w:t xml:space="preserve">150 mg capsule </w:t>
            </w:r>
          </w:p>
        </w:tc>
        <w:tc>
          <w:tcPr>
            <w:tcW w:w="992"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150</w:t>
            </w:r>
          </w:p>
        </w:tc>
        <w:tc>
          <w:tcPr>
            <w:tcW w:w="1102"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50</w:t>
            </w:r>
          </w:p>
        </w:tc>
        <w:tc>
          <w:tcPr>
            <w:tcW w:w="1102"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$7,280.42</w:t>
            </w:r>
          </w:p>
        </w:tc>
        <w:tc>
          <w:tcPr>
            <w:tcW w:w="1102"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$7,128.30</w:t>
            </w:r>
          </w:p>
        </w:tc>
        <w:tc>
          <w:tcPr>
            <w:tcW w:w="805"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100%</w:t>
            </w:r>
          </w:p>
        </w:tc>
        <w:tc>
          <w:tcPr>
            <w:tcW w:w="1250"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$142.57</w:t>
            </w:r>
          </w:p>
        </w:tc>
        <w:tc>
          <w:tcPr>
            <w:tcW w:w="1251"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450 mg QD</w:t>
            </w:r>
          </w:p>
        </w:tc>
      </w:tr>
      <w:tr w:rsidR="00C31073" w:rsidRPr="007E1812" w:rsidTr="008B722A">
        <w:trPr>
          <w:trHeight w:val="20"/>
        </w:trPr>
        <w:tc>
          <w:tcPr>
            <w:tcW w:w="1413" w:type="dxa"/>
            <w:noWrap/>
          </w:tcPr>
          <w:p w:rsidR="00C31073" w:rsidRPr="007E1812" w:rsidDel="00CD0F87" w:rsidRDefault="00C31073" w:rsidP="00620BD3">
            <w:pPr>
              <w:keepNext/>
              <w:keepLines/>
              <w:widowControl/>
              <w:suppressLineNumbers/>
              <w:suppressAutoHyphens/>
              <w:jc w:val="left"/>
              <w:rPr>
                <w:rFonts w:ascii="Arial Narrow" w:hAnsi="Arial Narrow"/>
                <w:sz w:val="20"/>
                <w:szCs w:val="20"/>
              </w:rPr>
            </w:pPr>
            <w:r w:rsidRPr="007E1812">
              <w:rPr>
                <w:rFonts w:ascii="Arial Narrow" w:hAnsi="Arial Narrow"/>
                <w:sz w:val="20"/>
                <w:szCs w:val="20"/>
              </w:rPr>
              <w:t>Ceritinib</w:t>
            </w:r>
            <w:r w:rsidR="00B7414E" w:rsidRPr="007E1812">
              <w:rPr>
                <w:rFonts w:ascii="Arial Narrow" w:hAnsi="Arial Narrow"/>
                <w:sz w:val="20"/>
                <w:szCs w:val="20"/>
              </w:rPr>
              <w:br/>
            </w:r>
            <w:r w:rsidRPr="007E1812">
              <w:rPr>
                <w:rFonts w:ascii="Arial Narrow" w:hAnsi="Arial Narrow"/>
                <w:sz w:val="20"/>
                <w:szCs w:val="20"/>
              </w:rPr>
              <w:t xml:space="preserve">150 mg capsule </w:t>
            </w:r>
          </w:p>
        </w:tc>
        <w:tc>
          <w:tcPr>
            <w:tcW w:w="992"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150</w:t>
            </w:r>
          </w:p>
        </w:tc>
        <w:tc>
          <w:tcPr>
            <w:tcW w:w="1102"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30</w:t>
            </w:r>
          </w:p>
        </w:tc>
        <w:tc>
          <w:tcPr>
            <w:tcW w:w="1102"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$7,280.42</w:t>
            </w:r>
          </w:p>
        </w:tc>
        <w:tc>
          <w:tcPr>
            <w:tcW w:w="1102"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$7,128.30</w:t>
            </w:r>
          </w:p>
        </w:tc>
        <w:tc>
          <w:tcPr>
            <w:tcW w:w="805"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100%</w:t>
            </w:r>
            <w:r w:rsidR="002269C0" w:rsidRPr="007E1812">
              <w:rPr>
                <w:rFonts w:ascii="Arial Narrow" w:hAnsi="Arial Narrow"/>
                <w:iCs/>
                <w:sz w:val="20"/>
                <w:szCs w:val="20"/>
                <w:vertAlign w:val="superscript"/>
              </w:rPr>
              <w:t>a</w:t>
            </w:r>
          </w:p>
        </w:tc>
        <w:tc>
          <w:tcPr>
            <w:tcW w:w="1250"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iCs/>
                <w:sz w:val="20"/>
                <w:szCs w:val="20"/>
              </w:rPr>
            </w:pPr>
            <w:r w:rsidRPr="007E1812">
              <w:rPr>
                <w:rFonts w:ascii="Arial Narrow" w:hAnsi="Arial Narrow"/>
                <w:iCs/>
                <w:sz w:val="20"/>
                <w:szCs w:val="20"/>
              </w:rPr>
              <w:t>$237.61</w:t>
            </w:r>
          </w:p>
        </w:tc>
        <w:tc>
          <w:tcPr>
            <w:tcW w:w="1251" w:type="dxa"/>
            <w:noWrap/>
            <w:vAlign w:val="center"/>
          </w:tcPr>
          <w:p w:rsidR="00C31073" w:rsidRPr="007E1812" w:rsidDel="00CD0F87" w:rsidRDefault="00C31073" w:rsidP="00620BD3">
            <w:pPr>
              <w:keepNext/>
              <w:keepLines/>
              <w:widowControl/>
              <w:suppressLineNumbers/>
              <w:suppressAutoHyphens/>
              <w:jc w:val="center"/>
              <w:rPr>
                <w:rFonts w:ascii="Arial Narrow" w:hAnsi="Arial Narrow"/>
                <w:sz w:val="20"/>
                <w:szCs w:val="20"/>
              </w:rPr>
            </w:pPr>
            <w:r w:rsidRPr="007E1812">
              <w:rPr>
                <w:rFonts w:ascii="Arial Narrow" w:hAnsi="Arial Narrow"/>
                <w:sz w:val="20"/>
                <w:szCs w:val="20"/>
              </w:rPr>
              <w:t>750 mg QD</w:t>
            </w:r>
          </w:p>
        </w:tc>
      </w:tr>
    </w:tbl>
    <w:p w:rsidR="00C31073" w:rsidRPr="007E1812" w:rsidRDefault="00C31073" w:rsidP="00620BD3">
      <w:pPr>
        <w:keepNext/>
        <w:keepLines/>
        <w:widowControl/>
        <w:suppressLineNumbers/>
        <w:suppressAutoHyphens/>
        <w:jc w:val="left"/>
        <w:rPr>
          <w:rFonts w:ascii="Arial Narrow" w:hAnsi="Arial Narrow"/>
          <w:sz w:val="18"/>
          <w:szCs w:val="18"/>
        </w:rPr>
      </w:pPr>
      <w:r w:rsidRPr="007E1812">
        <w:rPr>
          <w:rFonts w:ascii="Arial Narrow" w:hAnsi="Arial Narrow"/>
          <w:sz w:val="18"/>
          <w:szCs w:val="18"/>
        </w:rPr>
        <w:t>Abbreviations: AEMP = approved ex-manufacturer price; BID = twice daily; DPMQ = dispensed price per maximum quantity; mg = milligram; RDI = relative dose intensity; QD = once daily</w:t>
      </w:r>
    </w:p>
    <w:p w:rsidR="00624655" w:rsidRPr="007E1812" w:rsidRDefault="00624655" w:rsidP="00620BD3">
      <w:pPr>
        <w:keepNext/>
        <w:keepLines/>
        <w:widowControl/>
        <w:suppressLineNumbers/>
        <w:suppressAutoHyphens/>
        <w:jc w:val="left"/>
        <w:rPr>
          <w:rFonts w:ascii="Arial Narrow" w:hAnsi="Arial Narrow"/>
          <w:sz w:val="18"/>
          <w:szCs w:val="18"/>
        </w:rPr>
      </w:pPr>
      <w:r w:rsidRPr="007E1812">
        <w:rPr>
          <w:rFonts w:ascii="Arial Narrow" w:hAnsi="Arial Narrow"/>
          <w:sz w:val="18"/>
        </w:rPr>
        <w:t>Note: Number in italics indicate values calculated during evaluation</w:t>
      </w:r>
    </w:p>
    <w:p w:rsidR="00C31073" w:rsidRPr="007E1812" w:rsidRDefault="00C31073" w:rsidP="00620BD3">
      <w:pPr>
        <w:keepNext/>
        <w:keepLines/>
        <w:widowControl/>
        <w:suppressLineNumbers/>
        <w:suppressAutoHyphens/>
        <w:rPr>
          <w:rFonts w:ascii="Arial Narrow" w:hAnsi="Arial Narrow"/>
          <w:sz w:val="18"/>
          <w:szCs w:val="18"/>
        </w:rPr>
      </w:pPr>
      <w:r w:rsidRPr="007E1812">
        <w:rPr>
          <w:rFonts w:ascii="Arial Narrow" w:hAnsi="Arial Narrow"/>
          <w:sz w:val="18"/>
          <w:szCs w:val="18"/>
        </w:rPr>
        <w:t>a RDI in ASCEND-5</w:t>
      </w:r>
    </w:p>
    <w:p w:rsidR="00C31073" w:rsidRPr="007E1812" w:rsidRDefault="00C31073" w:rsidP="00620BD3">
      <w:pPr>
        <w:keepNext/>
        <w:keepLines/>
        <w:widowControl/>
        <w:suppressLineNumbers/>
        <w:suppressAutoHyphens/>
        <w:rPr>
          <w:rFonts w:ascii="Arial Narrow" w:hAnsi="Arial Narrow"/>
          <w:sz w:val="18"/>
          <w:szCs w:val="18"/>
        </w:rPr>
      </w:pPr>
      <w:r w:rsidRPr="007E1812">
        <w:rPr>
          <w:rFonts w:ascii="Arial Narrow" w:hAnsi="Arial Narrow"/>
          <w:sz w:val="18"/>
          <w:szCs w:val="18"/>
        </w:rPr>
        <w:t>Source: Table 3-3, p156 of the submission Ceritinib DPMQ, URL: http://www.pbs.gov.au/medicine/item/11056X</w:t>
      </w:r>
    </w:p>
    <w:p w:rsidR="006B080C" w:rsidRPr="007E1812" w:rsidRDefault="00C31073" w:rsidP="00620BD3">
      <w:pPr>
        <w:pStyle w:val="ListParagraph"/>
        <w:widowControl/>
        <w:numPr>
          <w:ilvl w:val="1"/>
          <w:numId w:val="1"/>
        </w:numPr>
        <w:spacing w:before="120" w:after="120"/>
      </w:pPr>
      <w:r w:rsidRPr="007E1812">
        <w:t>The submission did not include additional costs and /or cost offsets associated with use of bri</w:t>
      </w:r>
      <w:r w:rsidR="006B080C" w:rsidRPr="007E1812">
        <w:t>gatinib compared with alectinib</w:t>
      </w:r>
      <w:r w:rsidR="007911B8" w:rsidRPr="007E1812">
        <w:t>,</w:t>
      </w:r>
      <w:r w:rsidR="006B080C" w:rsidRPr="007E1812">
        <w:t xml:space="preserve"> and</w:t>
      </w:r>
      <w:r w:rsidRPr="007E1812">
        <w:t xml:space="preserve"> </w:t>
      </w:r>
      <w:r w:rsidR="006B080C" w:rsidRPr="007E1812">
        <w:t xml:space="preserve">assumed the inclusion of brigatinib within MBS Item 73341 was not expected to alter the utilisation of the service. </w:t>
      </w:r>
    </w:p>
    <w:p w:rsidR="00C31073" w:rsidRPr="007E1812" w:rsidRDefault="00C31073" w:rsidP="00681B99">
      <w:pPr>
        <w:pStyle w:val="Heading2"/>
        <w:keepNext/>
        <w:widowControl/>
        <w:spacing w:before="120" w:after="120"/>
      </w:pPr>
      <w:bookmarkStart w:id="56" w:name="_Toc371170711"/>
      <w:bookmarkStart w:id="57" w:name="_Toc18922045"/>
      <w:bookmarkStart w:id="58" w:name="_Toc19710264"/>
      <w:r w:rsidRPr="007E1812">
        <w:lastRenderedPageBreak/>
        <w:t>Drug cost/patient/course</w:t>
      </w:r>
      <w:bookmarkEnd w:id="56"/>
      <w:bookmarkEnd w:id="57"/>
      <w:bookmarkEnd w:id="58"/>
    </w:p>
    <w:p w:rsidR="0030594C" w:rsidRPr="007E1812" w:rsidRDefault="00C31073" w:rsidP="00620BD3">
      <w:pPr>
        <w:pStyle w:val="ListParagraph"/>
        <w:widowControl/>
        <w:numPr>
          <w:ilvl w:val="1"/>
          <w:numId w:val="1"/>
        </w:numPr>
        <w:spacing w:before="120" w:after="120"/>
      </w:pPr>
      <w:r w:rsidRPr="007E1812">
        <w:t>Applying the submission’s prices, the cost/patient/course for brigatinib in the first-line setting was estimated to be $</w:t>
      </w:r>
      <w:r w:rsidR="00765787">
        <w:rPr>
          <w:noProof/>
          <w:color w:val="000000"/>
          <w:highlight w:val="black"/>
        </w:rPr>
        <w:t>''''''''''''''</w:t>
      </w:r>
      <w:r w:rsidR="00647D53" w:rsidRPr="007E1812">
        <w:t xml:space="preserve"> (using published prices)</w:t>
      </w:r>
      <w:r w:rsidRPr="007E1812">
        <w:t xml:space="preserve">. This was calculated using the proposed dispensed price of </w:t>
      </w:r>
      <w:r w:rsidRPr="00F65301">
        <w:t>brigatinib of $</w:t>
      </w:r>
      <w:r w:rsidR="00765787">
        <w:rPr>
          <w:noProof/>
          <w:color w:val="000000"/>
          <w:highlight w:val="black"/>
        </w:rPr>
        <w:t>'''''''''''</w:t>
      </w:r>
      <w:r w:rsidR="00EE7E43" w:rsidRPr="00F65301">
        <w:t>, assuming</w:t>
      </w:r>
      <w:r w:rsidR="00EE7E43" w:rsidRPr="007E1812">
        <w:t xml:space="preserve"> each 28 day supply provided</w:t>
      </w:r>
      <w:r w:rsidRPr="007E1812">
        <w:t xml:space="preserve"> for </w:t>
      </w:r>
      <w:r w:rsidR="00765787">
        <w:rPr>
          <w:noProof/>
          <w:color w:val="000000"/>
          <w:highlight w:val="black"/>
        </w:rPr>
        <w:t>'''''''''</w:t>
      </w:r>
      <w:r w:rsidRPr="007E1812">
        <w:t xml:space="preserve"> days’ </w:t>
      </w:r>
      <w:r w:rsidR="00EE7E43" w:rsidRPr="007E1812">
        <w:t xml:space="preserve">treatment (allowing for an RDI of </w:t>
      </w:r>
      <w:r w:rsidR="00765787">
        <w:rPr>
          <w:noProof/>
          <w:color w:val="000000"/>
          <w:highlight w:val="black"/>
        </w:rPr>
        <w:t>'''''''''''</w:t>
      </w:r>
      <w:r w:rsidR="00EE7E43" w:rsidRPr="007E1812">
        <w:t>%) and</w:t>
      </w:r>
      <w:r w:rsidRPr="007E1812">
        <w:t xml:space="preserve"> assuming a mean treatment duration of </w:t>
      </w:r>
      <w:r w:rsidR="00765787">
        <w:rPr>
          <w:noProof/>
          <w:color w:val="000000"/>
          <w:highlight w:val="black"/>
        </w:rPr>
        <w:t>'''''''</w:t>
      </w:r>
      <w:r w:rsidRPr="007E1812">
        <w:t xml:space="preserve"> months (ALTA-1L). </w:t>
      </w:r>
      <w:r w:rsidR="0088272E" w:rsidRPr="007E1812">
        <w:t>Data in ALTA-1L w</w:t>
      </w:r>
      <w:r w:rsidR="0030594C" w:rsidRPr="007E1812">
        <w:t>ere</w:t>
      </w:r>
      <w:r w:rsidR="0088272E" w:rsidRPr="007E1812">
        <w:t xml:space="preserve"> immature and therefore the total cost of treatment in</w:t>
      </w:r>
      <w:r w:rsidR="0030594C" w:rsidRPr="007E1812">
        <w:t xml:space="preserve"> the</w:t>
      </w:r>
      <w:r w:rsidR="0088272E" w:rsidRPr="007E1812">
        <w:t xml:space="preserve"> first-line setting is likely to be underestimated</w:t>
      </w:r>
      <w:r w:rsidR="000C5F62" w:rsidRPr="007E1812">
        <w:t xml:space="preserve">. </w:t>
      </w:r>
      <w:r w:rsidR="007A191C" w:rsidRPr="007E1812">
        <w:t>The ESC noted that the pre-PBAC response could provide an update on treatment duration in ALTA-1L based on the second data cut</w:t>
      </w:r>
      <w:r w:rsidR="00EB71E0" w:rsidRPr="007E1812">
        <w:t>-</w:t>
      </w:r>
      <w:r w:rsidR="007A191C" w:rsidRPr="007E1812">
        <w:t>off.</w:t>
      </w:r>
    </w:p>
    <w:p w:rsidR="00D3547C" w:rsidRPr="007E1812" w:rsidRDefault="00C31073" w:rsidP="00620BD3">
      <w:pPr>
        <w:pStyle w:val="ListParagraph"/>
        <w:keepNext/>
        <w:widowControl/>
        <w:numPr>
          <w:ilvl w:val="1"/>
          <w:numId w:val="1"/>
        </w:numPr>
        <w:spacing w:before="120" w:after="120"/>
        <w:contextualSpacing/>
      </w:pPr>
      <w:r w:rsidRPr="007E1812">
        <w:t>The cost/patient/course for brigatinib in the second-line setting was estimated at $</w:t>
      </w:r>
      <w:r w:rsidR="00765787">
        <w:rPr>
          <w:noProof/>
          <w:color w:val="000000"/>
          <w:highlight w:val="black"/>
        </w:rPr>
        <w:t>''''''''''''''''</w:t>
      </w:r>
      <w:r w:rsidR="00647D53" w:rsidRPr="007E1812">
        <w:t xml:space="preserve"> (using published prices)</w:t>
      </w:r>
      <w:r w:rsidRPr="007E1812">
        <w:t>. This was calculated using the proposed dispensed price of brigatinib of $</w:t>
      </w:r>
      <w:r w:rsidR="00765787">
        <w:rPr>
          <w:noProof/>
          <w:color w:val="000000"/>
          <w:highlight w:val="black"/>
        </w:rPr>
        <w:t>'''''''''''</w:t>
      </w:r>
      <w:r w:rsidRPr="000F2C8E">
        <w:t xml:space="preserve"> </w:t>
      </w:r>
      <w:r w:rsidRPr="007E1812">
        <w:t xml:space="preserve">for 28 days of supply assuming a mean treatment duration of 16.36 months. </w:t>
      </w:r>
      <w:r w:rsidR="000D078D" w:rsidRPr="007E1812">
        <w:t>Table 13</w:t>
      </w:r>
      <w:r w:rsidR="00E21758" w:rsidRPr="007E1812">
        <w:t xml:space="preserve"> presents the results of re-analysis of the cost/patient/course</w:t>
      </w:r>
      <w:r w:rsidRPr="007E1812">
        <w:rPr>
          <w:rFonts w:asciiTheme="minorHAnsi" w:hAnsiTheme="minorHAnsi" w:cstheme="minorHAnsi"/>
          <w:szCs w:val="24"/>
        </w:rPr>
        <w:t>.</w:t>
      </w:r>
      <w:r w:rsidR="008F168D" w:rsidRPr="007E1812">
        <w:t xml:space="preserve"> </w:t>
      </w:r>
      <w:r w:rsidR="00C0050D" w:rsidRPr="007E1812">
        <w:t xml:space="preserve">The </w:t>
      </w:r>
      <w:r w:rsidR="001F2F21" w:rsidRPr="007E1812">
        <w:t>treatment duration</w:t>
      </w:r>
      <w:r w:rsidR="00C0050D" w:rsidRPr="007E1812">
        <w:t xml:space="preserve"> for brigatinib was longer in the second</w:t>
      </w:r>
      <w:r w:rsidR="0030466E" w:rsidRPr="007E1812">
        <w:t>-</w:t>
      </w:r>
      <w:r w:rsidR="00C0050D" w:rsidRPr="007E1812">
        <w:t>line-setting</w:t>
      </w:r>
      <w:r w:rsidR="001F2F21" w:rsidRPr="007E1812">
        <w:t xml:space="preserve"> (median 17.25 months)</w:t>
      </w:r>
      <w:r w:rsidR="0030466E" w:rsidRPr="007E1812">
        <w:t xml:space="preserve"> </w:t>
      </w:r>
      <w:r w:rsidR="00C0050D" w:rsidRPr="007E1812">
        <w:t>than in the first</w:t>
      </w:r>
      <w:r w:rsidR="0030466E" w:rsidRPr="007E1812">
        <w:t>-</w:t>
      </w:r>
      <w:r w:rsidR="00C0050D" w:rsidRPr="007E1812">
        <w:t xml:space="preserve">line setting </w:t>
      </w:r>
      <w:r w:rsidR="001F2F21" w:rsidRPr="007E1812">
        <w:t>(median 9.22 months)</w:t>
      </w:r>
      <w:r w:rsidR="0030594C" w:rsidRPr="007E1812">
        <w:t>, reflecting the shorter</w:t>
      </w:r>
      <w:r w:rsidR="00C0050D" w:rsidRPr="007E1812">
        <w:t xml:space="preserve"> follow-up for brigatinib in the first-line setting</w:t>
      </w:r>
      <w:r w:rsidR="001F2F21" w:rsidRPr="007E1812">
        <w:t xml:space="preserve"> (median 11 months)</w:t>
      </w:r>
      <w:r w:rsidR="00C0050D" w:rsidRPr="007E1812">
        <w:t>.</w:t>
      </w:r>
      <w:r w:rsidR="0091162B" w:rsidRPr="007E1812">
        <w:t xml:space="preserve"> </w:t>
      </w:r>
    </w:p>
    <w:p w:rsidR="008F168D" w:rsidRPr="007E1812" w:rsidRDefault="008F168D" w:rsidP="00620BD3">
      <w:pPr>
        <w:keepNext/>
        <w:widowControl/>
        <w:spacing w:before="120" w:after="120"/>
        <w:contextualSpacing/>
        <w:rPr>
          <w:rFonts w:ascii="Arial Narrow" w:hAnsi="Arial Narrow"/>
          <w:b/>
          <w:bCs/>
          <w:sz w:val="20"/>
          <w:szCs w:val="18"/>
        </w:rPr>
      </w:pPr>
      <w:r w:rsidRPr="007E1812">
        <w:rPr>
          <w:rFonts w:ascii="Arial Narrow" w:hAnsi="Arial Narrow"/>
          <w:b/>
          <w:bCs/>
          <w:sz w:val="20"/>
          <w:szCs w:val="18"/>
        </w:rPr>
        <w:br w:type="column"/>
      </w:r>
      <w:r w:rsidRPr="007E1812">
        <w:rPr>
          <w:rFonts w:ascii="Arial Narrow" w:hAnsi="Arial Narrow"/>
          <w:b/>
          <w:bCs/>
          <w:sz w:val="20"/>
          <w:szCs w:val="18"/>
        </w:rPr>
        <w:lastRenderedPageBreak/>
        <w:t>Table 13: Drug cost per patient for proposed and comparator drugs</w:t>
      </w:r>
    </w:p>
    <w:tbl>
      <w:tblPr>
        <w:tblpPr w:leftFromText="180" w:rightFromText="180"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Drug cost per patient for proposed and comparator drugs"/>
      </w:tblPr>
      <w:tblGrid>
        <w:gridCol w:w="2405"/>
        <w:gridCol w:w="1558"/>
        <w:gridCol w:w="1562"/>
        <w:gridCol w:w="1699"/>
        <w:gridCol w:w="1793"/>
      </w:tblGrid>
      <w:tr w:rsidR="008F168D" w:rsidRPr="007E1812" w:rsidTr="008F168D">
        <w:trPr>
          <w:trHeight w:val="459"/>
        </w:trPr>
        <w:tc>
          <w:tcPr>
            <w:tcW w:w="1334" w:type="pct"/>
            <w:vMerge w:val="restart"/>
            <w:tcBorders>
              <w:left w:val="single" w:sz="4" w:space="0" w:color="auto"/>
              <w:right w:val="single" w:sz="4" w:space="0" w:color="auto"/>
            </w:tcBorders>
            <w:vAlign w:val="center"/>
          </w:tcPr>
          <w:p w:rsidR="008F168D" w:rsidRPr="007E1812" w:rsidRDefault="008F168D" w:rsidP="00620BD3">
            <w:pPr>
              <w:keepNext/>
              <w:widowControl/>
              <w:spacing w:line="256" w:lineRule="auto"/>
              <w:contextualSpacing/>
              <w:jc w:val="left"/>
              <w:rPr>
                <w:szCs w:val="20"/>
              </w:rPr>
            </w:pP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b/>
                <w:sz w:val="20"/>
              </w:rPr>
            </w:pPr>
            <w:r w:rsidRPr="007E1812">
              <w:rPr>
                <w:rFonts w:ascii="Arial Narrow" w:hAnsi="Arial Narrow"/>
                <w:b/>
                <w:sz w:val="20"/>
              </w:rPr>
              <w:t xml:space="preserve">Brigatinib </w:t>
            </w:r>
          </w:p>
        </w:tc>
        <w:tc>
          <w:tcPr>
            <w:tcW w:w="1936" w:type="pct"/>
            <w:gridSpan w:val="2"/>
            <w:tcBorders>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b/>
                <w:sz w:val="20"/>
              </w:rPr>
            </w:pPr>
            <w:r w:rsidRPr="007E1812">
              <w:rPr>
                <w:rFonts w:ascii="Arial Narrow" w:hAnsi="Arial Narrow"/>
                <w:b/>
                <w:sz w:val="20"/>
              </w:rPr>
              <w:t xml:space="preserve">Alectinib </w:t>
            </w:r>
          </w:p>
        </w:tc>
      </w:tr>
      <w:tr w:rsidR="008F168D" w:rsidRPr="007E1812" w:rsidTr="008F168D">
        <w:trPr>
          <w:trHeight w:val="459"/>
        </w:trPr>
        <w:tc>
          <w:tcPr>
            <w:tcW w:w="1334" w:type="pct"/>
            <w:vMerge/>
            <w:tcBorders>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left"/>
              <w:rPr>
                <w:szCs w:val="20"/>
              </w:rPr>
            </w:pPr>
          </w:p>
        </w:tc>
        <w:tc>
          <w:tcPr>
            <w:tcW w:w="86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b/>
                <w:sz w:val="20"/>
              </w:rPr>
            </w:pPr>
            <w:r w:rsidRPr="007E1812">
              <w:rPr>
                <w:rFonts w:ascii="Arial Narrow" w:hAnsi="Arial Narrow"/>
                <w:b/>
                <w:sz w:val="20"/>
              </w:rPr>
              <w:t>CMA</w:t>
            </w:r>
          </w:p>
        </w:tc>
        <w:tc>
          <w:tcPr>
            <w:tcW w:w="866" w:type="pct"/>
            <w:tcBorders>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b/>
                <w:sz w:val="20"/>
              </w:rPr>
            </w:pPr>
            <w:r w:rsidRPr="007E1812">
              <w:rPr>
                <w:rFonts w:ascii="Arial Narrow" w:hAnsi="Arial Narrow"/>
                <w:b/>
                <w:sz w:val="20"/>
              </w:rPr>
              <w:t>Financial estimates</w:t>
            </w:r>
          </w:p>
        </w:tc>
        <w:tc>
          <w:tcPr>
            <w:tcW w:w="942" w:type="pct"/>
            <w:tcBorders>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b/>
                <w:sz w:val="20"/>
              </w:rPr>
            </w:pPr>
            <w:r w:rsidRPr="007E1812">
              <w:rPr>
                <w:rFonts w:ascii="Arial Narrow" w:hAnsi="Arial Narrow"/>
                <w:b/>
                <w:sz w:val="20"/>
              </w:rPr>
              <w:t>CMA</w:t>
            </w:r>
          </w:p>
        </w:tc>
        <w:tc>
          <w:tcPr>
            <w:tcW w:w="994" w:type="pct"/>
            <w:tcBorders>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b/>
                <w:sz w:val="20"/>
              </w:rPr>
            </w:pPr>
            <w:r w:rsidRPr="007E1812">
              <w:rPr>
                <w:rFonts w:ascii="Arial Narrow" w:hAnsi="Arial Narrow"/>
                <w:b/>
                <w:sz w:val="20"/>
              </w:rPr>
              <w:t>Financial estimates</w:t>
            </w:r>
          </w:p>
        </w:tc>
      </w:tr>
      <w:tr w:rsidR="008F168D" w:rsidRPr="007E1812" w:rsidTr="008F168D">
        <w:trPr>
          <w:trHeight w:val="833"/>
        </w:trPr>
        <w:tc>
          <w:tcPr>
            <w:tcW w:w="133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left"/>
              <w:rPr>
                <w:rFonts w:ascii="Arial Narrow" w:hAnsi="Arial Narrow"/>
                <w:sz w:val="20"/>
                <w:szCs w:val="20"/>
              </w:rPr>
            </w:pPr>
            <w:r w:rsidRPr="007E1812">
              <w:rPr>
                <w:rFonts w:ascii="Arial Narrow" w:hAnsi="Arial Narrow"/>
                <w:sz w:val="20"/>
                <w:szCs w:val="20"/>
              </w:rPr>
              <w:t>Equi-effective dose (as per submission)</w:t>
            </w:r>
          </w:p>
        </w:tc>
        <w:tc>
          <w:tcPr>
            <w:tcW w:w="86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765787" w:rsidP="00620BD3">
            <w:pPr>
              <w:keepNext/>
              <w:widowControl/>
              <w:spacing w:line="256" w:lineRule="auto"/>
              <w:contextualSpacing/>
              <w:jc w:val="center"/>
              <w:rPr>
                <w:rFonts w:ascii="Arial Narrow" w:hAnsi="Arial Narrow"/>
                <w:sz w:val="20"/>
                <w:szCs w:val="20"/>
              </w:rPr>
            </w:pPr>
            <w:r>
              <w:rPr>
                <w:rFonts w:ascii="Arial Narrow" w:hAnsi="Arial Narrow"/>
                <w:noProof/>
                <w:color w:val="000000"/>
                <w:sz w:val="20"/>
                <w:szCs w:val="20"/>
                <w:highlight w:val="black"/>
              </w:rPr>
              <w:t>''''''''''''''''''</w:t>
            </w:r>
            <w:r w:rsidR="00A7104E" w:rsidRPr="00A7104E">
              <w:rPr>
                <w:rFonts w:ascii="Arial Narrow" w:hAnsi="Arial Narrow"/>
                <w:sz w:val="20"/>
                <w:szCs w:val="20"/>
              </w:rPr>
              <w:t xml:space="preserve"> mg </w:t>
            </w:r>
            <w:r w:rsidR="008F168D" w:rsidRPr="00A7104E">
              <w:rPr>
                <w:rFonts w:ascii="Arial Narrow" w:hAnsi="Arial Narrow"/>
                <w:sz w:val="20"/>
                <w:szCs w:val="20"/>
              </w:rPr>
              <w:t>average</w:t>
            </w:r>
            <w:r w:rsidR="008F168D" w:rsidRPr="007E1812">
              <w:rPr>
                <w:rFonts w:ascii="Arial Narrow" w:hAnsi="Arial Narrow"/>
                <w:sz w:val="20"/>
                <w:szCs w:val="20"/>
              </w:rPr>
              <w:t xml:space="preserve"> daily dose</w:t>
            </w:r>
          </w:p>
        </w:tc>
        <w:tc>
          <w:tcPr>
            <w:tcW w:w="866"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765787" w:rsidP="00620BD3">
            <w:pPr>
              <w:keepNext/>
              <w:widowControl/>
              <w:spacing w:line="256" w:lineRule="auto"/>
              <w:contextualSpacing/>
              <w:jc w:val="center"/>
              <w:rPr>
                <w:rFonts w:ascii="Arial Narrow" w:hAnsi="Arial Narrow"/>
                <w:sz w:val="20"/>
                <w:szCs w:val="20"/>
              </w:rPr>
            </w:pPr>
            <w:r>
              <w:rPr>
                <w:rFonts w:ascii="Arial Narrow" w:hAnsi="Arial Narrow"/>
                <w:noProof/>
                <w:color w:val="000000"/>
                <w:sz w:val="20"/>
                <w:szCs w:val="20"/>
                <w:highlight w:val="black"/>
              </w:rPr>
              <w:t>'''''''''''''</w:t>
            </w:r>
            <w:r w:rsidR="008F168D" w:rsidRPr="007E1812">
              <w:rPr>
                <w:rFonts w:ascii="Arial Narrow" w:hAnsi="Arial Narrow"/>
                <w:sz w:val="20"/>
                <w:szCs w:val="20"/>
              </w:rPr>
              <w:t xml:space="preserve"> mg average daily dose </w:t>
            </w:r>
          </w:p>
        </w:tc>
        <w:tc>
          <w:tcPr>
            <w:tcW w:w="942"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center"/>
              <w:rPr>
                <w:rFonts w:ascii="Arial Narrow" w:hAnsi="Arial Narrow"/>
                <w:sz w:val="20"/>
                <w:szCs w:val="20"/>
              </w:rPr>
            </w:pPr>
            <w:r w:rsidRPr="007E1812">
              <w:rPr>
                <w:rFonts w:ascii="Arial Narrow" w:hAnsi="Arial Narrow"/>
                <w:sz w:val="20"/>
                <w:szCs w:val="20"/>
              </w:rPr>
              <w:t>1147.2 mg average daily dose</w:t>
            </w:r>
          </w:p>
        </w:tc>
        <w:tc>
          <w:tcPr>
            <w:tcW w:w="99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center"/>
              <w:rPr>
                <w:rFonts w:ascii="Arial Narrow" w:hAnsi="Arial Narrow"/>
                <w:sz w:val="20"/>
                <w:szCs w:val="20"/>
              </w:rPr>
            </w:pPr>
            <w:r w:rsidRPr="007E1812">
              <w:rPr>
                <w:rFonts w:ascii="Arial Narrow" w:hAnsi="Arial Narrow"/>
                <w:sz w:val="20"/>
                <w:szCs w:val="20"/>
              </w:rPr>
              <w:t>600 mg (4x 150 mg) BD</w:t>
            </w:r>
          </w:p>
        </w:tc>
      </w:tr>
      <w:tr w:rsidR="008F168D" w:rsidRPr="007E1812" w:rsidTr="008F168D">
        <w:trPr>
          <w:trHeight w:val="268"/>
        </w:trPr>
        <w:tc>
          <w:tcPr>
            <w:tcW w:w="133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left"/>
              <w:rPr>
                <w:rFonts w:ascii="Arial Narrow" w:hAnsi="Arial Narrow"/>
                <w:sz w:val="20"/>
              </w:rPr>
            </w:pPr>
            <w:r w:rsidRPr="007E1812">
              <w:rPr>
                <w:rFonts w:ascii="Arial Narrow" w:hAnsi="Arial Narrow"/>
                <w:sz w:val="20"/>
              </w:rPr>
              <w:t>Median duration of treatment (months)</w:t>
            </w:r>
          </w:p>
        </w:tc>
        <w:tc>
          <w:tcPr>
            <w:tcW w:w="86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i/>
                <w:iCs/>
                <w:sz w:val="20"/>
              </w:rPr>
            </w:pPr>
            <w:r w:rsidRPr="007E1812">
              <w:rPr>
                <w:rFonts w:ascii="Arial Narrow" w:hAnsi="Arial Narrow"/>
                <w:sz w:val="20"/>
              </w:rPr>
              <w:t>9.22</w:t>
            </w:r>
          </w:p>
        </w:tc>
        <w:tc>
          <w:tcPr>
            <w:tcW w:w="866"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NA</w:t>
            </w:r>
          </w:p>
        </w:tc>
        <w:tc>
          <w:tcPr>
            <w:tcW w:w="942"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17.9</w:t>
            </w:r>
          </w:p>
        </w:tc>
        <w:tc>
          <w:tcPr>
            <w:tcW w:w="99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NA</w:t>
            </w:r>
          </w:p>
        </w:tc>
      </w:tr>
      <w:tr w:rsidR="008F168D" w:rsidRPr="007E1812" w:rsidTr="008F168D">
        <w:trPr>
          <w:trHeight w:val="268"/>
        </w:trPr>
        <w:tc>
          <w:tcPr>
            <w:tcW w:w="133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left"/>
              <w:rPr>
                <w:rFonts w:ascii="Arial Narrow" w:hAnsi="Arial Narrow"/>
                <w:sz w:val="20"/>
              </w:rPr>
            </w:pPr>
            <w:r w:rsidRPr="007E1812">
              <w:rPr>
                <w:rFonts w:ascii="Arial Narrow" w:hAnsi="Arial Narrow"/>
                <w:sz w:val="20"/>
              </w:rPr>
              <w:t>Mean duration of treatment (months)</w:t>
            </w:r>
          </w:p>
        </w:tc>
        <w:tc>
          <w:tcPr>
            <w:tcW w:w="864" w:type="pct"/>
            <w:tcBorders>
              <w:top w:val="single" w:sz="4" w:space="0" w:color="auto"/>
              <w:left w:val="single" w:sz="4" w:space="0" w:color="auto"/>
              <w:bottom w:val="single" w:sz="4" w:space="0" w:color="auto"/>
              <w:right w:val="single" w:sz="4" w:space="0" w:color="auto"/>
            </w:tcBorders>
            <w:vAlign w:val="center"/>
          </w:tcPr>
          <w:p w:rsidR="008F168D" w:rsidRPr="00765787" w:rsidRDefault="00765787" w:rsidP="00620BD3">
            <w:pPr>
              <w:keepNext/>
              <w:widowControl/>
              <w:spacing w:line="256" w:lineRule="auto"/>
              <w:contextualSpacing/>
              <w:jc w:val="center"/>
              <w:rPr>
                <w:rFonts w:ascii="Arial Narrow" w:hAnsi="Arial Narrow"/>
                <w:i/>
                <w:iCs/>
                <w:sz w:val="20"/>
                <w:highlight w:val="black"/>
              </w:rPr>
            </w:pPr>
            <w:r>
              <w:rPr>
                <w:rFonts w:ascii="Arial Narrow" w:hAnsi="Arial Narrow"/>
                <w:noProof/>
                <w:color w:val="000000"/>
                <w:sz w:val="20"/>
                <w:highlight w:val="black"/>
              </w:rPr>
              <w:t>'''''''</w:t>
            </w:r>
          </w:p>
        </w:tc>
        <w:tc>
          <w:tcPr>
            <w:tcW w:w="866"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 xml:space="preserve">18 </w:t>
            </w:r>
          </w:p>
        </w:tc>
        <w:tc>
          <w:tcPr>
            <w:tcW w:w="942"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17.1</w:t>
            </w:r>
          </w:p>
        </w:tc>
        <w:tc>
          <w:tcPr>
            <w:tcW w:w="99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18</w:t>
            </w:r>
          </w:p>
        </w:tc>
      </w:tr>
      <w:tr w:rsidR="008F168D" w:rsidRPr="007E1812" w:rsidTr="008F168D">
        <w:trPr>
          <w:trHeight w:val="282"/>
        </w:trPr>
        <w:tc>
          <w:tcPr>
            <w:tcW w:w="133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left"/>
              <w:rPr>
                <w:rFonts w:ascii="Arial Narrow" w:hAnsi="Arial Narrow"/>
                <w:sz w:val="20"/>
              </w:rPr>
            </w:pPr>
            <w:r w:rsidRPr="007E1812">
              <w:rPr>
                <w:rFonts w:ascii="Arial Narrow" w:hAnsi="Arial Narrow"/>
                <w:sz w:val="20"/>
              </w:rPr>
              <w:t>Cost/patient/month</w:t>
            </w:r>
          </w:p>
        </w:tc>
        <w:tc>
          <w:tcPr>
            <w:tcW w:w="86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w:t>
            </w:r>
            <w:r w:rsidR="00765787">
              <w:rPr>
                <w:rFonts w:ascii="Arial Narrow" w:hAnsi="Arial Narrow"/>
                <w:noProof/>
                <w:color w:val="000000"/>
                <w:sz w:val="20"/>
                <w:highlight w:val="black"/>
              </w:rPr>
              <w:t>'''''''''''''</w:t>
            </w:r>
          </w:p>
        </w:tc>
        <w:tc>
          <w:tcPr>
            <w:tcW w:w="866"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w:t>
            </w:r>
            <w:r w:rsidR="00765787">
              <w:rPr>
                <w:rFonts w:ascii="Arial Narrow" w:hAnsi="Arial Narrow"/>
                <w:noProof/>
                <w:color w:val="000000"/>
                <w:sz w:val="20"/>
                <w:highlight w:val="black"/>
              </w:rPr>
              <w:t>'''''''''''''''</w:t>
            </w:r>
          </w:p>
        </w:tc>
        <w:tc>
          <w:tcPr>
            <w:tcW w:w="942"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$6,805</w:t>
            </w:r>
          </w:p>
        </w:tc>
        <w:tc>
          <w:tcPr>
            <w:tcW w:w="99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$6,805</w:t>
            </w:r>
          </w:p>
        </w:tc>
      </w:tr>
      <w:tr w:rsidR="008F168D" w:rsidRPr="007E1812" w:rsidTr="008F168D">
        <w:trPr>
          <w:trHeight w:val="550"/>
        </w:trPr>
        <w:tc>
          <w:tcPr>
            <w:tcW w:w="133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left"/>
              <w:rPr>
                <w:rFonts w:ascii="Arial Narrow" w:hAnsi="Arial Narrow"/>
                <w:sz w:val="20"/>
              </w:rPr>
            </w:pPr>
            <w:r w:rsidRPr="007E1812">
              <w:rPr>
                <w:rFonts w:ascii="Arial Narrow" w:hAnsi="Arial Narrow"/>
                <w:sz w:val="20"/>
              </w:rPr>
              <w:t>Cost/patient/</w:t>
            </w:r>
          </w:p>
          <w:p w:rsidR="008F168D" w:rsidRPr="007E1812" w:rsidRDefault="008F168D" w:rsidP="00620BD3">
            <w:pPr>
              <w:keepNext/>
              <w:widowControl/>
              <w:spacing w:line="256" w:lineRule="auto"/>
              <w:contextualSpacing/>
              <w:jc w:val="left"/>
              <w:rPr>
                <w:rFonts w:ascii="Arial Narrow" w:hAnsi="Arial Narrow"/>
                <w:sz w:val="20"/>
              </w:rPr>
            </w:pPr>
            <w:r w:rsidRPr="007E1812">
              <w:rPr>
                <w:rFonts w:ascii="Arial Narrow" w:hAnsi="Arial Narrow"/>
                <w:sz w:val="20"/>
              </w:rPr>
              <w:t>Course-1</w:t>
            </w:r>
            <w:r w:rsidRPr="007E1812">
              <w:rPr>
                <w:rFonts w:ascii="Arial Narrow" w:hAnsi="Arial Narrow"/>
                <w:sz w:val="20"/>
                <w:vertAlign w:val="superscript"/>
              </w:rPr>
              <w:t>st</w:t>
            </w:r>
            <w:r w:rsidRPr="007E1812">
              <w:rPr>
                <w:rFonts w:ascii="Arial Narrow" w:hAnsi="Arial Narrow"/>
                <w:sz w:val="20"/>
              </w:rPr>
              <w:t xml:space="preserve"> line-setting </w:t>
            </w:r>
          </w:p>
        </w:tc>
        <w:tc>
          <w:tcPr>
            <w:tcW w:w="86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w:t>
            </w:r>
            <w:r w:rsidR="00765787">
              <w:rPr>
                <w:rFonts w:ascii="Arial Narrow" w:hAnsi="Arial Narrow"/>
                <w:noProof/>
                <w:color w:val="000000"/>
                <w:sz w:val="20"/>
                <w:highlight w:val="black"/>
              </w:rPr>
              <w:t>'''''''''''''''</w:t>
            </w:r>
            <w:r w:rsidRPr="007E1812">
              <w:rPr>
                <w:rFonts w:ascii="Arial Narrow" w:hAnsi="Arial Narrow"/>
                <w:sz w:val="20"/>
                <w:vertAlign w:val="superscript"/>
              </w:rPr>
              <w:t>a</w:t>
            </w:r>
            <w:r w:rsidRPr="007E1812">
              <w:rPr>
                <w:rFonts w:ascii="Arial Narrow" w:hAnsi="Arial Narrow"/>
                <w:sz w:val="20"/>
              </w:rPr>
              <w:t xml:space="preserve"> </w:t>
            </w:r>
          </w:p>
        </w:tc>
        <w:tc>
          <w:tcPr>
            <w:tcW w:w="866"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w:t>
            </w:r>
            <w:r w:rsidR="00765787">
              <w:rPr>
                <w:rFonts w:ascii="Arial Narrow" w:hAnsi="Arial Narrow"/>
                <w:noProof/>
                <w:color w:val="000000"/>
                <w:sz w:val="20"/>
                <w:highlight w:val="black"/>
              </w:rPr>
              <w:t>'''''''''''''''''''</w:t>
            </w:r>
            <w:r w:rsidRPr="007E1812">
              <w:rPr>
                <w:rFonts w:ascii="Arial Narrow" w:hAnsi="Arial Narrow"/>
                <w:sz w:val="20"/>
                <w:vertAlign w:val="superscript"/>
              </w:rPr>
              <w:t>b</w:t>
            </w:r>
            <w:r w:rsidRPr="007E1812">
              <w:rPr>
                <w:rFonts w:ascii="Arial Narrow" w:hAnsi="Arial Narrow"/>
                <w:sz w:val="20"/>
              </w:rPr>
              <w:t xml:space="preserve"> </w:t>
            </w:r>
          </w:p>
        </w:tc>
        <w:tc>
          <w:tcPr>
            <w:tcW w:w="942"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center"/>
              <w:rPr>
                <w:rFonts w:ascii="Arial Narrow" w:hAnsi="Arial Narrow"/>
                <w:sz w:val="20"/>
                <w:vertAlign w:val="superscript"/>
              </w:rPr>
            </w:pPr>
            <w:r w:rsidRPr="007E1812">
              <w:rPr>
                <w:rFonts w:ascii="Arial Narrow" w:hAnsi="Arial Narrow"/>
                <w:sz w:val="20"/>
              </w:rPr>
              <w:t>$120,742</w:t>
            </w:r>
            <w:r w:rsidRPr="007E1812">
              <w:rPr>
                <w:rFonts w:ascii="Arial Narrow" w:hAnsi="Arial Narrow"/>
                <w:sz w:val="20"/>
                <w:vertAlign w:val="superscript"/>
              </w:rPr>
              <w:t>c</w:t>
            </w:r>
          </w:p>
        </w:tc>
        <w:tc>
          <w:tcPr>
            <w:tcW w:w="994" w:type="pct"/>
            <w:tcBorders>
              <w:top w:val="single" w:sz="4" w:space="0" w:color="auto"/>
              <w:left w:val="single" w:sz="4" w:space="0" w:color="auto"/>
              <w:bottom w:val="single" w:sz="4" w:space="0" w:color="auto"/>
              <w:right w:val="single" w:sz="4" w:space="0" w:color="auto"/>
            </w:tcBorders>
            <w:vAlign w:val="center"/>
            <w:hideMark/>
          </w:tcPr>
          <w:p w:rsidR="008F168D" w:rsidRPr="007E1812" w:rsidRDefault="008F168D" w:rsidP="00620BD3">
            <w:pPr>
              <w:keepNext/>
              <w:widowControl/>
              <w:spacing w:line="256" w:lineRule="auto"/>
              <w:contextualSpacing/>
              <w:jc w:val="center"/>
              <w:rPr>
                <w:rFonts w:ascii="Arial Narrow" w:hAnsi="Arial Narrow"/>
                <w:sz w:val="20"/>
                <w:vertAlign w:val="superscript"/>
              </w:rPr>
            </w:pPr>
            <w:r w:rsidRPr="007E1812">
              <w:rPr>
                <w:rFonts w:ascii="Arial Narrow" w:hAnsi="Arial Narrow"/>
                <w:sz w:val="20"/>
              </w:rPr>
              <w:t>$133,066</w:t>
            </w:r>
            <w:r w:rsidRPr="007E1812">
              <w:rPr>
                <w:rFonts w:ascii="Arial Narrow" w:hAnsi="Arial Narrow"/>
                <w:sz w:val="20"/>
                <w:vertAlign w:val="superscript"/>
              </w:rPr>
              <w:t>d</w:t>
            </w:r>
          </w:p>
        </w:tc>
      </w:tr>
      <w:tr w:rsidR="008F168D" w:rsidRPr="007E1812" w:rsidTr="008F168D">
        <w:trPr>
          <w:trHeight w:val="537"/>
        </w:trPr>
        <w:tc>
          <w:tcPr>
            <w:tcW w:w="133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left"/>
              <w:rPr>
                <w:rFonts w:ascii="Arial Narrow" w:hAnsi="Arial Narrow"/>
                <w:sz w:val="20"/>
              </w:rPr>
            </w:pPr>
            <w:r w:rsidRPr="007E1812">
              <w:rPr>
                <w:rFonts w:ascii="Arial Narrow" w:hAnsi="Arial Narrow"/>
                <w:sz w:val="20"/>
              </w:rPr>
              <w:t>Cost/patient/</w:t>
            </w:r>
          </w:p>
          <w:p w:rsidR="008F168D" w:rsidRPr="007E1812" w:rsidRDefault="008F168D" w:rsidP="00620BD3">
            <w:pPr>
              <w:keepNext/>
              <w:widowControl/>
              <w:spacing w:line="256" w:lineRule="auto"/>
              <w:contextualSpacing/>
              <w:jc w:val="left"/>
              <w:rPr>
                <w:rFonts w:ascii="Arial Narrow" w:hAnsi="Arial Narrow"/>
                <w:sz w:val="20"/>
              </w:rPr>
            </w:pPr>
            <w:r w:rsidRPr="007E1812">
              <w:rPr>
                <w:rFonts w:ascii="Arial Narrow" w:hAnsi="Arial Narrow"/>
                <w:sz w:val="20"/>
              </w:rPr>
              <w:t>Course-2</w:t>
            </w:r>
            <w:r w:rsidRPr="007E1812">
              <w:rPr>
                <w:rFonts w:ascii="Arial Narrow" w:hAnsi="Arial Narrow"/>
                <w:sz w:val="20"/>
                <w:vertAlign w:val="superscript"/>
              </w:rPr>
              <w:t>nd</w:t>
            </w:r>
            <w:r w:rsidRPr="007E1812">
              <w:rPr>
                <w:rFonts w:ascii="Arial Narrow" w:hAnsi="Arial Narrow"/>
                <w:sz w:val="20"/>
              </w:rPr>
              <w:t xml:space="preserve">  line-setting</w:t>
            </w:r>
          </w:p>
        </w:tc>
        <w:tc>
          <w:tcPr>
            <w:tcW w:w="86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vertAlign w:val="superscript"/>
              </w:rPr>
            </w:pPr>
            <w:r w:rsidRPr="007E1812">
              <w:rPr>
                <w:rFonts w:ascii="Arial Narrow" w:hAnsi="Arial Narrow"/>
                <w:sz w:val="20"/>
              </w:rPr>
              <w:t>$</w:t>
            </w:r>
            <w:r w:rsidR="00765787">
              <w:rPr>
                <w:rFonts w:ascii="Arial Narrow" w:hAnsi="Arial Narrow"/>
                <w:noProof/>
                <w:color w:val="000000"/>
                <w:sz w:val="20"/>
                <w:highlight w:val="black"/>
              </w:rPr>
              <w:t>'''''''''''''''''</w:t>
            </w:r>
            <w:r w:rsidRPr="007E1812">
              <w:rPr>
                <w:rFonts w:ascii="Arial Narrow" w:hAnsi="Arial Narrow"/>
                <w:sz w:val="20"/>
                <w:vertAlign w:val="superscript"/>
              </w:rPr>
              <w:t>e</w:t>
            </w:r>
          </w:p>
        </w:tc>
        <w:tc>
          <w:tcPr>
            <w:tcW w:w="866"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NA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8F168D" w:rsidRPr="007E1812" w:rsidRDefault="008F168D" w:rsidP="00620BD3">
            <w:pPr>
              <w:keepNext/>
              <w:widowControl/>
              <w:spacing w:line="256" w:lineRule="auto"/>
              <w:contextualSpacing/>
              <w:jc w:val="center"/>
              <w:rPr>
                <w:rFonts w:ascii="Arial Narrow" w:hAnsi="Arial Narrow"/>
                <w:sz w:val="20"/>
                <w:vertAlign w:val="superscript"/>
              </w:rPr>
            </w:pPr>
            <w:r w:rsidRPr="007E1812">
              <w:rPr>
                <w:rFonts w:ascii="Arial Narrow" w:hAnsi="Arial Narrow"/>
                <w:sz w:val="20"/>
              </w:rPr>
              <w:t>$32,603</w:t>
            </w:r>
            <w:r w:rsidRPr="007E1812">
              <w:rPr>
                <w:rFonts w:ascii="Arial Narrow" w:hAnsi="Arial Narrow"/>
                <w:sz w:val="20"/>
                <w:vertAlign w:val="superscript"/>
              </w:rPr>
              <w:t>f</w:t>
            </w:r>
          </w:p>
        </w:tc>
        <w:tc>
          <w:tcPr>
            <w:tcW w:w="994" w:type="pct"/>
            <w:tcBorders>
              <w:top w:val="single" w:sz="4" w:space="0" w:color="auto"/>
              <w:left w:val="single" w:sz="4" w:space="0" w:color="auto"/>
              <w:bottom w:val="single" w:sz="4" w:space="0" w:color="auto"/>
              <w:right w:val="single" w:sz="4" w:space="0" w:color="auto"/>
            </w:tcBorders>
            <w:vAlign w:val="center"/>
          </w:tcPr>
          <w:p w:rsidR="008F168D" w:rsidRPr="007E1812" w:rsidRDefault="008F168D" w:rsidP="00620BD3">
            <w:pPr>
              <w:keepNext/>
              <w:widowControl/>
              <w:spacing w:line="256" w:lineRule="auto"/>
              <w:contextualSpacing/>
              <w:jc w:val="center"/>
              <w:rPr>
                <w:rFonts w:ascii="Arial Narrow" w:hAnsi="Arial Narrow"/>
                <w:sz w:val="20"/>
              </w:rPr>
            </w:pPr>
            <w:r w:rsidRPr="007E1812">
              <w:rPr>
                <w:rFonts w:ascii="Arial Narrow" w:hAnsi="Arial Narrow"/>
                <w:sz w:val="20"/>
              </w:rPr>
              <w:t>NA</w:t>
            </w:r>
          </w:p>
        </w:tc>
      </w:tr>
    </w:tbl>
    <w:p w:rsidR="008F168D" w:rsidRPr="007E1812" w:rsidRDefault="008F168D" w:rsidP="00620BD3">
      <w:pPr>
        <w:keepNext/>
        <w:widowControl/>
        <w:rPr>
          <w:rFonts w:ascii="Arial Narrow" w:hAnsi="Arial Narrow"/>
          <w:sz w:val="18"/>
          <w:szCs w:val="18"/>
        </w:rPr>
      </w:pPr>
      <w:r w:rsidRPr="007E1812">
        <w:rPr>
          <w:rFonts w:ascii="Arial Narrow" w:hAnsi="Arial Narrow"/>
          <w:sz w:val="18"/>
          <w:szCs w:val="18"/>
        </w:rPr>
        <w:t>Abbreviations: CMA = cost-minimisation analysis; BD = twice daily; mg = milligram; NA = not available; NR = not reported; QD = once daily.</w:t>
      </w:r>
    </w:p>
    <w:p w:rsidR="008F168D" w:rsidRPr="007E1812" w:rsidRDefault="008F168D" w:rsidP="00620BD3">
      <w:pPr>
        <w:keepNext/>
        <w:widowControl/>
        <w:rPr>
          <w:rFonts w:ascii="Arial Narrow" w:hAnsi="Arial Narrow"/>
          <w:sz w:val="18"/>
        </w:rPr>
      </w:pPr>
      <w:r w:rsidRPr="007E1812">
        <w:rPr>
          <w:rFonts w:ascii="Arial Narrow" w:hAnsi="Arial Narrow"/>
          <w:sz w:val="18"/>
        </w:rPr>
        <w:t>Notes: Italics indicate values calculated during evaluation</w:t>
      </w:r>
    </w:p>
    <w:p w:rsidR="008F168D" w:rsidRPr="007E1812" w:rsidRDefault="008F168D" w:rsidP="00620BD3">
      <w:pPr>
        <w:keepNext/>
        <w:widowControl/>
        <w:rPr>
          <w:rFonts w:ascii="Arial Narrow" w:hAnsi="Arial Narrow"/>
          <w:sz w:val="18"/>
          <w:szCs w:val="18"/>
        </w:rPr>
      </w:pPr>
      <w:r w:rsidRPr="007E1812">
        <w:rPr>
          <w:rFonts w:ascii="Arial Narrow" w:hAnsi="Arial Narrow"/>
          <w:sz w:val="18"/>
          <w:szCs w:val="18"/>
        </w:rPr>
        <w:t>a Estimated during the evaluation using proposed dispensing price of brigatinib of $</w:t>
      </w:r>
      <w:r w:rsidR="00765787">
        <w:rPr>
          <w:rFonts w:ascii="Arial Narrow" w:hAnsi="Arial Narrow"/>
          <w:noProof/>
          <w:color w:val="000000"/>
          <w:sz w:val="18"/>
          <w:szCs w:val="18"/>
          <w:highlight w:val="black"/>
        </w:rPr>
        <w:t>''''''''''''</w:t>
      </w:r>
      <w:r w:rsidRPr="007E1812">
        <w:rPr>
          <w:rFonts w:ascii="Arial Narrow" w:hAnsi="Arial Narrow"/>
          <w:sz w:val="18"/>
          <w:szCs w:val="18"/>
        </w:rPr>
        <w:t xml:space="preserve"> for </w:t>
      </w:r>
      <w:r w:rsidR="00765787">
        <w:rPr>
          <w:rFonts w:ascii="Arial Narrow" w:hAnsi="Arial Narrow"/>
          <w:noProof/>
          <w:color w:val="000000"/>
          <w:sz w:val="18"/>
          <w:szCs w:val="18"/>
          <w:highlight w:val="black"/>
        </w:rPr>
        <w:t>'''''''''''</w:t>
      </w:r>
      <w:r w:rsidRPr="007E1812">
        <w:rPr>
          <w:rFonts w:ascii="Arial Narrow" w:hAnsi="Arial Narrow"/>
          <w:sz w:val="18"/>
          <w:szCs w:val="18"/>
        </w:rPr>
        <w:t xml:space="preserve"> days’ supply, assuming a mean treatment duration of </w:t>
      </w:r>
      <w:r w:rsidR="00765787">
        <w:rPr>
          <w:rFonts w:ascii="Arial Narrow" w:hAnsi="Arial Narrow"/>
          <w:noProof/>
          <w:color w:val="000000"/>
          <w:sz w:val="18"/>
          <w:szCs w:val="18"/>
          <w:highlight w:val="black"/>
        </w:rPr>
        <w:t>'''''''</w:t>
      </w:r>
      <w:r w:rsidRPr="007E1812">
        <w:rPr>
          <w:rFonts w:ascii="Arial Narrow" w:hAnsi="Arial Narrow"/>
          <w:sz w:val="18"/>
          <w:szCs w:val="18"/>
        </w:rPr>
        <w:t xml:space="preserve"> months (ALTA-1L) and an RDI of </w:t>
      </w:r>
      <w:r w:rsidR="00765787">
        <w:rPr>
          <w:rFonts w:ascii="Arial Narrow" w:hAnsi="Arial Narrow"/>
          <w:noProof/>
          <w:color w:val="000000"/>
          <w:sz w:val="18"/>
          <w:szCs w:val="18"/>
          <w:highlight w:val="black"/>
        </w:rPr>
        <w:t>'''''''''''''</w:t>
      </w:r>
      <w:r w:rsidRPr="007E1812">
        <w:rPr>
          <w:rFonts w:ascii="Arial Narrow" w:hAnsi="Arial Narrow"/>
          <w:sz w:val="18"/>
          <w:szCs w:val="18"/>
        </w:rPr>
        <w:t>%.</w:t>
      </w:r>
    </w:p>
    <w:p w:rsidR="008F168D" w:rsidRPr="007E1812" w:rsidRDefault="008F168D" w:rsidP="00620BD3">
      <w:pPr>
        <w:keepNext/>
        <w:widowControl/>
        <w:rPr>
          <w:rFonts w:ascii="Arial Narrow" w:hAnsi="Arial Narrow"/>
          <w:sz w:val="18"/>
          <w:szCs w:val="18"/>
        </w:rPr>
      </w:pPr>
      <w:r w:rsidRPr="007E1812">
        <w:rPr>
          <w:rFonts w:ascii="Arial Narrow" w:hAnsi="Arial Narrow"/>
          <w:sz w:val="18"/>
          <w:szCs w:val="18"/>
        </w:rPr>
        <w:t>b Estimated during the evaluation using proposed dispensing price of brigatinib of $</w:t>
      </w:r>
      <w:r w:rsidR="00765787">
        <w:rPr>
          <w:rFonts w:ascii="Arial Narrow" w:hAnsi="Arial Narrow"/>
          <w:noProof/>
          <w:color w:val="000000"/>
          <w:sz w:val="18"/>
          <w:szCs w:val="18"/>
          <w:highlight w:val="black"/>
        </w:rPr>
        <w:t>'''''''''''''''</w:t>
      </w:r>
      <w:r w:rsidRPr="007E1812">
        <w:rPr>
          <w:rFonts w:ascii="Arial Narrow" w:hAnsi="Arial Narrow"/>
          <w:sz w:val="18"/>
          <w:szCs w:val="18"/>
        </w:rPr>
        <w:t xml:space="preserve"> for 28 days’ supply, assuming a mean treatment duration of 18 months. </w:t>
      </w:r>
    </w:p>
    <w:p w:rsidR="008F168D" w:rsidRPr="007E1812" w:rsidRDefault="008F168D" w:rsidP="00620BD3">
      <w:pPr>
        <w:keepNext/>
        <w:widowControl/>
        <w:rPr>
          <w:rFonts w:ascii="Arial Narrow" w:hAnsi="Arial Narrow"/>
          <w:sz w:val="18"/>
          <w:szCs w:val="18"/>
        </w:rPr>
      </w:pPr>
      <w:r w:rsidRPr="007E1812">
        <w:rPr>
          <w:rFonts w:ascii="Arial Narrow" w:hAnsi="Arial Narrow"/>
          <w:sz w:val="18"/>
          <w:szCs w:val="18"/>
        </w:rPr>
        <w:t>c Estimated during the evaluation using proposed dispensing price of alectinib of $6,805 for 29.29 days’ supply, assuming a mean treatment duration of 17.08 months and an RDI of 95.60%.</w:t>
      </w:r>
    </w:p>
    <w:p w:rsidR="008F168D" w:rsidRPr="007E1812" w:rsidRDefault="008F168D" w:rsidP="00620BD3">
      <w:pPr>
        <w:keepNext/>
        <w:widowControl/>
        <w:rPr>
          <w:rFonts w:ascii="Arial Narrow" w:hAnsi="Arial Narrow"/>
          <w:sz w:val="18"/>
          <w:szCs w:val="18"/>
        </w:rPr>
      </w:pPr>
      <w:r w:rsidRPr="007E1812">
        <w:rPr>
          <w:rFonts w:ascii="Arial Narrow" w:hAnsi="Arial Narrow"/>
          <w:sz w:val="18"/>
          <w:szCs w:val="18"/>
        </w:rPr>
        <w:t xml:space="preserve">d Estimated during the evaluation using proposed dispensing price of </w:t>
      </w:r>
      <w:r w:rsidR="003D4D0E">
        <w:rPr>
          <w:rFonts w:ascii="Arial Narrow" w:hAnsi="Arial Narrow"/>
          <w:sz w:val="18"/>
          <w:szCs w:val="18"/>
        </w:rPr>
        <w:t>alectinib</w:t>
      </w:r>
      <w:r w:rsidRPr="007E1812">
        <w:rPr>
          <w:rFonts w:ascii="Arial Narrow" w:hAnsi="Arial Narrow"/>
          <w:sz w:val="18"/>
          <w:szCs w:val="18"/>
        </w:rPr>
        <w:t xml:space="preserve"> of $6,805 for 28 days’ supply, assuming a mean treatment duration of 18 months.</w:t>
      </w:r>
    </w:p>
    <w:p w:rsidR="008F168D" w:rsidRPr="007E1812" w:rsidRDefault="008F168D" w:rsidP="00620BD3">
      <w:pPr>
        <w:keepNext/>
        <w:widowControl/>
        <w:rPr>
          <w:rFonts w:ascii="Arial Narrow" w:hAnsi="Arial Narrow"/>
          <w:sz w:val="18"/>
          <w:szCs w:val="18"/>
        </w:rPr>
      </w:pPr>
      <w:r w:rsidRPr="007E1812">
        <w:rPr>
          <w:rFonts w:ascii="Arial Narrow" w:hAnsi="Arial Narrow"/>
          <w:sz w:val="18"/>
          <w:szCs w:val="18"/>
        </w:rPr>
        <w:t>e Estimated during the evaluation using proposed dispensing price of brigatinib of $</w:t>
      </w:r>
      <w:r w:rsidR="00765787">
        <w:rPr>
          <w:rFonts w:ascii="Arial Narrow" w:hAnsi="Arial Narrow"/>
          <w:noProof/>
          <w:color w:val="000000"/>
          <w:sz w:val="18"/>
          <w:szCs w:val="18"/>
          <w:highlight w:val="black"/>
        </w:rPr>
        <w:t>''''''''''''''</w:t>
      </w:r>
      <w:r w:rsidRPr="007E1812">
        <w:rPr>
          <w:rFonts w:ascii="Arial Narrow" w:hAnsi="Arial Narrow"/>
          <w:sz w:val="18"/>
          <w:szCs w:val="18"/>
        </w:rPr>
        <w:t xml:space="preserve"> for 28 days’ supply, assuming a mean treatment duration of </w:t>
      </w:r>
      <w:r w:rsidR="00765787">
        <w:rPr>
          <w:rFonts w:ascii="Arial Narrow" w:hAnsi="Arial Narrow"/>
          <w:noProof/>
          <w:color w:val="000000"/>
          <w:sz w:val="18"/>
          <w:szCs w:val="18"/>
          <w:highlight w:val="black"/>
        </w:rPr>
        <w:t>''''''''''''</w:t>
      </w:r>
      <w:r w:rsidRPr="007E1812">
        <w:rPr>
          <w:rFonts w:ascii="Arial Narrow" w:hAnsi="Arial Narrow"/>
          <w:sz w:val="18"/>
          <w:szCs w:val="18"/>
        </w:rPr>
        <w:t xml:space="preserve"> months. Mean treatment duration in second line-treatment setting was estimated based on median treatment duration in second-line setting for brigatinib (Study 201 ALTA, Part B, 2nd data cut off) multiplied by the estimated ratio between mean and median treatment duration reported in second-line treatment setting trial (Study 201 ALTA, Part B  1st data cut-off)</w:t>
      </w:r>
    </w:p>
    <w:p w:rsidR="008F168D" w:rsidRPr="007E1812" w:rsidRDefault="008F168D" w:rsidP="00620BD3">
      <w:pPr>
        <w:keepNext/>
        <w:widowControl/>
        <w:rPr>
          <w:rFonts w:ascii="Arial Narrow" w:hAnsi="Arial Narrow"/>
          <w:sz w:val="18"/>
          <w:szCs w:val="18"/>
        </w:rPr>
      </w:pPr>
      <w:r w:rsidRPr="007E1812">
        <w:rPr>
          <w:rFonts w:ascii="Arial Narrow" w:hAnsi="Arial Narrow"/>
          <w:sz w:val="18"/>
          <w:szCs w:val="18"/>
        </w:rPr>
        <w:t>f Estimated during the evaluation using proposed dispensing price of alectinib of $6,805 for 28 days’ supply, assuming a mean treatment duration of 4.4 months. Mean treatment duration in second line-treatment setting was estimated based on median treatment duration in second-line setting for alectinib (ALUR) multiplied by the estimated ratio between mean and median treatment duration reported in second-line treatment setting trial (Study 201 ALTA, Part B  1st data cut-off)</w:t>
      </w:r>
    </w:p>
    <w:p w:rsidR="008F168D" w:rsidRPr="007E1812" w:rsidRDefault="008F168D" w:rsidP="00620BD3">
      <w:pPr>
        <w:keepNext/>
        <w:widowControl/>
        <w:rPr>
          <w:rFonts w:ascii="Arial Narrow" w:hAnsi="Arial Narrow"/>
          <w:sz w:val="18"/>
          <w:szCs w:val="18"/>
        </w:rPr>
      </w:pPr>
      <w:r w:rsidRPr="007E1812">
        <w:rPr>
          <w:rFonts w:ascii="Arial Narrow" w:hAnsi="Arial Narrow"/>
          <w:sz w:val="18"/>
          <w:szCs w:val="18"/>
        </w:rPr>
        <w:t>Source: Table 2.13, p.48; Table 2-45, p.104, Table 2-29, p.84; Table 3-1, p154 of the submission; compiled during the evaluation</w:t>
      </w:r>
    </w:p>
    <w:p w:rsidR="00C31073" w:rsidRPr="007E1812" w:rsidRDefault="00C31073" w:rsidP="00620BD3">
      <w:pPr>
        <w:pStyle w:val="Heading2"/>
        <w:widowControl/>
        <w:spacing w:before="120" w:after="120"/>
      </w:pPr>
      <w:bookmarkStart w:id="59" w:name="_Toc371170712"/>
      <w:bookmarkStart w:id="60" w:name="_Toc18922046"/>
      <w:bookmarkStart w:id="61" w:name="_Toc19710265"/>
      <w:r w:rsidRPr="007E1812">
        <w:t>Estimated PBS usage &amp; financial implications</w:t>
      </w:r>
      <w:bookmarkEnd w:id="59"/>
      <w:bookmarkEnd w:id="60"/>
      <w:bookmarkEnd w:id="61"/>
    </w:p>
    <w:p w:rsidR="00105D51" w:rsidRPr="007E1812" w:rsidRDefault="00113C23" w:rsidP="00620BD3">
      <w:pPr>
        <w:pStyle w:val="ListParagraph"/>
        <w:widowControl/>
        <w:numPr>
          <w:ilvl w:val="1"/>
          <w:numId w:val="1"/>
        </w:numPr>
        <w:spacing w:before="120" w:after="120"/>
      </w:pPr>
      <w:r w:rsidRPr="007E1812">
        <w:t>This submission was not</w:t>
      </w:r>
      <w:r w:rsidR="00C31073" w:rsidRPr="007E1812">
        <w:t xml:space="preserve"> considered by DUSC</w:t>
      </w:r>
      <w:r w:rsidR="00105D51" w:rsidRPr="007E1812">
        <w:t xml:space="preserve">. </w:t>
      </w:r>
    </w:p>
    <w:p w:rsidR="00C31073" w:rsidRPr="007E1812" w:rsidRDefault="00C31073" w:rsidP="00620BD3">
      <w:pPr>
        <w:pStyle w:val="ListParagraph"/>
        <w:widowControl/>
        <w:numPr>
          <w:ilvl w:val="1"/>
          <w:numId w:val="1"/>
        </w:numPr>
        <w:spacing w:before="120" w:after="120"/>
      </w:pPr>
      <w:r w:rsidRPr="007E1812">
        <w:t>The submission adopted a market share approach to estimate the potential utilisation of brigatinib on the PBS/RPBS. In order to derive the estimate of the market size for brigatinib, the submission applied the estimated number of scripts for alectinib, applying a script equivalence of 1:1 between brigatinib and alectinib</w:t>
      </w:r>
      <w:r w:rsidRPr="007E1812">
        <w:rPr>
          <w:rFonts w:asciiTheme="minorHAnsi" w:hAnsiTheme="minorHAnsi" w:cstheme="minorHAnsi"/>
          <w:szCs w:val="24"/>
        </w:rPr>
        <w:t>.</w:t>
      </w:r>
      <w:r w:rsidRPr="007E1812">
        <w:t xml:space="preserve"> </w:t>
      </w:r>
    </w:p>
    <w:p w:rsidR="00C31073" w:rsidRPr="007E1812" w:rsidRDefault="00C31073" w:rsidP="00620BD3">
      <w:pPr>
        <w:widowControl/>
        <w:numPr>
          <w:ilvl w:val="1"/>
          <w:numId w:val="1"/>
        </w:numPr>
        <w:spacing w:before="120" w:after="120"/>
      </w:pPr>
      <w:r w:rsidRPr="007E1812">
        <w:t>The</w:t>
      </w:r>
      <w:r w:rsidR="0070225A" w:rsidRPr="007E1812">
        <w:t xml:space="preserve"> mean dose intensity calculated</w:t>
      </w:r>
      <w:r w:rsidR="0044312F" w:rsidRPr="007E1812">
        <w:t xml:space="preserve"> </w:t>
      </w:r>
      <w:r w:rsidRPr="007E1812">
        <w:t>based on the distribution of use of brigatinib prescriptions within the different pack sizes of brigatinib showed the mean dose intensity applied in the financial implications’ estimates was lower than the mean dose intensity reported in ALTA-</w:t>
      </w:r>
      <w:r w:rsidRPr="003E0C7E">
        <w:t>1L (</w:t>
      </w:r>
      <w:r w:rsidR="00765787">
        <w:rPr>
          <w:noProof/>
          <w:color w:val="000000"/>
          <w:highlight w:val="black"/>
        </w:rPr>
        <w:t>'''''''''''</w:t>
      </w:r>
      <w:r w:rsidR="003E0C7E" w:rsidRPr="003E0C7E">
        <w:t xml:space="preserve"> mg vs. </w:t>
      </w:r>
      <w:r w:rsidR="00765787">
        <w:rPr>
          <w:noProof/>
          <w:color w:val="000000"/>
          <w:highlight w:val="black"/>
        </w:rPr>
        <w:t>''''''''''''</w:t>
      </w:r>
      <w:r w:rsidR="003E0C7E" w:rsidRPr="003E0C7E">
        <w:t xml:space="preserve"> mg</w:t>
      </w:r>
      <w:r w:rsidR="00514C95" w:rsidRPr="003E0C7E">
        <w:t xml:space="preserve">, </w:t>
      </w:r>
      <w:r w:rsidRPr="003E0C7E">
        <w:t>ALTA</w:t>
      </w:r>
      <w:r w:rsidRPr="007E1812">
        <w:t xml:space="preserve">-1L CSR). However, this </w:t>
      </w:r>
      <w:r w:rsidRPr="007E1812">
        <w:lastRenderedPageBreak/>
        <w:t xml:space="preserve">did not impact on the estimated financial implications of listing brigatinib as the submission applied a flat-pricing structure across the packs. </w:t>
      </w:r>
    </w:p>
    <w:p w:rsidR="00C31073" w:rsidRPr="007E1812" w:rsidRDefault="00C31073" w:rsidP="00620BD3">
      <w:pPr>
        <w:widowControl/>
        <w:numPr>
          <w:ilvl w:val="1"/>
          <w:numId w:val="1"/>
        </w:numPr>
        <w:spacing w:before="120" w:after="120"/>
      </w:pPr>
      <w:r w:rsidRPr="007E1812">
        <w:t>The market share of alectinib was estimated based on 6 months of PBS Statistics (November 2018 to April 2019), adjusted on a</w:t>
      </w:r>
      <w:r w:rsidR="000D078D" w:rsidRPr="007E1812">
        <w:t xml:space="preserve"> pro-rata basis to provide a 12 </w:t>
      </w:r>
      <w:r w:rsidRPr="007E1812">
        <w:t>months equivalent of market share estimates. The estimated ALK inhibitors market growth during the most recent 6 months (November 20</w:t>
      </w:r>
      <w:r w:rsidR="00075CCE" w:rsidRPr="007E1812">
        <w:t>18 to April 2019) period was 1%</w:t>
      </w:r>
      <w:r w:rsidR="0033519D" w:rsidRPr="007E1812">
        <w:t>.</w:t>
      </w:r>
      <w:r w:rsidRPr="007E1812">
        <w:t xml:space="preserve"> This was reasonable. </w:t>
      </w:r>
    </w:p>
    <w:p w:rsidR="00C31073" w:rsidRPr="007E1812" w:rsidRDefault="00C31073" w:rsidP="00620BD3">
      <w:pPr>
        <w:widowControl/>
        <w:numPr>
          <w:ilvl w:val="1"/>
          <w:numId w:val="1"/>
        </w:numPr>
        <w:spacing w:before="120" w:after="120"/>
      </w:pPr>
      <w:r w:rsidRPr="007E1812">
        <w:t xml:space="preserve">The submission made the following assumptions in estimating substitution </w:t>
      </w:r>
      <w:r w:rsidR="000D078D" w:rsidRPr="007E1812">
        <w:t>within the financial estimates:</w:t>
      </w:r>
    </w:p>
    <w:p w:rsidR="00C31073" w:rsidRPr="007E1812" w:rsidRDefault="00C31073" w:rsidP="00620BD3">
      <w:pPr>
        <w:pStyle w:val="ListParagraph"/>
        <w:widowControl/>
        <w:numPr>
          <w:ilvl w:val="0"/>
          <w:numId w:val="7"/>
        </w:numPr>
        <w:spacing w:before="120" w:after="120"/>
      </w:pPr>
      <w:r w:rsidRPr="007E1812">
        <w:t>The market growth</w:t>
      </w:r>
      <w:r w:rsidR="00B90458" w:rsidRPr="007E1812">
        <w:t xml:space="preserve"> without brigatinib</w:t>
      </w:r>
      <w:r w:rsidRPr="007E1812">
        <w:t xml:space="preserve"> was limited to underlying population growth, ranging from 1.7% to 1.5% over th</w:t>
      </w:r>
      <w:r w:rsidR="00A54D0B" w:rsidRPr="007E1812">
        <w:t>e forecast period based on ABS-</w:t>
      </w:r>
      <w:r w:rsidRPr="007E1812">
        <w:t xml:space="preserve">Series B projections. The submission assumed a small increase to overall market that was related to the entry of brigatinib. This was appropriate. </w:t>
      </w:r>
      <w:r w:rsidR="00D034F0" w:rsidRPr="007E1812">
        <w:rPr>
          <w:iCs/>
        </w:rPr>
        <w:t>The ESC noted that the overall market growth of ALK TKIs appeared to be stable</w:t>
      </w:r>
      <w:r w:rsidR="00950063" w:rsidRPr="007E1812">
        <w:rPr>
          <w:iCs/>
        </w:rPr>
        <w:t xml:space="preserve">, and </w:t>
      </w:r>
      <w:r w:rsidR="006976FD" w:rsidRPr="007E1812">
        <w:rPr>
          <w:iCs/>
        </w:rPr>
        <w:t xml:space="preserve">considered that </w:t>
      </w:r>
      <w:r w:rsidR="00D034F0" w:rsidRPr="007E1812">
        <w:rPr>
          <w:iCs/>
        </w:rPr>
        <w:t>additional growth attributed to the introduction of brigati</w:t>
      </w:r>
      <w:r w:rsidR="006976FD" w:rsidRPr="007E1812">
        <w:rPr>
          <w:iCs/>
        </w:rPr>
        <w:t>nib would most likely be</w:t>
      </w:r>
      <w:r w:rsidR="00142EEC" w:rsidRPr="007E1812">
        <w:rPr>
          <w:iCs/>
        </w:rPr>
        <w:t xml:space="preserve"> small</w:t>
      </w:r>
      <w:r w:rsidR="00D034F0" w:rsidRPr="007E1812">
        <w:rPr>
          <w:iCs/>
        </w:rPr>
        <w:t xml:space="preserve">. The PSCR </w:t>
      </w:r>
      <w:r w:rsidR="00B90458" w:rsidRPr="007E1812">
        <w:rPr>
          <w:iCs/>
        </w:rPr>
        <w:t>noted</w:t>
      </w:r>
      <w:r w:rsidR="00D034F0" w:rsidRPr="007E1812">
        <w:rPr>
          <w:iCs/>
        </w:rPr>
        <w:t xml:space="preserve"> </w:t>
      </w:r>
      <w:r w:rsidR="00B90458" w:rsidRPr="007E1812">
        <w:rPr>
          <w:iCs/>
        </w:rPr>
        <w:t xml:space="preserve">that in the scenario following brigatinib PBS listing, additional growth was </w:t>
      </w:r>
      <w:r w:rsidR="00B90458" w:rsidRPr="003E0C7E">
        <w:rPr>
          <w:iCs/>
        </w:rPr>
        <w:t xml:space="preserve">included: </w:t>
      </w:r>
      <w:r w:rsidR="00765787">
        <w:rPr>
          <w:iCs/>
          <w:noProof/>
          <w:color w:val="000000"/>
          <w:highlight w:val="black"/>
        </w:rPr>
        <w:t>'''</w:t>
      </w:r>
      <w:r w:rsidR="003E0C7E" w:rsidRPr="003E0C7E">
        <w:rPr>
          <w:iCs/>
        </w:rPr>
        <w:t>%</w:t>
      </w:r>
      <w:r w:rsidR="00B90458" w:rsidRPr="003E0C7E">
        <w:rPr>
          <w:iCs/>
        </w:rPr>
        <w:t xml:space="preserve"> in Year</w:t>
      </w:r>
      <w:r w:rsidR="00B90458" w:rsidRPr="007E1812">
        <w:rPr>
          <w:iCs/>
        </w:rPr>
        <w:t xml:space="preserve"> 1 rising to </w:t>
      </w:r>
      <w:r w:rsidR="00765787">
        <w:rPr>
          <w:iCs/>
          <w:noProof/>
          <w:color w:val="000000"/>
          <w:highlight w:val="black"/>
        </w:rPr>
        <w:t>''</w:t>
      </w:r>
      <w:r w:rsidR="00B90458" w:rsidRPr="007E1812">
        <w:rPr>
          <w:iCs/>
        </w:rPr>
        <w:t xml:space="preserve">% in Year 2 before declining over subsequent years to </w:t>
      </w:r>
      <w:r w:rsidR="00765787">
        <w:rPr>
          <w:iCs/>
          <w:noProof/>
          <w:color w:val="000000"/>
          <w:highlight w:val="black"/>
        </w:rPr>
        <w:t>'''</w:t>
      </w:r>
      <w:r w:rsidR="00B90458" w:rsidRPr="007E1812">
        <w:rPr>
          <w:iCs/>
        </w:rPr>
        <w:t>% in Year 6</w:t>
      </w:r>
      <w:r w:rsidR="000C5F62" w:rsidRPr="007E1812">
        <w:rPr>
          <w:iCs/>
        </w:rPr>
        <w:t xml:space="preserve">. </w:t>
      </w:r>
      <w:r w:rsidR="007A191C" w:rsidRPr="007E1812">
        <w:rPr>
          <w:iCs/>
        </w:rPr>
        <w:t>This was reasonable.</w:t>
      </w:r>
    </w:p>
    <w:p w:rsidR="00C31073" w:rsidRPr="007E1812" w:rsidRDefault="00C31073" w:rsidP="00620BD3">
      <w:pPr>
        <w:pStyle w:val="ListParagraph"/>
        <w:widowControl/>
        <w:numPr>
          <w:ilvl w:val="0"/>
          <w:numId w:val="7"/>
        </w:numPr>
        <w:spacing w:before="120" w:after="120"/>
      </w:pPr>
      <w:r w:rsidRPr="007E1812">
        <w:t xml:space="preserve">The uptake rate for brigatinib was assumed to be </w:t>
      </w:r>
      <w:r w:rsidR="00765787">
        <w:rPr>
          <w:noProof/>
          <w:color w:val="000000"/>
          <w:highlight w:val="black"/>
        </w:rPr>
        <w:t>'''''</w:t>
      </w:r>
      <w:r w:rsidRPr="007E1812">
        <w:t xml:space="preserve">% in Year 1 increasing linearly to </w:t>
      </w:r>
      <w:r w:rsidR="00765787">
        <w:rPr>
          <w:noProof/>
          <w:color w:val="000000"/>
          <w:highlight w:val="black"/>
        </w:rPr>
        <w:t>''''''</w:t>
      </w:r>
      <w:r w:rsidRPr="007E1812">
        <w:t>% by Year 6. The remaining market share was apportioned across the existing medicines according to the market shares expected for the scenario without brigatinib. This seemed appropriate.</w:t>
      </w:r>
    </w:p>
    <w:p w:rsidR="00C31073" w:rsidRPr="007E1812" w:rsidRDefault="00B949D8" w:rsidP="00620BD3">
      <w:pPr>
        <w:pStyle w:val="ListParagraph"/>
        <w:widowControl/>
        <w:numPr>
          <w:ilvl w:val="0"/>
          <w:numId w:val="7"/>
        </w:numPr>
        <w:spacing w:before="120" w:after="120"/>
      </w:pPr>
      <w:r w:rsidRPr="007E1812">
        <w:t xml:space="preserve">The submission assumed that there is no set treatment sequence for the use of ALK inhibitors in NSCLC and excluded use of </w:t>
      </w:r>
      <w:r w:rsidR="00A50957" w:rsidRPr="007E1812">
        <w:t xml:space="preserve">a </w:t>
      </w:r>
      <w:r w:rsidRPr="007E1812">
        <w:t>single agent only. However, b</w:t>
      </w:r>
      <w:r w:rsidR="00C31073" w:rsidRPr="007E1812">
        <w:t>rigatinib was expected to substitute for alectinib</w:t>
      </w:r>
      <w:r w:rsidR="00F71EA3" w:rsidRPr="007E1812">
        <w:t xml:space="preserve"> given</w:t>
      </w:r>
      <w:r w:rsidR="00C912F4" w:rsidRPr="007E1812">
        <w:t xml:space="preserve"> the submission sought a line agnostic listing</w:t>
      </w:r>
      <w:r w:rsidR="00C31073" w:rsidRPr="007E1812">
        <w:t>.</w:t>
      </w:r>
      <w:r w:rsidR="00A50957" w:rsidRPr="007E1812">
        <w:t xml:space="preserve"> The submission assumed there would be substitution of brigatinib for other currently listed ALK-TKIs rather than displacement.</w:t>
      </w:r>
      <w:r w:rsidR="00AB7BD2" w:rsidRPr="007E1812">
        <w:t xml:space="preserve"> The ESC noted that the financial impact would be underestimated if there was a greater substitution for ceritinib 450 mg, as it is</w:t>
      </w:r>
      <w:r w:rsidR="0031193A" w:rsidRPr="007E1812">
        <w:t xml:space="preserve"> a</w:t>
      </w:r>
      <w:r w:rsidR="00AB7BD2" w:rsidRPr="007E1812">
        <w:t xml:space="preserve"> cheaper therapy.</w:t>
      </w:r>
      <w:r w:rsidR="00A50957" w:rsidRPr="007E1812">
        <w:t xml:space="preserve"> </w:t>
      </w:r>
      <w:r w:rsidR="00C81779" w:rsidRPr="007E1812">
        <w:t xml:space="preserve">The PSCR stated that the submission did consider the displacement of other TKIs, with the provision of an additional growth rate (the </w:t>
      </w:r>
      <w:r w:rsidR="00765787">
        <w:rPr>
          <w:noProof/>
          <w:color w:val="000000"/>
          <w:highlight w:val="black"/>
        </w:rPr>
        <w:t>''''''</w:t>
      </w:r>
      <w:r w:rsidR="00C81779" w:rsidRPr="007E1812">
        <w:t>% increase noted above). It also argued that the ex</w:t>
      </w:r>
      <w:r w:rsidR="00DC2C74" w:rsidRPr="007E1812">
        <w:t>pected use of brigatinib in the first-line</w:t>
      </w:r>
      <w:r w:rsidR="00C81779" w:rsidRPr="007E1812">
        <w:t xml:space="preserve"> setting will displace alectinib</w:t>
      </w:r>
      <w:r w:rsidR="007A191C" w:rsidRPr="007E1812">
        <w:t xml:space="preserve"> and </w:t>
      </w:r>
      <w:r w:rsidR="00C81779" w:rsidRPr="007E1812">
        <w:t>ceritinib into later therapy lines, but is unlikely to fully displace TKI use into an additional line (i.e. 4</w:t>
      </w:r>
      <w:r w:rsidR="00C81779" w:rsidRPr="007E1812">
        <w:rPr>
          <w:vertAlign w:val="superscript"/>
        </w:rPr>
        <w:t>th</w:t>
      </w:r>
      <w:r w:rsidR="00C81779" w:rsidRPr="007E1812">
        <w:t xml:space="preserve"> line). </w:t>
      </w:r>
      <w:r w:rsidR="00A50957" w:rsidRPr="007E1812">
        <w:t xml:space="preserve">The ESC </w:t>
      </w:r>
      <w:r w:rsidR="00C81779" w:rsidRPr="007E1812">
        <w:t>agreed</w:t>
      </w:r>
      <w:r w:rsidR="00A50957" w:rsidRPr="007E1812">
        <w:t xml:space="preserve"> that the impact of displacement would be minimal, given the poor prognosis of NSCLC after second-line therapy.</w:t>
      </w:r>
      <w:r w:rsidR="00C31073" w:rsidRPr="007E1812">
        <w:t xml:space="preserve"> </w:t>
      </w:r>
      <w:r w:rsidR="005D2BC8" w:rsidRPr="007E1812">
        <w:rPr>
          <w:iCs/>
        </w:rPr>
        <w:t xml:space="preserve">The ESC </w:t>
      </w:r>
      <w:r w:rsidR="00A50957" w:rsidRPr="007E1812">
        <w:rPr>
          <w:iCs/>
        </w:rPr>
        <w:t xml:space="preserve">also </w:t>
      </w:r>
      <w:r w:rsidR="005D2BC8" w:rsidRPr="007E1812">
        <w:rPr>
          <w:iCs/>
        </w:rPr>
        <w:t>noted that t</w:t>
      </w:r>
      <w:r w:rsidR="00C31073" w:rsidRPr="007E1812">
        <w:rPr>
          <w:iCs/>
        </w:rPr>
        <w:t xml:space="preserve">he submission </w:t>
      </w:r>
      <w:r w:rsidR="005D2BC8" w:rsidRPr="007E1812">
        <w:rPr>
          <w:iCs/>
        </w:rPr>
        <w:t>did not</w:t>
      </w:r>
      <w:r w:rsidR="00F71EA3" w:rsidRPr="007E1812">
        <w:rPr>
          <w:iCs/>
        </w:rPr>
        <w:t xml:space="preserve"> </w:t>
      </w:r>
      <w:r w:rsidR="00C31073" w:rsidRPr="007E1812">
        <w:rPr>
          <w:iCs/>
        </w:rPr>
        <w:t>consider</w:t>
      </w:r>
      <w:r w:rsidR="005D2BC8" w:rsidRPr="007E1812">
        <w:rPr>
          <w:iCs/>
        </w:rPr>
        <w:t xml:space="preserve"> the financial impact of </w:t>
      </w:r>
      <w:r w:rsidR="00F71EA3" w:rsidRPr="007E1812">
        <w:rPr>
          <w:iCs/>
        </w:rPr>
        <w:t>a near market com</w:t>
      </w:r>
      <w:r w:rsidR="005D2BC8" w:rsidRPr="007E1812">
        <w:rPr>
          <w:iCs/>
        </w:rPr>
        <w:t>parator, lorlatinib, if recommended for listing.</w:t>
      </w:r>
    </w:p>
    <w:p w:rsidR="00C31073" w:rsidRPr="007E1812" w:rsidRDefault="00C31073" w:rsidP="00620BD3">
      <w:pPr>
        <w:pStyle w:val="ListParagraph"/>
        <w:widowControl/>
        <w:numPr>
          <w:ilvl w:val="0"/>
          <w:numId w:val="7"/>
        </w:numPr>
        <w:spacing w:before="120" w:after="120"/>
      </w:pPr>
      <w:r w:rsidRPr="007E1812">
        <w:lastRenderedPageBreak/>
        <w:t>The submission assumed that dose reductions for brigatinib would apply from treatment initiation. This would result in overestimation of th</w:t>
      </w:r>
      <w:r w:rsidR="00C2327F" w:rsidRPr="007E1812">
        <w:t>e total number of scripts utilis</w:t>
      </w:r>
      <w:r w:rsidRPr="007E1812">
        <w:t>ed at the reduced dose. However, as the submission applied flat pricing across all pack sizes, this did not impact on the estimated financial implications</w:t>
      </w:r>
      <w:r w:rsidR="000C5F62" w:rsidRPr="007E1812">
        <w:t xml:space="preserve">. </w:t>
      </w:r>
    </w:p>
    <w:p w:rsidR="00C31073" w:rsidRPr="007E1812" w:rsidRDefault="00C31073" w:rsidP="00620BD3">
      <w:pPr>
        <w:widowControl/>
        <w:numPr>
          <w:ilvl w:val="1"/>
          <w:numId w:val="1"/>
        </w:numPr>
        <w:spacing w:before="120" w:after="120"/>
      </w:pPr>
      <w:r w:rsidRPr="007E1812">
        <w:t xml:space="preserve">A summary of the estimated use and financial implications for listing brigatinib is </w:t>
      </w:r>
      <w:r w:rsidRPr="007E1812">
        <w:rPr>
          <w:rFonts w:asciiTheme="minorHAnsi" w:hAnsiTheme="minorHAnsi" w:cstheme="minorHAnsi"/>
          <w:szCs w:val="24"/>
        </w:rPr>
        <w:t xml:space="preserve">presented in </w:t>
      </w:r>
      <w:r w:rsidR="003D6D70" w:rsidRPr="007E1812">
        <w:rPr>
          <w:rFonts w:asciiTheme="minorHAnsi" w:hAnsiTheme="minorHAnsi" w:cstheme="minorHAnsi"/>
          <w:szCs w:val="24"/>
        </w:rPr>
        <w:t>Table 14</w:t>
      </w:r>
      <w:r w:rsidR="000D078D" w:rsidRPr="007E1812">
        <w:rPr>
          <w:rFonts w:asciiTheme="minorHAnsi" w:hAnsiTheme="minorHAnsi" w:cstheme="minorHAnsi"/>
          <w:szCs w:val="24"/>
        </w:rPr>
        <w:t>, based on published prices</w:t>
      </w:r>
      <w:r w:rsidRPr="007E1812">
        <w:rPr>
          <w:rFonts w:asciiTheme="minorHAnsi" w:hAnsiTheme="minorHAnsi" w:cstheme="minorHAnsi"/>
          <w:szCs w:val="24"/>
        </w:rPr>
        <w:t>.</w:t>
      </w:r>
      <w:r w:rsidRPr="007E1812">
        <w:t xml:space="preserve"> </w:t>
      </w:r>
    </w:p>
    <w:p w:rsidR="00C31073" w:rsidRPr="007E1812" w:rsidRDefault="00C31073" w:rsidP="00620BD3">
      <w:pPr>
        <w:pStyle w:val="Caption"/>
      </w:pPr>
      <w:bookmarkStart w:id="62" w:name="_Ref18507592"/>
      <w:r w:rsidRPr="007E1812">
        <w:t xml:space="preserve">Table </w:t>
      </w:r>
      <w:r w:rsidR="003D6D70" w:rsidRPr="007E1812">
        <w:t>14</w:t>
      </w:r>
      <w:bookmarkEnd w:id="62"/>
      <w:r w:rsidRPr="007E1812">
        <w:t>: Net PBS/RPBS financial implications for listing brigatinib</w:t>
      </w:r>
    </w:p>
    <w:tbl>
      <w:tblPr>
        <w:tblStyle w:val="TableGridbeth5"/>
        <w:tblW w:w="5000" w:type="pct"/>
        <w:tblLook w:val="04A0" w:firstRow="1" w:lastRow="0" w:firstColumn="1" w:lastColumn="0" w:noHBand="0" w:noVBand="1"/>
        <w:tblCaption w:val="Table 17: Net PBS/RPBS financial implications for listing brigatinib"/>
      </w:tblPr>
      <w:tblGrid>
        <w:gridCol w:w="2598"/>
        <w:gridCol w:w="1096"/>
        <w:gridCol w:w="1096"/>
        <w:gridCol w:w="1096"/>
        <w:gridCol w:w="1002"/>
        <w:gridCol w:w="1096"/>
        <w:gridCol w:w="1033"/>
      </w:tblGrid>
      <w:tr w:rsidR="00C31073" w:rsidRPr="007E1812" w:rsidTr="00D67AC1">
        <w:trPr>
          <w:trHeight w:val="20"/>
          <w:tblHeader/>
        </w:trPr>
        <w:tc>
          <w:tcPr>
            <w:tcW w:w="2592" w:type="dxa"/>
            <w:noWrap/>
            <w:hideMark/>
          </w:tcPr>
          <w:p w:rsidR="00C31073" w:rsidRPr="007E1812" w:rsidRDefault="00C31073" w:rsidP="00620BD3">
            <w:pPr>
              <w:keepNext/>
              <w:keepLines/>
              <w:widowControl/>
              <w:jc w:val="left"/>
              <w:rPr>
                <w:rFonts w:ascii="Arial Narrow" w:eastAsia="Times New Roman" w:hAnsi="Arial Narrow" w:cstheme="minorBidi"/>
                <w:b/>
                <w:snapToGrid/>
                <w:sz w:val="20"/>
                <w:szCs w:val="20"/>
              </w:rPr>
            </w:pPr>
            <w:r w:rsidRPr="007E1812">
              <w:rPr>
                <w:rFonts w:ascii="Arial Narrow" w:eastAsia="Times New Roman" w:hAnsi="Arial Narrow" w:cstheme="minorBidi"/>
                <w:b/>
                <w:snapToGrid/>
                <w:sz w:val="20"/>
                <w:szCs w:val="20"/>
              </w:rPr>
              <w:t>Published Price</w:t>
            </w:r>
          </w:p>
        </w:tc>
        <w:tc>
          <w:tcPr>
            <w:tcW w:w="236" w:type="dxa"/>
            <w:noWrap/>
            <w:hideMark/>
          </w:tcPr>
          <w:p w:rsidR="00C31073" w:rsidRPr="007E1812" w:rsidRDefault="00C31073" w:rsidP="00620BD3">
            <w:pPr>
              <w:keepNext/>
              <w:keepLines/>
              <w:widowControl/>
              <w:jc w:val="center"/>
              <w:rPr>
                <w:rFonts w:ascii="Arial Narrow" w:eastAsia="Times New Roman" w:hAnsi="Arial Narrow" w:cstheme="minorBidi"/>
                <w:b/>
                <w:snapToGrid/>
                <w:sz w:val="20"/>
                <w:szCs w:val="20"/>
              </w:rPr>
            </w:pPr>
            <w:r w:rsidRPr="007E1812">
              <w:rPr>
                <w:rFonts w:ascii="Arial Narrow" w:eastAsia="Times New Roman" w:hAnsi="Arial Narrow" w:cstheme="minorBidi"/>
                <w:b/>
                <w:snapToGrid/>
                <w:sz w:val="20"/>
                <w:szCs w:val="20"/>
              </w:rPr>
              <w:t>Year 1</w:t>
            </w:r>
          </w:p>
        </w:tc>
        <w:tc>
          <w:tcPr>
            <w:tcW w:w="236" w:type="dxa"/>
            <w:noWrap/>
            <w:hideMark/>
          </w:tcPr>
          <w:p w:rsidR="00C31073" w:rsidRPr="007E1812" w:rsidRDefault="00C31073" w:rsidP="00620BD3">
            <w:pPr>
              <w:keepNext/>
              <w:keepLines/>
              <w:widowControl/>
              <w:jc w:val="center"/>
              <w:rPr>
                <w:rFonts w:ascii="Arial Narrow" w:eastAsia="Times New Roman" w:hAnsi="Arial Narrow" w:cstheme="minorBidi"/>
                <w:b/>
                <w:snapToGrid/>
                <w:sz w:val="20"/>
                <w:szCs w:val="20"/>
              </w:rPr>
            </w:pPr>
            <w:r w:rsidRPr="007E1812">
              <w:rPr>
                <w:rFonts w:ascii="Arial Narrow" w:eastAsia="Times New Roman" w:hAnsi="Arial Narrow" w:cstheme="minorBidi"/>
                <w:b/>
                <w:snapToGrid/>
                <w:sz w:val="20"/>
                <w:szCs w:val="20"/>
              </w:rPr>
              <w:t>Year 2</w:t>
            </w:r>
          </w:p>
        </w:tc>
        <w:tc>
          <w:tcPr>
            <w:tcW w:w="236" w:type="dxa"/>
            <w:noWrap/>
            <w:hideMark/>
          </w:tcPr>
          <w:p w:rsidR="00C31073" w:rsidRPr="007E1812" w:rsidRDefault="00C31073" w:rsidP="00620BD3">
            <w:pPr>
              <w:keepNext/>
              <w:keepLines/>
              <w:widowControl/>
              <w:jc w:val="center"/>
              <w:rPr>
                <w:rFonts w:ascii="Arial Narrow" w:eastAsia="Times New Roman" w:hAnsi="Arial Narrow" w:cstheme="minorBidi"/>
                <w:b/>
                <w:snapToGrid/>
                <w:sz w:val="20"/>
                <w:szCs w:val="20"/>
              </w:rPr>
            </w:pPr>
            <w:r w:rsidRPr="007E1812">
              <w:rPr>
                <w:rFonts w:ascii="Arial Narrow" w:eastAsia="Times New Roman" w:hAnsi="Arial Narrow" w:cstheme="minorBidi"/>
                <w:b/>
                <w:snapToGrid/>
                <w:sz w:val="20"/>
                <w:szCs w:val="20"/>
              </w:rPr>
              <w:t>Year 3</w:t>
            </w:r>
          </w:p>
        </w:tc>
        <w:tc>
          <w:tcPr>
            <w:tcW w:w="236" w:type="dxa"/>
            <w:noWrap/>
            <w:hideMark/>
          </w:tcPr>
          <w:p w:rsidR="00C31073" w:rsidRPr="007E1812" w:rsidRDefault="00C31073" w:rsidP="00620BD3">
            <w:pPr>
              <w:keepNext/>
              <w:keepLines/>
              <w:widowControl/>
              <w:jc w:val="center"/>
              <w:rPr>
                <w:rFonts w:ascii="Arial Narrow" w:eastAsia="Times New Roman" w:hAnsi="Arial Narrow" w:cstheme="minorBidi"/>
                <w:b/>
                <w:snapToGrid/>
                <w:sz w:val="20"/>
                <w:szCs w:val="20"/>
              </w:rPr>
            </w:pPr>
            <w:r w:rsidRPr="007E1812">
              <w:rPr>
                <w:rFonts w:ascii="Arial Narrow" w:eastAsia="Times New Roman" w:hAnsi="Arial Narrow" w:cstheme="minorBidi"/>
                <w:b/>
                <w:snapToGrid/>
                <w:sz w:val="20"/>
                <w:szCs w:val="20"/>
              </w:rPr>
              <w:t>Year 4</w:t>
            </w:r>
          </w:p>
        </w:tc>
        <w:tc>
          <w:tcPr>
            <w:tcW w:w="236" w:type="dxa"/>
            <w:noWrap/>
            <w:hideMark/>
          </w:tcPr>
          <w:p w:rsidR="00C31073" w:rsidRPr="007E1812" w:rsidRDefault="00C31073" w:rsidP="00620BD3">
            <w:pPr>
              <w:keepNext/>
              <w:keepLines/>
              <w:widowControl/>
              <w:jc w:val="center"/>
              <w:rPr>
                <w:rFonts w:ascii="Arial Narrow" w:eastAsia="Times New Roman" w:hAnsi="Arial Narrow" w:cstheme="minorBidi"/>
                <w:b/>
                <w:snapToGrid/>
                <w:sz w:val="20"/>
                <w:szCs w:val="20"/>
              </w:rPr>
            </w:pPr>
            <w:r w:rsidRPr="007E1812">
              <w:rPr>
                <w:rFonts w:ascii="Arial Narrow" w:eastAsia="Times New Roman" w:hAnsi="Arial Narrow" w:cstheme="minorBidi"/>
                <w:b/>
                <w:snapToGrid/>
                <w:sz w:val="20"/>
                <w:szCs w:val="20"/>
              </w:rPr>
              <w:t>Year 5</w:t>
            </w:r>
          </w:p>
        </w:tc>
        <w:tc>
          <w:tcPr>
            <w:tcW w:w="236" w:type="dxa"/>
            <w:noWrap/>
            <w:hideMark/>
          </w:tcPr>
          <w:p w:rsidR="00C31073" w:rsidRPr="007E1812" w:rsidRDefault="00C31073" w:rsidP="00620BD3">
            <w:pPr>
              <w:keepNext/>
              <w:keepLines/>
              <w:widowControl/>
              <w:jc w:val="center"/>
              <w:rPr>
                <w:rFonts w:ascii="Arial Narrow" w:eastAsia="Times New Roman" w:hAnsi="Arial Narrow" w:cstheme="minorBidi"/>
                <w:b/>
                <w:snapToGrid/>
                <w:sz w:val="20"/>
                <w:szCs w:val="20"/>
              </w:rPr>
            </w:pPr>
            <w:r w:rsidRPr="007E1812">
              <w:rPr>
                <w:rFonts w:ascii="Arial Narrow" w:eastAsia="Times New Roman" w:hAnsi="Arial Narrow" w:cstheme="minorBidi"/>
                <w:b/>
                <w:snapToGrid/>
                <w:sz w:val="20"/>
                <w:szCs w:val="20"/>
              </w:rPr>
              <w:t>Year 6</w:t>
            </w:r>
          </w:p>
        </w:tc>
      </w:tr>
      <w:tr w:rsidR="00C31073" w:rsidRPr="007E1812" w:rsidTr="00D67AC1">
        <w:trPr>
          <w:trHeight w:val="20"/>
          <w:tblHeader/>
        </w:trPr>
        <w:tc>
          <w:tcPr>
            <w:tcW w:w="2592" w:type="dxa"/>
            <w:noWrap/>
          </w:tcPr>
          <w:p w:rsidR="00C31073"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Estimated volume of brigatinib (scripts)</w:t>
            </w:r>
          </w:p>
        </w:tc>
        <w:tc>
          <w:tcPr>
            <w:tcW w:w="236" w:type="dxa"/>
            <w:noWrap/>
            <w:vAlign w:val="center"/>
          </w:tcPr>
          <w:p w:rsidR="00C31073" w:rsidRPr="00765787" w:rsidRDefault="00765787" w:rsidP="00620BD3">
            <w:pPr>
              <w:keepNext/>
              <w:keepLines/>
              <w:widowControl/>
              <w:jc w:val="center"/>
              <w:rPr>
                <w:rFonts w:ascii="Arial Narrow" w:eastAsia="Times New Roman" w:hAnsi="Arial Narrow" w:cstheme="minorBidi"/>
                <w:snapToGrid/>
                <w:sz w:val="20"/>
                <w:szCs w:val="20"/>
                <w:highlight w:val="black"/>
              </w:rPr>
            </w:pPr>
            <w:r>
              <w:rPr>
                <w:rFonts w:ascii="Arial Narrow" w:eastAsia="Times New Roman" w:hAnsi="Arial Narrow" w:cstheme="minorBidi"/>
                <w:noProof/>
                <w:snapToGrid/>
                <w:color w:val="000000"/>
                <w:sz w:val="20"/>
                <w:szCs w:val="20"/>
                <w:highlight w:val="black"/>
              </w:rPr>
              <w:t>''''''''''</w:t>
            </w:r>
          </w:p>
        </w:tc>
        <w:tc>
          <w:tcPr>
            <w:tcW w:w="236" w:type="dxa"/>
            <w:noWrap/>
            <w:vAlign w:val="center"/>
          </w:tcPr>
          <w:p w:rsidR="00C31073" w:rsidRPr="00765787" w:rsidRDefault="00765787" w:rsidP="00620BD3">
            <w:pPr>
              <w:keepNext/>
              <w:keepLines/>
              <w:widowControl/>
              <w:jc w:val="center"/>
              <w:rPr>
                <w:rFonts w:ascii="Arial Narrow" w:eastAsia="Times New Roman" w:hAnsi="Arial Narrow" w:cstheme="minorBidi"/>
                <w:snapToGrid/>
                <w:sz w:val="20"/>
                <w:szCs w:val="20"/>
                <w:highlight w:val="black"/>
              </w:rPr>
            </w:pPr>
            <w:r>
              <w:rPr>
                <w:rFonts w:ascii="Arial Narrow" w:eastAsia="Times New Roman" w:hAnsi="Arial Narrow" w:cstheme="minorBidi"/>
                <w:noProof/>
                <w:snapToGrid/>
                <w:color w:val="000000"/>
                <w:sz w:val="20"/>
                <w:szCs w:val="20"/>
                <w:highlight w:val="black"/>
              </w:rPr>
              <w:t>''''''''</w:t>
            </w:r>
          </w:p>
        </w:tc>
        <w:tc>
          <w:tcPr>
            <w:tcW w:w="236" w:type="dxa"/>
            <w:noWrap/>
            <w:vAlign w:val="center"/>
          </w:tcPr>
          <w:p w:rsidR="00C31073" w:rsidRPr="00765787" w:rsidRDefault="00765787" w:rsidP="00620BD3">
            <w:pPr>
              <w:keepNext/>
              <w:keepLines/>
              <w:widowControl/>
              <w:jc w:val="center"/>
              <w:rPr>
                <w:rFonts w:ascii="Arial Narrow" w:eastAsia="Times New Roman" w:hAnsi="Arial Narrow" w:cstheme="minorBidi"/>
                <w:snapToGrid/>
                <w:sz w:val="20"/>
                <w:szCs w:val="20"/>
                <w:highlight w:val="black"/>
              </w:rPr>
            </w:pPr>
            <w:r>
              <w:rPr>
                <w:rFonts w:ascii="Arial Narrow" w:eastAsia="Times New Roman" w:hAnsi="Arial Narrow" w:cstheme="minorBidi"/>
                <w:noProof/>
                <w:snapToGrid/>
                <w:color w:val="000000"/>
                <w:sz w:val="20"/>
                <w:szCs w:val="20"/>
                <w:highlight w:val="black"/>
              </w:rPr>
              <w:t>'''''''''</w:t>
            </w:r>
          </w:p>
        </w:tc>
        <w:tc>
          <w:tcPr>
            <w:tcW w:w="236" w:type="dxa"/>
            <w:noWrap/>
            <w:vAlign w:val="center"/>
          </w:tcPr>
          <w:p w:rsidR="00C31073" w:rsidRPr="00765787" w:rsidRDefault="00765787" w:rsidP="00620BD3">
            <w:pPr>
              <w:keepNext/>
              <w:keepLines/>
              <w:widowControl/>
              <w:jc w:val="center"/>
              <w:rPr>
                <w:rFonts w:ascii="Arial Narrow" w:eastAsia="Times New Roman" w:hAnsi="Arial Narrow" w:cstheme="minorBidi"/>
                <w:snapToGrid/>
                <w:sz w:val="20"/>
                <w:szCs w:val="20"/>
                <w:highlight w:val="black"/>
              </w:rPr>
            </w:pPr>
            <w:r>
              <w:rPr>
                <w:rFonts w:ascii="Arial Narrow" w:eastAsia="Times New Roman" w:hAnsi="Arial Narrow" w:cstheme="minorBidi"/>
                <w:noProof/>
                <w:snapToGrid/>
                <w:color w:val="000000"/>
                <w:sz w:val="20"/>
                <w:szCs w:val="20"/>
                <w:highlight w:val="black"/>
              </w:rPr>
              <w:t>''''''''''</w:t>
            </w:r>
          </w:p>
        </w:tc>
        <w:tc>
          <w:tcPr>
            <w:tcW w:w="236" w:type="dxa"/>
            <w:noWrap/>
            <w:vAlign w:val="center"/>
          </w:tcPr>
          <w:p w:rsidR="00C31073" w:rsidRPr="00765787" w:rsidRDefault="00765787" w:rsidP="00620BD3">
            <w:pPr>
              <w:keepNext/>
              <w:keepLines/>
              <w:widowControl/>
              <w:jc w:val="center"/>
              <w:rPr>
                <w:rFonts w:ascii="Arial Narrow" w:eastAsia="Times New Roman" w:hAnsi="Arial Narrow" w:cstheme="minorBidi"/>
                <w:snapToGrid/>
                <w:sz w:val="20"/>
                <w:szCs w:val="20"/>
                <w:highlight w:val="black"/>
              </w:rPr>
            </w:pPr>
            <w:r>
              <w:rPr>
                <w:rFonts w:ascii="Arial Narrow" w:eastAsia="Times New Roman" w:hAnsi="Arial Narrow" w:cstheme="minorBidi"/>
                <w:noProof/>
                <w:snapToGrid/>
                <w:color w:val="000000"/>
                <w:sz w:val="20"/>
                <w:szCs w:val="20"/>
                <w:highlight w:val="black"/>
              </w:rPr>
              <w:t>''''''''''</w:t>
            </w:r>
          </w:p>
        </w:tc>
        <w:tc>
          <w:tcPr>
            <w:tcW w:w="236" w:type="dxa"/>
            <w:noWrap/>
            <w:vAlign w:val="center"/>
          </w:tcPr>
          <w:p w:rsidR="00C31073" w:rsidRPr="00765787" w:rsidRDefault="00765787" w:rsidP="00620BD3">
            <w:pPr>
              <w:keepNext/>
              <w:keepLines/>
              <w:widowControl/>
              <w:jc w:val="center"/>
              <w:rPr>
                <w:rFonts w:ascii="Arial Narrow" w:eastAsia="Times New Roman" w:hAnsi="Arial Narrow" w:cstheme="minorBidi"/>
                <w:snapToGrid/>
                <w:sz w:val="20"/>
                <w:szCs w:val="20"/>
                <w:highlight w:val="black"/>
              </w:rPr>
            </w:pPr>
            <w:r>
              <w:rPr>
                <w:rFonts w:ascii="Arial Narrow" w:eastAsia="Times New Roman" w:hAnsi="Arial Narrow" w:cstheme="minorBidi"/>
                <w:noProof/>
                <w:snapToGrid/>
                <w:color w:val="000000"/>
                <w:sz w:val="20"/>
                <w:szCs w:val="20"/>
                <w:highlight w:val="black"/>
              </w:rPr>
              <w:t>''''''''</w:t>
            </w:r>
          </w:p>
        </w:tc>
      </w:tr>
      <w:tr w:rsidR="00C31073" w:rsidRPr="007E1812" w:rsidTr="00D67AC1">
        <w:trPr>
          <w:trHeight w:val="20"/>
          <w:tblHeader/>
        </w:trPr>
        <w:tc>
          <w:tcPr>
            <w:tcW w:w="2592" w:type="dxa"/>
            <w:noWrap/>
            <w:hideMark/>
          </w:tcPr>
          <w:p w:rsidR="00C31073"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Cost to Government for PBS (patient co-payments removed)</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r>
      <w:tr w:rsidR="00C31073" w:rsidRPr="007E1812" w:rsidTr="00D67AC1">
        <w:trPr>
          <w:trHeight w:val="20"/>
          <w:tblHeader/>
        </w:trPr>
        <w:tc>
          <w:tcPr>
            <w:tcW w:w="2592" w:type="dxa"/>
            <w:noWrap/>
            <w:hideMark/>
          </w:tcPr>
          <w:p w:rsidR="00C31073"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Cost to Government for RPBS (patient co-payments removed)</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r>
      <w:tr w:rsidR="00C31073" w:rsidRPr="007E1812" w:rsidTr="00D67AC1">
        <w:trPr>
          <w:trHeight w:val="20"/>
          <w:tblHeader/>
        </w:trPr>
        <w:tc>
          <w:tcPr>
            <w:tcW w:w="2592" w:type="dxa"/>
            <w:noWrap/>
            <w:hideMark/>
          </w:tcPr>
          <w:p w:rsidR="00C31073"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Total cost to Government for PBS/RPBS</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r>
      <w:tr w:rsidR="00C31073" w:rsidRPr="007E1812" w:rsidTr="00D67AC1">
        <w:trPr>
          <w:trHeight w:val="20"/>
          <w:tblHeader/>
        </w:trPr>
        <w:tc>
          <w:tcPr>
            <w:tcW w:w="2592" w:type="dxa"/>
            <w:noWrap/>
            <w:hideMark/>
          </w:tcPr>
          <w:p w:rsidR="008E3144"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 xml:space="preserve">Cost to Government for PBS </w:t>
            </w:r>
            <w:r w:rsidR="009F4FE3" w:rsidRPr="007E1812">
              <w:rPr>
                <w:rFonts w:ascii="Arial Narrow" w:eastAsia="Times New Roman" w:hAnsi="Arial Narrow" w:cstheme="minorBidi"/>
                <w:snapToGrid/>
                <w:sz w:val="20"/>
                <w:szCs w:val="20"/>
              </w:rPr>
              <w:t>substituted</w:t>
            </w:r>
            <w:r w:rsidRPr="007E1812">
              <w:rPr>
                <w:rFonts w:ascii="Arial Narrow" w:eastAsia="Times New Roman" w:hAnsi="Arial Narrow" w:cstheme="minorBidi"/>
                <w:snapToGrid/>
                <w:sz w:val="20"/>
                <w:szCs w:val="20"/>
              </w:rPr>
              <w:t xml:space="preserve"> medicines </w:t>
            </w:r>
          </w:p>
          <w:p w:rsidR="00C31073"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(patient co-payments removed)</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341DF8">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r>
      <w:tr w:rsidR="00C31073" w:rsidRPr="007E1812" w:rsidTr="00D67AC1">
        <w:trPr>
          <w:trHeight w:val="20"/>
          <w:tblHeader/>
        </w:trPr>
        <w:tc>
          <w:tcPr>
            <w:tcW w:w="2592" w:type="dxa"/>
            <w:noWrap/>
            <w:hideMark/>
          </w:tcPr>
          <w:p w:rsidR="008E3144"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 xml:space="preserve">Cost to Government for RPBS </w:t>
            </w:r>
            <w:r w:rsidR="009F4FE3" w:rsidRPr="007E1812">
              <w:rPr>
                <w:rFonts w:ascii="Arial Narrow" w:eastAsia="Times New Roman" w:hAnsi="Arial Narrow" w:cstheme="minorBidi"/>
                <w:snapToGrid/>
                <w:sz w:val="20"/>
                <w:szCs w:val="20"/>
              </w:rPr>
              <w:t>substituted</w:t>
            </w:r>
            <w:r w:rsidRPr="007E1812">
              <w:rPr>
                <w:rFonts w:ascii="Arial Narrow" w:eastAsia="Times New Roman" w:hAnsi="Arial Narrow" w:cstheme="minorBidi"/>
                <w:snapToGrid/>
                <w:sz w:val="20"/>
                <w:szCs w:val="20"/>
              </w:rPr>
              <w:t xml:space="preserve"> medicines </w:t>
            </w:r>
          </w:p>
          <w:p w:rsidR="00C31073"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(patient co-payments removed)</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r>
      <w:tr w:rsidR="00C31073" w:rsidRPr="007E1812" w:rsidTr="00D67AC1">
        <w:trPr>
          <w:trHeight w:val="20"/>
          <w:tblHeader/>
        </w:trPr>
        <w:tc>
          <w:tcPr>
            <w:tcW w:w="2592" w:type="dxa"/>
            <w:noWrap/>
            <w:hideMark/>
          </w:tcPr>
          <w:p w:rsidR="00C31073"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 xml:space="preserve">Total cost to Government for PBS/RPBS </w:t>
            </w:r>
            <w:r w:rsidR="009F4FE3" w:rsidRPr="007E1812">
              <w:rPr>
                <w:rFonts w:ascii="Arial Narrow" w:eastAsia="Times New Roman" w:hAnsi="Arial Narrow" w:cstheme="minorBidi"/>
                <w:snapToGrid/>
                <w:sz w:val="20"/>
                <w:szCs w:val="20"/>
              </w:rPr>
              <w:t>substituted</w:t>
            </w:r>
            <w:r w:rsidRPr="007E1812">
              <w:rPr>
                <w:rFonts w:ascii="Arial Narrow" w:eastAsia="Times New Roman" w:hAnsi="Arial Narrow" w:cstheme="minorBidi"/>
                <w:snapToGrid/>
                <w:sz w:val="20"/>
                <w:szCs w:val="20"/>
              </w:rPr>
              <w:t xml:space="preserve"> medicines</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r>
      <w:tr w:rsidR="00C31073" w:rsidRPr="007E1812" w:rsidTr="00D67AC1">
        <w:trPr>
          <w:trHeight w:val="20"/>
          <w:tblHeader/>
        </w:trPr>
        <w:tc>
          <w:tcPr>
            <w:tcW w:w="2592" w:type="dxa"/>
            <w:noWrap/>
            <w:hideMark/>
          </w:tcPr>
          <w:p w:rsidR="008E3144"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 xml:space="preserve">Net Cost to Government for PBS/RPBS </w:t>
            </w:r>
          </w:p>
          <w:p w:rsidR="00C31073" w:rsidRPr="007E1812" w:rsidRDefault="00C31073" w:rsidP="00620BD3">
            <w:pPr>
              <w:keepNext/>
              <w:keepLines/>
              <w:widowControl/>
              <w:jc w:val="left"/>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(patient co-payments removed)</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c>
          <w:tcPr>
            <w:tcW w:w="236" w:type="dxa"/>
            <w:vAlign w:val="center"/>
          </w:tcPr>
          <w:p w:rsidR="00C31073" w:rsidRPr="007E1812" w:rsidRDefault="00C31073" w:rsidP="00620BD3">
            <w:pPr>
              <w:keepNext/>
              <w:keepLines/>
              <w:widowControl/>
              <w:jc w:val="center"/>
              <w:rPr>
                <w:rFonts w:ascii="Arial Narrow" w:eastAsia="Times New Roman" w:hAnsi="Arial Narrow" w:cstheme="minorBidi"/>
                <w:snapToGrid/>
                <w:sz w:val="20"/>
                <w:szCs w:val="20"/>
              </w:rPr>
            </w:pPr>
            <w:r w:rsidRPr="007E1812">
              <w:rPr>
                <w:rFonts w:ascii="Arial Narrow" w:eastAsia="Times New Roman" w:hAnsi="Arial Narrow" w:cstheme="minorBidi"/>
                <w:snapToGrid/>
                <w:sz w:val="20"/>
                <w:szCs w:val="20"/>
              </w:rPr>
              <w:t>-$</w:t>
            </w:r>
            <w:r w:rsidR="00765787">
              <w:rPr>
                <w:rFonts w:ascii="Arial Narrow" w:eastAsia="Times New Roman" w:hAnsi="Arial Narrow" w:cstheme="minorBidi"/>
                <w:noProof/>
                <w:snapToGrid/>
                <w:color w:val="000000"/>
                <w:sz w:val="20"/>
                <w:szCs w:val="20"/>
                <w:highlight w:val="black"/>
              </w:rPr>
              <w:t>'''''''''''''''''''''</w:t>
            </w:r>
          </w:p>
        </w:tc>
      </w:tr>
    </w:tbl>
    <w:p w:rsidR="00C31073" w:rsidRPr="007E1812" w:rsidRDefault="00C31073" w:rsidP="00620BD3">
      <w:pPr>
        <w:keepNext/>
        <w:keepLines/>
        <w:widowControl/>
        <w:ind w:left="720" w:hanging="720"/>
        <w:jc w:val="left"/>
        <w:rPr>
          <w:rFonts w:ascii="Arial Narrow" w:hAnsi="Arial Narrow"/>
          <w:sz w:val="18"/>
          <w:szCs w:val="18"/>
        </w:rPr>
      </w:pPr>
      <w:r w:rsidRPr="007E1812">
        <w:rPr>
          <w:rFonts w:ascii="Arial Narrow" w:hAnsi="Arial Narrow"/>
          <w:sz w:val="18"/>
          <w:szCs w:val="18"/>
        </w:rPr>
        <w:t>Abbreviations: PBS = Pharmaceutical Benefit Scheme; RPBS = Repatriation Pharmaceutical Benefits Scheme</w:t>
      </w:r>
      <w:r w:rsidR="00445D4D" w:rsidRPr="007E1812">
        <w:rPr>
          <w:rFonts w:ascii="Arial Narrow" w:hAnsi="Arial Narrow"/>
          <w:sz w:val="18"/>
          <w:szCs w:val="18"/>
        </w:rPr>
        <w:t>.</w:t>
      </w:r>
    </w:p>
    <w:p w:rsidR="00C31073" w:rsidRPr="007E1812" w:rsidRDefault="00C31073" w:rsidP="00620BD3">
      <w:pPr>
        <w:keepNext/>
        <w:keepLines/>
        <w:widowControl/>
        <w:ind w:left="720" w:hanging="720"/>
        <w:jc w:val="left"/>
        <w:rPr>
          <w:rFonts w:ascii="Arial Narrow" w:hAnsi="Arial Narrow"/>
          <w:sz w:val="18"/>
          <w:szCs w:val="18"/>
        </w:rPr>
      </w:pPr>
      <w:r w:rsidRPr="007E1812">
        <w:rPr>
          <w:rFonts w:ascii="Arial Narrow" w:hAnsi="Arial Narrow"/>
          <w:sz w:val="18"/>
          <w:szCs w:val="18"/>
        </w:rPr>
        <w:t>Source: Table 4-13, p173 of the submission</w:t>
      </w:r>
    </w:p>
    <w:p w:rsidR="00C31073" w:rsidRPr="007E1812" w:rsidRDefault="00C31073" w:rsidP="00620BD3">
      <w:pPr>
        <w:pStyle w:val="ListParagraph"/>
        <w:widowControl/>
        <w:numPr>
          <w:ilvl w:val="1"/>
          <w:numId w:val="1"/>
        </w:numPr>
        <w:spacing w:before="120" w:after="120"/>
      </w:pPr>
      <w:r w:rsidRPr="007E1812">
        <w:t xml:space="preserve">The results of budget impact analysis presented by the submission resulted in </w:t>
      </w:r>
      <w:r w:rsidR="00E920A8" w:rsidRPr="007E1812">
        <w:t>a saving to</w:t>
      </w:r>
      <w:r w:rsidRPr="007E1812">
        <w:t xml:space="preserve"> Government of approximately</w:t>
      </w:r>
      <w:r w:rsidR="00520632">
        <w:t xml:space="preserve"> less than</w:t>
      </w:r>
      <w:r w:rsidRPr="007E1812">
        <w:t xml:space="preserve"> </w:t>
      </w:r>
      <w:bookmarkStart w:id="63" w:name="_GoBack"/>
      <w:bookmarkEnd w:id="63"/>
      <w:r w:rsidRPr="007E1812">
        <w:t>$</w:t>
      </w:r>
      <w:r w:rsidR="00520632">
        <w:t>10 million</w:t>
      </w:r>
      <w:r w:rsidRPr="007E1812">
        <w:t xml:space="preserve"> in Year 1, rising to reductions of </w:t>
      </w:r>
      <w:r w:rsidR="00520632">
        <w:t xml:space="preserve">less than </w:t>
      </w:r>
      <w:r w:rsidRPr="007E1812">
        <w:t>$</w:t>
      </w:r>
      <w:r w:rsidR="00520632">
        <w:t>10 million</w:t>
      </w:r>
      <w:r w:rsidRPr="007E1812">
        <w:t xml:space="preserve"> in Year 6 of listing (published prices applied)</w:t>
      </w:r>
      <w:r w:rsidR="000C5F62" w:rsidRPr="007E1812">
        <w:t xml:space="preserve">. </w:t>
      </w:r>
    </w:p>
    <w:p w:rsidR="00C31073" w:rsidRPr="007E1812" w:rsidRDefault="00C31073" w:rsidP="00620BD3">
      <w:pPr>
        <w:pStyle w:val="ListParagraph"/>
        <w:widowControl/>
        <w:numPr>
          <w:ilvl w:val="1"/>
          <w:numId w:val="1"/>
        </w:numPr>
        <w:spacing w:before="120" w:after="120"/>
      </w:pPr>
      <w:r w:rsidRPr="007E1812">
        <w:t>The results of estimated use and financial implications for listing brigatinib assuming displacement rather than substitution would have the effect of reducing the cost-offsets claimed by the submission. Assuming that displacement was to occur in half of those patients for whom it was assumed that substitution of brigatinib occurred, the total financial implications of listing brigatinib would be</w:t>
      </w:r>
      <w:r w:rsidR="00520632">
        <w:t xml:space="preserve"> less than</w:t>
      </w:r>
      <w:r w:rsidRPr="007E1812">
        <w:t xml:space="preserve"> $</w:t>
      </w:r>
      <w:r w:rsidR="00520632">
        <w:t>10 million</w:t>
      </w:r>
      <w:r w:rsidRPr="007E1812">
        <w:t xml:space="preserve"> in Year 1 to</w:t>
      </w:r>
      <w:r w:rsidR="00520632">
        <w:t xml:space="preserve"> less than</w:t>
      </w:r>
      <w:r w:rsidRPr="007E1812">
        <w:t xml:space="preserve"> $</w:t>
      </w:r>
      <w:r w:rsidR="00520632">
        <w:t>10 million</w:t>
      </w:r>
      <w:r w:rsidRPr="007E1812">
        <w:t xml:space="preserve"> in Year 6 after </w:t>
      </w:r>
      <w:r w:rsidRPr="007E1812">
        <w:rPr>
          <w:rFonts w:asciiTheme="minorHAnsi" w:hAnsiTheme="minorHAnsi" w:cstheme="minorHAnsi"/>
          <w:szCs w:val="24"/>
        </w:rPr>
        <w:t>listing</w:t>
      </w:r>
      <w:r w:rsidR="001B3F01" w:rsidRPr="007E1812">
        <w:rPr>
          <w:rFonts w:asciiTheme="minorHAnsi" w:hAnsiTheme="minorHAnsi" w:cstheme="minorHAnsi"/>
          <w:szCs w:val="24"/>
        </w:rPr>
        <w:t>, based on published prices</w:t>
      </w:r>
      <w:r w:rsidRPr="007E1812">
        <w:rPr>
          <w:rFonts w:asciiTheme="minorHAnsi" w:hAnsiTheme="minorHAnsi" w:cstheme="minorHAnsi"/>
          <w:szCs w:val="24"/>
        </w:rPr>
        <w:t>.</w:t>
      </w:r>
      <w:r w:rsidR="009D7304" w:rsidRPr="007E1812">
        <w:rPr>
          <w:rFonts w:asciiTheme="minorHAnsi" w:hAnsiTheme="minorHAnsi" w:cstheme="minorHAnsi"/>
          <w:szCs w:val="24"/>
        </w:rPr>
        <w:t xml:space="preserve"> </w:t>
      </w:r>
      <w:r w:rsidR="007A191C" w:rsidRPr="007E1812">
        <w:rPr>
          <w:rFonts w:asciiTheme="minorHAnsi" w:hAnsiTheme="minorHAnsi" w:cstheme="minorHAnsi"/>
          <w:szCs w:val="24"/>
        </w:rPr>
        <w:t xml:space="preserve">However, as </w:t>
      </w:r>
      <w:r w:rsidR="0093176D" w:rsidRPr="007E1812">
        <w:rPr>
          <w:rFonts w:asciiTheme="minorHAnsi" w:hAnsiTheme="minorHAnsi" w:cstheme="minorHAnsi"/>
          <w:szCs w:val="24"/>
        </w:rPr>
        <w:t>noted above, t</w:t>
      </w:r>
      <w:r w:rsidR="00A320CC" w:rsidRPr="007E1812">
        <w:rPr>
          <w:rFonts w:asciiTheme="minorHAnsi" w:hAnsiTheme="minorHAnsi" w:cstheme="minorHAnsi"/>
          <w:szCs w:val="24"/>
        </w:rPr>
        <w:t xml:space="preserve">he ESC agreed with the PSCR that the impact of displacement was likely to be </w:t>
      </w:r>
      <w:r w:rsidR="007A191C" w:rsidRPr="007E1812">
        <w:rPr>
          <w:rFonts w:asciiTheme="minorHAnsi" w:hAnsiTheme="minorHAnsi" w:cstheme="minorHAnsi"/>
          <w:szCs w:val="24"/>
        </w:rPr>
        <w:t xml:space="preserve">relatively </w:t>
      </w:r>
      <w:r w:rsidR="00A320CC" w:rsidRPr="007E1812">
        <w:rPr>
          <w:rFonts w:asciiTheme="minorHAnsi" w:hAnsiTheme="minorHAnsi" w:cstheme="minorHAnsi"/>
          <w:szCs w:val="24"/>
        </w:rPr>
        <w:t xml:space="preserve">minimal. </w:t>
      </w:r>
    </w:p>
    <w:p w:rsidR="00C31073" w:rsidRPr="007E1812" w:rsidRDefault="00C31073" w:rsidP="00620BD3">
      <w:pPr>
        <w:pStyle w:val="ListParagraph"/>
        <w:widowControl/>
        <w:numPr>
          <w:ilvl w:val="1"/>
          <w:numId w:val="1"/>
        </w:numPr>
        <w:spacing w:before="120" w:after="120"/>
      </w:pPr>
      <w:r w:rsidRPr="007E1812">
        <w:t>The submission expected no change in MBS item utilisation assuming the eligibility testing, monitoring requirements and AE management of brigatinib were cons</w:t>
      </w:r>
      <w:r w:rsidR="000166F8" w:rsidRPr="007E1812">
        <w:t xml:space="preserve">istent </w:t>
      </w:r>
      <w:r w:rsidR="000166F8" w:rsidRPr="007E1812">
        <w:lastRenderedPageBreak/>
        <w:t>with those of alectinib and therefore t</w:t>
      </w:r>
      <w:r w:rsidRPr="007E1812">
        <w:t xml:space="preserve">he inclusion of brigatinib within MBS Item 73341 was not expected to alter the utilisation of the service. </w:t>
      </w:r>
    </w:p>
    <w:p w:rsidR="00C31073" w:rsidRPr="007E1812" w:rsidRDefault="00C31073" w:rsidP="00620BD3">
      <w:pPr>
        <w:pStyle w:val="Heading2"/>
        <w:widowControl/>
        <w:spacing w:before="120" w:after="120"/>
      </w:pPr>
      <w:bookmarkStart w:id="64" w:name="_Toc371170714"/>
      <w:bookmarkStart w:id="65" w:name="_Toc18922048"/>
      <w:bookmarkStart w:id="66" w:name="_Toc19710267"/>
      <w:r w:rsidRPr="007E1812">
        <w:t>Financial Management – Risk Sharing Arrangements</w:t>
      </w:r>
      <w:bookmarkEnd w:id="64"/>
      <w:bookmarkEnd w:id="65"/>
      <w:bookmarkEnd w:id="66"/>
    </w:p>
    <w:p w:rsidR="00C31073" w:rsidRPr="007E1812" w:rsidRDefault="00C31073" w:rsidP="00620BD3">
      <w:pPr>
        <w:pStyle w:val="ListParagraph"/>
        <w:widowControl/>
        <w:numPr>
          <w:ilvl w:val="1"/>
          <w:numId w:val="1"/>
        </w:numPr>
        <w:spacing w:before="120" w:after="120"/>
      </w:pPr>
      <w:r w:rsidRPr="007E1812">
        <w:t xml:space="preserve">The submission requested a Special Pricing Arrangement for brigatinib and inclusion in a financial risk sharing arrangement if such an arrangement is in place for the already approved medicines: alectinib, crizotinib and ceritinib. </w:t>
      </w:r>
    </w:p>
    <w:p w:rsidR="004E3A61" w:rsidRPr="007E1812" w:rsidRDefault="000350D6" w:rsidP="00620BD3">
      <w:pPr>
        <w:widowControl/>
        <w:spacing w:before="120" w:after="120"/>
        <w:ind w:left="720"/>
        <w:rPr>
          <w:i/>
        </w:rPr>
      </w:pPr>
      <w:r w:rsidRPr="007E1812">
        <w:rPr>
          <w:i/>
        </w:rPr>
        <w:t xml:space="preserve">For more detail on PBAC’s view, see section 7 PBAC outcome. </w:t>
      </w:r>
      <w:bookmarkStart w:id="67" w:name="_Toc380746195"/>
      <w:bookmarkStart w:id="68" w:name="_Toc380746321"/>
      <w:bookmarkStart w:id="69" w:name="_Toc380746602"/>
      <w:bookmarkStart w:id="70" w:name="_Toc371170732"/>
      <w:bookmarkEnd w:id="2"/>
      <w:bookmarkEnd w:id="3"/>
      <w:bookmarkEnd w:id="4"/>
      <w:bookmarkEnd w:id="5"/>
      <w:bookmarkEnd w:id="6"/>
      <w:bookmarkEnd w:id="67"/>
      <w:bookmarkEnd w:id="68"/>
      <w:bookmarkEnd w:id="69"/>
      <w:bookmarkEnd w:id="70"/>
    </w:p>
    <w:p w:rsidR="00EE0B20" w:rsidRPr="007E1812" w:rsidRDefault="00EE0B20" w:rsidP="00620BD3">
      <w:pPr>
        <w:pStyle w:val="PBACHeading1"/>
        <w:keepNext/>
        <w:keepLines/>
        <w:spacing w:before="120" w:after="120"/>
        <w:jc w:val="both"/>
      </w:pPr>
      <w:r w:rsidRPr="007E1812">
        <w:t>PBAC Outcome</w:t>
      </w:r>
    </w:p>
    <w:p w:rsidR="00EE0B20" w:rsidRPr="007E1812" w:rsidRDefault="00EE0B20" w:rsidP="00620BD3">
      <w:pPr>
        <w:widowControl/>
        <w:numPr>
          <w:ilvl w:val="1"/>
          <w:numId w:val="1"/>
        </w:numPr>
        <w:spacing w:after="120"/>
        <w:rPr>
          <w:rFonts w:asciiTheme="minorHAnsi" w:hAnsiTheme="minorHAnsi"/>
          <w:bCs/>
        </w:rPr>
      </w:pPr>
      <w:r w:rsidRPr="007E1812">
        <w:rPr>
          <w:rFonts w:asciiTheme="minorHAnsi" w:hAnsiTheme="minorHAnsi"/>
          <w:bCs/>
        </w:rPr>
        <w:t xml:space="preserve">The PBAC recommended </w:t>
      </w:r>
      <w:r w:rsidR="00E503FE" w:rsidRPr="007E1812">
        <w:t>the</w:t>
      </w:r>
      <w:r w:rsidRPr="007E1812">
        <w:t xml:space="preserve"> Authority Required listing </w:t>
      </w:r>
      <w:r w:rsidR="00A3407A" w:rsidRPr="007E1812">
        <w:t xml:space="preserve">of </w:t>
      </w:r>
      <w:r w:rsidRPr="007E1812">
        <w:t>brigatinib</w:t>
      </w:r>
      <w:r w:rsidR="006665F2" w:rsidRPr="007E1812">
        <w:t xml:space="preserve"> as monotherapy</w:t>
      </w:r>
      <w:r w:rsidRPr="007E1812">
        <w:t xml:space="preserve"> for the treatment of patients with locally advanced (Stage IIIB) or metastatic (Stage IV) anaplastic lymphoma kinase (ALK)-positive non-squamous (NS) or not otherwise specified (NOS) non-small cell lung cancer (NSCLC)</w:t>
      </w:r>
      <w:r w:rsidR="00A3407A" w:rsidRPr="007E1812">
        <w:t xml:space="preserve">. The PBAC’s recommendation for listing was based on, among other matters, its assessment that the cost-effectiveness of brigatinib would be acceptable if it were </w:t>
      </w:r>
      <w:r w:rsidRPr="007E1812">
        <w:rPr>
          <w:szCs w:val="24"/>
        </w:rPr>
        <w:t>cost-minimis</w:t>
      </w:r>
      <w:r w:rsidR="00A3407A" w:rsidRPr="007E1812">
        <w:rPr>
          <w:szCs w:val="24"/>
        </w:rPr>
        <w:t>ed</w:t>
      </w:r>
      <w:r w:rsidRPr="007E1812">
        <w:rPr>
          <w:szCs w:val="24"/>
        </w:rPr>
        <w:t xml:space="preserve"> </w:t>
      </w:r>
      <w:r w:rsidR="00A3407A" w:rsidRPr="007E1812">
        <w:rPr>
          <w:szCs w:val="24"/>
        </w:rPr>
        <w:t xml:space="preserve">against </w:t>
      </w:r>
      <w:r w:rsidRPr="007E1812">
        <w:rPr>
          <w:szCs w:val="24"/>
        </w:rPr>
        <w:t>alectinib</w:t>
      </w:r>
      <w:r w:rsidRPr="007E1812">
        <w:rPr>
          <w:rFonts w:asciiTheme="minorHAnsi" w:hAnsiTheme="minorHAnsi"/>
          <w:bCs/>
        </w:rPr>
        <w:t xml:space="preserve">. </w:t>
      </w:r>
    </w:p>
    <w:p w:rsidR="00EE0B20" w:rsidRPr="007E1812" w:rsidRDefault="00F5304E" w:rsidP="00620BD3">
      <w:pPr>
        <w:widowControl/>
        <w:numPr>
          <w:ilvl w:val="1"/>
          <w:numId w:val="1"/>
        </w:numPr>
        <w:spacing w:after="120"/>
        <w:rPr>
          <w:rFonts w:asciiTheme="minorHAnsi" w:hAnsiTheme="minorHAnsi"/>
          <w:bCs/>
        </w:rPr>
      </w:pPr>
      <w:r w:rsidRPr="007E1812">
        <w:rPr>
          <w:rFonts w:asciiTheme="minorHAnsi" w:hAnsiTheme="minorHAnsi"/>
          <w:bCs/>
        </w:rPr>
        <w:t>T</w:t>
      </w:r>
      <w:r w:rsidR="00EE0B20" w:rsidRPr="007E1812">
        <w:rPr>
          <w:rFonts w:asciiTheme="minorHAnsi" w:hAnsiTheme="minorHAnsi"/>
          <w:bCs/>
        </w:rPr>
        <w:t>he PBAC noted that the existing listings</w:t>
      </w:r>
      <w:r w:rsidR="00FA35CC" w:rsidRPr="007E1812">
        <w:rPr>
          <w:rFonts w:asciiTheme="minorHAnsi" w:hAnsiTheme="minorHAnsi"/>
          <w:bCs/>
        </w:rPr>
        <w:t xml:space="preserve"> for</w:t>
      </w:r>
      <w:r w:rsidR="00427B41" w:rsidRPr="007E1812">
        <w:rPr>
          <w:rFonts w:asciiTheme="minorHAnsi" w:hAnsiTheme="minorHAnsi"/>
          <w:bCs/>
        </w:rPr>
        <w:t xml:space="preserve"> ALK-tyrosine kinase inhibitors (TKI)</w:t>
      </w:r>
      <w:r w:rsidR="003E0B1A" w:rsidRPr="007E1812">
        <w:rPr>
          <w:rFonts w:asciiTheme="minorHAnsi" w:hAnsiTheme="minorHAnsi"/>
          <w:bCs/>
        </w:rPr>
        <w:t xml:space="preserve"> </w:t>
      </w:r>
      <w:r w:rsidR="00EE0B20" w:rsidRPr="007E1812">
        <w:rPr>
          <w:rFonts w:asciiTheme="minorHAnsi" w:hAnsiTheme="minorHAnsi"/>
          <w:bCs/>
        </w:rPr>
        <w:t>are line-agnostic and there is a lack of evidence for the optimal sequence of ALK</w:t>
      </w:r>
      <w:r w:rsidR="00727C8D" w:rsidRPr="007E1812">
        <w:rPr>
          <w:rFonts w:asciiTheme="minorHAnsi" w:hAnsiTheme="minorHAnsi"/>
          <w:bCs/>
        </w:rPr>
        <w:t xml:space="preserve"> inhibitor therapies in</w:t>
      </w:r>
      <w:r w:rsidR="00EE0B20" w:rsidRPr="007E1812">
        <w:rPr>
          <w:rFonts w:asciiTheme="minorHAnsi" w:hAnsiTheme="minorHAnsi"/>
          <w:bCs/>
        </w:rPr>
        <w:t xml:space="preserve"> A</w:t>
      </w:r>
      <w:r w:rsidR="00DA3890" w:rsidRPr="007E1812">
        <w:rPr>
          <w:rFonts w:asciiTheme="minorHAnsi" w:hAnsiTheme="minorHAnsi"/>
          <w:bCs/>
        </w:rPr>
        <w:t>LK-positive NSCLC and therefore</w:t>
      </w:r>
      <w:r w:rsidR="00EE0B20" w:rsidRPr="007E1812">
        <w:rPr>
          <w:rFonts w:asciiTheme="minorHAnsi" w:hAnsiTheme="minorHAnsi"/>
          <w:bCs/>
        </w:rPr>
        <w:t xml:space="preserve"> considered that brigatinib should not be precluded </w:t>
      </w:r>
      <w:r w:rsidR="00354CF8" w:rsidRPr="007E1812">
        <w:rPr>
          <w:rFonts w:asciiTheme="minorHAnsi" w:hAnsiTheme="minorHAnsi"/>
          <w:bCs/>
        </w:rPr>
        <w:t xml:space="preserve">from </w:t>
      </w:r>
      <w:r w:rsidR="00EE0B20" w:rsidRPr="007E1812">
        <w:rPr>
          <w:rFonts w:asciiTheme="minorHAnsi" w:hAnsiTheme="minorHAnsi"/>
          <w:bCs/>
        </w:rPr>
        <w:t xml:space="preserve">a line-agnostic listing. Further, the PBAC noted that the results from the </w:t>
      </w:r>
      <w:r w:rsidR="00FE7A90" w:rsidRPr="007E1812">
        <w:rPr>
          <w:rFonts w:asciiTheme="minorHAnsi" w:hAnsiTheme="minorHAnsi"/>
          <w:bCs/>
        </w:rPr>
        <w:t>p</w:t>
      </w:r>
      <w:r w:rsidR="00EE0B20" w:rsidRPr="007E1812">
        <w:rPr>
          <w:rFonts w:asciiTheme="minorHAnsi" w:hAnsiTheme="minorHAnsi"/>
          <w:bCs/>
        </w:rPr>
        <w:t>hase 3 randomised controlled trial (RCT) of brigatinib versus crizotinib (ALTA-1L) in the first-line setting</w:t>
      </w:r>
      <w:r w:rsidR="00FB0443" w:rsidRPr="007E1812">
        <w:rPr>
          <w:rFonts w:asciiTheme="minorHAnsi" w:hAnsiTheme="minorHAnsi"/>
          <w:bCs/>
        </w:rPr>
        <w:t xml:space="preserve"> supported</w:t>
      </w:r>
      <w:r w:rsidR="00EE0B20" w:rsidRPr="007E1812">
        <w:rPr>
          <w:rFonts w:asciiTheme="minorHAnsi" w:hAnsiTheme="minorHAnsi"/>
          <w:bCs/>
        </w:rPr>
        <w:t xml:space="preserve"> that brigatinib is superior in efficacy and safety compared </w:t>
      </w:r>
      <w:r w:rsidR="00D93361" w:rsidRPr="007E1812">
        <w:rPr>
          <w:rFonts w:asciiTheme="minorHAnsi" w:hAnsiTheme="minorHAnsi"/>
          <w:bCs/>
        </w:rPr>
        <w:t xml:space="preserve">with </w:t>
      </w:r>
      <w:r w:rsidR="00EE0B20" w:rsidRPr="007E1812">
        <w:rPr>
          <w:rFonts w:asciiTheme="minorHAnsi" w:hAnsiTheme="minorHAnsi"/>
          <w:bCs/>
        </w:rPr>
        <w:t>crizotinib, and that would likely justify the cl</w:t>
      </w:r>
      <w:r w:rsidR="00323CC9" w:rsidRPr="007E1812">
        <w:rPr>
          <w:rFonts w:asciiTheme="minorHAnsi" w:hAnsiTheme="minorHAnsi"/>
          <w:bCs/>
        </w:rPr>
        <w:t xml:space="preserve">inical place of brigatinib as </w:t>
      </w:r>
      <w:r w:rsidR="00EE0B20" w:rsidRPr="007E1812">
        <w:rPr>
          <w:rFonts w:asciiTheme="minorHAnsi" w:hAnsiTheme="minorHAnsi"/>
          <w:bCs/>
        </w:rPr>
        <w:t xml:space="preserve">first-line therapy. As such, the PBAC considered that </w:t>
      </w:r>
      <w:r w:rsidR="009B05B4" w:rsidRPr="007E1812">
        <w:rPr>
          <w:rFonts w:asciiTheme="minorHAnsi" w:hAnsiTheme="minorHAnsi"/>
          <w:bCs/>
        </w:rPr>
        <w:t xml:space="preserve">the </w:t>
      </w:r>
      <w:r w:rsidR="00EE0B20" w:rsidRPr="007E1812">
        <w:rPr>
          <w:rFonts w:asciiTheme="minorHAnsi" w:hAnsiTheme="minorHAnsi"/>
          <w:bCs/>
        </w:rPr>
        <w:t>listing</w:t>
      </w:r>
      <w:r w:rsidR="009B05B4" w:rsidRPr="007E1812">
        <w:rPr>
          <w:rFonts w:asciiTheme="minorHAnsi" w:hAnsiTheme="minorHAnsi"/>
          <w:bCs/>
        </w:rPr>
        <w:t xml:space="preserve"> of brigatinib</w:t>
      </w:r>
      <w:r w:rsidR="00EE0B20" w:rsidRPr="007E1812">
        <w:rPr>
          <w:rFonts w:asciiTheme="minorHAnsi" w:hAnsiTheme="minorHAnsi"/>
          <w:bCs/>
        </w:rPr>
        <w:t xml:space="preserve"> would </w:t>
      </w:r>
      <w:r w:rsidR="005F37B0" w:rsidRPr="007E1812">
        <w:rPr>
          <w:rFonts w:asciiTheme="minorHAnsi" w:hAnsiTheme="minorHAnsi"/>
          <w:bCs/>
        </w:rPr>
        <w:t>provide an</w:t>
      </w:r>
      <w:r w:rsidR="00EE0B20" w:rsidRPr="007E1812">
        <w:rPr>
          <w:rFonts w:asciiTheme="minorHAnsi" w:hAnsiTheme="minorHAnsi"/>
          <w:bCs/>
        </w:rPr>
        <w:t xml:space="preserve"> </w:t>
      </w:r>
      <w:r w:rsidR="005F37B0" w:rsidRPr="007E1812">
        <w:rPr>
          <w:rFonts w:asciiTheme="minorHAnsi" w:hAnsiTheme="minorHAnsi"/>
          <w:bCs/>
        </w:rPr>
        <w:t xml:space="preserve">alternative </w:t>
      </w:r>
      <w:r w:rsidR="00EE0B20" w:rsidRPr="007E1812">
        <w:rPr>
          <w:rFonts w:asciiTheme="minorHAnsi" w:hAnsiTheme="minorHAnsi"/>
          <w:bCs/>
        </w:rPr>
        <w:t>ALK-TKI</w:t>
      </w:r>
      <w:r w:rsidR="00EA54B9" w:rsidRPr="007E1812">
        <w:rPr>
          <w:rFonts w:asciiTheme="minorHAnsi" w:hAnsiTheme="minorHAnsi"/>
          <w:bCs/>
        </w:rPr>
        <w:t xml:space="preserve"> with </w:t>
      </w:r>
      <w:r w:rsidR="00EE0B20" w:rsidRPr="007E1812">
        <w:rPr>
          <w:rFonts w:asciiTheme="minorHAnsi" w:hAnsiTheme="minorHAnsi"/>
          <w:bCs/>
        </w:rPr>
        <w:t xml:space="preserve">intracranial activity </w:t>
      </w:r>
      <w:r w:rsidR="00B1155F" w:rsidRPr="007E1812">
        <w:rPr>
          <w:rFonts w:asciiTheme="minorHAnsi" w:hAnsiTheme="minorHAnsi"/>
          <w:bCs/>
        </w:rPr>
        <w:t xml:space="preserve">and a different profile in terms of </w:t>
      </w:r>
      <w:r w:rsidR="00EE0B20" w:rsidRPr="007E1812">
        <w:rPr>
          <w:rFonts w:asciiTheme="minorHAnsi" w:hAnsiTheme="minorHAnsi"/>
          <w:bCs/>
        </w:rPr>
        <w:t>safety</w:t>
      </w:r>
      <w:r w:rsidR="00B1155F" w:rsidRPr="007E1812">
        <w:rPr>
          <w:rFonts w:asciiTheme="minorHAnsi" w:hAnsiTheme="minorHAnsi"/>
          <w:bCs/>
        </w:rPr>
        <w:t xml:space="preserve"> and</w:t>
      </w:r>
      <w:r w:rsidR="00EE0B20" w:rsidRPr="007E1812">
        <w:rPr>
          <w:rFonts w:asciiTheme="minorHAnsi" w:hAnsiTheme="minorHAnsi"/>
          <w:bCs/>
        </w:rPr>
        <w:t xml:space="preserve"> tolerability</w:t>
      </w:r>
      <w:r w:rsidR="006F37A6" w:rsidRPr="007E1812">
        <w:rPr>
          <w:rFonts w:asciiTheme="minorHAnsi" w:hAnsiTheme="minorHAnsi"/>
          <w:bCs/>
        </w:rPr>
        <w:t>.</w:t>
      </w:r>
      <w:r w:rsidR="00EE0B20" w:rsidRPr="007E1812">
        <w:rPr>
          <w:rFonts w:asciiTheme="minorHAnsi" w:hAnsiTheme="minorHAnsi"/>
          <w:bCs/>
        </w:rPr>
        <w:t xml:space="preserve"> </w:t>
      </w:r>
    </w:p>
    <w:p w:rsidR="00997E62" w:rsidRPr="007E1812" w:rsidRDefault="00A37750" w:rsidP="0037500C">
      <w:pPr>
        <w:widowControl/>
        <w:numPr>
          <w:ilvl w:val="1"/>
          <w:numId w:val="1"/>
        </w:numPr>
        <w:spacing w:after="120"/>
        <w:rPr>
          <w:rFonts w:asciiTheme="minorHAnsi" w:hAnsiTheme="minorHAnsi"/>
          <w:bCs/>
        </w:rPr>
      </w:pPr>
      <w:r w:rsidRPr="007E1812">
        <w:rPr>
          <w:rFonts w:asciiTheme="minorHAnsi" w:hAnsiTheme="minorHAnsi"/>
          <w:bCs/>
        </w:rPr>
        <w:t xml:space="preserve">The PBAC considered </w:t>
      </w:r>
      <w:r w:rsidR="006C6055" w:rsidRPr="007E1812">
        <w:rPr>
          <w:rFonts w:asciiTheme="minorHAnsi" w:hAnsiTheme="minorHAnsi"/>
          <w:bCs/>
        </w:rPr>
        <w:t xml:space="preserve">that </w:t>
      </w:r>
      <w:r w:rsidRPr="007E1812">
        <w:rPr>
          <w:rFonts w:asciiTheme="minorHAnsi" w:hAnsiTheme="minorHAnsi"/>
          <w:bCs/>
        </w:rPr>
        <w:t xml:space="preserve">alectinib </w:t>
      </w:r>
      <w:r w:rsidR="006C6055" w:rsidRPr="007E1812">
        <w:rPr>
          <w:rFonts w:asciiTheme="minorHAnsi" w:hAnsiTheme="minorHAnsi"/>
          <w:bCs/>
        </w:rPr>
        <w:t xml:space="preserve">was the </w:t>
      </w:r>
      <w:r w:rsidR="00B81624" w:rsidRPr="007E1812">
        <w:rPr>
          <w:rFonts w:asciiTheme="minorHAnsi" w:hAnsiTheme="minorHAnsi"/>
          <w:bCs/>
        </w:rPr>
        <w:t xml:space="preserve">appropriate </w:t>
      </w:r>
      <w:r w:rsidR="006C6055" w:rsidRPr="007E1812">
        <w:rPr>
          <w:rFonts w:asciiTheme="minorHAnsi" w:hAnsiTheme="minorHAnsi"/>
          <w:bCs/>
        </w:rPr>
        <w:t xml:space="preserve">main comparator, as it would most likely be replaced if brigatinib was available on the PBS </w:t>
      </w:r>
      <w:r w:rsidR="00B81624" w:rsidRPr="007E1812">
        <w:rPr>
          <w:rFonts w:asciiTheme="minorHAnsi" w:hAnsiTheme="minorHAnsi"/>
          <w:bCs/>
        </w:rPr>
        <w:t xml:space="preserve">in both </w:t>
      </w:r>
      <w:r w:rsidR="000D331C" w:rsidRPr="007E1812">
        <w:rPr>
          <w:rFonts w:asciiTheme="minorHAnsi" w:hAnsiTheme="minorHAnsi"/>
          <w:bCs/>
        </w:rPr>
        <w:t xml:space="preserve">the </w:t>
      </w:r>
      <w:r w:rsidR="00B81624" w:rsidRPr="007E1812">
        <w:rPr>
          <w:rFonts w:asciiTheme="minorHAnsi" w:hAnsiTheme="minorHAnsi"/>
          <w:bCs/>
        </w:rPr>
        <w:t>first-line and second-line settings</w:t>
      </w:r>
      <w:r w:rsidR="008F291C" w:rsidRPr="007E1812">
        <w:rPr>
          <w:rFonts w:asciiTheme="minorHAnsi" w:hAnsiTheme="minorHAnsi"/>
          <w:bCs/>
        </w:rPr>
        <w:t xml:space="preserve">. </w:t>
      </w:r>
    </w:p>
    <w:p w:rsidR="00A37750" w:rsidRPr="007E1812" w:rsidRDefault="00997E62" w:rsidP="00C23051">
      <w:pPr>
        <w:widowControl/>
        <w:numPr>
          <w:ilvl w:val="1"/>
          <w:numId w:val="1"/>
        </w:numPr>
        <w:spacing w:after="120"/>
        <w:rPr>
          <w:rFonts w:asciiTheme="minorHAnsi" w:hAnsiTheme="minorHAnsi"/>
          <w:bCs/>
        </w:rPr>
      </w:pPr>
      <w:r w:rsidRPr="007E1812">
        <w:rPr>
          <w:rFonts w:asciiTheme="minorHAnsi" w:hAnsiTheme="minorHAnsi"/>
          <w:bCs/>
        </w:rPr>
        <w:t xml:space="preserve">The PBAC considered ceritinib was an appropriate </w:t>
      </w:r>
      <w:r w:rsidR="009F4D42" w:rsidRPr="007E1812">
        <w:rPr>
          <w:rFonts w:asciiTheme="minorHAnsi" w:hAnsiTheme="minorHAnsi"/>
          <w:bCs/>
        </w:rPr>
        <w:t xml:space="preserve">supplementary comparator as alectinib was listed on a cost-minimisation basis versus ceritinib. The PBAC noted </w:t>
      </w:r>
      <w:r w:rsidR="00A12965" w:rsidRPr="007E1812">
        <w:rPr>
          <w:iCs/>
        </w:rPr>
        <w:t xml:space="preserve">the </w:t>
      </w:r>
      <w:r w:rsidR="00B1155F" w:rsidRPr="007E1812">
        <w:rPr>
          <w:iCs/>
        </w:rPr>
        <w:t xml:space="preserve">recommended </w:t>
      </w:r>
      <w:r w:rsidR="00A12965" w:rsidRPr="007E1812">
        <w:rPr>
          <w:iCs/>
        </w:rPr>
        <w:t>dose for ceritinib</w:t>
      </w:r>
      <w:r w:rsidR="00B1155F" w:rsidRPr="007E1812">
        <w:rPr>
          <w:iCs/>
        </w:rPr>
        <w:t xml:space="preserve"> had changed</w:t>
      </w:r>
      <w:r w:rsidR="00A12965" w:rsidRPr="007E1812">
        <w:rPr>
          <w:iCs/>
        </w:rPr>
        <w:t xml:space="preserve"> </w:t>
      </w:r>
      <w:r w:rsidR="009F4D42" w:rsidRPr="007E1812">
        <w:rPr>
          <w:iCs/>
        </w:rPr>
        <w:t xml:space="preserve">from 750 mg </w:t>
      </w:r>
      <w:r w:rsidR="00A12965" w:rsidRPr="007E1812">
        <w:rPr>
          <w:iCs/>
        </w:rPr>
        <w:t>to 450 mg, based on pharmacokinetic (PK) data</w:t>
      </w:r>
      <w:r w:rsidR="009F4D42" w:rsidRPr="007E1812">
        <w:rPr>
          <w:iCs/>
        </w:rPr>
        <w:t xml:space="preserve"> but that</w:t>
      </w:r>
      <w:r w:rsidR="00B1155F" w:rsidRPr="007E1812">
        <w:rPr>
          <w:iCs/>
        </w:rPr>
        <w:t xml:space="preserve"> based on PBS data</w:t>
      </w:r>
      <w:r w:rsidR="009F4D42" w:rsidRPr="007E1812">
        <w:rPr>
          <w:iCs/>
        </w:rPr>
        <w:t xml:space="preserve"> the lower dose does not yet appear to be used in clinical practice (</w:t>
      </w:r>
      <w:r w:rsidR="00A75CCD" w:rsidRPr="007E1812">
        <w:rPr>
          <w:rFonts w:asciiTheme="minorHAnsi" w:eastAsiaTheme="minorHAnsi" w:hAnsiTheme="minorHAnsi" w:cstheme="minorHAnsi"/>
          <w:snapToGrid/>
          <w:lang w:bidi="ar-JO"/>
        </w:rPr>
        <w:t>paragraph 5.4</w:t>
      </w:r>
      <w:r w:rsidR="009F4D42" w:rsidRPr="007E1812">
        <w:rPr>
          <w:rFonts w:asciiTheme="minorHAnsi" w:eastAsiaTheme="minorHAnsi" w:hAnsiTheme="minorHAnsi" w:cstheme="minorHAnsi"/>
          <w:snapToGrid/>
          <w:lang w:bidi="ar-JO"/>
        </w:rPr>
        <w:t>)</w:t>
      </w:r>
      <w:r w:rsidR="003D2FE7">
        <w:rPr>
          <w:rFonts w:asciiTheme="minorHAnsi" w:eastAsiaTheme="minorHAnsi" w:hAnsiTheme="minorHAnsi" w:cstheme="minorHAnsi"/>
          <w:snapToGrid/>
          <w:lang w:bidi="ar-JO"/>
        </w:rPr>
        <w:t>, and there is a lack of long term clinical data at the lower dose</w:t>
      </w:r>
      <w:r w:rsidR="009F4D42" w:rsidRPr="007E1812">
        <w:rPr>
          <w:rFonts w:asciiTheme="minorHAnsi" w:eastAsiaTheme="minorHAnsi" w:hAnsiTheme="minorHAnsi" w:cstheme="minorHAnsi"/>
          <w:snapToGrid/>
          <w:lang w:bidi="ar-JO"/>
        </w:rPr>
        <w:t>.</w:t>
      </w:r>
    </w:p>
    <w:p w:rsidR="00C06F9F" w:rsidRPr="007E1812" w:rsidRDefault="000B61DC" w:rsidP="00620BD3">
      <w:pPr>
        <w:widowControl/>
        <w:numPr>
          <w:ilvl w:val="1"/>
          <w:numId w:val="1"/>
        </w:numPr>
        <w:spacing w:after="120"/>
        <w:rPr>
          <w:rFonts w:asciiTheme="minorHAnsi" w:hAnsiTheme="minorHAnsi"/>
          <w:bCs/>
        </w:rPr>
      </w:pPr>
      <w:r w:rsidRPr="007E1812">
        <w:rPr>
          <w:rFonts w:asciiTheme="minorHAnsi" w:hAnsiTheme="minorHAnsi"/>
          <w:bCs/>
        </w:rPr>
        <w:t>T</w:t>
      </w:r>
      <w:r w:rsidR="001123D7" w:rsidRPr="007E1812">
        <w:rPr>
          <w:rFonts w:asciiTheme="minorHAnsi" w:hAnsiTheme="minorHAnsi"/>
          <w:bCs/>
        </w:rPr>
        <w:t xml:space="preserve">he submission was </w:t>
      </w:r>
      <w:r w:rsidRPr="007E1812">
        <w:rPr>
          <w:rFonts w:asciiTheme="minorHAnsi" w:hAnsiTheme="minorHAnsi"/>
          <w:bCs/>
        </w:rPr>
        <w:t xml:space="preserve">on </w:t>
      </w:r>
      <w:r w:rsidR="0077704C" w:rsidRPr="007E1812">
        <w:rPr>
          <w:rFonts w:asciiTheme="minorHAnsi" w:hAnsiTheme="minorHAnsi"/>
          <w:bCs/>
        </w:rPr>
        <w:t xml:space="preserve">the basis </w:t>
      </w:r>
      <w:r w:rsidR="003B6AC6" w:rsidRPr="007E1812">
        <w:rPr>
          <w:rFonts w:asciiTheme="minorHAnsi" w:hAnsiTheme="minorHAnsi"/>
          <w:bCs/>
        </w:rPr>
        <w:t>of an</w:t>
      </w:r>
      <w:r w:rsidR="001123D7" w:rsidRPr="007E1812">
        <w:rPr>
          <w:rFonts w:asciiTheme="minorHAnsi" w:hAnsiTheme="minorHAnsi"/>
          <w:bCs/>
        </w:rPr>
        <w:t xml:space="preserve"> indirect </w:t>
      </w:r>
      <w:r w:rsidR="00354CF8" w:rsidRPr="007E1812">
        <w:rPr>
          <w:rFonts w:asciiTheme="minorHAnsi" w:hAnsiTheme="minorHAnsi"/>
          <w:bCs/>
        </w:rPr>
        <w:t xml:space="preserve">treatment </w:t>
      </w:r>
      <w:r w:rsidR="001123D7" w:rsidRPr="007E1812">
        <w:rPr>
          <w:rFonts w:asciiTheme="minorHAnsi" w:hAnsiTheme="minorHAnsi"/>
          <w:bCs/>
        </w:rPr>
        <w:t xml:space="preserve">comparison (ITC) of brigatinib </w:t>
      </w:r>
      <w:r w:rsidR="004F3018" w:rsidRPr="007E1812">
        <w:rPr>
          <w:rFonts w:asciiTheme="minorHAnsi" w:hAnsiTheme="minorHAnsi"/>
          <w:bCs/>
        </w:rPr>
        <w:t xml:space="preserve">(ALTA-1L, n=275) </w:t>
      </w:r>
      <w:r w:rsidR="001123D7" w:rsidRPr="007E1812">
        <w:rPr>
          <w:rFonts w:asciiTheme="minorHAnsi" w:hAnsiTheme="minorHAnsi"/>
          <w:bCs/>
        </w:rPr>
        <w:t>and alectinib</w:t>
      </w:r>
      <w:r w:rsidR="004F3018" w:rsidRPr="007E1812">
        <w:rPr>
          <w:rFonts w:asciiTheme="minorHAnsi" w:hAnsiTheme="minorHAnsi"/>
          <w:bCs/>
        </w:rPr>
        <w:t xml:space="preserve"> (ALEX, n=</w:t>
      </w:r>
      <w:r w:rsidR="00196F16" w:rsidRPr="007E1812">
        <w:rPr>
          <w:rFonts w:asciiTheme="minorHAnsi" w:hAnsiTheme="minorHAnsi"/>
          <w:bCs/>
        </w:rPr>
        <w:t>303</w:t>
      </w:r>
      <w:r w:rsidR="004F3018" w:rsidRPr="007E1812">
        <w:rPr>
          <w:rFonts w:asciiTheme="minorHAnsi" w:hAnsiTheme="minorHAnsi"/>
          <w:bCs/>
        </w:rPr>
        <w:t>)</w:t>
      </w:r>
      <w:r w:rsidR="001123D7" w:rsidRPr="007E1812">
        <w:rPr>
          <w:rFonts w:asciiTheme="minorHAnsi" w:hAnsiTheme="minorHAnsi"/>
          <w:bCs/>
        </w:rPr>
        <w:t>, using crizotini</w:t>
      </w:r>
      <w:r w:rsidR="00692D8F" w:rsidRPr="007E1812">
        <w:rPr>
          <w:rFonts w:asciiTheme="minorHAnsi" w:hAnsiTheme="minorHAnsi"/>
          <w:bCs/>
        </w:rPr>
        <w:t xml:space="preserve">b as a common reference in the first-line setting </w:t>
      </w:r>
      <w:r w:rsidR="00BE4217" w:rsidRPr="007E1812">
        <w:rPr>
          <w:rFonts w:asciiTheme="minorHAnsi" w:hAnsiTheme="minorHAnsi"/>
          <w:bCs/>
        </w:rPr>
        <w:t>and</w:t>
      </w:r>
      <w:r w:rsidR="002B717D" w:rsidRPr="007E1812">
        <w:rPr>
          <w:rFonts w:asciiTheme="minorHAnsi" w:hAnsiTheme="minorHAnsi"/>
          <w:bCs/>
        </w:rPr>
        <w:t xml:space="preserve"> </w:t>
      </w:r>
      <w:r w:rsidR="00692D8F" w:rsidRPr="007E1812">
        <w:rPr>
          <w:rFonts w:asciiTheme="minorHAnsi" w:hAnsiTheme="minorHAnsi"/>
          <w:bCs/>
        </w:rPr>
        <w:t>a naïve comparison of single arm</w:t>
      </w:r>
      <w:r w:rsidR="00BE4217" w:rsidRPr="007E1812">
        <w:rPr>
          <w:rFonts w:asciiTheme="minorHAnsi" w:hAnsiTheme="minorHAnsi"/>
          <w:bCs/>
        </w:rPr>
        <w:t xml:space="preserve"> </w:t>
      </w:r>
      <w:r w:rsidR="00692D8F" w:rsidRPr="007E1812">
        <w:rPr>
          <w:rFonts w:asciiTheme="minorHAnsi" w:hAnsiTheme="minorHAnsi"/>
          <w:bCs/>
        </w:rPr>
        <w:t>s</w:t>
      </w:r>
      <w:r w:rsidR="00BE4217" w:rsidRPr="007E1812">
        <w:rPr>
          <w:rFonts w:asciiTheme="minorHAnsi" w:hAnsiTheme="minorHAnsi"/>
          <w:bCs/>
        </w:rPr>
        <w:t>tudies</w:t>
      </w:r>
      <w:r w:rsidR="00692D8F" w:rsidRPr="007E1812">
        <w:rPr>
          <w:rFonts w:asciiTheme="minorHAnsi" w:hAnsiTheme="minorHAnsi"/>
          <w:bCs/>
        </w:rPr>
        <w:t xml:space="preserve"> of brigatinib (Study 201-ALTA, n=222) and alectinib (ALUR, n=107) in the second-line setting.</w:t>
      </w:r>
      <w:r w:rsidR="001123D7" w:rsidRPr="007E1812">
        <w:rPr>
          <w:rFonts w:asciiTheme="minorHAnsi" w:hAnsiTheme="minorHAnsi"/>
          <w:bCs/>
        </w:rPr>
        <w:t xml:space="preserve"> </w:t>
      </w:r>
      <w:r w:rsidR="00901927" w:rsidRPr="007E1812">
        <w:rPr>
          <w:rFonts w:asciiTheme="minorHAnsi" w:hAnsiTheme="minorHAnsi"/>
          <w:bCs/>
        </w:rPr>
        <w:t>The PBAC considered the comparison of brigatinib and alectinib in the first-</w:t>
      </w:r>
      <w:r w:rsidR="00901927" w:rsidRPr="007E1812">
        <w:rPr>
          <w:rFonts w:asciiTheme="minorHAnsi" w:hAnsiTheme="minorHAnsi"/>
          <w:bCs/>
        </w:rPr>
        <w:lastRenderedPageBreak/>
        <w:t>line setting to be of great</w:t>
      </w:r>
      <w:r w:rsidR="001C282D" w:rsidRPr="007E1812">
        <w:rPr>
          <w:rFonts w:asciiTheme="minorHAnsi" w:hAnsiTheme="minorHAnsi"/>
          <w:bCs/>
        </w:rPr>
        <w:t>er</w:t>
      </w:r>
      <w:r w:rsidR="00901927" w:rsidRPr="007E1812">
        <w:rPr>
          <w:rFonts w:asciiTheme="minorHAnsi" w:hAnsiTheme="minorHAnsi"/>
          <w:bCs/>
        </w:rPr>
        <w:t xml:space="preserve"> relevance to </w:t>
      </w:r>
      <w:r w:rsidR="00AD5A78" w:rsidRPr="007E1812">
        <w:rPr>
          <w:rFonts w:asciiTheme="minorHAnsi" w:hAnsiTheme="minorHAnsi"/>
          <w:bCs/>
        </w:rPr>
        <w:t xml:space="preserve">current practice in </w:t>
      </w:r>
      <w:r w:rsidR="00AA1BEF" w:rsidRPr="007E1812">
        <w:rPr>
          <w:rFonts w:asciiTheme="minorHAnsi" w:hAnsiTheme="minorHAnsi"/>
          <w:bCs/>
        </w:rPr>
        <w:t xml:space="preserve">ALK-positive </w:t>
      </w:r>
      <w:r w:rsidR="00AD5A78" w:rsidRPr="007E1812">
        <w:rPr>
          <w:rFonts w:asciiTheme="minorHAnsi" w:hAnsiTheme="minorHAnsi"/>
          <w:bCs/>
        </w:rPr>
        <w:t>NSCLC</w:t>
      </w:r>
      <w:r w:rsidR="00CA373D" w:rsidRPr="007E1812">
        <w:rPr>
          <w:rFonts w:asciiTheme="minorHAnsi" w:hAnsiTheme="minorHAnsi"/>
          <w:bCs/>
        </w:rPr>
        <w:t xml:space="preserve"> whereas</w:t>
      </w:r>
      <w:r w:rsidR="003F23D0" w:rsidRPr="007E1812">
        <w:rPr>
          <w:rFonts w:asciiTheme="minorHAnsi" w:hAnsiTheme="minorHAnsi"/>
          <w:bCs/>
        </w:rPr>
        <w:t xml:space="preserve"> d</w:t>
      </w:r>
      <w:r w:rsidR="00AD5A78" w:rsidRPr="007E1812">
        <w:rPr>
          <w:rFonts w:asciiTheme="minorHAnsi" w:hAnsiTheme="minorHAnsi"/>
          <w:bCs/>
        </w:rPr>
        <w:t>ata from the trials in the second-line se</w:t>
      </w:r>
      <w:r w:rsidR="00D1319F" w:rsidRPr="007E1812">
        <w:rPr>
          <w:rFonts w:asciiTheme="minorHAnsi" w:hAnsiTheme="minorHAnsi"/>
          <w:bCs/>
        </w:rPr>
        <w:t xml:space="preserve">tting </w:t>
      </w:r>
      <w:r w:rsidR="003D21AF" w:rsidRPr="007E1812">
        <w:rPr>
          <w:rFonts w:asciiTheme="minorHAnsi" w:hAnsiTheme="minorHAnsi"/>
          <w:bCs/>
        </w:rPr>
        <w:t xml:space="preserve">represented </w:t>
      </w:r>
      <w:r w:rsidR="003527C5" w:rsidRPr="007E1812">
        <w:rPr>
          <w:rFonts w:asciiTheme="minorHAnsi" w:hAnsiTheme="minorHAnsi"/>
          <w:bCs/>
        </w:rPr>
        <w:t>a relatively small subgroup of patients</w:t>
      </w:r>
      <w:r w:rsidR="0091258B" w:rsidRPr="007E1812">
        <w:rPr>
          <w:rFonts w:asciiTheme="minorHAnsi" w:hAnsiTheme="minorHAnsi"/>
          <w:bCs/>
        </w:rPr>
        <w:t xml:space="preserve"> previously treated with crizotinib as first-line </w:t>
      </w:r>
      <w:r w:rsidR="003D21AF" w:rsidRPr="007E1812">
        <w:rPr>
          <w:rFonts w:asciiTheme="minorHAnsi" w:hAnsiTheme="minorHAnsi"/>
          <w:bCs/>
        </w:rPr>
        <w:t>therapy</w:t>
      </w:r>
      <w:r w:rsidR="00354CF8" w:rsidRPr="007E1812">
        <w:rPr>
          <w:rFonts w:asciiTheme="minorHAnsi" w:hAnsiTheme="minorHAnsi"/>
          <w:bCs/>
        </w:rPr>
        <w:t xml:space="preserve">, with limited applicability </w:t>
      </w:r>
      <w:r w:rsidR="007D770A" w:rsidRPr="007E1812">
        <w:rPr>
          <w:rFonts w:asciiTheme="minorHAnsi" w:hAnsiTheme="minorHAnsi"/>
          <w:bCs/>
        </w:rPr>
        <w:t>due to the decline in crizotinib utilisation in clinical practice</w:t>
      </w:r>
      <w:r w:rsidR="00952DE8" w:rsidRPr="007E1812">
        <w:rPr>
          <w:rFonts w:asciiTheme="minorHAnsi" w:hAnsiTheme="minorHAnsi"/>
          <w:bCs/>
        </w:rPr>
        <w:t>.</w:t>
      </w:r>
      <w:r w:rsidR="003527C5" w:rsidRPr="007E1812">
        <w:rPr>
          <w:rFonts w:asciiTheme="minorHAnsi" w:hAnsiTheme="minorHAnsi"/>
          <w:bCs/>
        </w:rPr>
        <w:t xml:space="preserve"> </w:t>
      </w:r>
    </w:p>
    <w:p w:rsidR="000626DF" w:rsidRPr="007E1812" w:rsidRDefault="00970BF9" w:rsidP="00620BD3">
      <w:pPr>
        <w:widowControl/>
        <w:numPr>
          <w:ilvl w:val="1"/>
          <w:numId w:val="1"/>
        </w:numPr>
        <w:spacing w:after="120"/>
        <w:rPr>
          <w:rFonts w:asciiTheme="minorHAnsi" w:hAnsiTheme="minorHAnsi"/>
          <w:bCs/>
        </w:rPr>
      </w:pPr>
      <w:r w:rsidRPr="007E1812">
        <w:rPr>
          <w:rFonts w:asciiTheme="minorHAnsi" w:hAnsiTheme="minorHAnsi"/>
          <w:bCs/>
        </w:rPr>
        <w:t>For the first-line setting, t</w:t>
      </w:r>
      <w:r w:rsidR="008D0EE8" w:rsidRPr="007E1812">
        <w:rPr>
          <w:rFonts w:asciiTheme="minorHAnsi" w:hAnsiTheme="minorHAnsi"/>
          <w:bCs/>
        </w:rPr>
        <w:t>h</w:t>
      </w:r>
      <w:r w:rsidR="00685F9A" w:rsidRPr="007E1812">
        <w:rPr>
          <w:rFonts w:asciiTheme="minorHAnsi" w:hAnsiTheme="minorHAnsi"/>
          <w:bCs/>
        </w:rPr>
        <w:t xml:space="preserve">e PBAC </w:t>
      </w:r>
      <w:r w:rsidR="003A4D83" w:rsidRPr="007E1812">
        <w:rPr>
          <w:rFonts w:asciiTheme="minorHAnsi" w:hAnsiTheme="minorHAnsi"/>
          <w:bCs/>
        </w:rPr>
        <w:t>noted</w:t>
      </w:r>
      <w:r w:rsidR="00F4143B" w:rsidRPr="007E1812">
        <w:rPr>
          <w:rFonts w:asciiTheme="minorHAnsi" w:hAnsiTheme="minorHAnsi"/>
          <w:bCs/>
        </w:rPr>
        <w:t xml:space="preserve"> </w:t>
      </w:r>
      <w:r w:rsidR="006666C1" w:rsidRPr="007E1812">
        <w:rPr>
          <w:rFonts w:asciiTheme="minorHAnsi" w:hAnsiTheme="minorHAnsi"/>
          <w:bCs/>
        </w:rPr>
        <w:t xml:space="preserve">the PFS </w:t>
      </w:r>
      <w:r w:rsidR="00FB1566" w:rsidRPr="007E1812">
        <w:rPr>
          <w:rFonts w:asciiTheme="minorHAnsi" w:hAnsiTheme="minorHAnsi"/>
          <w:bCs/>
        </w:rPr>
        <w:t>hazard ratio (HR)</w:t>
      </w:r>
      <w:r w:rsidR="00A178AE" w:rsidRPr="007E1812">
        <w:rPr>
          <w:rFonts w:asciiTheme="minorHAnsi" w:hAnsiTheme="minorHAnsi"/>
          <w:bCs/>
        </w:rPr>
        <w:t xml:space="preserve"> as the primary outcome</w:t>
      </w:r>
      <w:r w:rsidR="00C91394" w:rsidRPr="007E1812">
        <w:rPr>
          <w:rFonts w:asciiTheme="minorHAnsi" w:hAnsiTheme="minorHAnsi"/>
          <w:bCs/>
        </w:rPr>
        <w:t xml:space="preserve"> </w:t>
      </w:r>
      <w:r w:rsidR="006666C1" w:rsidRPr="007E1812">
        <w:rPr>
          <w:rFonts w:asciiTheme="minorHAnsi" w:hAnsiTheme="minorHAnsi"/>
          <w:bCs/>
        </w:rPr>
        <w:t xml:space="preserve">for brigatinib was </w:t>
      </w:r>
      <w:r w:rsidR="000B6ECF" w:rsidRPr="007E1812">
        <w:rPr>
          <w:rFonts w:asciiTheme="minorHAnsi" w:hAnsiTheme="minorHAnsi"/>
          <w:bCs/>
        </w:rPr>
        <w:t>comparabl</w:t>
      </w:r>
      <w:r w:rsidR="00354CF8" w:rsidRPr="007E1812">
        <w:rPr>
          <w:rFonts w:asciiTheme="minorHAnsi" w:hAnsiTheme="minorHAnsi"/>
          <w:bCs/>
        </w:rPr>
        <w:t>e</w:t>
      </w:r>
      <w:r w:rsidR="000B6ECF" w:rsidRPr="007E1812">
        <w:rPr>
          <w:rFonts w:asciiTheme="minorHAnsi" w:hAnsiTheme="minorHAnsi"/>
          <w:bCs/>
        </w:rPr>
        <w:t xml:space="preserve"> </w:t>
      </w:r>
      <w:r w:rsidR="006666C1" w:rsidRPr="007E1812">
        <w:rPr>
          <w:rFonts w:asciiTheme="minorHAnsi" w:hAnsiTheme="minorHAnsi"/>
          <w:bCs/>
        </w:rPr>
        <w:t>to the PFS HR for alectinib</w:t>
      </w:r>
      <w:r w:rsidR="003F23D0" w:rsidRPr="007E1812">
        <w:rPr>
          <w:rFonts w:asciiTheme="minorHAnsi" w:hAnsiTheme="minorHAnsi"/>
          <w:bCs/>
        </w:rPr>
        <w:t>, and considered that</w:t>
      </w:r>
      <w:r w:rsidR="00354CF8" w:rsidRPr="007E1812">
        <w:rPr>
          <w:rFonts w:asciiTheme="minorHAnsi" w:hAnsiTheme="minorHAnsi"/>
          <w:bCs/>
        </w:rPr>
        <w:t xml:space="preserve"> </w:t>
      </w:r>
      <w:r w:rsidR="003F23D0" w:rsidRPr="007E1812">
        <w:rPr>
          <w:rFonts w:asciiTheme="minorHAnsi" w:hAnsiTheme="minorHAnsi"/>
          <w:bCs/>
        </w:rPr>
        <w:t>t</w:t>
      </w:r>
      <w:r w:rsidRPr="007E1812">
        <w:rPr>
          <w:rFonts w:asciiTheme="minorHAnsi" w:hAnsiTheme="minorHAnsi"/>
          <w:bCs/>
        </w:rPr>
        <w:t xml:space="preserve">he </w:t>
      </w:r>
      <w:r w:rsidR="00DC2DEB" w:rsidRPr="007E1812">
        <w:rPr>
          <w:rFonts w:asciiTheme="minorHAnsi" w:hAnsiTheme="minorHAnsi"/>
          <w:bCs/>
        </w:rPr>
        <w:t xml:space="preserve">HR was not </w:t>
      </w:r>
      <w:r w:rsidR="00354CF8" w:rsidRPr="007E1812">
        <w:rPr>
          <w:rFonts w:asciiTheme="minorHAnsi" w:hAnsiTheme="minorHAnsi"/>
          <w:bCs/>
        </w:rPr>
        <w:t xml:space="preserve">substantially </w:t>
      </w:r>
      <w:r w:rsidR="00DC2DEB" w:rsidRPr="007E1812">
        <w:rPr>
          <w:rFonts w:asciiTheme="minorHAnsi" w:hAnsiTheme="minorHAnsi"/>
          <w:bCs/>
        </w:rPr>
        <w:t>altered with</w:t>
      </w:r>
      <w:r w:rsidR="00B01A58" w:rsidRPr="007E1812">
        <w:rPr>
          <w:rFonts w:asciiTheme="minorHAnsi" w:hAnsiTheme="minorHAnsi"/>
          <w:bCs/>
        </w:rPr>
        <w:t xml:space="preserve"> </w:t>
      </w:r>
      <w:r w:rsidR="006D5965" w:rsidRPr="007E1812">
        <w:rPr>
          <w:rFonts w:asciiTheme="minorHAnsi" w:hAnsiTheme="minorHAnsi"/>
          <w:bCs/>
        </w:rPr>
        <w:t xml:space="preserve">a </w:t>
      </w:r>
      <w:r w:rsidR="00B01A58" w:rsidRPr="007E1812">
        <w:rPr>
          <w:rFonts w:asciiTheme="minorHAnsi" w:hAnsiTheme="minorHAnsi"/>
          <w:bCs/>
        </w:rPr>
        <w:t>longer</w:t>
      </w:r>
      <w:r w:rsidR="006D5965" w:rsidRPr="007E1812">
        <w:rPr>
          <w:rFonts w:asciiTheme="minorHAnsi" w:hAnsiTheme="minorHAnsi"/>
          <w:bCs/>
        </w:rPr>
        <w:t xml:space="preserve"> duration of</w:t>
      </w:r>
      <w:r w:rsidR="00B01A58" w:rsidRPr="007E1812">
        <w:rPr>
          <w:rFonts w:asciiTheme="minorHAnsi" w:hAnsiTheme="minorHAnsi"/>
          <w:bCs/>
        </w:rPr>
        <w:t xml:space="preserve"> follow-up for alectinib</w:t>
      </w:r>
      <w:r w:rsidR="00A178AE" w:rsidRPr="007E1812">
        <w:rPr>
          <w:rFonts w:asciiTheme="minorHAnsi" w:hAnsiTheme="minorHAnsi"/>
          <w:bCs/>
        </w:rPr>
        <w:t xml:space="preserve"> (28 months)</w:t>
      </w:r>
      <w:r w:rsidR="00BD00F9" w:rsidRPr="007E1812">
        <w:rPr>
          <w:rFonts w:asciiTheme="minorHAnsi" w:hAnsiTheme="minorHAnsi"/>
          <w:bCs/>
        </w:rPr>
        <w:t xml:space="preserve"> compared with brigatinib (11 months)</w:t>
      </w:r>
      <w:r w:rsidR="00354CF8" w:rsidRPr="007E1812">
        <w:rPr>
          <w:rFonts w:asciiTheme="minorHAnsi" w:hAnsiTheme="minorHAnsi"/>
          <w:bCs/>
        </w:rPr>
        <w:t xml:space="preserve">; the PBAC </w:t>
      </w:r>
      <w:r w:rsidR="003F23D0" w:rsidRPr="007E1812">
        <w:rPr>
          <w:rFonts w:asciiTheme="minorHAnsi" w:hAnsiTheme="minorHAnsi"/>
          <w:bCs/>
        </w:rPr>
        <w:t xml:space="preserve">also </w:t>
      </w:r>
      <w:r w:rsidR="00231073" w:rsidRPr="007E1812">
        <w:rPr>
          <w:rFonts w:asciiTheme="minorHAnsi" w:hAnsiTheme="minorHAnsi"/>
          <w:bCs/>
        </w:rPr>
        <w:t xml:space="preserve">noted </w:t>
      </w:r>
      <w:r w:rsidR="002C072D" w:rsidRPr="007E1812">
        <w:rPr>
          <w:rFonts w:asciiTheme="minorHAnsi" w:hAnsiTheme="minorHAnsi"/>
          <w:bCs/>
        </w:rPr>
        <w:t>that the 12-month PFS rates estimated from Kaplan-Meier (KM) extrapolation for brigatinib and alectinib were</w:t>
      </w:r>
      <w:r w:rsidR="00B01A58" w:rsidRPr="007E1812">
        <w:rPr>
          <w:rFonts w:asciiTheme="minorHAnsi" w:hAnsiTheme="minorHAnsi"/>
          <w:bCs/>
        </w:rPr>
        <w:t xml:space="preserve"> similar</w:t>
      </w:r>
      <w:r w:rsidR="0031708A" w:rsidRPr="007E1812">
        <w:rPr>
          <w:rFonts w:asciiTheme="minorHAnsi" w:hAnsiTheme="minorHAnsi"/>
          <w:bCs/>
        </w:rPr>
        <w:t>.</w:t>
      </w:r>
      <w:r w:rsidR="00EA166B" w:rsidRPr="007E1812">
        <w:rPr>
          <w:rFonts w:asciiTheme="minorHAnsi" w:hAnsiTheme="minorHAnsi"/>
          <w:bCs/>
        </w:rPr>
        <w:t xml:space="preserve"> </w:t>
      </w:r>
      <w:r w:rsidR="0031708A" w:rsidRPr="007E1812">
        <w:rPr>
          <w:rFonts w:asciiTheme="minorHAnsi" w:hAnsiTheme="minorHAnsi"/>
          <w:bCs/>
        </w:rPr>
        <w:t>As such, the PBAC considered that a conclusion of non-inferiority in efficacy was supported by the ITC for PFS</w:t>
      </w:r>
      <w:r w:rsidR="00991485" w:rsidRPr="007E1812">
        <w:rPr>
          <w:rFonts w:asciiTheme="minorHAnsi" w:hAnsiTheme="minorHAnsi"/>
          <w:bCs/>
        </w:rPr>
        <w:t>,</w:t>
      </w:r>
      <w:r w:rsidR="0031708A" w:rsidRPr="007E1812">
        <w:rPr>
          <w:rFonts w:asciiTheme="minorHAnsi" w:hAnsiTheme="minorHAnsi"/>
          <w:bCs/>
        </w:rPr>
        <w:t xml:space="preserve"> </w:t>
      </w:r>
      <w:r w:rsidR="00991485" w:rsidRPr="007E1812">
        <w:rPr>
          <w:rFonts w:asciiTheme="minorHAnsi" w:hAnsiTheme="minorHAnsi"/>
          <w:bCs/>
        </w:rPr>
        <w:t xml:space="preserve">but not </w:t>
      </w:r>
      <w:r w:rsidR="00354CF8" w:rsidRPr="007E1812">
        <w:rPr>
          <w:rFonts w:asciiTheme="minorHAnsi" w:hAnsiTheme="minorHAnsi"/>
          <w:bCs/>
        </w:rPr>
        <w:t>for</w:t>
      </w:r>
      <w:r w:rsidR="00991485" w:rsidRPr="007E1812">
        <w:rPr>
          <w:rFonts w:asciiTheme="minorHAnsi" w:hAnsiTheme="minorHAnsi"/>
          <w:bCs/>
        </w:rPr>
        <w:t xml:space="preserve"> OS</w:t>
      </w:r>
      <w:r w:rsidR="00F027DD" w:rsidRPr="007E1812">
        <w:rPr>
          <w:rFonts w:asciiTheme="minorHAnsi" w:hAnsiTheme="minorHAnsi"/>
          <w:bCs/>
        </w:rPr>
        <w:t>,</w:t>
      </w:r>
      <w:r w:rsidR="00B42A26" w:rsidRPr="007E1812">
        <w:rPr>
          <w:rFonts w:asciiTheme="minorHAnsi" w:hAnsiTheme="minorHAnsi"/>
          <w:bCs/>
        </w:rPr>
        <w:t xml:space="preserve"> </w:t>
      </w:r>
      <w:r w:rsidR="001F4C97" w:rsidRPr="007E1812">
        <w:rPr>
          <w:rFonts w:asciiTheme="minorHAnsi" w:hAnsiTheme="minorHAnsi"/>
          <w:bCs/>
        </w:rPr>
        <w:t xml:space="preserve">largely due to the </w:t>
      </w:r>
      <w:r w:rsidR="00F35A13" w:rsidRPr="007E1812">
        <w:rPr>
          <w:rFonts w:asciiTheme="minorHAnsi" w:hAnsiTheme="minorHAnsi"/>
          <w:bCs/>
        </w:rPr>
        <w:t>immature</w:t>
      </w:r>
      <w:r w:rsidR="00B42A26" w:rsidRPr="007E1812">
        <w:rPr>
          <w:rFonts w:asciiTheme="minorHAnsi" w:hAnsiTheme="minorHAnsi"/>
          <w:bCs/>
        </w:rPr>
        <w:t xml:space="preserve"> data</w:t>
      </w:r>
      <w:r w:rsidR="003239A0" w:rsidRPr="007E1812">
        <w:rPr>
          <w:rFonts w:asciiTheme="minorHAnsi" w:hAnsiTheme="minorHAnsi"/>
          <w:bCs/>
        </w:rPr>
        <w:t xml:space="preserve"> from both trials</w:t>
      </w:r>
      <w:r w:rsidR="00F35A13" w:rsidRPr="007E1812">
        <w:rPr>
          <w:rFonts w:asciiTheme="minorHAnsi" w:hAnsiTheme="minorHAnsi"/>
          <w:bCs/>
        </w:rPr>
        <w:t>.</w:t>
      </w:r>
      <w:r w:rsidR="00BA4956" w:rsidRPr="007E1812">
        <w:rPr>
          <w:rFonts w:asciiTheme="minorHAnsi" w:hAnsiTheme="minorHAnsi"/>
          <w:bCs/>
        </w:rPr>
        <w:t xml:space="preserve"> </w:t>
      </w:r>
      <w:r w:rsidR="003A3272" w:rsidRPr="007E1812">
        <w:rPr>
          <w:rFonts w:asciiTheme="minorHAnsi" w:hAnsiTheme="minorHAnsi"/>
          <w:bCs/>
        </w:rPr>
        <w:t>Further</w:t>
      </w:r>
      <w:r w:rsidR="001A7E98" w:rsidRPr="007E1812">
        <w:rPr>
          <w:rFonts w:asciiTheme="minorHAnsi" w:hAnsiTheme="minorHAnsi"/>
          <w:bCs/>
        </w:rPr>
        <w:t>,</w:t>
      </w:r>
      <w:r w:rsidR="003A3272" w:rsidRPr="007E1812">
        <w:rPr>
          <w:rFonts w:asciiTheme="minorHAnsi" w:hAnsiTheme="minorHAnsi"/>
          <w:bCs/>
        </w:rPr>
        <w:t xml:space="preserve"> the PBAC noted that the ITC found no significant difference in treatment effects for </w:t>
      </w:r>
      <w:r w:rsidR="001A7E98" w:rsidRPr="007E1812">
        <w:rPr>
          <w:rFonts w:asciiTheme="minorHAnsi" w:hAnsiTheme="minorHAnsi"/>
          <w:bCs/>
        </w:rPr>
        <w:t xml:space="preserve">overall response rate (ORR) and intracranial response </w:t>
      </w:r>
      <w:r w:rsidR="003A3272" w:rsidRPr="007E1812">
        <w:rPr>
          <w:rFonts w:asciiTheme="minorHAnsi" w:hAnsiTheme="minorHAnsi"/>
          <w:bCs/>
        </w:rPr>
        <w:t>between brigatinib and alectinib</w:t>
      </w:r>
      <w:r w:rsidR="001A7E98" w:rsidRPr="007E1812">
        <w:rPr>
          <w:rFonts w:asciiTheme="minorHAnsi" w:hAnsiTheme="minorHAnsi"/>
          <w:bCs/>
        </w:rPr>
        <w:t xml:space="preserve">, which </w:t>
      </w:r>
      <w:r w:rsidR="006F11EA" w:rsidRPr="007E1812">
        <w:rPr>
          <w:rFonts w:asciiTheme="minorHAnsi" w:hAnsiTheme="minorHAnsi"/>
          <w:bCs/>
        </w:rPr>
        <w:t>was supportive of non-inferior efficacy</w:t>
      </w:r>
      <w:r w:rsidR="00B54F03" w:rsidRPr="007E1812">
        <w:rPr>
          <w:rFonts w:asciiTheme="minorHAnsi" w:hAnsiTheme="minorHAnsi"/>
          <w:bCs/>
        </w:rPr>
        <w:t xml:space="preserve"> for brigatinib</w:t>
      </w:r>
      <w:r w:rsidR="00474355" w:rsidRPr="007E1812">
        <w:rPr>
          <w:rFonts w:asciiTheme="minorHAnsi" w:hAnsiTheme="minorHAnsi"/>
          <w:bCs/>
        </w:rPr>
        <w:t xml:space="preserve"> </w:t>
      </w:r>
      <w:r w:rsidR="005A1606" w:rsidRPr="007E1812">
        <w:rPr>
          <w:rFonts w:asciiTheme="minorHAnsi" w:hAnsiTheme="minorHAnsi"/>
          <w:bCs/>
        </w:rPr>
        <w:t xml:space="preserve">relative </w:t>
      </w:r>
      <w:r w:rsidR="00474355" w:rsidRPr="007E1812">
        <w:rPr>
          <w:rFonts w:asciiTheme="minorHAnsi" w:hAnsiTheme="minorHAnsi"/>
          <w:bCs/>
        </w:rPr>
        <w:t>to alect</w:t>
      </w:r>
      <w:r w:rsidR="00706464" w:rsidRPr="007E1812">
        <w:rPr>
          <w:rFonts w:asciiTheme="minorHAnsi" w:hAnsiTheme="minorHAnsi"/>
          <w:bCs/>
        </w:rPr>
        <w:t>i</w:t>
      </w:r>
      <w:r w:rsidR="00474355" w:rsidRPr="007E1812">
        <w:rPr>
          <w:rFonts w:asciiTheme="minorHAnsi" w:hAnsiTheme="minorHAnsi"/>
          <w:bCs/>
        </w:rPr>
        <w:t>nib</w:t>
      </w:r>
      <w:r w:rsidR="000C5F62" w:rsidRPr="007E1812">
        <w:rPr>
          <w:rFonts w:asciiTheme="minorHAnsi" w:hAnsiTheme="minorHAnsi"/>
          <w:bCs/>
        </w:rPr>
        <w:t xml:space="preserve">. </w:t>
      </w:r>
    </w:p>
    <w:p w:rsidR="00685F9A" w:rsidRPr="007E1812" w:rsidRDefault="000626DF" w:rsidP="00620BD3">
      <w:pPr>
        <w:pStyle w:val="ListParagraph"/>
        <w:widowControl/>
        <w:numPr>
          <w:ilvl w:val="1"/>
          <w:numId w:val="1"/>
        </w:numPr>
      </w:pPr>
      <w:r w:rsidRPr="007E1812">
        <w:rPr>
          <w:rFonts w:asciiTheme="minorHAnsi" w:hAnsiTheme="minorHAnsi"/>
          <w:bCs/>
        </w:rPr>
        <w:t xml:space="preserve">The PBAC </w:t>
      </w:r>
      <w:r w:rsidR="00620BD3" w:rsidRPr="007E1812">
        <w:rPr>
          <w:rFonts w:asciiTheme="minorHAnsi" w:hAnsiTheme="minorHAnsi"/>
          <w:bCs/>
        </w:rPr>
        <w:t xml:space="preserve">noted </w:t>
      </w:r>
      <w:r w:rsidRPr="007E1812">
        <w:rPr>
          <w:rFonts w:asciiTheme="minorHAnsi" w:hAnsiTheme="minorHAnsi"/>
          <w:bCs/>
        </w:rPr>
        <w:t xml:space="preserve">that </w:t>
      </w:r>
      <w:r w:rsidR="00620BD3" w:rsidRPr="007E1812">
        <w:t>median PFS and median OS were longer for brigatinib compared with alectinib</w:t>
      </w:r>
      <w:r w:rsidR="00620BD3" w:rsidRPr="007E1812">
        <w:rPr>
          <w:rFonts w:asciiTheme="minorHAnsi" w:hAnsiTheme="minorHAnsi"/>
          <w:bCs/>
        </w:rPr>
        <w:t xml:space="preserve"> </w:t>
      </w:r>
      <w:r w:rsidRPr="007E1812">
        <w:rPr>
          <w:rFonts w:asciiTheme="minorHAnsi" w:hAnsiTheme="minorHAnsi"/>
          <w:bCs/>
        </w:rPr>
        <w:t xml:space="preserve">in the second-line setting </w:t>
      </w:r>
      <w:r w:rsidR="000C3C73" w:rsidRPr="007E1812">
        <w:rPr>
          <w:rFonts w:asciiTheme="minorHAnsi" w:hAnsiTheme="minorHAnsi"/>
          <w:bCs/>
        </w:rPr>
        <w:t>but</w:t>
      </w:r>
      <w:r w:rsidR="0030462C" w:rsidRPr="007E1812">
        <w:rPr>
          <w:rFonts w:asciiTheme="minorHAnsi" w:hAnsiTheme="minorHAnsi"/>
          <w:bCs/>
        </w:rPr>
        <w:t xml:space="preserve"> </w:t>
      </w:r>
      <w:r w:rsidR="00620BD3" w:rsidRPr="007E1812">
        <w:rPr>
          <w:rFonts w:asciiTheme="minorHAnsi" w:hAnsiTheme="minorHAnsi"/>
          <w:bCs/>
        </w:rPr>
        <w:t xml:space="preserve">considered </w:t>
      </w:r>
      <w:r w:rsidR="00D71BD8" w:rsidRPr="007E1812">
        <w:rPr>
          <w:rFonts w:asciiTheme="minorHAnsi" w:hAnsiTheme="minorHAnsi"/>
          <w:bCs/>
        </w:rPr>
        <w:t xml:space="preserve">the results should be interpreted with caution given that </w:t>
      </w:r>
      <w:r w:rsidR="008B1423" w:rsidRPr="007E1812">
        <w:rPr>
          <w:rFonts w:asciiTheme="minorHAnsi" w:hAnsiTheme="minorHAnsi"/>
          <w:bCs/>
        </w:rPr>
        <w:t xml:space="preserve">the data presented </w:t>
      </w:r>
      <w:r w:rsidR="008B1423" w:rsidRPr="007E1812">
        <w:t>were</w:t>
      </w:r>
      <w:r w:rsidR="007A26EC" w:rsidRPr="007E1812">
        <w:t xml:space="preserve"> based on </w:t>
      </w:r>
      <w:r w:rsidR="008B1423" w:rsidRPr="007E1812">
        <w:t xml:space="preserve">a naïve </w:t>
      </w:r>
      <w:r w:rsidR="007A26EC" w:rsidRPr="007E1812">
        <w:t>comparison of single arm</w:t>
      </w:r>
      <w:r w:rsidR="00BC0DBD">
        <w:t xml:space="preserve"> studies</w:t>
      </w:r>
      <w:r w:rsidR="007A26EC" w:rsidRPr="007E1812">
        <w:t xml:space="preserve"> </w:t>
      </w:r>
      <w:r w:rsidR="0030462C" w:rsidRPr="007E1812">
        <w:t xml:space="preserve">without </w:t>
      </w:r>
      <w:r w:rsidR="007A26EC" w:rsidRPr="007E1812">
        <w:t>a common refere</w:t>
      </w:r>
      <w:r w:rsidR="006D32D9" w:rsidRPr="007E1812">
        <w:t>nce.</w:t>
      </w:r>
      <w:r w:rsidR="00566A16" w:rsidRPr="007E1812">
        <w:t xml:space="preserve"> </w:t>
      </w:r>
      <w:r w:rsidR="00B1155F" w:rsidRPr="007E1812">
        <w:t xml:space="preserve">Overall, </w:t>
      </w:r>
      <w:r w:rsidR="00B1155F" w:rsidRPr="007E1812">
        <w:rPr>
          <w:iCs/>
        </w:rPr>
        <w:t>t</w:t>
      </w:r>
      <w:r w:rsidR="00566A16" w:rsidRPr="007E1812">
        <w:rPr>
          <w:iCs/>
        </w:rPr>
        <w:t xml:space="preserve">he </w:t>
      </w:r>
      <w:r w:rsidR="00566A16" w:rsidRPr="007E1812">
        <w:t xml:space="preserve">PBAC considered it was </w:t>
      </w:r>
      <w:r w:rsidR="00945626" w:rsidRPr="007E1812">
        <w:t>reasonable to conclude</w:t>
      </w:r>
      <w:r w:rsidR="00566A16" w:rsidRPr="007E1812">
        <w:t xml:space="preserve"> that the effectiveness of brigatinib may </w:t>
      </w:r>
      <w:r w:rsidR="00882FF3" w:rsidRPr="007E1812">
        <w:t xml:space="preserve">also </w:t>
      </w:r>
      <w:r w:rsidR="00566A16" w:rsidRPr="007E1812">
        <w:t>be similar to alectinib post-crizotinib therapy.</w:t>
      </w:r>
    </w:p>
    <w:p w:rsidR="00566A16" w:rsidRPr="007E1812" w:rsidRDefault="00566A16" w:rsidP="00626965">
      <w:pPr>
        <w:widowControl/>
        <w:numPr>
          <w:ilvl w:val="1"/>
          <w:numId w:val="1"/>
        </w:numPr>
        <w:spacing w:after="120"/>
        <w:rPr>
          <w:rFonts w:asciiTheme="minorHAnsi" w:hAnsiTheme="minorHAnsi"/>
          <w:bCs/>
        </w:rPr>
      </w:pPr>
      <w:r w:rsidRPr="007E1812">
        <w:rPr>
          <w:iCs/>
        </w:rPr>
        <w:t xml:space="preserve">The PBAC noted the higher rates of treatment discontinuations, interruption and dose reduction with brigatinib compared with </w:t>
      </w:r>
      <w:r w:rsidR="0096405C" w:rsidRPr="007E1812">
        <w:rPr>
          <w:iCs/>
        </w:rPr>
        <w:t>alectinib</w:t>
      </w:r>
      <w:r w:rsidRPr="007E1812">
        <w:rPr>
          <w:iCs/>
        </w:rPr>
        <w:t xml:space="preserve">. However, </w:t>
      </w:r>
      <w:r w:rsidRPr="007E1812">
        <w:t>the PBAC noted that all ALK-TKIs have different safety profiles, making the comparison difficult</w:t>
      </w:r>
      <w:r w:rsidR="00474EC3" w:rsidRPr="007E1812">
        <w:t xml:space="preserve">, </w:t>
      </w:r>
      <w:r w:rsidR="00E90E60" w:rsidRPr="007E1812">
        <w:rPr>
          <w:iCs/>
        </w:rPr>
        <w:t>and</w:t>
      </w:r>
      <w:r w:rsidR="00050BD3" w:rsidRPr="007E1812">
        <w:rPr>
          <w:iCs/>
        </w:rPr>
        <w:t xml:space="preserve"> accepted that there </w:t>
      </w:r>
      <w:r w:rsidR="00D333E0">
        <w:rPr>
          <w:iCs/>
        </w:rPr>
        <w:t>does not appear to be any</w:t>
      </w:r>
      <w:r w:rsidR="00050BD3" w:rsidRPr="007E1812">
        <w:rPr>
          <w:iCs/>
        </w:rPr>
        <w:t xml:space="preserve"> substantive difference in safety across the two drugs</w:t>
      </w:r>
      <w:r w:rsidR="00626965" w:rsidRPr="007E1812">
        <w:t>.</w:t>
      </w:r>
    </w:p>
    <w:p w:rsidR="006F58E2" w:rsidRPr="007E1812" w:rsidRDefault="00EE0B20" w:rsidP="00620BD3">
      <w:pPr>
        <w:widowControl/>
        <w:numPr>
          <w:ilvl w:val="1"/>
          <w:numId w:val="1"/>
        </w:numPr>
        <w:spacing w:after="120"/>
        <w:rPr>
          <w:rFonts w:asciiTheme="minorHAnsi" w:hAnsiTheme="minorHAnsi"/>
          <w:bCs/>
        </w:rPr>
      </w:pPr>
      <w:r w:rsidRPr="007E1812">
        <w:rPr>
          <w:rFonts w:asciiTheme="minorHAnsi" w:hAnsiTheme="minorHAnsi"/>
          <w:bCs/>
        </w:rPr>
        <w:t xml:space="preserve">The equi-effective doses </w:t>
      </w:r>
      <w:r w:rsidR="00050BD3" w:rsidRPr="007E1812">
        <w:rPr>
          <w:rFonts w:asciiTheme="minorHAnsi" w:hAnsiTheme="minorHAnsi"/>
          <w:bCs/>
        </w:rPr>
        <w:t>proposed in the submission were</w:t>
      </w:r>
      <w:r w:rsidRPr="007E1812">
        <w:rPr>
          <w:rFonts w:asciiTheme="minorHAnsi" w:hAnsiTheme="minorHAnsi"/>
          <w:bCs/>
        </w:rPr>
        <w:t xml:space="preserve"> </w:t>
      </w:r>
      <w:r w:rsidRPr="00CF22B4">
        <w:rPr>
          <w:rFonts w:asciiTheme="minorHAnsi" w:hAnsiTheme="minorHAnsi"/>
          <w:bCs/>
        </w:rPr>
        <w:t xml:space="preserve">brigatinib </w:t>
      </w:r>
      <w:r w:rsidR="00765787">
        <w:rPr>
          <w:rFonts w:asciiTheme="minorHAnsi" w:hAnsiTheme="minorHAnsi"/>
          <w:bCs/>
          <w:noProof/>
          <w:color w:val="000000"/>
          <w:highlight w:val="black"/>
        </w:rPr>
        <w:t>''''''''''''''</w:t>
      </w:r>
      <w:r w:rsidR="00CF22B4" w:rsidRPr="00CF22B4">
        <w:rPr>
          <w:rFonts w:asciiTheme="minorHAnsi" w:hAnsiTheme="minorHAnsi"/>
          <w:bCs/>
        </w:rPr>
        <w:t xml:space="preserve"> </w:t>
      </w:r>
      <w:r w:rsidRPr="00CF22B4">
        <w:rPr>
          <w:rFonts w:asciiTheme="minorHAnsi" w:hAnsiTheme="minorHAnsi"/>
          <w:bCs/>
        </w:rPr>
        <w:t>mg per</w:t>
      </w:r>
      <w:r w:rsidRPr="007E1812">
        <w:rPr>
          <w:rFonts w:asciiTheme="minorHAnsi" w:hAnsiTheme="minorHAnsi"/>
          <w:bCs/>
        </w:rPr>
        <w:t xml:space="preserve"> day </w:t>
      </w:r>
      <w:r w:rsidR="00050BD3" w:rsidRPr="007E1812">
        <w:rPr>
          <w:rFonts w:asciiTheme="minorHAnsi" w:hAnsiTheme="minorHAnsi"/>
          <w:bCs/>
        </w:rPr>
        <w:t>and</w:t>
      </w:r>
      <w:r w:rsidRPr="007E1812">
        <w:rPr>
          <w:rFonts w:asciiTheme="minorHAnsi" w:hAnsiTheme="minorHAnsi"/>
          <w:bCs/>
        </w:rPr>
        <w:t xml:space="preserve"> alectinib 1147.2 mg per day</w:t>
      </w:r>
      <w:r w:rsidR="00EB5F07" w:rsidRPr="007E1812">
        <w:rPr>
          <w:rFonts w:asciiTheme="minorHAnsi" w:hAnsiTheme="minorHAnsi"/>
          <w:bCs/>
        </w:rPr>
        <w:t>,</w:t>
      </w:r>
      <w:r w:rsidRPr="007E1812">
        <w:rPr>
          <w:rFonts w:asciiTheme="minorHAnsi" w:hAnsiTheme="minorHAnsi"/>
          <w:bCs/>
        </w:rPr>
        <w:t xml:space="preserve"> based on the relative dose intensity (RDI) reported in ALTA-1L (brigatinib RDI, </w:t>
      </w:r>
      <w:r w:rsidR="00765787">
        <w:rPr>
          <w:rFonts w:asciiTheme="minorHAnsi" w:hAnsiTheme="minorHAnsi"/>
          <w:bCs/>
          <w:noProof/>
          <w:color w:val="000000"/>
          <w:highlight w:val="black"/>
        </w:rPr>
        <w:t>'''''''''''</w:t>
      </w:r>
      <w:r w:rsidRPr="007E1812">
        <w:rPr>
          <w:rFonts w:asciiTheme="minorHAnsi" w:hAnsiTheme="minorHAnsi"/>
          <w:bCs/>
        </w:rPr>
        <w:t>%) and ALEX (alectinib RDI, 95.6%). However, the PBAC noted that the estimates of the equi-effective doses were not directly incorporated into the cost-minimisation analysis</w:t>
      </w:r>
      <w:r w:rsidR="002D362C" w:rsidRPr="007E1812">
        <w:rPr>
          <w:rFonts w:asciiTheme="minorHAnsi" w:hAnsiTheme="minorHAnsi"/>
          <w:bCs/>
        </w:rPr>
        <w:t xml:space="preserve"> (CMA)</w:t>
      </w:r>
      <w:r w:rsidR="001A38AD" w:rsidRPr="007E1812">
        <w:rPr>
          <w:rFonts w:asciiTheme="minorHAnsi" w:hAnsiTheme="minorHAnsi"/>
          <w:bCs/>
        </w:rPr>
        <w:t xml:space="preserve">. </w:t>
      </w:r>
      <w:r w:rsidR="001D17D2" w:rsidRPr="007E1812">
        <w:rPr>
          <w:rFonts w:asciiTheme="minorHAnsi" w:hAnsiTheme="minorHAnsi"/>
          <w:bCs/>
        </w:rPr>
        <w:t xml:space="preserve">Instead, the RDI for alectinib </w:t>
      </w:r>
      <w:r w:rsidR="00050BD3" w:rsidRPr="007E1812">
        <w:rPr>
          <w:rFonts w:asciiTheme="minorHAnsi" w:hAnsiTheme="minorHAnsi"/>
          <w:bCs/>
        </w:rPr>
        <w:t xml:space="preserve">but not brigatinib </w:t>
      </w:r>
      <w:r w:rsidR="001D17D2" w:rsidRPr="007E1812">
        <w:rPr>
          <w:rFonts w:asciiTheme="minorHAnsi" w:hAnsiTheme="minorHAnsi"/>
          <w:bCs/>
        </w:rPr>
        <w:t xml:space="preserve">was applied </w:t>
      </w:r>
      <w:r w:rsidR="00050BD3" w:rsidRPr="007E1812">
        <w:rPr>
          <w:rFonts w:asciiTheme="minorHAnsi" w:hAnsiTheme="minorHAnsi"/>
          <w:bCs/>
        </w:rPr>
        <w:t xml:space="preserve">effectively resulting in equi-effective doses of </w:t>
      </w:r>
      <w:r w:rsidR="002B775F" w:rsidRPr="007E1812">
        <w:rPr>
          <w:rFonts w:asciiTheme="minorHAnsi" w:hAnsiTheme="minorHAnsi"/>
          <w:bCs/>
        </w:rPr>
        <w:t>brigatinib 180 mg per day</w:t>
      </w:r>
      <w:r w:rsidR="00050BD3" w:rsidRPr="007E1812">
        <w:rPr>
          <w:rFonts w:asciiTheme="minorHAnsi" w:hAnsiTheme="minorHAnsi"/>
          <w:bCs/>
        </w:rPr>
        <w:t xml:space="preserve"> </w:t>
      </w:r>
      <w:r w:rsidR="002B775F" w:rsidRPr="007E1812">
        <w:rPr>
          <w:rFonts w:asciiTheme="minorHAnsi" w:hAnsiTheme="minorHAnsi"/>
          <w:bCs/>
        </w:rPr>
        <w:t>and alectinib 1147.2 mg per day</w:t>
      </w:r>
      <w:r w:rsidR="005217AD" w:rsidRPr="007E1812">
        <w:rPr>
          <w:rFonts w:asciiTheme="minorHAnsi" w:hAnsiTheme="minorHAnsi"/>
          <w:bCs/>
        </w:rPr>
        <w:t>.</w:t>
      </w:r>
      <w:r w:rsidR="002B775F" w:rsidRPr="007E1812">
        <w:rPr>
          <w:rFonts w:asciiTheme="minorHAnsi" w:hAnsiTheme="minorHAnsi"/>
          <w:bCs/>
        </w:rPr>
        <w:t xml:space="preserve"> The PBAC not</w:t>
      </w:r>
      <w:r w:rsidR="00E90E60" w:rsidRPr="007E1812">
        <w:rPr>
          <w:rFonts w:asciiTheme="minorHAnsi" w:hAnsiTheme="minorHAnsi"/>
          <w:bCs/>
        </w:rPr>
        <w:t>ed the</w:t>
      </w:r>
      <w:r w:rsidR="002B775F" w:rsidRPr="007E1812">
        <w:rPr>
          <w:rFonts w:asciiTheme="minorHAnsi" w:hAnsiTheme="minorHAnsi"/>
          <w:bCs/>
        </w:rPr>
        <w:t xml:space="preserve"> lower RDI for brigatinib compared with alectinib result</w:t>
      </w:r>
      <w:r w:rsidR="00E90E60" w:rsidRPr="007E1812">
        <w:rPr>
          <w:rFonts w:asciiTheme="minorHAnsi" w:hAnsiTheme="minorHAnsi"/>
          <w:bCs/>
        </w:rPr>
        <w:t>ed</w:t>
      </w:r>
      <w:r w:rsidR="002B775F" w:rsidRPr="007E1812">
        <w:rPr>
          <w:rFonts w:asciiTheme="minorHAnsi" w:hAnsiTheme="minorHAnsi"/>
          <w:bCs/>
        </w:rPr>
        <w:t xml:space="preserve"> in a higher price for brigatinib and considered that the lower RDI for brigatinib was not adequately supported. </w:t>
      </w:r>
    </w:p>
    <w:p w:rsidR="00EE0B20" w:rsidRPr="007E1812" w:rsidRDefault="006F58E2" w:rsidP="00947A81">
      <w:pPr>
        <w:widowControl/>
        <w:numPr>
          <w:ilvl w:val="1"/>
          <w:numId w:val="1"/>
        </w:numPr>
        <w:spacing w:after="120"/>
        <w:rPr>
          <w:rFonts w:asciiTheme="minorHAnsi" w:hAnsiTheme="minorHAnsi"/>
          <w:bCs/>
        </w:rPr>
      </w:pPr>
      <w:r w:rsidRPr="007E1812">
        <w:rPr>
          <w:rFonts w:asciiTheme="minorHAnsi" w:hAnsiTheme="minorHAnsi"/>
          <w:bCs/>
        </w:rPr>
        <w:t xml:space="preserve">The </w:t>
      </w:r>
      <w:r w:rsidR="00EE0B20" w:rsidRPr="007E1812">
        <w:rPr>
          <w:rFonts w:asciiTheme="minorHAnsi" w:hAnsiTheme="minorHAnsi"/>
          <w:bCs/>
        </w:rPr>
        <w:t xml:space="preserve">PBAC noted </w:t>
      </w:r>
      <w:r w:rsidR="002F1FC8" w:rsidRPr="007E1812">
        <w:rPr>
          <w:rFonts w:asciiTheme="minorHAnsi" w:hAnsiTheme="minorHAnsi"/>
          <w:bCs/>
        </w:rPr>
        <w:t xml:space="preserve">that </w:t>
      </w:r>
      <w:r w:rsidR="00EE0B20" w:rsidRPr="007E1812">
        <w:rPr>
          <w:rFonts w:asciiTheme="minorHAnsi" w:hAnsiTheme="minorHAnsi"/>
          <w:bCs/>
        </w:rPr>
        <w:t>the</w:t>
      </w:r>
      <w:r w:rsidR="002B775F" w:rsidRPr="007E1812">
        <w:rPr>
          <w:rFonts w:asciiTheme="minorHAnsi" w:hAnsiTheme="minorHAnsi"/>
          <w:bCs/>
        </w:rPr>
        <w:t xml:space="preserve"> equi-effective doses</w:t>
      </w:r>
      <w:r w:rsidR="00F90E31" w:rsidRPr="007E1812">
        <w:rPr>
          <w:rFonts w:asciiTheme="minorHAnsi" w:hAnsiTheme="minorHAnsi"/>
          <w:bCs/>
        </w:rPr>
        <w:t xml:space="preserve"> </w:t>
      </w:r>
      <w:r w:rsidR="002F1FC8" w:rsidRPr="007E1812">
        <w:rPr>
          <w:rFonts w:asciiTheme="minorHAnsi" w:hAnsiTheme="minorHAnsi"/>
          <w:bCs/>
        </w:rPr>
        <w:t>for brigatinib</w:t>
      </w:r>
      <w:r w:rsidR="00EE0B20" w:rsidRPr="007E1812">
        <w:rPr>
          <w:rFonts w:asciiTheme="minorHAnsi" w:hAnsiTheme="minorHAnsi"/>
          <w:bCs/>
        </w:rPr>
        <w:t xml:space="preserve"> </w:t>
      </w:r>
      <w:r w:rsidR="002B775F" w:rsidRPr="007E1812">
        <w:rPr>
          <w:rFonts w:asciiTheme="minorHAnsi" w:hAnsiTheme="minorHAnsi"/>
          <w:bCs/>
        </w:rPr>
        <w:t>and</w:t>
      </w:r>
      <w:r w:rsidR="002F1FC8" w:rsidRPr="007E1812">
        <w:rPr>
          <w:rFonts w:asciiTheme="minorHAnsi" w:hAnsiTheme="minorHAnsi"/>
          <w:bCs/>
        </w:rPr>
        <w:t xml:space="preserve"> alectinib</w:t>
      </w:r>
      <w:r w:rsidR="002B775F" w:rsidRPr="007E1812">
        <w:rPr>
          <w:rFonts w:asciiTheme="minorHAnsi" w:hAnsiTheme="minorHAnsi"/>
          <w:bCs/>
        </w:rPr>
        <w:t xml:space="preserve"> did not incorporate the treatment durations as observed in the trials</w:t>
      </w:r>
      <w:r w:rsidR="005B5049" w:rsidRPr="007E1812">
        <w:rPr>
          <w:rFonts w:asciiTheme="minorHAnsi" w:hAnsiTheme="minorHAnsi"/>
          <w:bCs/>
        </w:rPr>
        <w:t xml:space="preserve">. The PBAC considered this was appropriate noting the data available for the first line setting supported a similar treatment </w:t>
      </w:r>
      <w:r w:rsidR="00E431BA">
        <w:rPr>
          <w:rFonts w:asciiTheme="minorHAnsi" w:hAnsiTheme="minorHAnsi"/>
          <w:bCs/>
        </w:rPr>
        <w:t xml:space="preserve">effect at similar timepoints, and that </w:t>
      </w:r>
      <w:r w:rsidR="00947A81">
        <w:rPr>
          <w:rFonts w:asciiTheme="minorHAnsi" w:hAnsiTheme="minorHAnsi"/>
          <w:bCs/>
        </w:rPr>
        <w:t xml:space="preserve">the data from the brigatinib trial were immature with respect to follow-up to be a basis </w:t>
      </w:r>
      <w:r w:rsidR="00E431BA">
        <w:rPr>
          <w:rFonts w:asciiTheme="minorHAnsi" w:hAnsiTheme="minorHAnsi"/>
          <w:bCs/>
        </w:rPr>
        <w:t xml:space="preserve">for accepting a shorter </w:t>
      </w:r>
      <w:r w:rsidR="005B5049" w:rsidRPr="007E1812">
        <w:rPr>
          <w:rFonts w:asciiTheme="minorHAnsi" w:hAnsiTheme="minorHAnsi"/>
          <w:bCs/>
        </w:rPr>
        <w:lastRenderedPageBreak/>
        <w:t>duration</w:t>
      </w:r>
      <w:r w:rsidR="00E431BA">
        <w:rPr>
          <w:rFonts w:asciiTheme="minorHAnsi" w:hAnsiTheme="minorHAnsi"/>
          <w:bCs/>
        </w:rPr>
        <w:t xml:space="preserve">. In addition, </w:t>
      </w:r>
      <w:r w:rsidR="005B5049" w:rsidRPr="007E1812">
        <w:rPr>
          <w:rFonts w:asciiTheme="minorHAnsi" w:hAnsiTheme="minorHAnsi"/>
          <w:bCs/>
        </w:rPr>
        <w:t>the data available for the second</w:t>
      </w:r>
      <w:r w:rsidR="00AD7A51">
        <w:rPr>
          <w:rFonts w:asciiTheme="minorHAnsi" w:hAnsiTheme="minorHAnsi"/>
          <w:bCs/>
        </w:rPr>
        <w:t>-</w:t>
      </w:r>
      <w:r w:rsidR="005B5049" w:rsidRPr="007E1812">
        <w:rPr>
          <w:rFonts w:asciiTheme="minorHAnsi" w:hAnsiTheme="minorHAnsi"/>
          <w:bCs/>
        </w:rPr>
        <w:t>line setting were less robust</w:t>
      </w:r>
      <w:r w:rsidR="00E431BA">
        <w:rPr>
          <w:rFonts w:asciiTheme="minorHAnsi" w:hAnsiTheme="minorHAnsi"/>
          <w:bCs/>
        </w:rPr>
        <w:t xml:space="preserve"> than the first</w:t>
      </w:r>
      <w:r w:rsidR="00AD7A51">
        <w:rPr>
          <w:rFonts w:asciiTheme="minorHAnsi" w:hAnsiTheme="minorHAnsi"/>
          <w:bCs/>
        </w:rPr>
        <w:t>-</w:t>
      </w:r>
      <w:r w:rsidR="00E431BA">
        <w:rPr>
          <w:rFonts w:asciiTheme="minorHAnsi" w:hAnsiTheme="minorHAnsi"/>
          <w:bCs/>
        </w:rPr>
        <w:t>line setting</w:t>
      </w:r>
      <w:r w:rsidR="005B5049" w:rsidRPr="007E1812">
        <w:rPr>
          <w:rFonts w:asciiTheme="minorHAnsi" w:hAnsiTheme="minorHAnsi"/>
          <w:bCs/>
        </w:rPr>
        <w:t>.</w:t>
      </w:r>
      <w:r w:rsidR="00933B3F" w:rsidRPr="007E1812">
        <w:rPr>
          <w:rFonts w:asciiTheme="minorHAnsi" w:hAnsiTheme="minorHAnsi"/>
          <w:bCs/>
        </w:rPr>
        <w:t xml:space="preserve"> </w:t>
      </w:r>
    </w:p>
    <w:p w:rsidR="001600C4" w:rsidRPr="007E1812" w:rsidRDefault="005B5049" w:rsidP="001E5395">
      <w:pPr>
        <w:widowControl/>
        <w:numPr>
          <w:ilvl w:val="1"/>
          <w:numId w:val="1"/>
        </w:numPr>
        <w:spacing w:after="120"/>
      </w:pPr>
      <w:r w:rsidRPr="007E1812">
        <w:rPr>
          <w:rFonts w:asciiTheme="minorHAnsi" w:hAnsiTheme="minorHAnsi"/>
          <w:bCs/>
        </w:rPr>
        <w:t>The PBAC determined the equi-effective doses to be brigatinib</w:t>
      </w:r>
      <w:r w:rsidR="004551B3" w:rsidRPr="007E1812">
        <w:rPr>
          <w:rFonts w:asciiTheme="minorHAnsi" w:hAnsiTheme="minorHAnsi"/>
          <w:bCs/>
        </w:rPr>
        <w:t xml:space="preserve"> 180 mg daily and alectinib 60</w:t>
      </w:r>
      <w:r w:rsidRPr="007E1812">
        <w:rPr>
          <w:rFonts w:asciiTheme="minorHAnsi" w:hAnsiTheme="minorHAnsi"/>
          <w:bCs/>
        </w:rPr>
        <w:t xml:space="preserve">0 mg </w:t>
      </w:r>
      <w:r w:rsidR="004551B3" w:rsidRPr="007E1812">
        <w:rPr>
          <w:rFonts w:asciiTheme="minorHAnsi" w:hAnsiTheme="minorHAnsi"/>
          <w:bCs/>
        </w:rPr>
        <w:t>twice daily</w:t>
      </w:r>
      <w:r w:rsidRPr="007E1812">
        <w:rPr>
          <w:rFonts w:asciiTheme="minorHAnsi" w:hAnsiTheme="minorHAnsi"/>
          <w:bCs/>
        </w:rPr>
        <w:t>. The PBAC noted</w:t>
      </w:r>
      <w:r w:rsidR="004551B3" w:rsidRPr="007E1812">
        <w:rPr>
          <w:rFonts w:asciiTheme="minorHAnsi" w:hAnsiTheme="minorHAnsi"/>
          <w:bCs/>
        </w:rPr>
        <w:t xml:space="preserve"> ceritinib is also a relevant </w:t>
      </w:r>
      <w:r w:rsidR="001600C4" w:rsidRPr="007E1812">
        <w:rPr>
          <w:rFonts w:asciiTheme="minorHAnsi" w:hAnsiTheme="minorHAnsi"/>
          <w:bCs/>
        </w:rPr>
        <w:t>alternative therapy and that as an improvement in efficacy or reduction in toxicity</w:t>
      </w:r>
      <w:r w:rsidR="001E5395" w:rsidRPr="007E1812">
        <w:rPr>
          <w:rFonts w:asciiTheme="minorHAnsi" w:hAnsiTheme="minorHAnsi"/>
          <w:bCs/>
        </w:rPr>
        <w:t xml:space="preserve"> with brigatinib over cer</w:t>
      </w:r>
      <w:r w:rsidR="00A62FED">
        <w:rPr>
          <w:rFonts w:asciiTheme="minorHAnsi" w:hAnsiTheme="minorHAnsi"/>
          <w:bCs/>
        </w:rPr>
        <w:t>i</w:t>
      </w:r>
      <w:r w:rsidR="001E5395" w:rsidRPr="007E1812">
        <w:rPr>
          <w:rFonts w:asciiTheme="minorHAnsi" w:hAnsiTheme="minorHAnsi"/>
          <w:bCs/>
        </w:rPr>
        <w:t>tinib</w:t>
      </w:r>
      <w:r w:rsidR="001600C4" w:rsidRPr="007E1812">
        <w:rPr>
          <w:rFonts w:asciiTheme="minorHAnsi" w:hAnsiTheme="minorHAnsi"/>
          <w:bCs/>
        </w:rPr>
        <w:t xml:space="preserve"> was not demonstrated </w:t>
      </w:r>
      <w:r w:rsidR="001E5395" w:rsidRPr="007E1812">
        <w:rPr>
          <w:rFonts w:asciiTheme="minorHAnsi" w:hAnsiTheme="minorHAnsi"/>
          <w:bCs/>
        </w:rPr>
        <w:t xml:space="preserve">for some patients, that brigatinib 180 mg daily should </w:t>
      </w:r>
      <w:r w:rsidR="00E431BA">
        <w:rPr>
          <w:rFonts w:asciiTheme="minorHAnsi" w:hAnsiTheme="minorHAnsi"/>
          <w:bCs/>
        </w:rPr>
        <w:t xml:space="preserve">also </w:t>
      </w:r>
      <w:r w:rsidR="001E5395" w:rsidRPr="007E1812">
        <w:rPr>
          <w:rFonts w:asciiTheme="minorHAnsi" w:hAnsiTheme="minorHAnsi"/>
          <w:bCs/>
        </w:rPr>
        <w:t xml:space="preserve">be no more costly than </w:t>
      </w:r>
      <w:r w:rsidR="004551B3" w:rsidRPr="007E1812">
        <w:rPr>
          <w:rFonts w:asciiTheme="minorHAnsi" w:hAnsiTheme="minorHAnsi"/>
          <w:bCs/>
        </w:rPr>
        <w:t>ceritinib 750 mg daily</w:t>
      </w:r>
      <w:r w:rsidR="001600C4" w:rsidRPr="007E1812">
        <w:t>.</w:t>
      </w:r>
    </w:p>
    <w:p w:rsidR="00044234" w:rsidRDefault="003847C7" w:rsidP="00225624">
      <w:pPr>
        <w:widowControl/>
        <w:numPr>
          <w:ilvl w:val="1"/>
          <w:numId w:val="1"/>
        </w:numPr>
        <w:spacing w:after="120"/>
        <w:rPr>
          <w:rFonts w:asciiTheme="minorHAnsi" w:hAnsiTheme="minorHAnsi"/>
          <w:bCs/>
        </w:rPr>
      </w:pPr>
      <w:r w:rsidRPr="007E1812">
        <w:rPr>
          <w:rFonts w:asciiTheme="minorHAnsi" w:hAnsiTheme="minorHAnsi"/>
          <w:bCs/>
        </w:rPr>
        <w:t xml:space="preserve">The PBAC </w:t>
      </w:r>
      <w:r w:rsidR="001E5395" w:rsidRPr="007E1812">
        <w:rPr>
          <w:rFonts w:asciiTheme="minorHAnsi" w:hAnsiTheme="minorHAnsi"/>
          <w:bCs/>
        </w:rPr>
        <w:t>considered brigatinib would replace alectinib, and to small degree, cer</w:t>
      </w:r>
      <w:r w:rsidR="00225624" w:rsidRPr="007E1812">
        <w:rPr>
          <w:rFonts w:asciiTheme="minorHAnsi" w:hAnsiTheme="minorHAnsi"/>
          <w:bCs/>
        </w:rPr>
        <w:t>i</w:t>
      </w:r>
      <w:r w:rsidR="001E5395" w:rsidRPr="007E1812">
        <w:rPr>
          <w:rFonts w:asciiTheme="minorHAnsi" w:hAnsiTheme="minorHAnsi"/>
          <w:bCs/>
        </w:rPr>
        <w:t>tinib in both the first</w:t>
      </w:r>
      <w:r w:rsidR="00A62FED">
        <w:rPr>
          <w:rFonts w:asciiTheme="minorHAnsi" w:hAnsiTheme="minorHAnsi"/>
          <w:bCs/>
        </w:rPr>
        <w:t>-line</w:t>
      </w:r>
      <w:r w:rsidR="001E5395" w:rsidRPr="007E1812">
        <w:rPr>
          <w:rFonts w:asciiTheme="minorHAnsi" w:hAnsiTheme="minorHAnsi"/>
          <w:bCs/>
        </w:rPr>
        <w:t xml:space="preserve"> and second</w:t>
      </w:r>
      <w:r w:rsidR="00225624" w:rsidRPr="007E1812">
        <w:rPr>
          <w:rFonts w:asciiTheme="minorHAnsi" w:hAnsiTheme="minorHAnsi"/>
          <w:bCs/>
        </w:rPr>
        <w:t>-</w:t>
      </w:r>
      <w:r w:rsidR="001E5395" w:rsidRPr="007E1812">
        <w:rPr>
          <w:rFonts w:asciiTheme="minorHAnsi" w:hAnsiTheme="minorHAnsi"/>
          <w:bCs/>
        </w:rPr>
        <w:t xml:space="preserve">line settings. </w:t>
      </w:r>
      <w:r w:rsidR="00044234" w:rsidRPr="007E1812">
        <w:rPr>
          <w:rFonts w:asciiTheme="minorHAnsi" w:hAnsiTheme="minorHAnsi"/>
          <w:bCs/>
        </w:rPr>
        <w:t xml:space="preserve">The PBAC </w:t>
      </w:r>
      <w:r w:rsidR="001E5395" w:rsidRPr="007E1812">
        <w:rPr>
          <w:rFonts w:asciiTheme="minorHAnsi" w:hAnsiTheme="minorHAnsi"/>
          <w:bCs/>
        </w:rPr>
        <w:t>considered the</w:t>
      </w:r>
      <w:r w:rsidR="00044234" w:rsidRPr="007E1812">
        <w:rPr>
          <w:rFonts w:asciiTheme="minorHAnsi" w:hAnsiTheme="minorHAnsi"/>
          <w:bCs/>
        </w:rPr>
        <w:t xml:space="preserve"> </w:t>
      </w:r>
      <w:r w:rsidR="00FC194A" w:rsidRPr="007E1812">
        <w:rPr>
          <w:rFonts w:asciiTheme="minorHAnsi" w:hAnsiTheme="minorHAnsi"/>
          <w:bCs/>
        </w:rPr>
        <w:t xml:space="preserve">market </w:t>
      </w:r>
      <w:r w:rsidR="00044234" w:rsidRPr="007E1812">
        <w:rPr>
          <w:rFonts w:asciiTheme="minorHAnsi" w:hAnsiTheme="minorHAnsi"/>
          <w:bCs/>
        </w:rPr>
        <w:t xml:space="preserve">growth due to </w:t>
      </w:r>
      <w:r w:rsidR="00290E82" w:rsidRPr="007E1812">
        <w:rPr>
          <w:rFonts w:asciiTheme="minorHAnsi" w:hAnsiTheme="minorHAnsi"/>
          <w:bCs/>
        </w:rPr>
        <w:t>listing</w:t>
      </w:r>
      <w:r w:rsidR="00044234" w:rsidRPr="007E1812">
        <w:rPr>
          <w:rFonts w:asciiTheme="minorHAnsi" w:hAnsiTheme="minorHAnsi"/>
          <w:bCs/>
        </w:rPr>
        <w:t xml:space="preserve"> another TKI </w:t>
      </w:r>
      <w:r w:rsidR="00290E82" w:rsidRPr="007E1812">
        <w:rPr>
          <w:rFonts w:asciiTheme="minorHAnsi" w:hAnsiTheme="minorHAnsi"/>
          <w:bCs/>
        </w:rPr>
        <w:t xml:space="preserve">would be </w:t>
      </w:r>
      <w:r w:rsidR="001E5395" w:rsidRPr="007E1812">
        <w:rPr>
          <w:rFonts w:asciiTheme="minorHAnsi" w:hAnsiTheme="minorHAnsi"/>
          <w:bCs/>
        </w:rPr>
        <w:t>minimal</w:t>
      </w:r>
      <w:r w:rsidR="00FC194A" w:rsidRPr="007E1812">
        <w:rPr>
          <w:rFonts w:asciiTheme="minorHAnsi" w:hAnsiTheme="minorHAnsi"/>
          <w:bCs/>
        </w:rPr>
        <w:t>,</w:t>
      </w:r>
      <w:r w:rsidR="00044234" w:rsidRPr="007E1812">
        <w:rPr>
          <w:rFonts w:asciiTheme="minorHAnsi" w:hAnsiTheme="minorHAnsi"/>
          <w:bCs/>
        </w:rPr>
        <w:t xml:space="preserve"> </w:t>
      </w:r>
      <w:r w:rsidR="001E5395" w:rsidRPr="007E1812">
        <w:rPr>
          <w:rFonts w:asciiTheme="minorHAnsi" w:hAnsiTheme="minorHAnsi"/>
          <w:bCs/>
        </w:rPr>
        <w:t xml:space="preserve">and hence </w:t>
      </w:r>
      <w:r w:rsidR="00044234" w:rsidRPr="007E1812">
        <w:rPr>
          <w:rFonts w:asciiTheme="minorHAnsi" w:hAnsiTheme="minorHAnsi"/>
          <w:bCs/>
        </w:rPr>
        <w:t>the financial</w:t>
      </w:r>
      <w:r w:rsidR="0099091F" w:rsidRPr="007E1812">
        <w:rPr>
          <w:rFonts w:asciiTheme="minorHAnsi" w:hAnsiTheme="minorHAnsi"/>
          <w:bCs/>
        </w:rPr>
        <w:t xml:space="preserve"> estimates as presented in the submission with no additional PBS expenditure</w:t>
      </w:r>
      <w:r w:rsidR="00E90E60" w:rsidRPr="007E1812">
        <w:rPr>
          <w:rFonts w:asciiTheme="minorHAnsi" w:hAnsiTheme="minorHAnsi"/>
          <w:bCs/>
        </w:rPr>
        <w:t xml:space="preserve"> </w:t>
      </w:r>
      <w:r w:rsidR="004640F6" w:rsidRPr="007E1812">
        <w:rPr>
          <w:rFonts w:asciiTheme="minorHAnsi" w:hAnsiTheme="minorHAnsi"/>
          <w:bCs/>
        </w:rPr>
        <w:t>as a result</w:t>
      </w:r>
      <w:r w:rsidR="00E90E60" w:rsidRPr="007E1812">
        <w:rPr>
          <w:rFonts w:asciiTheme="minorHAnsi" w:hAnsiTheme="minorHAnsi"/>
          <w:bCs/>
        </w:rPr>
        <w:t xml:space="preserve"> of listing brigatinib</w:t>
      </w:r>
      <w:r w:rsidR="0099091F" w:rsidRPr="007E1812">
        <w:rPr>
          <w:rFonts w:asciiTheme="minorHAnsi" w:hAnsiTheme="minorHAnsi"/>
          <w:bCs/>
        </w:rPr>
        <w:t xml:space="preserve"> to be reasonable.</w:t>
      </w:r>
    </w:p>
    <w:p w:rsidR="00A72EE4" w:rsidRPr="007E1812" w:rsidRDefault="00A72EE4" w:rsidP="00225624">
      <w:pPr>
        <w:widowControl/>
        <w:numPr>
          <w:ilvl w:val="1"/>
          <w:numId w:val="1"/>
        </w:numPr>
        <w:spacing w:after="120"/>
        <w:rPr>
          <w:rFonts w:asciiTheme="minorHAnsi" w:hAnsiTheme="minorHAnsi"/>
          <w:bCs/>
        </w:rPr>
      </w:pPr>
      <w:r>
        <w:rPr>
          <w:rFonts w:asciiTheme="minorHAnsi" w:hAnsiTheme="minorHAnsi"/>
          <w:bCs/>
        </w:rPr>
        <w:t>The PBAC noted that there is currently a risk sharing arrangement for alectinib, and that it would be appropriate for brigatinib to be subject to the same risk sharing arrangements as alectinib.</w:t>
      </w:r>
    </w:p>
    <w:p w:rsidR="00EE0B20" w:rsidRPr="007E1812" w:rsidRDefault="00144AF4" w:rsidP="00516FB4">
      <w:pPr>
        <w:widowControl/>
        <w:numPr>
          <w:ilvl w:val="1"/>
          <w:numId w:val="1"/>
        </w:numPr>
        <w:spacing w:after="120"/>
        <w:rPr>
          <w:rFonts w:asciiTheme="minorHAnsi" w:hAnsiTheme="minorHAnsi"/>
          <w:bCs/>
        </w:rPr>
      </w:pPr>
      <w:r w:rsidRPr="007E1812">
        <w:rPr>
          <w:rFonts w:asciiTheme="minorHAnsi" w:hAnsiTheme="minorHAnsi"/>
          <w:bCs/>
        </w:rPr>
        <w:t xml:space="preserve">The PBAC noted that </w:t>
      </w:r>
      <w:r w:rsidR="002447F7" w:rsidRPr="007E1812">
        <w:rPr>
          <w:rFonts w:asciiTheme="minorHAnsi" w:hAnsiTheme="minorHAnsi"/>
          <w:bCs/>
        </w:rPr>
        <w:t xml:space="preserve">the requested listing was broader than the registered </w:t>
      </w:r>
      <w:r w:rsidR="00EE0B20" w:rsidRPr="007E1812">
        <w:rPr>
          <w:rFonts w:asciiTheme="minorHAnsi" w:hAnsiTheme="minorHAnsi"/>
          <w:bCs/>
        </w:rPr>
        <w:t xml:space="preserve">TGA indication </w:t>
      </w:r>
      <w:r w:rsidR="002447F7" w:rsidRPr="007E1812">
        <w:rPr>
          <w:rFonts w:asciiTheme="minorHAnsi" w:hAnsiTheme="minorHAnsi"/>
          <w:bCs/>
        </w:rPr>
        <w:t>(post-crizotinib therapy)</w:t>
      </w:r>
      <w:r w:rsidR="00F916B9" w:rsidRPr="007E1812">
        <w:rPr>
          <w:rFonts w:asciiTheme="minorHAnsi" w:hAnsiTheme="minorHAnsi"/>
          <w:bCs/>
        </w:rPr>
        <w:t xml:space="preserve"> but the requested line-agnostic listing was reasonable given the similarity of </w:t>
      </w:r>
      <w:r w:rsidR="0099091F" w:rsidRPr="007E1812">
        <w:rPr>
          <w:rFonts w:asciiTheme="minorHAnsi" w:hAnsiTheme="minorHAnsi"/>
          <w:bCs/>
        </w:rPr>
        <w:t xml:space="preserve">the available </w:t>
      </w:r>
      <w:r w:rsidR="00F916B9" w:rsidRPr="007E1812">
        <w:rPr>
          <w:rFonts w:asciiTheme="minorHAnsi" w:hAnsiTheme="minorHAnsi"/>
          <w:bCs/>
        </w:rPr>
        <w:t xml:space="preserve">clinical data </w:t>
      </w:r>
      <w:r w:rsidR="0099091F" w:rsidRPr="007E1812">
        <w:rPr>
          <w:rFonts w:asciiTheme="minorHAnsi" w:hAnsiTheme="minorHAnsi"/>
          <w:bCs/>
        </w:rPr>
        <w:t>for</w:t>
      </w:r>
      <w:r w:rsidR="00F916B9" w:rsidRPr="007E1812">
        <w:rPr>
          <w:rFonts w:asciiTheme="minorHAnsi" w:hAnsiTheme="minorHAnsi"/>
          <w:bCs/>
        </w:rPr>
        <w:t xml:space="preserve"> brigatinib and alectinib</w:t>
      </w:r>
      <w:r w:rsidR="00947A81">
        <w:rPr>
          <w:rFonts w:asciiTheme="minorHAnsi" w:hAnsiTheme="minorHAnsi"/>
          <w:bCs/>
        </w:rPr>
        <w:t xml:space="preserve"> </w:t>
      </w:r>
      <w:r w:rsidR="003D2FE7">
        <w:rPr>
          <w:rFonts w:asciiTheme="minorHAnsi" w:hAnsiTheme="minorHAnsi"/>
          <w:bCs/>
        </w:rPr>
        <w:t>at the time of PBAC consideration</w:t>
      </w:r>
      <w:r w:rsidR="00F916B9" w:rsidRPr="007E1812">
        <w:rPr>
          <w:rFonts w:asciiTheme="minorHAnsi" w:hAnsiTheme="minorHAnsi"/>
          <w:bCs/>
        </w:rPr>
        <w:t>. The submission requested the same restriction</w:t>
      </w:r>
      <w:r w:rsidR="006E68FD" w:rsidRPr="007E1812">
        <w:rPr>
          <w:rFonts w:asciiTheme="minorHAnsi" w:hAnsiTheme="minorHAnsi"/>
          <w:bCs/>
        </w:rPr>
        <w:t>s</w:t>
      </w:r>
      <w:r w:rsidR="00F916B9" w:rsidRPr="007E1812">
        <w:rPr>
          <w:rFonts w:asciiTheme="minorHAnsi" w:hAnsiTheme="minorHAnsi"/>
          <w:bCs/>
        </w:rPr>
        <w:t xml:space="preserve"> as for</w:t>
      </w:r>
      <w:r w:rsidR="006E68FD" w:rsidRPr="007E1812">
        <w:rPr>
          <w:rFonts w:asciiTheme="minorHAnsi" w:hAnsiTheme="minorHAnsi"/>
          <w:bCs/>
        </w:rPr>
        <w:t xml:space="preserve"> alectinib </w:t>
      </w:r>
      <w:r w:rsidR="00F916B9" w:rsidRPr="007E1812">
        <w:rPr>
          <w:rFonts w:asciiTheme="minorHAnsi" w:hAnsiTheme="minorHAnsi"/>
          <w:bCs/>
        </w:rPr>
        <w:t>without the nee</w:t>
      </w:r>
      <w:r w:rsidR="006E68FD" w:rsidRPr="007E1812">
        <w:rPr>
          <w:rFonts w:asciiTheme="minorHAnsi" w:hAnsiTheme="minorHAnsi"/>
          <w:bCs/>
        </w:rPr>
        <w:t xml:space="preserve">d for grandfathering provisions, which was considered </w:t>
      </w:r>
      <w:r w:rsidR="009D4F25" w:rsidRPr="007E1812">
        <w:rPr>
          <w:rFonts w:asciiTheme="minorHAnsi" w:hAnsiTheme="minorHAnsi"/>
          <w:bCs/>
        </w:rPr>
        <w:t>to be appropriate</w:t>
      </w:r>
      <w:r w:rsidR="006E68FD" w:rsidRPr="007E1812">
        <w:rPr>
          <w:rFonts w:asciiTheme="minorHAnsi" w:hAnsiTheme="minorHAnsi"/>
          <w:bCs/>
        </w:rPr>
        <w:t>.</w:t>
      </w:r>
      <w:r w:rsidR="00F916B9" w:rsidRPr="007E1812">
        <w:rPr>
          <w:rFonts w:asciiTheme="minorHAnsi" w:hAnsiTheme="minorHAnsi"/>
          <w:bCs/>
        </w:rPr>
        <w:t xml:space="preserve"> </w:t>
      </w:r>
    </w:p>
    <w:p w:rsidR="0073571F" w:rsidRPr="007E1812" w:rsidRDefault="002E2242" w:rsidP="00620BD3">
      <w:pPr>
        <w:widowControl/>
        <w:numPr>
          <w:ilvl w:val="1"/>
          <w:numId w:val="1"/>
        </w:numPr>
        <w:spacing w:after="120"/>
        <w:rPr>
          <w:rFonts w:asciiTheme="minorHAnsi" w:hAnsiTheme="minorHAnsi"/>
          <w:bCs/>
        </w:rPr>
      </w:pPr>
      <w:r w:rsidRPr="007E1812">
        <w:rPr>
          <w:rFonts w:asciiTheme="minorHAnsi" w:hAnsiTheme="minorHAnsi"/>
          <w:bCs/>
        </w:rPr>
        <w:t>The PBAC noted</w:t>
      </w:r>
      <w:r w:rsidR="00FE4A11" w:rsidRPr="007E1812">
        <w:rPr>
          <w:rFonts w:asciiTheme="minorHAnsi" w:hAnsiTheme="minorHAnsi"/>
          <w:bCs/>
        </w:rPr>
        <w:t xml:space="preserve"> that the brigatinib PI provided a special war</w:t>
      </w:r>
      <w:r w:rsidR="004B4707" w:rsidRPr="007E1812">
        <w:rPr>
          <w:rFonts w:asciiTheme="minorHAnsi" w:hAnsiTheme="minorHAnsi"/>
          <w:bCs/>
        </w:rPr>
        <w:t>n</w:t>
      </w:r>
      <w:r w:rsidR="00FE4A11" w:rsidRPr="007E1812">
        <w:rPr>
          <w:rFonts w:asciiTheme="minorHAnsi" w:hAnsiTheme="minorHAnsi"/>
          <w:bCs/>
        </w:rPr>
        <w:t xml:space="preserve">ing and precaution for use regarding brigatinib-associated </w:t>
      </w:r>
      <w:r w:rsidR="00067D48" w:rsidRPr="007E1812">
        <w:rPr>
          <w:rFonts w:asciiTheme="minorHAnsi" w:hAnsiTheme="minorHAnsi"/>
          <w:bCs/>
        </w:rPr>
        <w:t xml:space="preserve">severe pulmonary adverse </w:t>
      </w:r>
      <w:r w:rsidR="007535F1" w:rsidRPr="007E1812">
        <w:rPr>
          <w:rFonts w:asciiTheme="minorHAnsi" w:hAnsiTheme="minorHAnsi"/>
          <w:bCs/>
        </w:rPr>
        <w:t xml:space="preserve">events </w:t>
      </w:r>
      <w:r w:rsidR="003035F8" w:rsidRPr="007E1812">
        <w:rPr>
          <w:rFonts w:asciiTheme="minorHAnsi" w:hAnsiTheme="minorHAnsi"/>
          <w:bCs/>
        </w:rPr>
        <w:t>(AEs)</w:t>
      </w:r>
      <w:r w:rsidR="00FE4A11" w:rsidRPr="007E1812">
        <w:rPr>
          <w:rFonts w:asciiTheme="minorHAnsi" w:hAnsiTheme="minorHAnsi"/>
          <w:bCs/>
        </w:rPr>
        <w:t>,</w:t>
      </w:r>
      <w:r w:rsidR="004B4707" w:rsidRPr="007E1812">
        <w:rPr>
          <w:rFonts w:asciiTheme="minorHAnsi" w:hAnsiTheme="minorHAnsi"/>
          <w:bCs/>
        </w:rPr>
        <w:t xml:space="preserve"> </w:t>
      </w:r>
      <w:r w:rsidR="00FE4A11" w:rsidRPr="007E1812">
        <w:rPr>
          <w:rFonts w:asciiTheme="minorHAnsi" w:hAnsiTheme="minorHAnsi"/>
          <w:bCs/>
        </w:rPr>
        <w:t xml:space="preserve">and </w:t>
      </w:r>
      <w:r w:rsidR="004B4707" w:rsidRPr="007E1812">
        <w:rPr>
          <w:rFonts w:asciiTheme="minorHAnsi" w:hAnsiTheme="minorHAnsi"/>
          <w:bCs/>
        </w:rPr>
        <w:t xml:space="preserve">considered that education would be required for prescribers and consumers </w:t>
      </w:r>
      <w:r w:rsidR="00FE4A11" w:rsidRPr="007E1812">
        <w:rPr>
          <w:rFonts w:asciiTheme="minorHAnsi" w:hAnsiTheme="minorHAnsi"/>
          <w:bCs/>
        </w:rPr>
        <w:t xml:space="preserve">that </w:t>
      </w:r>
      <w:r w:rsidR="00CC4444" w:rsidRPr="007E1812">
        <w:rPr>
          <w:rFonts w:asciiTheme="minorHAnsi" w:hAnsiTheme="minorHAnsi"/>
          <w:bCs/>
        </w:rPr>
        <w:t xml:space="preserve">the recommended starting dose is 90 mg once daily and </w:t>
      </w:r>
      <w:r w:rsidR="00FE4A11" w:rsidRPr="007E1812">
        <w:rPr>
          <w:rFonts w:asciiTheme="minorHAnsi" w:hAnsiTheme="minorHAnsi"/>
          <w:bCs/>
        </w:rPr>
        <w:t>p</w:t>
      </w:r>
      <w:r w:rsidR="003E481A" w:rsidRPr="007E1812">
        <w:rPr>
          <w:rFonts w:asciiTheme="minorHAnsi" w:hAnsiTheme="minorHAnsi"/>
          <w:bCs/>
        </w:rPr>
        <w:t xml:space="preserve">atients should be monitored for and instructed to report any </w:t>
      </w:r>
      <w:r w:rsidR="00067D48" w:rsidRPr="007E1812">
        <w:rPr>
          <w:rFonts w:asciiTheme="minorHAnsi" w:hAnsiTheme="minorHAnsi"/>
          <w:bCs/>
        </w:rPr>
        <w:t>new or worsening respiratory symptoms, particularly during the firs</w:t>
      </w:r>
      <w:r w:rsidR="00020EFD" w:rsidRPr="007E1812">
        <w:rPr>
          <w:rFonts w:asciiTheme="minorHAnsi" w:hAnsiTheme="minorHAnsi"/>
          <w:bCs/>
        </w:rPr>
        <w:t>t week of initiating brigatinib</w:t>
      </w:r>
      <w:r w:rsidR="00D55432" w:rsidRPr="007E1812">
        <w:rPr>
          <w:rFonts w:asciiTheme="minorHAnsi" w:hAnsiTheme="minorHAnsi"/>
          <w:bCs/>
        </w:rPr>
        <w:t xml:space="preserve">, </w:t>
      </w:r>
      <w:r w:rsidR="00020EFD" w:rsidRPr="007E1812">
        <w:rPr>
          <w:rFonts w:asciiTheme="minorHAnsi" w:hAnsiTheme="minorHAnsi"/>
          <w:bCs/>
        </w:rPr>
        <w:t xml:space="preserve">as </w:t>
      </w:r>
      <w:r w:rsidR="003E481A" w:rsidRPr="007E1812">
        <w:rPr>
          <w:rFonts w:asciiTheme="minorHAnsi" w:hAnsiTheme="minorHAnsi"/>
          <w:bCs/>
        </w:rPr>
        <w:t xml:space="preserve">most </w:t>
      </w:r>
      <w:r w:rsidR="004B4707" w:rsidRPr="007E1812">
        <w:rPr>
          <w:rFonts w:asciiTheme="minorHAnsi" w:hAnsiTheme="minorHAnsi"/>
          <w:bCs/>
        </w:rPr>
        <w:t>pulmonary</w:t>
      </w:r>
      <w:r w:rsidR="003E481A" w:rsidRPr="007E1812">
        <w:rPr>
          <w:rFonts w:asciiTheme="minorHAnsi" w:hAnsiTheme="minorHAnsi"/>
          <w:bCs/>
        </w:rPr>
        <w:t xml:space="preserve"> </w:t>
      </w:r>
      <w:r w:rsidR="003035F8" w:rsidRPr="007E1812">
        <w:rPr>
          <w:rFonts w:asciiTheme="minorHAnsi" w:hAnsiTheme="minorHAnsi"/>
          <w:bCs/>
        </w:rPr>
        <w:t xml:space="preserve">AEs </w:t>
      </w:r>
      <w:r w:rsidR="003E481A" w:rsidRPr="007E1812">
        <w:rPr>
          <w:rFonts w:asciiTheme="minorHAnsi" w:hAnsiTheme="minorHAnsi"/>
          <w:bCs/>
        </w:rPr>
        <w:t xml:space="preserve">were observed within the first 7 days of </w:t>
      </w:r>
      <w:r w:rsidR="004B4707" w:rsidRPr="007E1812">
        <w:rPr>
          <w:rFonts w:asciiTheme="minorHAnsi" w:hAnsiTheme="minorHAnsi"/>
          <w:bCs/>
        </w:rPr>
        <w:t>treatment</w:t>
      </w:r>
      <w:r w:rsidR="003E481A" w:rsidRPr="007E1812">
        <w:rPr>
          <w:rFonts w:asciiTheme="minorHAnsi" w:hAnsiTheme="minorHAnsi"/>
          <w:bCs/>
        </w:rPr>
        <w:t xml:space="preserve">. </w:t>
      </w:r>
    </w:p>
    <w:p w:rsidR="005E7F90" w:rsidRPr="007E1812" w:rsidRDefault="00FC610E" w:rsidP="0016779E">
      <w:pPr>
        <w:widowControl/>
        <w:numPr>
          <w:ilvl w:val="1"/>
          <w:numId w:val="1"/>
        </w:numPr>
        <w:spacing w:after="120"/>
        <w:rPr>
          <w:rFonts w:asciiTheme="minorHAnsi" w:hAnsiTheme="minorHAnsi"/>
          <w:bCs/>
        </w:rPr>
      </w:pPr>
      <w:r w:rsidRPr="007E1812">
        <w:rPr>
          <w:rFonts w:asciiTheme="minorHAnsi" w:hAnsiTheme="minorHAnsi"/>
          <w:bCs/>
        </w:rPr>
        <w:t xml:space="preserve">The PBAC noted that the requested maximum quantity and repeats </w:t>
      </w:r>
      <w:r w:rsidR="005A1606" w:rsidRPr="007E1812">
        <w:rPr>
          <w:rFonts w:asciiTheme="minorHAnsi" w:hAnsiTheme="minorHAnsi"/>
          <w:bCs/>
        </w:rPr>
        <w:t>were</w:t>
      </w:r>
      <w:r w:rsidRPr="007E1812">
        <w:rPr>
          <w:rFonts w:asciiTheme="minorHAnsi" w:hAnsiTheme="minorHAnsi"/>
          <w:bCs/>
        </w:rPr>
        <w:t xml:space="preserve"> the same as for alectinib for continuing treatment, and advised that this restriction should be consistent across all ALK inhibitors</w:t>
      </w:r>
      <w:r w:rsidR="0016779E" w:rsidRPr="007E1812">
        <w:rPr>
          <w:rFonts w:asciiTheme="minorHAnsi" w:hAnsiTheme="minorHAnsi"/>
          <w:bCs/>
        </w:rPr>
        <w:t>.</w:t>
      </w:r>
      <w:r w:rsidRPr="007E1812">
        <w:rPr>
          <w:rFonts w:asciiTheme="minorHAnsi" w:hAnsiTheme="minorHAnsi"/>
          <w:bCs/>
        </w:rPr>
        <w:t xml:space="preserve"> </w:t>
      </w:r>
    </w:p>
    <w:p w:rsidR="005E7F90" w:rsidRPr="007E1812" w:rsidRDefault="005E7F90" w:rsidP="00620BD3">
      <w:pPr>
        <w:widowControl/>
        <w:numPr>
          <w:ilvl w:val="1"/>
          <w:numId w:val="1"/>
        </w:numPr>
        <w:spacing w:after="120"/>
        <w:rPr>
          <w:rFonts w:asciiTheme="minorHAnsi" w:hAnsiTheme="minorHAnsi"/>
          <w:bCs/>
        </w:rPr>
      </w:pPr>
      <w:r w:rsidRPr="007E1812">
        <w:rPr>
          <w:rFonts w:asciiTheme="minorHAnsi" w:hAnsiTheme="minorHAnsi"/>
          <w:bCs/>
        </w:rPr>
        <w:t xml:space="preserve">The PBAC advised that under Section 101(3BA) of the </w:t>
      </w:r>
      <w:r w:rsidRPr="007E1812">
        <w:rPr>
          <w:rFonts w:asciiTheme="minorHAnsi" w:hAnsiTheme="minorHAnsi"/>
          <w:bCs/>
          <w:i/>
        </w:rPr>
        <w:t>National Health Act 1953</w:t>
      </w:r>
      <w:r w:rsidRPr="007E1812">
        <w:rPr>
          <w:rFonts w:asciiTheme="minorHAnsi" w:hAnsiTheme="minorHAnsi"/>
          <w:bCs/>
        </w:rPr>
        <w:t xml:space="preserve"> brigatinib </w:t>
      </w:r>
      <w:r w:rsidR="00EB71E0" w:rsidRPr="007E1812">
        <w:rPr>
          <w:rFonts w:asciiTheme="minorHAnsi" w:hAnsiTheme="minorHAnsi"/>
          <w:bCs/>
        </w:rPr>
        <w:t>should</w:t>
      </w:r>
      <w:r w:rsidRPr="007E1812">
        <w:rPr>
          <w:rFonts w:asciiTheme="minorHAnsi" w:hAnsiTheme="minorHAnsi"/>
          <w:bCs/>
        </w:rPr>
        <w:t xml:space="preserve"> not be treated as interchangeable with any other drugs on an individual patient basis</w:t>
      </w:r>
      <w:r w:rsidR="000C5F62" w:rsidRPr="007E1812">
        <w:rPr>
          <w:rFonts w:asciiTheme="minorHAnsi" w:hAnsiTheme="minorHAnsi"/>
          <w:bCs/>
        </w:rPr>
        <w:t xml:space="preserve">. </w:t>
      </w:r>
    </w:p>
    <w:p w:rsidR="00C3518F" w:rsidRPr="007E1812" w:rsidRDefault="00C3518F" w:rsidP="00620BD3">
      <w:pPr>
        <w:widowControl/>
        <w:numPr>
          <w:ilvl w:val="1"/>
          <w:numId w:val="1"/>
        </w:numPr>
        <w:spacing w:after="120"/>
        <w:rPr>
          <w:rFonts w:asciiTheme="minorHAnsi" w:hAnsiTheme="minorHAnsi"/>
          <w:bCs/>
        </w:rPr>
      </w:pPr>
      <w:r w:rsidRPr="007E1812">
        <w:rPr>
          <w:rFonts w:asciiTheme="minorHAnsi" w:hAnsiTheme="minorHAnsi"/>
          <w:bCs/>
        </w:rPr>
        <w:t>The PBAC advised that brigatinib is not suitable for prescribing by nurse practitioners.</w:t>
      </w:r>
    </w:p>
    <w:p w:rsidR="00C3518F" w:rsidRPr="007E1812" w:rsidRDefault="00C3518F" w:rsidP="00620BD3">
      <w:pPr>
        <w:widowControl/>
        <w:numPr>
          <w:ilvl w:val="1"/>
          <w:numId w:val="1"/>
        </w:numPr>
        <w:spacing w:after="120"/>
        <w:rPr>
          <w:rFonts w:asciiTheme="minorHAnsi" w:hAnsiTheme="minorHAnsi"/>
          <w:bCs/>
        </w:rPr>
      </w:pPr>
      <w:r w:rsidRPr="007E1812">
        <w:rPr>
          <w:rFonts w:asciiTheme="minorHAnsi" w:hAnsiTheme="minorHAnsi"/>
          <w:bCs/>
        </w:rPr>
        <w:t>The PBAC recommended that the Early Supply Rule should not apply</w:t>
      </w:r>
      <w:r w:rsidR="000C5F62" w:rsidRPr="007E1812">
        <w:rPr>
          <w:rFonts w:asciiTheme="minorHAnsi" w:hAnsiTheme="minorHAnsi"/>
          <w:bCs/>
        </w:rPr>
        <w:t xml:space="preserve">. </w:t>
      </w:r>
    </w:p>
    <w:p w:rsidR="005E7F90" w:rsidRPr="007E1812" w:rsidRDefault="005E7F90" w:rsidP="00620BD3">
      <w:pPr>
        <w:widowControl/>
        <w:numPr>
          <w:ilvl w:val="1"/>
          <w:numId w:val="1"/>
        </w:numPr>
        <w:spacing w:after="120"/>
        <w:rPr>
          <w:rFonts w:asciiTheme="minorHAnsi" w:hAnsiTheme="minorHAnsi"/>
          <w:bCs/>
        </w:rPr>
      </w:pPr>
      <w:r w:rsidRPr="007E1812">
        <w:rPr>
          <w:rFonts w:asciiTheme="minorHAnsi" w:hAnsiTheme="minorHAnsi"/>
          <w:bCs/>
        </w:rPr>
        <w:t xml:space="preserve">The PBAC noted that its recommendation was on a cost-minimisation basis and advised that, because brigatinib is not expected to provide a substantial and clinically </w:t>
      </w:r>
      <w:r w:rsidRPr="007E1812">
        <w:rPr>
          <w:rFonts w:asciiTheme="minorHAnsi" w:hAnsiTheme="minorHAnsi"/>
          <w:bCs/>
        </w:rPr>
        <w:lastRenderedPageBreak/>
        <w:t xml:space="preserve">relevant improvement in efficacy, or reduction of toxicity, over alectinib, or not expected to address a high and urgent unmet clinical need given the presence of an alternative therapy, the criteria prescribed by </w:t>
      </w:r>
      <w:r w:rsidRPr="007E1812">
        <w:rPr>
          <w:rFonts w:asciiTheme="minorHAnsi" w:hAnsiTheme="minorHAnsi"/>
          <w:bCs/>
          <w:i/>
          <w:iCs/>
        </w:rPr>
        <w:t>the National Health (Pharmaceuticals and Vaccines – Cost Recovery) Regulations 2009</w:t>
      </w:r>
      <w:r w:rsidRPr="007E1812">
        <w:rPr>
          <w:rFonts w:asciiTheme="minorHAnsi" w:hAnsiTheme="minorHAnsi"/>
          <w:bCs/>
        </w:rPr>
        <w:t xml:space="preserve"> for Pricing Pathway A were not met</w:t>
      </w:r>
      <w:r w:rsidR="000C5F62" w:rsidRPr="007E1812">
        <w:rPr>
          <w:rFonts w:asciiTheme="minorHAnsi" w:hAnsiTheme="minorHAnsi"/>
          <w:bCs/>
        </w:rPr>
        <w:t xml:space="preserve">. </w:t>
      </w:r>
    </w:p>
    <w:p w:rsidR="00C3518F" w:rsidRPr="007E1812" w:rsidRDefault="00C3518F" w:rsidP="00620BD3">
      <w:pPr>
        <w:widowControl/>
        <w:numPr>
          <w:ilvl w:val="1"/>
          <w:numId w:val="1"/>
        </w:numPr>
        <w:spacing w:after="120"/>
        <w:rPr>
          <w:rFonts w:asciiTheme="minorHAnsi" w:hAnsiTheme="minorHAnsi"/>
          <w:bCs/>
        </w:rPr>
      </w:pPr>
      <w:r w:rsidRPr="007E1812">
        <w:rPr>
          <w:rFonts w:asciiTheme="minorHAnsi" w:hAnsiTheme="minorHAnsi"/>
          <w:bCs/>
        </w:rPr>
        <w:t>The PBAC advised that this submission is not eligible for an Independent Review as it received a positive recommendation.</w:t>
      </w:r>
    </w:p>
    <w:p w:rsidR="00EE0B20" w:rsidRPr="007E1812" w:rsidRDefault="00EE0B20" w:rsidP="00620BD3">
      <w:pPr>
        <w:widowControl/>
        <w:spacing w:before="240"/>
        <w:rPr>
          <w:rFonts w:asciiTheme="minorHAnsi" w:hAnsiTheme="minorHAnsi"/>
          <w:b/>
          <w:bCs/>
        </w:rPr>
      </w:pPr>
      <w:r w:rsidRPr="007E1812">
        <w:rPr>
          <w:rFonts w:asciiTheme="minorHAnsi" w:hAnsiTheme="minorHAnsi"/>
          <w:b/>
          <w:bCs/>
        </w:rPr>
        <w:t>Outcome:</w:t>
      </w:r>
    </w:p>
    <w:p w:rsidR="00EE0B20" w:rsidRPr="007E1812" w:rsidRDefault="00EE0B20" w:rsidP="00620BD3">
      <w:pPr>
        <w:widowControl/>
        <w:rPr>
          <w:rFonts w:asciiTheme="minorHAnsi" w:hAnsiTheme="minorHAnsi"/>
          <w:bCs/>
        </w:rPr>
      </w:pPr>
      <w:r w:rsidRPr="007E1812">
        <w:rPr>
          <w:rFonts w:asciiTheme="minorHAnsi" w:hAnsiTheme="minorHAnsi"/>
          <w:bCs/>
        </w:rPr>
        <w:t xml:space="preserve">Recommended </w:t>
      </w:r>
    </w:p>
    <w:p w:rsidR="00EE0B20" w:rsidRPr="007E1812" w:rsidRDefault="00EE0B20" w:rsidP="00620BD3">
      <w:pPr>
        <w:pStyle w:val="PBACHeading1"/>
        <w:keepNext/>
        <w:keepLines/>
        <w:spacing w:before="120" w:after="120"/>
        <w:jc w:val="both"/>
      </w:pPr>
      <w:r w:rsidRPr="007E1812">
        <w:t>Recommended listing</w:t>
      </w:r>
    </w:p>
    <w:p w:rsidR="00EE0B20" w:rsidRPr="007E1812" w:rsidRDefault="00EE0B20" w:rsidP="00F80DA6">
      <w:pPr>
        <w:widowControl/>
        <w:numPr>
          <w:ilvl w:val="1"/>
          <w:numId w:val="1"/>
        </w:numPr>
        <w:spacing w:after="120"/>
        <w:rPr>
          <w:rFonts w:asciiTheme="minorHAnsi" w:hAnsiTheme="minorHAnsi"/>
          <w:bCs/>
        </w:rPr>
      </w:pPr>
      <w:r w:rsidRPr="007E1812">
        <w:rPr>
          <w:rFonts w:asciiTheme="minorHAnsi" w:hAnsiTheme="minorHAnsi"/>
          <w:bCs/>
        </w:rPr>
        <w:t>Add new item:</w:t>
      </w:r>
    </w:p>
    <w:tbl>
      <w:tblPr>
        <w:tblW w:w="9214" w:type="dxa"/>
        <w:tblLayout w:type="fixed"/>
        <w:tblLook w:val="0000" w:firstRow="0" w:lastRow="0" w:firstColumn="0" w:lastColumn="0" w:noHBand="0" w:noVBand="0"/>
      </w:tblPr>
      <w:tblGrid>
        <w:gridCol w:w="2835"/>
        <w:gridCol w:w="426"/>
        <w:gridCol w:w="567"/>
        <w:gridCol w:w="141"/>
        <w:gridCol w:w="851"/>
        <w:gridCol w:w="992"/>
        <w:gridCol w:w="142"/>
        <w:gridCol w:w="3260"/>
      </w:tblGrid>
      <w:tr w:rsidR="00003BD7" w:rsidRPr="007E1812" w:rsidTr="007F0000">
        <w:trPr>
          <w:trHeight w:val="20"/>
        </w:trPr>
        <w:tc>
          <w:tcPr>
            <w:tcW w:w="3261" w:type="dxa"/>
            <w:gridSpan w:val="2"/>
            <w:tcBorders>
              <w:bottom w:val="single" w:sz="4" w:space="0" w:color="auto"/>
            </w:tcBorders>
            <w:shd w:val="clear" w:color="auto" w:fill="auto"/>
          </w:tcPr>
          <w:p w:rsidR="00003BD7" w:rsidRPr="007E1812" w:rsidRDefault="00003BD7" w:rsidP="007F0000">
            <w:pPr>
              <w:ind w:left="-108"/>
              <w:rPr>
                <w:rFonts w:ascii="Arial Narrow" w:hAnsi="Arial Narrow"/>
                <w:sz w:val="20"/>
                <w:szCs w:val="20"/>
              </w:rPr>
            </w:pPr>
            <w:r w:rsidRPr="007E1812">
              <w:rPr>
                <w:rFonts w:ascii="Arial Narrow" w:hAnsi="Arial Narrow"/>
                <w:sz w:val="20"/>
                <w:szCs w:val="20"/>
              </w:rPr>
              <w:t>Name, Restriction,</w:t>
            </w:r>
          </w:p>
          <w:p w:rsidR="00003BD7" w:rsidRPr="007E1812" w:rsidRDefault="00003BD7" w:rsidP="007F0000">
            <w:pPr>
              <w:ind w:left="-108"/>
              <w:rPr>
                <w:rFonts w:ascii="Arial Narrow" w:hAnsi="Arial Narrow"/>
                <w:sz w:val="20"/>
                <w:szCs w:val="20"/>
              </w:rPr>
            </w:pPr>
            <w:r w:rsidRPr="007E1812">
              <w:rPr>
                <w:rFonts w:ascii="Arial Narrow" w:hAnsi="Arial Narrow"/>
                <w:sz w:val="20"/>
                <w:szCs w:val="20"/>
              </w:rPr>
              <w:t>Manner of administration and form</w:t>
            </w:r>
          </w:p>
        </w:tc>
        <w:tc>
          <w:tcPr>
            <w:tcW w:w="708" w:type="dxa"/>
            <w:gridSpan w:val="2"/>
            <w:tcBorders>
              <w:bottom w:val="single" w:sz="4" w:space="0" w:color="auto"/>
            </w:tcBorders>
            <w:shd w:val="clear" w:color="auto" w:fill="auto"/>
          </w:tcPr>
          <w:p w:rsidR="00003BD7" w:rsidRPr="007E1812" w:rsidRDefault="00003BD7" w:rsidP="007F0000">
            <w:pPr>
              <w:ind w:left="-108"/>
              <w:rPr>
                <w:rFonts w:ascii="Arial Narrow" w:hAnsi="Arial Narrow"/>
                <w:sz w:val="20"/>
                <w:szCs w:val="20"/>
              </w:rPr>
            </w:pPr>
            <w:r w:rsidRPr="007E1812">
              <w:rPr>
                <w:rFonts w:ascii="Arial Narrow" w:hAnsi="Arial Narrow"/>
                <w:sz w:val="20"/>
                <w:szCs w:val="20"/>
              </w:rPr>
              <w:t>Max.</w:t>
            </w:r>
          </w:p>
          <w:p w:rsidR="00003BD7" w:rsidRPr="007E1812" w:rsidRDefault="00003BD7" w:rsidP="007F0000">
            <w:pPr>
              <w:ind w:left="-108"/>
              <w:rPr>
                <w:rFonts w:ascii="Arial Narrow" w:hAnsi="Arial Narrow"/>
                <w:sz w:val="20"/>
                <w:szCs w:val="20"/>
              </w:rPr>
            </w:pPr>
            <w:r w:rsidRPr="007E1812">
              <w:rPr>
                <w:rFonts w:ascii="Arial Narrow" w:hAnsi="Arial Narrow"/>
                <w:sz w:val="20"/>
                <w:szCs w:val="20"/>
              </w:rPr>
              <w:t>Qty</w:t>
            </w:r>
          </w:p>
        </w:tc>
        <w:tc>
          <w:tcPr>
            <w:tcW w:w="851" w:type="dxa"/>
            <w:tcBorders>
              <w:bottom w:val="single" w:sz="4" w:space="0" w:color="auto"/>
            </w:tcBorders>
            <w:shd w:val="clear" w:color="auto" w:fill="auto"/>
          </w:tcPr>
          <w:p w:rsidR="00003BD7" w:rsidRPr="007E1812" w:rsidRDefault="00003BD7" w:rsidP="007F0000">
            <w:pPr>
              <w:ind w:left="-108"/>
              <w:rPr>
                <w:rFonts w:ascii="Arial Narrow" w:hAnsi="Arial Narrow"/>
                <w:sz w:val="20"/>
                <w:szCs w:val="20"/>
              </w:rPr>
            </w:pPr>
            <w:r w:rsidRPr="007E1812">
              <w:rPr>
                <w:rFonts w:ascii="Arial Narrow" w:hAnsi="Arial Narrow"/>
                <w:sz w:val="20"/>
                <w:szCs w:val="20"/>
              </w:rPr>
              <w:t>№.of</w:t>
            </w:r>
          </w:p>
          <w:p w:rsidR="00003BD7" w:rsidRPr="007E1812" w:rsidRDefault="00003BD7" w:rsidP="007F0000">
            <w:pPr>
              <w:ind w:left="-108"/>
              <w:rPr>
                <w:rFonts w:ascii="Arial Narrow" w:hAnsi="Arial Narrow"/>
                <w:sz w:val="20"/>
                <w:szCs w:val="20"/>
              </w:rPr>
            </w:pPr>
            <w:r w:rsidRPr="007E1812">
              <w:rPr>
                <w:rFonts w:ascii="Arial Narrow" w:hAnsi="Arial Narrow"/>
                <w:sz w:val="20"/>
                <w:szCs w:val="20"/>
              </w:rPr>
              <w:t>Rpts</w:t>
            </w:r>
          </w:p>
        </w:tc>
        <w:tc>
          <w:tcPr>
            <w:tcW w:w="4394" w:type="dxa"/>
            <w:gridSpan w:val="3"/>
            <w:tcBorders>
              <w:bottom w:val="single" w:sz="4" w:space="0" w:color="auto"/>
            </w:tcBorders>
            <w:shd w:val="clear" w:color="auto" w:fill="auto"/>
          </w:tcPr>
          <w:p w:rsidR="00003BD7" w:rsidRPr="007E1812" w:rsidRDefault="00003BD7" w:rsidP="007F0000">
            <w:pPr>
              <w:rPr>
                <w:rFonts w:ascii="Arial Narrow" w:hAnsi="Arial Narrow"/>
                <w:sz w:val="20"/>
                <w:szCs w:val="20"/>
              </w:rPr>
            </w:pPr>
            <w:r w:rsidRPr="007E1812">
              <w:rPr>
                <w:rFonts w:ascii="Arial Narrow" w:hAnsi="Arial Narrow"/>
                <w:sz w:val="20"/>
                <w:szCs w:val="20"/>
              </w:rPr>
              <w:t>Proprietary Name and Manufacturer</w:t>
            </w:r>
          </w:p>
        </w:tc>
      </w:tr>
      <w:tr w:rsidR="00003BD7" w:rsidRPr="007E1812" w:rsidTr="007F0000">
        <w:trPr>
          <w:trHeight w:val="20"/>
        </w:trPr>
        <w:tc>
          <w:tcPr>
            <w:tcW w:w="3261" w:type="dxa"/>
            <w:gridSpan w:val="2"/>
            <w:shd w:val="clear" w:color="auto" w:fill="auto"/>
          </w:tcPr>
          <w:p w:rsidR="00003BD7" w:rsidRPr="007E1812" w:rsidRDefault="00003BD7" w:rsidP="007F0000">
            <w:pPr>
              <w:ind w:left="-108"/>
              <w:rPr>
                <w:rFonts w:ascii="Arial Narrow" w:hAnsi="Arial Narrow"/>
                <w:sz w:val="20"/>
                <w:szCs w:val="20"/>
              </w:rPr>
            </w:pPr>
            <w:r w:rsidRPr="007E1812">
              <w:rPr>
                <w:rFonts w:ascii="Arial Narrow" w:hAnsi="Arial Narrow"/>
                <w:smallCaps/>
                <w:sz w:val="20"/>
                <w:szCs w:val="20"/>
              </w:rPr>
              <w:t>BRIGATINIB</w:t>
            </w:r>
          </w:p>
          <w:p w:rsidR="00003BD7" w:rsidRPr="007E1812" w:rsidRDefault="00003BD7" w:rsidP="007F0000">
            <w:pPr>
              <w:ind w:left="-108"/>
              <w:rPr>
                <w:rFonts w:ascii="Arial Narrow" w:hAnsi="Arial Narrow"/>
                <w:iCs/>
                <w:sz w:val="20"/>
                <w:szCs w:val="20"/>
              </w:rPr>
            </w:pPr>
            <w:r w:rsidRPr="007E1812">
              <w:rPr>
                <w:rFonts w:ascii="Arial Narrow" w:hAnsi="Arial Narrow"/>
                <w:iCs/>
                <w:sz w:val="20"/>
                <w:szCs w:val="20"/>
              </w:rPr>
              <w:t xml:space="preserve">90 mg tablet [7] (&amp;) 180 mg tablet [21], </w:t>
            </w:r>
          </w:p>
          <w:p w:rsidR="00003BD7" w:rsidRPr="007E1812" w:rsidRDefault="00003BD7" w:rsidP="007F0000">
            <w:pPr>
              <w:ind w:left="-108"/>
              <w:rPr>
                <w:rFonts w:ascii="Arial Narrow" w:hAnsi="Arial Narrow"/>
                <w:iCs/>
                <w:sz w:val="20"/>
                <w:szCs w:val="20"/>
              </w:rPr>
            </w:pPr>
            <w:r w:rsidRPr="007E1812">
              <w:rPr>
                <w:rFonts w:ascii="Arial Narrow" w:hAnsi="Arial Narrow"/>
                <w:iCs/>
                <w:sz w:val="20"/>
                <w:szCs w:val="20"/>
              </w:rPr>
              <w:t>1 pack</w:t>
            </w:r>
          </w:p>
        </w:tc>
        <w:tc>
          <w:tcPr>
            <w:tcW w:w="708" w:type="dxa"/>
            <w:gridSpan w:val="2"/>
            <w:shd w:val="clear" w:color="auto" w:fill="auto"/>
          </w:tcPr>
          <w:p w:rsidR="00003BD7" w:rsidRPr="007E1812" w:rsidRDefault="00003BD7" w:rsidP="007F0000">
            <w:pPr>
              <w:ind w:left="-108"/>
              <w:rPr>
                <w:rFonts w:ascii="Arial Narrow" w:hAnsi="Arial Narrow"/>
                <w:sz w:val="20"/>
                <w:szCs w:val="20"/>
              </w:rPr>
            </w:pPr>
          </w:p>
          <w:p w:rsidR="00003BD7" w:rsidRPr="007E1812" w:rsidRDefault="00003BD7" w:rsidP="007F0000">
            <w:pPr>
              <w:ind w:left="-108"/>
              <w:rPr>
                <w:rFonts w:ascii="Arial Narrow" w:hAnsi="Arial Narrow"/>
                <w:sz w:val="20"/>
                <w:szCs w:val="20"/>
              </w:rPr>
            </w:pPr>
            <w:r w:rsidRPr="007E1812">
              <w:rPr>
                <w:rFonts w:ascii="Arial Narrow" w:hAnsi="Arial Narrow"/>
                <w:sz w:val="20"/>
                <w:szCs w:val="20"/>
              </w:rPr>
              <w:t>1</w:t>
            </w:r>
          </w:p>
        </w:tc>
        <w:tc>
          <w:tcPr>
            <w:tcW w:w="851" w:type="dxa"/>
            <w:shd w:val="clear" w:color="auto" w:fill="auto"/>
          </w:tcPr>
          <w:p w:rsidR="00003BD7" w:rsidRPr="007E1812" w:rsidRDefault="00003BD7" w:rsidP="007F0000">
            <w:pPr>
              <w:ind w:left="-108"/>
              <w:rPr>
                <w:rFonts w:ascii="Arial Narrow" w:hAnsi="Arial Narrow"/>
                <w:sz w:val="20"/>
                <w:szCs w:val="20"/>
              </w:rPr>
            </w:pPr>
          </w:p>
          <w:p w:rsidR="00003BD7" w:rsidRPr="007E1812" w:rsidRDefault="003B6AC6" w:rsidP="007F0000">
            <w:pPr>
              <w:ind w:left="-108"/>
              <w:rPr>
                <w:rFonts w:ascii="Arial Narrow" w:hAnsi="Arial Narrow"/>
                <w:sz w:val="20"/>
                <w:szCs w:val="20"/>
              </w:rPr>
            </w:pPr>
            <w:r w:rsidRPr="007E1812">
              <w:rPr>
                <w:rFonts w:ascii="Arial Narrow" w:hAnsi="Arial Narrow"/>
                <w:sz w:val="20"/>
                <w:szCs w:val="20"/>
              </w:rPr>
              <w:t>0</w:t>
            </w:r>
          </w:p>
        </w:tc>
        <w:tc>
          <w:tcPr>
            <w:tcW w:w="992" w:type="dxa"/>
            <w:shd w:val="clear" w:color="auto" w:fill="auto"/>
          </w:tcPr>
          <w:p w:rsidR="00003BD7" w:rsidRPr="007E1812" w:rsidRDefault="00003BD7" w:rsidP="007F0000">
            <w:pPr>
              <w:rPr>
                <w:rFonts w:ascii="Arial Narrow" w:hAnsi="Arial Narrow"/>
                <w:sz w:val="20"/>
                <w:szCs w:val="20"/>
              </w:rPr>
            </w:pPr>
            <w:r w:rsidRPr="007E1812">
              <w:rPr>
                <w:rFonts w:ascii="Arial Narrow" w:hAnsi="Arial Narrow"/>
                <w:sz w:val="20"/>
                <w:szCs w:val="20"/>
              </w:rPr>
              <w:t>Alunbrig®</w:t>
            </w:r>
          </w:p>
        </w:tc>
        <w:tc>
          <w:tcPr>
            <w:tcW w:w="3402" w:type="dxa"/>
            <w:gridSpan w:val="2"/>
            <w:shd w:val="clear" w:color="auto" w:fill="auto"/>
          </w:tcPr>
          <w:p w:rsidR="00003BD7" w:rsidRPr="007E1812" w:rsidRDefault="00003BD7" w:rsidP="007F0000">
            <w:pPr>
              <w:rPr>
                <w:rFonts w:ascii="Arial Narrow" w:hAnsi="Arial Narrow"/>
                <w:sz w:val="20"/>
                <w:szCs w:val="20"/>
              </w:rPr>
            </w:pPr>
            <w:r w:rsidRPr="007E1812">
              <w:rPr>
                <w:rFonts w:ascii="Arial Narrow" w:hAnsi="Arial Narrow"/>
                <w:sz w:val="20"/>
                <w:szCs w:val="20"/>
              </w:rPr>
              <w:t>Takeda Pharmaceuticals Australia Pty Ltd</w:t>
            </w:r>
          </w:p>
        </w:tc>
      </w:tr>
      <w:tr w:rsidR="00B87922" w:rsidRPr="007E1812" w:rsidTr="007F0000">
        <w:trPr>
          <w:trHeight w:val="20"/>
        </w:trPr>
        <w:tc>
          <w:tcPr>
            <w:tcW w:w="9214" w:type="dxa"/>
            <w:gridSpan w:val="8"/>
            <w:tcBorders>
              <w:bottom w:val="single" w:sz="4" w:space="0" w:color="auto"/>
            </w:tcBorders>
            <w:shd w:val="clear" w:color="auto" w:fill="auto"/>
          </w:tcPr>
          <w:p w:rsidR="00B87922" w:rsidRPr="007E1812" w:rsidRDefault="00B87922" w:rsidP="007F0000">
            <w:pPr>
              <w:rPr>
                <w:rFonts w:ascii="Arial Narrow" w:hAnsi="Arial Narrow"/>
                <w:sz w:val="20"/>
                <w:szCs w:val="20"/>
              </w:rPr>
            </w:pP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sz w:val="20"/>
                <w:szCs w:val="20"/>
              </w:rPr>
            </w:pPr>
            <w:r w:rsidRPr="007E1812">
              <w:rPr>
                <w:rFonts w:ascii="Arial Narrow" w:hAnsi="Arial Narrow"/>
                <w:sz w:val="20"/>
                <w:szCs w:val="20"/>
              </w:rPr>
              <w:t>GENERAL – General Schedule (Code GE)</w:t>
            </w: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Prescriber type:</w:t>
            </w:r>
          </w:p>
          <w:p w:rsidR="00B87922" w:rsidRPr="007E1812" w:rsidRDefault="00B87922" w:rsidP="007F0000">
            <w:pPr>
              <w:rPr>
                <w:rFonts w:ascii="Arial Narrow" w:hAnsi="Arial Narrow"/>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1"/>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Dental  </w:t>
            </w:r>
            <w:r w:rsidRPr="007E1812">
              <w:rPr>
                <w:rFonts w:ascii="Arial Narrow" w:hAnsi="Arial Narrow"/>
                <w:sz w:val="20"/>
                <w:szCs w:val="20"/>
              </w:rPr>
              <w:fldChar w:fldCharType="begin">
                <w:ffData>
                  <w:name w:val=""/>
                  <w:enabled/>
                  <w:calcOnExit w:val="0"/>
                  <w:checkBox>
                    <w:sizeAuto/>
                    <w:default w:val="1"/>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Medical Practitioners  </w:t>
            </w:r>
            <w:r w:rsidRPr="007E1812">
              <w:rPr>
                <w:rFonts w:ascii="Arial Narrow" w:hAnsi="Arial Narrow"/>
                <w:sz w:val="20"/>
                <w:szCs w:val="20"/>
              </w:rPr>
              <w:fldChar w:fldCharType="begin">
                <w:ffData>
                  <w:name w:val="Check3"/>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Nurse practitioners  </w:t>
            </w:r>
            <w:r w:rsidRPr="007E1812">
              <w:rPr>
                <w:rFonts w:ascii="Arial Narrow" w:hAnsi="Arial Narrow"/>
                <w:sz w:val="20"/>
                <w:szCs w:val="20"/>
              </w:rPr>
              <w:fldChar w:fldCharType="begin">
                <w:ffData>
                  <w:name w:val=""/>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Optometrists</w:t>
            </w:r>
          </w:p>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5"/>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Midwives</w:t>
            </w: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Severity:</w:t>
            </w: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cstheme="minorHAnsi"/>
                <w:sz w:val="20"/>
                <w:szCs w:val="20"/>
              </w:rPr>
            </w:pPr>
            <w:r w:rsidRPr="007E1812">
              <w:rPr>
                <w:rFonts w:ascii="Arial Narrow" w:hAnsi="Arial Narrow" w:cstheme="minorHAnsi"/>
                <w:sz w:val="20"/>
                <w:szCs w:val="20"/>
              </w:rPr>
              <w:t>Stage IIIB (locally advanced) or Stage IV (metastatic)</w:t>
            </w: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Condition:</w:t>
            </w: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cstheme="minorHAnsi"/>
                <w:sz w:val="20"/>
                <w:szCs w:val="20"/>
              </w:rPr>
            </w:pPr>
            <w:r w:rsidRPr="007E1812">
              <w:rPr>
                <w:rFonts w:ascii="Arial Narrow" w:hAnsi="Arial Narrow" w:cstheme="minorHAnsi"/>
                <w:sz w:val="20"/>
                <w:szCs w:val="20"/>
              </w:rPr>
              <w:t>non-small cell lung cancer (NSCLC)</w:t>
            </w: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PBS Indication:</w:t>
            </w:r>
          </w:p>
          <w:p w:rsidR="00B87922" w:rsidRPr="007E1812" w:rsidRDefault="00B87922" w:rsidP="007F0000">
            <w:pPr>
              <w:rPr>
                <w:rFonts w:ascii="Arial Narrow" w:hAnsi="Arial Narrow"/>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cstheme="minorHAnsi"/>
                <w:sz w:val="20"/>
                <w:szCs w:val="20"/>
              </w:rPr>
            </w:pPr>
            <w:r w:rsidRPr="007E1812">
              <w:rPr>
                <w:rFonts w:ascii="Arial Narrow" w:hAnsi="Arial Narrow" w:cstheme="minorHAnsi"/>
                <w:sz w:val="20"/>
                <w:szCs w:val="20"/>
              </w:rPr>
              <w:t>Stage IIIB (locally advanced) or Stage IV (metastatic) non-small cell lung cancer (NSCLC)</w:t>
            </w: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Treatment phase:</w:t>
            </w: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sz w:val="20"/>
                <w:szCs w:val="20"/>
              </w:rPr>
            </w:pPr>
            <w:r w:rsidRPr="007E1812">
              <w:rPr>
                <w:rFonts w:ascii="Arial Narrow" w:hAnsi="Arial Narrow"/>
                <w:sz w:val="20"/>
                <w:szCs w:val="20"/>
              </w:rPr>
              <w:t xml:space="preserve">Initial treatment </w:t>
            </w: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Restriction Level / Method:</w:t>
            </w:r>
          </w:p>
          <w:p w:rsidR="00B87922" w:rsidRPr="007E1812" w:rsidRDefault="00B87922" w:rsidP="007F0000">
            <w:pPr>
              <w:rPr>
                <w:rFonts w:ascii="Arial Narrow" w:hAnsi="Arial Narrow"/>
                <w:i/>
                <w:sz w:val="20"/>
                <w:szCs w:val="20"/>
              </w:rPr>
            </w:pPr>
          </w:p>
          <w:p w:rsidR="00B87922" w:rsidRPr="007E1812" w:rsidRDefault="00B87922" w:rsidP="007F0000">
            <w:pPr>
              <w:rPr>
                <w:rFonts w:ascii="Arial Narrow" w:hAnsi="Arial Narrow"/>
                <w:i/>
                <w:sz w:val="20"/>
                <w:szCs w:val="20"/>
              </w:rPr>
            </w:pPr>
          </w:p>
          <w:p w:rsidR="00B87922" w:rsidRPr="007E1812" w:rsidRDefault="00B87922" w:rsidP="007F0000">
            <w:pPr>
              <w:rPr>
                <w:rFonts w:ascii="Arial Narrow" w:hAnsi="Arial Narrow"/>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1"/>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Restricted benefit</w:t>
            </w:r>
          </w:p>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Authority Required – In Writing</w:t>
            </w:r>
          </w:p>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3"/>
                  <w:enabled/>
                  <w:calcOnExit w:val="0"/>
                  <w:checkBox>
                    <w:sizeAuto/>
                    <w:default w:val="1"/>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Authority Required – Telephone/Electronic/Emergency</w:t>
            </w:r>
          </w:p>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5"/>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Streamlined</w:t>
            </w: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Clinical criteria:</w:t>
            </w:r>
          </w:p>
          <w:p w:rsidR="00B87922" w:rsidRPr="007E1812" w:rsidRDefault="00B87922" w:rsidP="007F0000">
            <w:pPr>
              <w:rPr>
                <w:rFonts w:ascii="Arial Narrow" w:hAnsi="Arial Narrow"/>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pStyle w:val="Tabletext"/>
              <w:widowControl w:val="0"/>
              <w:rPr>
                <w:rFonts w:cs="Arial"/>
                <w:color w:val="222222"/>
                <w:szCs w:val="20"/>
                <w:lang w:eastAsia="en-GB"/>
              </w:rPr>
            </w:pPr>
            <w:r w:rsidRPr="007E1812">
              <w:rPr>
                <w:rFonts w:cs="Arial"/>
                <w:color w:val="222222"/>
                <w:szCs w:val="20"/>
                <w:lang w:eastAsia="en-GB"/>
              </w:rPr>
              <w:t>The treatment must be as monotherapy,</w:t>
            </w:r>
          </w:p>
          <w:p w:rsidR="00B87922" w:rsidRPr="007E1812" w:rsidRDefault="00B87922" w:rsidP="007F0000">
            <w:pPr>
              <w:pStyle w:val="Tabletext"/>
              <w:widowControl w:val="0"/>
              <w:rPr>
                <w:rFonts w:cs="Arial"/>
                <w:color w:val="222222"/>
                <w:szCs w:val="20"/>
                <w:lang w:eastAsia="en-GB"/>
              </w:rPr>
            </w:pPr>
            <w:r w:rsidRPr="007E1812">
              <w:rPr>
                <w:rFonts w:cs="Arial"/>
                <w:color w:val="222222"/>
                <w:szCs w:val="20"/>
                <w:lang w:eastAsia="en-GB"/>
              </w:rPr>
              <w:t>AND</w:t>
            </w:r>
          </w:p>
          <w:p w:rsidR="00B87922" w:rsidRPr="007E1812" w:rsidRDefault="00B87922" w:rsidP="007F0000">
            <w:pPr>
              <w:pStyle w:val="Tabletext"/>
              <w:widowControl w:val="0"/>
              <w:rPr>
                <w:rFonts w:cs="Arial"/>
                <w:color w:val="222222"/>
                <w:szCs w:val="20"/>
                <w:lang w:eastAsia="en-GB"/>
              </w:rPr>
            </w:pPr>
          </w:p>
          <w:p w:rsidR="00B87922" w:rsidRPr="007E1812" w:rsidRDefault="00B87922" w:rsidP="007F0000">
            <w:pPr>
              <w:pStyle w:val="Tabletext"/>
              <w:widowControl w:val="0"/>
              <w:rPr>
                <w:rFonts w:cs="Arial"/>
                <w:color w:val="222222"/>
                <w:szCs w:val="20"/>
                <w:lang w:eastAsia="en-GB"/>
              </w:rPr>
            </w:pPr>
            <w:r w:rsidRPr="007E1812">
              <w:rPr>
                <w:rFonts w:cs="Arial"/>
                <w:color w:val="222222"/>
                <w:szCs w:val="20"/>
                <w:lang w:eastAsia="en-GB"/>
              </w:rPr>
              <w:t>The condition must be non-squamous type non-small cell lung cancer</w:t>
            </w:r>
            <w:r w:rsidRPr="007E1812">
              <w:rPr>
                <w:rFonts w:cs="Arial"/>
                <w:i/>
                <w:iCs/>
                <w:color w:val="222222"/>
                <w:szCs w:val="20"/>
                <w:lang w:eastAsia="en-GB"/>
              </w:rPr>
              <w:t xml:space="preserve"> </w:t>
            </w:r>
            <w:r w:rsidRPr="007E1812">
              <w:rPr>
                <w:rFonts w:cs="Arial"/>
                <w:color w:val="222222"/>
                <w:szCs w:val="20"/>
                <w:lang w:eastAsia="en-GB"/>
              </w:rPr>
              <w:t xml:space="preserve">(NSCLC) or not otherwise specified type NSCLC, </w:t>
            </w:r>
          </w:p>
          <w:p w:rsidR="00B87922" w:rsidRPr="007E1812" w:rsidRDefault="00B87922" w:rsidP="007F0000">
            <w:pPr>
              <w:pStyle w:val="Tabletext"/>
              <w:widowControl w:val="0"/>
              <w:rPr>
                <w:rFonts w:cs="Arial"/>
                <w:color w:val="222222"/>
                <w:szCs w:val="20"/>
                <w:lang w:eastAsia="en-GB"/>
              </w:rPr>
            </w:pPr>
            <w:r w:rsidRPr="007E1812">
              <w:rPr>
                <w:rFonts w:cs="Arial"/>
                <w:color w:val="222222"/>
                <w:szCs w:val="20"/>
                <w:lang w:eastAsia="en-GB"/>
              </w:rPr>
              <w:t>AND</w:t>
            </w:r>
          </w:p>
          <w:p w:rsidR="00B87922" w:rsidRPr="007E1812" w:rsidRDefault="00B87922" w:rsidP="007F0000">
            <w:pPr>
              <w:pStyle w:val="Tabletext"/>
              <w:widowControl w:val="0"/>
              <w:rPr>
                <w:rFonts w:cs="Arial"/>
                <w:color w:val="222222"/>
                <w:szCs w:val="20"/>
                <w:lang w:eastAsia="en-GB"/>
              </w:rPr>
            </w:pPr>
          </w:p>
          <w:p w:rsidR="00B87922" w:rsidRPr="007E1812" w:rsidRDefault="00B87922" w:rsidP="007F0000">
            <w:pPr>
              <w:rPr>
                <w:rFonts w:ascii="Arial Narrow" w:hAnsi="Arial Narrow"/>
                <w:color w:val="222222"/>
                <w:sz w:val="20"/>
                <w:szCs w:val="20"/>
                <w:lang w:eastAsia="en-GB"/>
              </w:rPr>
            </w:pPr>
            <w:r w:rsidRPr="007E1812">
              <w:rPr>
                <w:rFonts w:ascii="Arial Narrow" w:hAnsi="Arial Narrow"/>
                <w:color w:val="222222"/>
                <w:sz w:val="20"/>
                <w:szCs w:val="20"/>
                <w:lang w:eastAsia="en-GB"/>
              </w:rPr>
              <w:t>Patient must have a WHO performance status of 2 or less.</w:t>
            </w:r>
          </w:p>
        </w:tc>
      </w:tr>
      <w:tr w:rsidR="00B87922" w:rsidRPr="007E1812" w:rsidTr="007F000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b/>
                <w:sz w:val="20"/>
                <w:szCs w:val="20"/>
              </w:rPr>
            </w:pPr>
            <w:r w:rsidRPr="007E1812">
              <w:rPr>
                <w:rFonts w:ascii="Arial Narrow" w:hAnsi="Arial Narrow"/>
                <w:b/>
                <w:sz w:val="20"/>
                <w:szCs w:val="20"/>
              </w:rPr>
              <w:t>Population criteria:</w:t>
            </w:r>
          </w:p>
          <w:p w:rsidR="00B87922" w:rsidRPr="007E1812" w:rsidRDefault="00B87922" w:rsidP="007F0000">
            <w:pPr>
              <w:rPr>
                <w:rFonts w:ascii="Arial Narrow" w:hAnsi="Arial Narrow"/>
                <w:sz w:val="20"/>
                <w:szCs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sz w:val="20"/>
                <w:szCs w:val="20"/>
              </w:rPr>
            </w:pPr>
            <w:r w:rsidRPr="007E1812">
              <w:rPr>
                <w:rFonts w:ascii="Arial Narrow" w:hAnsi="Arial Narrow"/>
                <w:sz w:val="20"/>
                <w:szCs w:val="20"/>
              </w:rPr>
              <w:t>Patient must have evidence of an anaplastic lymphoma kinase (ALK) gene rearrangement in tumour material, defined as 15% (or greater) positive cells by fluorescence in situ hybridisation (FISH) testing.</w:t>
            </w:r>
          </w:p>
        </w:tc>
      </w:tr>
      <w:tr w:rsidR="00B87922" w:rsidRPr="007E1812" w:rsidTr="00784AD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rPr>
                <w:rFonts w:ascii="Arial Narrow" w:hAnsi="Arial Narrow"/>
                <w:i/>
                <w:sz w:val="20"/>
                <w:szCs w:val="20"/>
              </w:rPr>
            </w:pPr>
            <w:r w:rsidRPr="007E1812">
              <w:rPr>
                <w:rFonts w:ascii="Arial Narrow" w:hAnsi="Arial Narrow"/>
                <w:b/>
                <w:sz w:val="20"/>
                <w:szCs w:val="20"/>
              </w:rPr>
              <w:t>Administrative Advice:</w:t>
            </w: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B87922" w:rsidRPr="007E1812" w:rsidRDefault="00B87922" w:rsidP="007F0000">
            <w:pPr>
              <w:pStyle w:val="Tabletext"/>
              <w:widowControl w:val="0"/>
              <w:rPr>
                <w:szCs w:val="20"/>
              </w:rPr>
            </w:pPr>
            <w:r w:rsidRPr="007E1812">
              <w:rPr>
                <w:szCs w:val="20"/>
              </w:rPr>
              <w:t>No increase in the maximum quantity or number of units may be authorised.</w:t>
            </w:r>
          </w:p>
          <w:p w:rsidR="00B87922" w:rsidRPr="007E1812" w:rsidRDefault="00B87922" w:rsidP="007F0000">
            <w:pPr>
              <w:pStyle w:val="Tabletext"/>
              <w:widowControl w:val="0"/>
              <w:rPr>
                <w:szCs w:val="20"/>
              </w:rPr>
            </w:pPr>
          </w:p>
          <w:p w:rsidR="00B87922" w:rsidRPr="007E1812" w:rsidRDefault="00B87922" w:rsidP="007F0000">
            <w:pPr>
              <w:rPr>
                <w:rFonts w:ascii="Arial Narrow" w:hAnsi="Arial Narrow"/>
                <w:sz w:val="20"/>
                <w:szCs w:val="20"/>
              </w:rPr>
            </w:pPr>
            <w:r w:rsidRPr="007E1812">
              <w:rPr>
                <w:rFonts w:ascii="Arial Narrow" w:hAnsi="Arial Narrow"/>
                <w:sz w:val="20"/>
                <w:szCs w:val="20"/>
              </w:rPr>
              <w:t>No increase in the maximum number of repeats may be authorised.</w:t>
            </w:r>
          </w:p>
          <w:p w:rsidR="00B87922" w:rsidRPr="007E1812" w:rsidRDefault="00B87922" w:rsidP="007F0000">
            <w:pPr>
              <w:rPr>
                <w:rFonts w:ascii="Arial Narrow" w:hAnsi="Arial Narrow"/>
                <w:sz w:val="20"/>
                <w:szCs w:val="20"/>
              </w:rPr>
            </w:pPr>
          </w:p>
          <w:p w:rsidR="00B87922" w:rsidRPr="007E1812" w:rsidRDefault="00B87922" w:rsidP="007F0000">
            <w:pPr>
              <w:rPr>
                <w:rFonts w:ascii="Arial Narrow" w:hAnsi="Arial Narrow"/>
                <w:sz w:val="20"/>
                <w:szCs w:val="20"/>
              </w:rPr>
            </w:pPr>
            <w:r w:rsidRPr="007E1812">
              <w:rPr>
                <w:rFonts w:ascii="Arial Narrow" w:hAnsi="Arial Narrow"/>
                <w:sz w:val="20"/>
                <w:szCs w:val="20"/>
              </w:rPr>
              <w:t>Special Pricing Arrangements apply.</w:t>
            </w:r>
          </w:p>
        </w:tc>
      </w:tr>
      <w:tr w:rsidR="00646BB6" w:rsidRPr="007E1812" w:rsidTr="00784AD8">
        <w:trPr>
          <w:trHeight w:val="88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646BB6" w:rsidRPr="007E1812" w:rsidRDefault="00646BB6" w:rsidP="007F0000">
            <w:pPr>
              <w:rPr>
                <w:rFonts w:ascii="Arial Narrow" w:hAnsi="Arial Narrow"/>
                <w:b/>
                <w:sz w:val="20"/>
                <w:szCs w:val="20"/>
              </w:rPr>
            </w:pPr>
            <w:r w:rsidRPr="007E1812">
              <w:rPr>
                <w:rFonts w:ascii="Arial Narrow" w:hAnsi="Arial Narrow"/>
                <w:b/>
                <w:sz w:val="20"/>
                <w:szCs w:val="20"/>
              </w:rPr>
              <w:lastRenderedPageBreak/>
              <w:t xml:space="preserve">Caution: </w:t>
            </w:r>
          </w:p>
        </w:tc>
        <w:tc>
          <w:tcPr>
            <w:tcW w:w="6379" w:type="dxa"/>
            <w:gridSpan w:val="7"/>
            <w:tcBorders>
              <w:top w:val="single" w:sz="4" w:space="0" w:color="auto"/>
              <w:left w:val="single" w:sz="4" w:space="0" w:color="auto"/>
              <w:bottom w:val="single" w:sz="4" w:space="0" w:color="auto"/>
              <w:right w:val="single" w:sz="4" w:space="0" w:color="auto"/>
            </w:tcBorders>
            <w:shd w:val="clear" w:color="auto" w:fill="auto"/>
          </w:tcPr>
          <w:p w:rsidR="002456AC" w:rsidRPr="007E1812" w:rsidRDefault="002456AC" w:rsidP="007F0000">
            <w:pPr>
              <w:rPr>
                <w:bCs/>
              </w:rPr>
            </w:pPr>
            <w:r w:rsidRPr="007E1812">
              <w:rPr>
                <w:rFonts w:ascii="Arial Narrow" w:hAnsi="Arial Narrow"/>
                <w:sz w:val="20"/>
                <w:szCs w:val="20"/>
              </w:rPr>
              <w:t xml:space="preserve">Careful monitoring of patients is required due to risk of developing pulmonary adverse events observed in patients within the first seven days of treatment with brigatinib. Patients must be instructed to report any new or worsening respiratory </w:t>
            </w:r>
            <w:r w:rsidR="00994D5F" w:rsidRPr="007E1812">
              <w:rPr>
                <w:rFonts w:ascii="Arial Narrow" w:hAnsi="Arial Narrow"/>
                <w:sz w:val="20"/>
                <w:szCs w:val="20"/>
              </w:rPr>
              <w:t>symptoms</w:t>
            </w:r>
            <w:r w:rsidR="00994D5F" w:rsidRPr="007E1812">
              <w:rPr>
                <w:bCs/>
              </w:rPr>
              <w:t>.</w:t>
            </w:r>
          </w:p>
        </w:tc>
      </w:tr>
      <w:tr w:rsidR="00784AD8" w:rsidRPr="007E1812" w:rsidTr="00784AD8">
        <w:trPr>
          <w:trHeight w:val="492"/>
        </w:trPr>
        <w:tc>
          <w:tcPr>
            <w:tcW w:w="2835" w:type="dxa"/>
            <w:tcBorders>
              <w:top w:val="single" w:sz="4" w:space="0" w:color="auto"/>
            </w:tcBorders>
            <w:shd w:val="clear" w:color="auto" w:fill="auto"/>
          </w:tcPr>
          <w:p w:rsidR="00784AD8" w:rsidRPr="007E1812" w:rsidRDefault="00784AD8" w:rsidP="007F0000">
            <w:pPr>
              <w:rPr>
                <w:rFonts w:ascii="Arial Narrow" w:hAnsi="Arial Narrow"/>
                <w:b/>
                <w:sz w:val="20"/>
                <w:szCs w:val="20"/>
              </w:rPr>
            </w:pPr>
          </w:p>
        </w:tc>
        <w:tc>
          <w:tcPr>
            <w:tcW w:w="6379" w:type="dxa"/>
            <w:gridSpan w:val="7"/>
            <w:tcBorders>
              <w:top w:val="single" w:sz="4" w:space="0" w:color="auto"/>
            </w:tcBorders>
            <w:shd w:val="clear" w:color="auto" w:fill="auto"/>
          </w:tcPr>
          <w:p w:rsidR="00784AD8" w:rsidRPr="007E1812" w:rsidRDefault="00784AD8" w:rsidP="007F0000">
            <w:pPr>
              <w:rPr>
                <w:rFonts w:ascii="Arial Narrow" w:hAnsi="Arial Narrow"/>
                <w:sz w:val="20"/>
                <w:szCs w:val="20"/>
              </w:rPr>
            </w:pPr>
          </w:p>
        </w:tc>
      </w:tr>
      <w:tr w:rsidR="00F40DE7" w:rsidRPr="007E1812" w:rsidTr="00784AD8">
        <w:tblPrEx>
          <w:tblLook w:val="0020" w:firstRow="1" w:lastRow="0" w:firstColumn="0" w:lastColumn="0" w:noHBand="0" w:noVBand="0"/>
        </w:tblPrEx>
        <w:trPr>
          <w:trHeight w:val="57"/>
        </w:trPr>
        <w:tc>
          <w:tcPr>
            <w:tcW w:w="3261" w:type="dxa"/>
            <w:gridSpan w:val="2"/>
            <w:tcBorders>
              <w:bottom w:val="single" w:sz="4" w:space="0" w:color="auto"/>
            </w:tcBorders>
          </w:tcPr>
          <w:p w:rsidR="00F40DE7" w:rsidRPr="007E1812" w:rsidRDefault="00F40DE7" w:rsidP="007F0000">
            <w:pPr>
              <w:ind w:left="-108"/>
              <w:rPr>
                <w:rFonts w:ascii="Arial Narrow" w:hAnsi="Arial Narrow"/>
                <w:sz w:val="20"/>
                <w:szCs w:val="20"/>
              </w:rPr>
            </w:pPr>
            <w:r w:rsidRPr="007E1812">
              <w:rPr>
                <w:rFonts w:ascii="Arial Narrow" w:hAnsi="Arial Narrow"/>
                <w:sz w:val="20"/>
                <w:szCs w:val="20"/>
              </w:rPr>
              <w:t>Name, Restriction,</w:t>
            </w:r>
          </w:p>
          <w:p w:rsidR="00F40DE7" w:rsidRPr="007E1812" w:rsidRDefault="00F40DE7" w:rsidP="007F0000">
            <w:pPr>
              <w:ind w:left="-108"/>
              <w:rPr>
                <w:rFonts w:ascii="Arial Narrow" w:hAnsi="Arial Narrow"/>
                <w:sz w:val="20"/>
                <w:szCs w:val="20"/>
              </w:rPr>
            </w:pPr>
            <w:r w:rsidRPr="007E1812">
              <w:rPr>
                <w:rFonts w:ascii="Arial Narrow" w:hAnsi="Arial Narrow"/>
                <w:sz w:val="20"/>
                <w:szCs w:val="20"/>
              </w:rPr>
              <w:t>Manner of administration and form</w:t>
            </w:r>
          </w:p>
        </w:tc>
        <w:tc>
          <w:tcPr>
            <w:tcW w:w="567" w:type="dxa"/>
            <w:tcBorders>
              <w:bottom w:val="single" w:sz="4" w:space="0" w:color="auto"/>
            </w:tcBorders>
          </w:tcPr>
          <w:p w:rsidR="00F40DE7" w:rsidRPr="007E1812" w:rsidRDefault="00F40DE7" w:rsidP="007F0000">
            <w:pPr>
              <w:ind w:left="-108"/>
              <w:rPr>
                <w:rFonts w:ascii="Arial Narrow" w:hAnsi="Arial Narrow"/>
                <w:sz w:val="20"/>
                <w:szCs w:val="20"/>
              </w:rPr>
            </w:pPr>
            <w:r w:rsidRPr="007E1812">
              <w:rPr>
                <w:rFonts w:ascii="Arial Narrow" w:hAnsi="Arial Narrow"/>
                <w:sz w:val="20"/>
                <w:szCs w:val="20"/>
              </w:rPr>
              <w:t>Max.</w:t>
            </w:r>
          </w:p>
          <w:p w:rsidR="00F40DE7" w:rsidRPr="007E1812" w:rsidRDefault="00F40DE7" w:rsidP="007F0000">
            <w:pPr>
              <w:ind w:left="-108"/>
              <w:rPr>
                <w:rFonts w:ascii="Arial Narrow" w:hAnsi="Arial Narrow"/>
                <w:sz w:val="20"/>
                <w:szCs w:val="20"/>
              </w:rPr>
            </w:pPr>
            <w:r w:rsidRPr="007E1812">
              <w:rPr>
                <w:rFonts w:ascii="Arial Narrow" w:hAnsi="Arial Narrow"/>
                <w:sz w:val="20"/>
                <w:szCs w:val="20"/>
              </w:rPr>
              <w:t>Qty</w:t>
            </w:r>
          </w:p>
        </w:tc>
        <w:tc>
          <w:tcPr>
            <w:tcW w:w="992" w:type="dxa"/>
            <w:gridSpan w:val="2"/>
            <w:tcBorders>
              <w:bottom w:val="single" w:sz="4" w:space="0" w:color="auto"/>
            </w:tcBorders>
          </w:tcPr>
          <w:p w:rsidR="00F40DE7" w:rsidRPr="007E1812" w:rsidRDefault="00F40DE7" w:rsidP="007F0000">
            <w:pPr>
              <w:ind w:left="-108"/>
              <w:rPr>
                <w:rFonts w:ascii="Arial Narrow" w:hAnsi="Arial Narrow"/>
                <w:sz w:val="20"/>
                <w:szCs w:val="20"/>
              </w:rPr>
            </w:pPr>
            <w:r w:rsidRPr="007E1812">
              <w:rPr>
                <w:rFonts w:ascii="Arial Narrow" w:hAnsi="Arial Narrow"/>
                <w:sz w:val="20"/>
                <w:szCs w:val="20"/>
              </w:rPr>
              <w:t>№.of</w:t>
            </w:r>
          </w:p>
          <w:p w:rsidR="00F40DE7" w:rsidRPr="007E1812" w:rsidRDefault="00F40DE7" w:rsidP="007F0000">
            <w:pPr>
              <w:ind w:left="-108"/>
              <w:rPr>
                <w:rFonts w:ascii="Arial Narrow" w:hAnsi="Arial Narrow"/>
                <w:sz w:val="20"/>
                <w:szCs w:val="20"/>
              </w:rPr>
            </w:pPr>
            <w:r w:rsidRPr="007E1812">
              <w:rPr>
                <w:rFonts w:ascii="Arial Narrow" w:hAnsi="Arial Narrow"/>
                <w:sz w:val="20"/>
                <w:szCs w:val="20"/>
              </w:rPr>
              <w:t>Rpts</w:t>
            </w:r>
          </w:p>
        </w:tc>
        <w:tc>
          <w:tcPr>
            <w:tcW w:w="4394" w:type="dxa"/>
            <w:gridSpan w:val="3"/>
            <w:tcBorders>
              <w:bottom w:val="single" w:sz="4" w:space="0" w:color="auto"/>
            </w:tcBorders>
          </w:tcPr>
          <w:p w:rsidR="00F40DE7" w:rsidRPr="007E1812" w:rsidRDefault="00F40DE7" w:rsidP="007F0000">
            <w:pPr>
              <w:rPr>
                <w:rFonts w:ascii="Arial Narrow" w:hAnsi="Arial Narrow"/>
                <w:sz w:val="20"/>
                <w:szCs w:val="20"/>
              </w:rPr>
            </w:pPr>
            <w:r w:rsidRPr="007E1812">
              <w:rPr>
                <w:rFonts w:ascii="Arial Narrow" w:hAnsi="Arial Narrow"/>
                <w:sz w:val="20"/>
                <w:szCs w:val="20"/>
              </w:rPr>
              <w:t>Proprietary Name and Manufacturer</w:t>
            </w:r>
          </w:p>
        </w:tc>
      </w:tr>
      <w:tr w:rsidR="00F40DE7" w:rsidRPr="007E1812" w:rsidTr="007F0000">
        <w:tblPrEx>
          <w:tblLook w:val="0020" w:firstRow="1" w:lastRow="0" w:firstColumn="0" w:lastColumn="0" w:noHBand="0" w:noVBand="0"/>
        </w:tblPrEx>
        <w:trPr>
          <w:trHeight w:val="57"/>
        </w:trPr>
        <w:tc>
          <w:tcPr>
            <w:tcW w:w="3261" w:type="dxa"/>
            <w:gridSpan w:val="2"/>
          </w:tcPr>
          <w:p w:rsidR="00F40DE7" w:rsidRPr="007E1812" w:rsidRDefault="00F40DE7" w:rsidP="007F0000">
            <w:pPr>
              <w:ind w:left="-108"/>
              <w:rPr>
                <w:rFonts w:ascii="Arial Narrow" w:hAnsi="Arial Narrow"/>
                <w:sz w:val="20"/>
                <w:szCs w:val="20"/>
              </w:rPr>
            </w:pPr>
            <w:r w:rsidRPr="007E1812">
              <w:rPr>
                <w:rFonts w:ascii="Arial Narrow" w:hAnsi="Arial Narrow"/>
                <w:smallCaps/>
                <w:sz w:val="20"/>
                <w:szCs w:val="20"/>
              </w:rPr>
              <w:t>BRIGATINIB</w:t>
            </w:r>
          </w:p>
          <w:p w:rsidR="00F40DE7" w:rsidRPr="007E1812" w:rsidRDefault="00F40DE7" w:rsidP="007F0000">
            <w:pPr>
              <w:ind w:left="-108"/>
              <w:rPr>
                <w:rFonts w:ascii="Arial Narrow" w:hAnsi="Arial Narrow"/>
                <w:iCs/>
                <w:sz w:val="20"/>
                <w:szCs w:val="20"/>
              </w:rPr>
            </w:pPr>
            <w:r w:rsidRPr="007E1812">
              <w:rPr>
                <w:rFonts w:ascii="Arial Narrow" w:hAnsi="Arial Narrow"/>
                <w:sz w:val="20"/>
                <w:szCs w:val="20"/>
              </w:rPr>
              <w:t>30 mg tablet</w:t>
            </w:r>
            <w:r w:rsidRPr="007E1812">
              <w:rPr>
                <w:rFonts w:ascii="Arial Narrow" w:hAnsi="Arial Narrow"/>
                <w:strike/>
                <w:sz w:val="20"/>
                <w:szCs w:val="20"/>
              </w:rPr>
              <w:t>s</w:t>
            </w:r>
            <w:r w:rsidRPr="007E1812">
              <w:rPr>
                <w:rFonts w:ascii="Arial Narrow" w:hAnsi="Arial Narrow"/>
                <w:i/>
                <w:sz w:val="20"/>
                <w:szCs w:val="20"/>
              </w:rPr>
              <w:t xml:space="preserve">, </w:t>
            </w:r>
            <w:r w:rsidRPr="007E1812">
              <w:rPr>
                <w:rFonts w:ascii="Arial Narrow" w:hAnsi="Arial Narrow"/>
                <w:iCs/>
                <w:sz w:val="20"/>
                <w:szCs w:val="20"/>
              </w:rPr>
              <w:t>28</w:t>
            </w:r>
          </w:p>
          <w:p w:rsidR="00F40DE7" w:rsidRPr="007E1812" w:rsidRDefault="00F40DE7" w:rsidP="007F0000">
            <w:pPr>
              <w:ind w:left="-108"/>
              <w:rPr>
                <w:rFonts w:ascii="Arial Narrow" w:hAnsi="Arial Narrow"/>
                <w:sz w:val="20"/>
                <w:szCs w:val="20"/>
              </w:rPr>
            </w:pPr>
            <w:r w:rsidRPr="007E1812">
              <w:rPr>
                <w:rFonts w:ascii="Arial Narrow" w:hAnsi="Arial Narrow"/>
                <w:sz w:val="20"/>
                <w:szCs w:val="20"/>
              </w:rPr>
              <w:t>90 mg tablet</w:t>
            </w:r>
            <w:r w:rsidRPr="007E1812">
              <w:rPr>
                <w:rFonts w:ascii="Arial Narrow" w:hAnsi="Arial Narrow"/>
                <w:strike/>
                <w:sz w:val="20"/>
                <w:szCs w:val="20"/>
              </w:rPr>
              <w:t>s</w:t>
            </w:r>
            <w:r w:rsidRPr="007E1812">
              <w:rPr>
                <w:rFonts w:ascii="Arial Narrow" w:hAnsi="Arial Narrow"/>
                <w:sz w:val="20"/>
                <w:szCs w:val="20"/>
              </w:rPr>
              <w:t xml:space="preserve">, </w:t>
            </w:r>
            <w:r w:rsidRPr="007E1812">
              <w:rPr>
                <w:rFonts w:ascii="Arial Narrow" w:hAnsi="Arial Narrow"/>
                <w:iCs/>
                <w:sz w:val="20"/>
                <w:szCs w:val="20"/>
              </w:rPr>
              <w:t>28</w:t>
            </w:r>
          </w:p>
          <w:p w:rsidR="00F40DE7" w:rsidRPr="007E1812" w:rsidRDefault="00F40DE7" w:rsidP="007F0000">
            <w:pPr>
              <w:ind w:left="-108"/>
              <w:rPr>
                <w:rFonts w:ascii="Arial Narrow" w:hAnsi="Arial Narrow"/>
                <w:sz w:val="20"/>
                <w:szCs w:val="20"/>
              </w:rPr>
            </w:pPr>
            <w:r w:rsidRPr="007E1812">
              <w:rPr>
                <w:rFonts w:ascii="Arial Narrow" w:hAnsi="Arial Narrow"/>
                <w:sz w:val="20"/>
                <w:szCs w:val="20"/>
              </w:rPr>
              <w:t>180 mg tablet</w:t>
            </w:r>
            <w:r w:rsidRPr="007E1812">
              <w:rPr>
                <w:rFonts w:ascii="Arial Narrow" w:hAnsi="Arial Narrow"/>
                <w:strike/>
                <w:sz w:val="20"/>
                <w:szCs w:val="20"/>
              </w:rPr>
              <w:t>s</w:t>
            </w:r>
            <w:r w:rsidRPr="007E1812">
              <w:rPr>
                <w:rFonts w:ascii="Arial Narrow" w:hAnsi="Arial Narrow"/>
                <w:sz w:val="20"/>
                <w:szCs w:val="20"/>
              </w:rPr>
              <w:t xml:space="preserve">, </w:t>
            </w:r>
            <w:r w:rsidRPr="007E1812">
              <w:rPr>
                <w:rFonts w:ascii="Arial Narrow" w:hAnsi="Arial Narrow"/>
                <w:iCs/>
                <w:sz w:val="20"/>
                <w:szCs w:val="20"/>
              </w:rPr>
              <w:t>28</w:t>
            </w:r>
          </w:p>
        </w:tc>
        <w:tc>
          <w:tcPr>
            <w:tcW w:w="567" w:type="dxa"/>
          </w:tcPr>
          <w:p w:rsidR="00F40DE7" w:rsidRPr="007E1812" w:rsidRDefault="00F40DE7" w:rsidP="007F0000">
            <w:pPr>
              <w:ind w:left="-108"/>
              <w:rPr>
                <w:rFonts w:ascii="Arial Narrow" w:hAnsi="Arial Narrow"/>
                <w:sz w:val="20"/>
                <w:szCs w:val="20"/>
              </w:rPr>
            </w:pPr>
          </w:p>
          <w:p w:rsidR="00F40DE7" w:rsidRPr="007E1812" w:rsidRDefault="00F40DE7" w:rsidP="007F0000">
            <w:pPr>
              <w:ind w:left="-108"/>
              <w:rPr>
                <w:rFonts w:ascii="Arial Narrow" w:hAnsi="Arial Narrow"/>
                <w:sz w:val="20"/>
                <w:szCs w:val="20"/>
              </w:rPr>
            </w:pPr>
            <w:r w:rsidRPr="007E1812">
              <w:rPr>
                <w:rFonts w:ascii="Arial Narrow" w:hAnsi="Arial Narrow"/>
                <w:sz w:val="20"/>
                <w:szCs w:val="20"/>
              </w:rPr>
              <w:t>4</w:t>
            </w:r>
          </w:p>
          <w:p w:rsidR="00F40DE7" w:rsidRPr="007E1812" w:rsidRDefault="00F40DE7" w:rsidP="007F0000">
            <w:pPr>
              <w:ind w:left="-108"/>
              <w:rPr>
                <w:rFonts w:ascii="Arial Narrow" w:hAnsi="Arial Narrow"/>
                <w:sz w:val="20"/>
                <w:szCs w:val="20"/>
              </w:rPr>
            </w:pPr>
            <w:r w:rsidRPr="007E1812">
              <w:rPr>
                <w:rFonts w:ascii="Arial Narrow" w:hAnsi="Arial Narrow"/>
                <w:sz w:val="20"/>
                <w:szCs w:val="20"/>
              </w:rPr>
              <w:t>1</w:t>
            </w:r>
          </w:p>
          <w:p w:rsidR="00F40DE7" w:rsidRPr="007E1812" w:rsidRDefault="00F40DE7" w:rsidP="007F0000">
            <w:pPr>
              <w:ind w:left="-108"/>
              <w:rPr>
                <w:rFonts w:ascii="Arial Narrow" w:hAnsi="Arial Narrow"/>
                <w:sz w:val="20"/>
                <w:szCs w:val="20"/>
              </w:rPr>
            </w:pPr>
            <w:r w:rsidRPr="007E1812">
              <w:rPr>
                <w:rFonts w:ascii="Arial Narrow" w:hAnsi="Arial Narrow"/>
                <w:sz w:val="20"/>
                <w:szCs w:val="20"/>
              </w:rPr>
              <w:t>1</w:t>
            </w:r>
          </w:p>
        </w:tc>
        <w:tc>
          <w:tcPr>
            <w:tcW w:w="992" w:type="dxa"/>
            <w:gridSpan w:val="2"/>
          </w:tcPr>
          <w:p w:rsidR="00F40DE7" w:rsidRPr="007E1812" w:rsidRDefault="00F40DE7" w:rsidP="007F0000">
            <w:pPr>
              <w:ind w:left="-108"/>
              <w:rPr>
                <w:rFonts w:ascii="Arial Narrow" w:hAnsi="Arial Narrow"/>
                <w:sz w:val="20"/>
                <w:szCs w:val="20"/>
              </w:rPr>
            </w:pPr>
          </w:p>
          <w:p w:rsidR="00F40DE7" w:rsidRPr="007E1812" w:rsidRDefault="003B6AC6" w:rsidP="007F0000">
            <w:pPr>
              <w:ind w:left="-108"/>
              <w:rPr>
                <w:rFonts w:ascii="Arial Narrow" w:hAnsi="Arial Narrow"/>
                <w:sz w:val="20"/>
                <w:szCs w:val="20"/>
              </w:rPr>
            </w:pPr>
            <w:r w:rsidRPr="007E1812">
              <w:rPr>
                <w:rFonts w:ascii="Arial Narrow" w:hAnsi="Arial Narrow"/>
                <w:sz w:val="20"/>
                <w:szCs w:val="20"/>
              </w:rPr>
              <w:t>1</w:t>
            </w:r>
          </w:p>
          <w:p w:rsidR="00F40DE7" w:rsidRPr="007E1812" w:rsidRDefault="003B6AC6" w:rsidP="007F0000">
            <w:pPr>
              <w:ind w:left="-108"/>
              <w:rPr>
                <w:rFonts w:ascii="Arial Narrow" w:hAnsi="Arial Narrow"/>
                <w:sz w:val="20"/>
                <w:szCs w:val="20"/>
              </w:rPr>
            </w:pPr>
            <w:r w:rsidRPr="007E1812">
              <w:rPr>
                <w:rFonts w:ascii="Arial Narrow" w:hAnsi="Arial Narrow"/>
                <w:sz w:val="20"/>
                <w:szCs w:val="20"/>
              </w:rPr>
              <w:t>1</w:t>
            </w:r>
          </w:p>
          <w:p w:rsidR="00F40DE7" w:rsidRPr="007E1812" w:rsidRDefault="003B6AC6" w:rsidP="007F0000">
            <w:pPr>
              <w:ind w:left="-108"/>
              <w:rPr>
                <w:rFonts w:ascii="Arial Narrow" w:hAnsi="Arial Narrow"/>
                <w:sz w:val="20"/>
                <w:szCs w:val="20"/>
              </w:rPr>
            </w:pPr>
            <w:r w:rsidRPr="007E1812">
              <w:rPr>
                <w:rFonts w:ascii="Arial Narrow" w:hAnsi="Arial Narrow"/>
                <w:sz w:val="20"/>
                <w:szCs w:val="20"/>
              </w:rPr>
              <w:t>1</w:t>
            </w:r>
          </w:p>
        </w:tc>
        <w:tc>
          <w:tcPr>
            <w:tcW w:w="1134" w:type="dxa"/>
            <w:gridSpan w:val="2"/>
          </w:tcPr>
          <w:p w:rsidR="00F40DE7" w:rsidRPr="007E1812" w:rsidRDefault="00F40DE7" w:rsidP="007F0000">
            <w:pPr>
              <w:rPr>
                <w:rFonts w:ascii="Arial Narrow" w:hAnsi="Arial Narrow"/>
                <w:sz w:val="20"/>
                <w:szCs w:val="20"/>
              </w:rPr>
            </w:pPr>
            <w:r w:rsidRPr="007E1812">
              <w:rPr>
                <w:rFonts w:ascii="Arial Narrow" w:hAnsi="Arial Narrow"/>
                <w:sz w:val="20"/>
                <w:szCs w:val="20"/>
              </w:rPr>
              <w:t>Alunbrig®</w:t>
            </w:r>
          </w:p>
        </w:tc>
        <w:tc>
          <w:tcPr>
            <w:tcW w:w="3260" w:type="dxa"/>
          </w:tcPr>
          <w:p w:rsidR="00F40DE7" w:rsidRPr="007E1812" w:rsidRDefault="00F40DE7" w:rsidP="007F0000">
            <w:pPr>
              <w:rPr>
                <w:rFonts w:ascii="Arial Narrow" w:hAnsi="Arial Narrow"/>
                <w:sz w:val="20"/>
                <w:szCs w:val="20"/>
              </w:rPr>
            </w:pPr>
            <w:r w:rsidRPr="007E1812">
              <w:rPr>
                <w:rFonts w:ascii="Arial Narrow" w:hAnsi="Arial Narrow"/>
                <w:sz w:val="20"/>
                <w:szCs w:val="20"/>
              </w:rPr>
              <w:t>Takeda Pharmaceuticals Australia Pty Ltd</w:t>
            </w:r>
          </w:p>
        </w:tc>
      </w:tr>
      <w:tr w:rsidR="00B87922" w:rsidRPr="007E1812" w:rsidTr="007F0000">
        <w:tblPrEx>
          <w:tblLook w:val="0020" w:firstRow="1" w:lastRow="0" w:firstColumn="0" w:lastColumn="0" w:noHBand="0" w:noVBand="0"/>
        </w:tblPrEx>
        <w:trPr>
          <w:trHeight w:val="57"/>
        </w:trPr>
        <w:tc>
          <w:tcPr>
            <w:tcW w:w="9214" w:type="dxa"/>
            <w:gridSpan w:val="8"/>
            <w:tcBorders>
              <w:bottom w:val="single" w:sz="4" w:space="0" w:color="auto"/>
            </w:tcBorders>
          </w:tcPr>
          <w:p w:rsidR="00B87922" w:rsidRPr="007E1812" w:rsidRDefault="00B87922" w:rsidP="007F0000">
            <w:pPr>
              <w:rPr>
                <w:rFonts w:ascii="Arial Narrow" w:hAnsi="Arial Narrow"/>
                <w:sz w:val="20"/>
                <w:szCs w:val="20"/>
              </w:rPr>
            </w:pP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sz w:val="20"/>
                <w:szCs w:val="20"/>
              </w:rPr>
            </w:pPr>
            <w:r w:rsidRPr="007E1812">
              <w:rPr>
                <w:rFonts w:ascii="Arial Narrow" w:hAnsi="Arial Narrow"/>
                <w:sz w:val="20"/>
                <w:szCs w:val="20"/>
              </w:rPr>
              <w:t>GENERAL – General Schedule (Code GE)</w:t>
            </w: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Prescriber type:</w:t>
            </w:r>
          </w:p>
          <w:p w:rsidR="00B87922" w:rsidRPr="007E1812" w:rsidRDefault="00B87922" w:rsidP="007F0000">
            <w:pPr>
              <w:rPr>
                <w:rFonts w:ascii="Arial Narrow" w:hAnsi="Arial Narrow"/>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1"/>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Dental  </w:t>
            </w:r>
            <w:r w:rsidRPr="007E1812">
              <w:rPr>
                <w:rFonts w:ascii="Arial Narrow" w:hAnsi="Arial Narrow"/>
                <w:sz w:val="20"/>
                <w:szCs w:val="20"/>
              </w:rPr>
              <w:fldChar w:fldCharType="begin">
                <w:ffData>
                  <w:name w:val=""/>
                  <w:enabled/>
                  <w:calcOnExit w:val="0"/>
                  <w:checkBox>
                    <w:sizeAuto/>
                    <w:default w:val="1"/>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Medical Practitioners  </w:t>
            </w:r>
            <w:r w:rsidRPr="007E1812">
              <w:rPr>
                <w:rFonts w:ascii="Arial Narrow" w:hAnsi="Arial Narrow"/>
                <w:sz w:val="20"/>
                <w:szCs w:val="20"/>
              </w:rPr>
              <w:fldChar w:fldCharType="begin">
                <w:ffData>
                  <w:name w:val="Check3"/>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 xml:space="preserve">Nurse practitioners  </w:t>
            </w:r>
            <w:r w:rsidRPr="007E1812">
              <w:rPr>
                <w:rFonts w:ascii="Arial Narrow" w:hAnsi="Arial Narrow"/>
                <w:sz w:val="20"/>
                <w:szCs w:val="20"/>
              </w:rPr>
              <w:fldChar w:fldCharType="begin">
                <w:ffData>
                  <w:name w:val=""/>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Optometrists</w:t>
            </w:r>
          </w:p>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5"/>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Midwives</w:t>
            </w: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Severity:</w:t>
            </w: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cstheme="minorHAnsi"/>
                <w:sz w:val="20"/>
                <w:szCs w:val="20"/>
              </w:rPr>
            </w:pPr>
            <w:r w:rsidRPr="007E1812">
              <w:rPr>
                <w:rFonts w:ascii="Arial Narrow" w:hAnsi="Arial Narrow" w:cstheme="minorHAnsi"/>
                <w:sz w:val="20"/>
                <w:szCs w:val="20"/>
              </w:rPr>
              <w:t>Stage IIIB (locally advanced) or Stage IV (metastatic)</w:t>
            </w: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Condition:</w:t>
            </w: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cstheme="minorHAnsi"/>
                <w:sz w:val="20"/>
                <w:szCs w:val="20"/>
              </w:rPr>
            </w:pPr>
            <w:r w:rsidRPr="007E1812">
              <w:rPr>
                <w:rFonts w:ascii="Arial Narrow" w:hAnsi="Arial Narrow" w:cstheme="minorHAnsi"/>
                <w:sz w:val="20"/>
                <w:szCs w:val="20"/>
              </w:rPr>
              <w:t>non-small cell lung cancer (NSCLC)</w:t>
            </w: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PBS Indication:</w:t>
            </w:r>
          </w:p>
          <w:p w:rsidR="00B87922" w:rsidRPr="007E1812" w:rsidRDefault="00B87922" w:rsidP="007F0000">
            <w:pPr>
              <w:rPr>
                <w:rFonts w:ascii="Arial Narrow" w:hAnsi="Arial Narrow"/>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cstheme="minorHAnsi"/>
                <w:sz w:val="20"/>
                <w:szCs w:val="20"/>
              </w:rPr>
            </w:pPr>
            <w:r w:rsidRPr="007E1812">
              <w:rPr>
                <w:rFonts w:ascii="Arial Narrow" w:hAnsi="Arial Narrow" w:cstheme="minorHAnsi"/>
                <w:sz w:val="20"/>
                <w:szCs w:val="20"/>
              </w:rPr>
              <w:t>Stage IIIB (locally advanced) or Stage IV (metastatic) non-small cell lung cancer (NSCLC)</w:t>
            </w: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Treatment phase:</w:t>
            </w: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cstheme="minorHAnsi"/>
                <w:sz w:val="20"/>
                <w:szCs w:val="20"/>
              </w:rPr>
            </w:pPr>
            <w:r w:rsidRPr="007E1812">
              <w:rPr>
                <w:rFonts w:ascii="Arial Narrow" w:hAnsi="Arial Narrow" w:cstheme="minorHAnsi"/>
                <w:sz w:val="20"/>
                <w:szCs w:val="20"/>
              </w:rPr>
              <w:t xml:space="preserve">Continuing treatment </w:t>
            </w: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Restriction Level / Method:</w:t>
            </w:r>
          </w:p>
          <w:p w:rsidR="00B87922" w:rsidRPr="007E1812" w:rsidRDefault="00B87922" w:rsidP="007F0000">
            <w:pPr>
              <w:rPr>
                <w:rFonts w:ascii="Arial Narrow" w:hAnsi="Arial Narrow"/>
                <w:i/>
                <w:sz w:val="20"/>
                <w:szCs w:val="20"/>
              </w:rPr>
            </w:pPr>
          </w:p>
          <w:p w:rsidR="00B87922" w:rsidRPr="007E1812" w:rsidRDefault="00B87922" w:rsidP="007F0000">
            <w:pPr>
              <w:rPr>
                <w:rFonts w:ascii="Arial Narrow" w:hAnsi="Arial Narrow"/>
                <w:i/>
                <w:sz w:val="20"/>
                <w:szCs w:val="20"/>
              </w:rPr>
            </w:pPr>
          </w:p>
          <w:p w:rsidR="00B87922" w:rsidRPr="007E1812" w:rsidRDefault="00B87922" w:rsidP="007F0000">
            <w:pPr>
              <w:rPr>
                <w:rFonts w:ascii="Arial Narrow" w:hAnsi="Arial Narrow"/>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1"/>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Restricted benefit</w:t>
            </w:r>
          </w:p>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Authority Required – In Writing</w:t>
            </w:r>
          </w:p>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
                  <w:enabled/>
                  <w:calcOnExit w:val="0"/>
                  <w:checkBox>
                    <w:sizeAuto/>
                    <w:default w:val="1"/>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Authority Required – Telephone/Electronic/Emergency</w:t>
            </w:r>
          </w:p>
          <w:p w:rsidR="00B87922" w:rsidRPr="007E1812" w:rsidRDefault="00B87922" w:rsidP="007F0000">
            <w:pPr>
              <w:rPr>
                <w:rFonts w:ascii="Arial Narrow" w:hAnsi="Arial Narrow"/>
                <w:sz w:val="20"/>
                <w:szCs w:val="20"/>
              </w:rPr>
            </w:pPr>
            <w:r w:rsidRPr="007E1812">
              <w:rPr>
                <w:rFonts w:ascii="Arial Narrow" w:hAnsi="Arial Narrow"/>
                <w:sz w:val="20"/>
                <w:szCs w:val="20"/>
              </w:rPr>
              <w:fldChar w:fldCharType="begin">
                <w:ffData>
                  <w:name w:val="Check5"/>
                  <w:enabled/>
                  <w:calcOnExit w:val="0"/>
                  <w:checkBox>
                    <w:sizeAuto/>
                    <w:default w:val="0"/>
                  </w:checkBox>
                </w:ffData>
              </w:fldChar>
            </w:r>
            <w:r w:rsidRPr="007E1812">
              <w:rPr>
                <w:rFonts w:ascii="Arial Narrow" w:hAnsi="Arial Narrow"/>
                <w:sz w:val="20"/>
                <w:szCs w:val="20"/>
              </w:rPr>
              <w:instrText xml:space="preserve"> FORMCHECKBOX </w:instrText>
            </w:r>
            <w:r w:rsidR="00341DF8">
              <w:rPr>
                <w:rFonts w:ascii="Arial Narrow" w:hAnsi="Arial Narrow"/>
                <w:sz w:val="20"/>
                <w:szCs w:val="20"/>
              </w:rPr>
            </w:r>
            <w:r w:rsidR="00341DF8">
              <w:rPr>
                <w:rFonts w:ascii="Arial Narrow" w:hAnsi="Arial Narrow"/>
                <w:sz w:val="20"/>
                <w:szCs w:val="20"/>
              </w:rPr>
              <w:fldChar w:fldCharType="separate"/>
            </w:r>
            <w:r w:rsidRPr="007E1812">
              <w:rPr>
                <w:rFonts w:ascii="Arial Narrow" w:hAnsi="Arial Narrow"/>
                <w:sz w:val="20"/>
                <w:szCs w:val="20"/>
              </w:rPr>
              <w:fldChar w:fldCharType="end"/>
            </w:r>
            <w:r w:rsidRPr="007E1812">
              <w:rPr>
                <w:rFonts w:ascii="Arial Narrow" w:hAnsi="Arial Narrow"/>
                <w:sz w:val="20"/>
                <w:szCs w:val="20"/>
              </w:rPr>
              <w:t>Streamlined</w:t>
            </w: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Clinical criteria:</w:t>
            </w:r>
          </w:p>
          <w:p w:rsidR="00B87922" w:rsidRPr="007E1812" w:rsidRDefault="00B87922" w:rsidP="007F0000">
            <w:pPr>
              <w:rPr>
                <w:rFonts w:ascii="Arial Narrow" w:hAnsi="Arial Narrow"/>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pStyle w:val="Tabletext"/>
              <w:widowControl w:val="0"/>
              <w:rPr>
                <w:szCs w:val="20"/>
              </w:rPr>
            </w:pPr>
            <w:r w:rsidRPr="007E1812">
              <w:rPr>
                <w:szCs w:val="20"/>
              </w:rPr>
              <w:t>The treatment must be as monotherapy,</w:t>
            </w:r>
          </w:p>
          <w:p w:rsidR="00B87922" w:rsidRPr="007E1812" w:rsidRDefault="00B87922" w:rsidP="007F0000">
            <w:pPr>
              <w:pStyle w:val="Tabletext"/>
              <w:widowControl w:val="0"/>
              <w:rPr>
                <w:szCs w:val="20"/>
              </w:rPr>
            </w:pPr>
            <w:r w:rsidRPr="007E1812">
              <w:rPr>
                <w:szCs w:val="20"/>
              </w:rPr>
              <w:t>AND</w:t>
            </w:r>
          </w:p>
          <w:p w:rsidR="00B87922" w:rsidRPr="007E1812" w:rsidRDefault="00B87922" w:rsidP="007F0000">
            <w:pPr>
              <w:pStyle w:val="Tabletext"/>
              <w:widowControl w:val="0"/>
              <w:rPr>
                <w:szCs w:val="20"/>
              </w:rPr>
            </w:pPr>
          </w:p>
          <w:p w:rsidR="00B87922" w:rsidRPr="007E1812" w:rsidRDefault="00B87922" w:rsidP="007F0000">
            <w:pPr>
              <w:pStyle w:val="Tabletext"/>
              <w:widowControl w:val="0"/>
              <w:rPr>
                <w:szCs w:val="20"/>
              </w:rPr>
            </w:pPr>
            <w:r w:rsidRPr="007E1812">
              <w:rPr>
                <w:szCs w:val="20"/>
              </w:rPr>
              <w:t>Patient must have previously received PBS-subsidised treatment with this drug for this condition,</w:t>
            </w:r>
          </w:p>
          <w:p w:rsidR="00B87922" w:rsidRPr="007E1812" w:rsidRDefault="00B87922" w:rsidP="007F0000">
            <w:pPr>
              <w:pStyle w:val="Tabletext"/>
              <w:widowControl w:val="0"/>
              <w:rPr>
                <w:szCs w:val="20"/>
              </w:rPr>
            </w:pPr>
            <w:r w:rsidRPr="007E1812">
              <w:rPr>
                <w:szCs w:val="20"/>
              </w:rPr>
              <w:t>AND</w:t>
            </w:r>
          </w:p>
          <w:p w:rsidR="00B87922" w:rsidRPr="007E1812" w:rsidRDefault="00B87922" w:rsidP="007F0000">
            <w:pPr>
              <w:pStyle w:val="Tabletext"/>
              <w:widowControl w:val="0"/>
              <w:rPr>
                <w:szCs w:val="20"/>
              </w:rPr>
            </w:pPr>
          </w:p>
          <w:p w:rsidR="00B87922" w:rsidRPr="007E1812" w:rsidRDefault="00B87922" w:rsidP="007F0000">
            <w:pPr>
              <w:rPr>
                <w:rFonts w:ascii="Arial Narrow" w:hAnsi="Arial Narrow"/>
                <w:sz w:val="20"/>
                <w:szCs w:val="20"/>
              </w:rPr>
            </w:pPr>
            <w:r w:rsidRPr="007E1812">
              <w:rPr>
                <w:rFonts w:ascii="Arial Narrow" w:hAnsi="Arial Narrow"/>
                <w:sz w:val="20"/>
                <w:szCs w:val="20"/>
              </w:rPr>
              <w:t>Patient must not develop disease progression while receiving PBS-subsidised treatment with this drug for this condition.</w:t>
            </w:r>
          </w:p>
        </w:tc>
      </w:tr>
      <w:tr w:rsidR="00B87922" w:rsidRPr="007E1812" w:rsidTr="007F0000">
        <w:tblPrEx>
          <w:tblLook w:val="0020" w:firstRow="1" w:lastRow="0" w:firstColumn="0" w:lastColumn="0" w:noHBand="0" w:noVBand="0"/>
        </w:tblPrEx>
        <w:trPr>
          <w:trHeight w:val="57"/>
        </w:trPr>
        <w:tc>
          <w:tcPr>
            <w:tcW w:w="2835" w:type="dxa"/>
            <w:tcBorders>
              <w:top w:val="single" w:sz="4" w:space="0" w:color="auto"/>
              <w:left w:val="single" w:sz="4" w:space="0" w:color="auto"/>
              <w:bottom w:val="single" w:sz="4" w:space="0" w:color="auto"/>
              <w:right w:val="single" w:sz="4" w:space="0" w:color="auto"/>
            </w:tcBorders>
          </w:tcPr>
          <w:p w:rsidR="00B87922" w:rsidRPr="007E1812" w:rsidRDefault="00B87922" w:rsidP="007F0000">
            <w:pPr>
              <w:rPr>
                <w:rFonts w:ascii="Arial Narrow" w:hAnsi="Arial Narrow"/>
                <w:b/>
                <w:sz w:val="20"/>
                <w:szCs w:val="20"/>
              </w:rPr>
            </w:pPr>
            <w:r w:rsidRPr="007E1812">
              <w:rPr>
                <w:rFonts w:ascii="Arial Narrow" w:hAnsi="Arial Narrow"/>
                <w:b/>
                <w:sz w:val="20"/>
                <w:szCs w:val="20"/>
              </w:rPr>
              <w:t>Administrative Advice:</w:t>
            </w:r>
          </w:p>
          <w:p w:rsidR="00B87922" w:rsidRPr="007E1812" w:rsidRDefault="00B87922" w:rsidP="007F0000">
            <w:pPr>
              <w:rPr>
                <w:rFonts w:ascii="Arial Narrow" w:hAnsi="Arial Narrow"/>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B87922" w:rsidRPr="007E1812" w:rsidRDefault="00B87922" w:rsidP="007F0000">
            <w:pPr>
              <w:pStyle w:val="Tabletext"/>
              <w:widowControl w:val="0"/>
              <w:rPr>
                <w:szCs w:val="20"/>
              </w:rPr>
            </w:pPr>
            <w:r w:rsidRPr="007E1812">
              <w:rPr>
                <w:szCs w:val="20"/>
              </w:rPr>
              <w:t>No increase in the maximum quantity or number of units may be authorised.</w:t>
            </w:r>
          </w:p>
          <w:p w:rsidR="00B87922" w:rsidRPr="007E1812" w:rsidRDefault="00B87922" w:rsidP="007F0000">
            <w:pPr>
              <w:pStyle w:val="Tabletext"/>
              <w:widowControl w:val="0"/>
              <w:rPr>
                <w:szCs w:val="20"/>
              </w:rPr>
            </w:pPr>
          </w:p>
          <w:p w:rsidR="00B87922" w:rsidRPr="007E1812" w:rsidRDefault="00B87922" w:rsidP="007F0000">
            <w:pPr>
              <w:rPr>
                <w:rFonts w:ascii="Arial Narrow" w:hAnsi="Arial Narrow"/>
                <w:sz w:val="20"/>
                <w:szCs w:val="20"/>
              </w:rPr>
            </w:pPr>
            <w:r w:rsidRPr="007E1812">
              <w:rPr>
                <w:rFonts w:ascii="Arial Narrow" w:hAnsi="Arial Narrow"/>
                <w:sz w:val="20"/>
                <w:szCs w:val="20"/>
              </w:rPr>
              <w:t>No increase in the maximum number of repeats may be authorised.</w:t>
            </w:r>
          </w:p>
          <w:p w:rsidR="00B87922" w:rsidRPr="007E1812" w:rsidRDefault="00B87922" w:rsidP="007F0000">
            <w:pPr>
              <w:rPr>
                <w:rFonts w:ascii="Arial Narrow" w:hAnsi="Arial Narrow"/>
                <w:sz w:val="20"/>
                <w:szCs w:val="20"/>
              </w:rPr>
            </w:pPr>
          </w:p>
          <w:p w:rsidR="00B87922" w:rsidRPr="007E1812" w:rsidRDefault="00B87922" w:rsidP="007F0000">
            <w:pPr>
              <w:rPr>
                <w:rFonts w:ascii="Arial Narrow" w:hAnsi="Arial Narrow"/>
                <w:sz w:val="20"/>
                <w:szCs w:val="20"/>
              </w:rPr>
            </w:pPr>
            <w:r w:rsidRPr="007E1812">
              <w:rPr>
                <w:rFonts w:ascii="Arial Narrow" w:hAnsi="Arial Narrow"/>
                <w:sz w:val="20"/>
                <w:szCs w:val="20"/>
              </w:rPr>
              <w:t>Special Pricing Arrangements apply.</w:t>
            </w:r>
          </w:p>
        </w:tc>
      </w:tr>
    </w:tbl>
    <w:p w:rsidR="00DE249E" w:rsidRDefault="00DE249E" w:rsidP="0016779E">
      <w:pPr>
        <w:pStyle w:val="ListParagraph"/>
        <w:ind w:left="360"/>
        <w:rPr>
          <w:rFonts w:asciiTheme="minorHAnsi" w:hAnsiTheme="minorHAnsi" w:cstheme="minorHAnsi"/>
          <w:bCs/>
          <w:i/>
        </w:rPr>
      </w:pPr>
    </w:p>
    <w:p w:rsidR="0016779E" w:rsidRPr="007E1812" w:rsidRDefault="0016779E" w:rsidP="0016779E">
      <w:pPr>
        <w:pStyle w:val="ListParagraph"/>
        <w:ind w:left="360"/>
        <w:rPr>
          <w:rFonts w:asciiTheme="minorHAnsi" w:hAnsiTheme="minorHAnsi" w:cstheme="minorHAnsi"/>
          <w:bCs/>
          <w:i/>
        </w:rPr>
      </w:pPr>
      <w:r w:rsidRPr="007E1812">
        <w:rPr>
          <w:rFonts w:asciiTheme="minorHAnsi" w:hAnsiTheme="minorHAnsi" w:cstheme="minorHAnsi"/>
          <w:bCs/>
          <w:i/>
        </w:rPr>
        <w:t>This restriction may be subject to further review. Should there be any changes made to the restriction the Sponsor will be informed.</w:t>
      </w:r>
    </w:p>
    <w:p w:rsidR="00DE249E" w:rsidRPr="007E1812" w:rsidRDefault="00DE249E" w:rsidP="00617728">
      <w:pPr>
        <w:pStyle w:val="PBACHeading1"/>
        <w:keepNext/>
        <w:spacing w:before="240" w:after="120"/>
      </w:pPr>
      <w:r>
        <w:t xml:space="preserve">Context for Decision </w:t>
      </w:r>
    </w:p>
    <w:p w:rsidR="00681B99" w:rsidRPr="00681B99" w:rsidRDefault="00681B99" w:rsidP="00681B99">
      <w:pPr>
        <w:rPr>
          <w:rFonts w:asciiTheme="minorHAnsi" w:hAnsiTheme="minorHAnsi"/>
        </w:rPr>
      </w:pPr>
      <w:r w:rsidRPr="00681B99">
        <w:rPr>
          <w:rFonts w:asciiTheme="minorHAnsi" w:hAnsiTheme="minorHAnsi"/>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w:t>
      </w:r>
      <w:r w:rsidRPr="00681B99">
        <w:rPr>
          <w:rFonts w:asciiTheme="minorHAnsi" w:hAnsiTheme="minorHAnsi"/>
        </w:rPr>
        <w:lastRenderedPageBreak/>
        <w:t>in which it should be made available through the PBS. The PBAC welcomes applications containing new information at any time.</w:t>
      </w:r>
    </w:p>
    <w:p w:rsidR="00DE249E" w:rsidRPr="00617728" w:rsidRDefault="00DE249E" w:rsidP="00617728">
      <w:pPr>
        <w:pStyle w:val="PBACHeading1"/>
        <w:keepNext/>
        <w:spacing w:before="240" w:after="120"/>
      </w:pPr>
      <w:r w:rsidRPr="00DE249E">
        <w:t>Sponsor’s Comment</w:t>
      </w:r>
    </w:p>
    <w:p w:rsidR="00B87922" w:rsidRPr="00DE249E" w:rsidRDefault="008B3950" w:rsidP="00681B99">
      <w:pPr>
        <w:rPr>
          <w:rFonts w:asciiTheme="minorHAnsi" w:hAnsiTheme="minorHAnsi"/>
        </w:rPr>
      </w:pPr>
      <w:r>
        <w:rPr>
          <w:rFonts w:asciiTheme="minorHAnsi" w:hAnsiTheme="minorHAnsi"/>
        </w:rPr>
        <w:t xml:space="preserve">Takeda Australia welcomes the PBAC’s decision to recommend brigatinib for the treatment of locally advanced or metastatic ALK positive non-small cell lung cancer. Takeda believes brigatinib provides an effective treatment option for this high need patient population, and will be an important addition to the clinical management of ALK positive NSCLC in Australia. Takeda also wishes to thank those patients, clinicians, and organisations who took time to submit comments during the PBAC process. </w:t>
      </w:r>
    </w:p>
    <w:sectPr w:rsidR="00B87922" w:rsidRPr="00DE249E" w:rsidSect="00E2135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1DC4B" w16cid:durableId="218F1C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87" w:rsidRDefault="00765787" w:rsidP="00124A51">
      <w:r>
        <w:separator/>
      </w:r>
    </w:p>
    <w:p w:rsidR="00765787" w:rsidRDefault="00765787"/>
  </w:endnote>
  <w:endnote w:type="continuationSeparator" w:id="0">
    <w:p w:rsidR="00765787" w:rsidRDefault="00765787" w:rsidP="00124A51">
      <w:r>
        <w:continuationSeparator/>
      </w:r>
    </w:p>
    <w:p w:rsidR="00765787" w:rsidRDefault="0076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AC1" w:rsidRDefault="00D67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8C" w:rsidRDefault="00284A8C">
    <w:pPr>
      <w:pStyle w:val="Footer"/>
      <w:jc w:val="center"/>
      <w:rPr>
        <w:caps/>
        <w:color w:val="4F81BD" w:themeColor="accent1"/>
      </w:rPr>
    </w:pPr>
  </w:p>
  <w:p w:rsidR="00284A8C" w:rsidRPr="009A50F4" w:rsidRDefault="00284A8C">
    <w:pPr>
      <w:pStyle w:val="Footer"/>
      <w:jc w:val="center"/>
      <w:rPr>
        <w:b/>
        <w:bCs/>
        <w:caps/>
        <w:noProof/>
      </w:rPr>
    </w:pPr>
    <w:r w:rsidRPr="009A50F4">
      <w:rPr>
        <w:b/>
        <w:bCs/>
        <w:caps/>
      </w:rPr>
      <w:fldChar w:fldCharType="begin"/>
    </w:r>
    <w:r w:rsidRPr="009A50F4">
      <w:rPr>
        <w:b/>
        <w:bCs/>
        <w:caps/>
      </w:rPr>
      <w:instrText xml:space="preserve"> PAGE   \* MERGEFORMAT </w:instrText>
    </w:r>
    <w:r w:rsidRPr="009A50F4">
      <w:rPr>
        <w:b/>
        <w:bCs/>
        <w:caps/>
      </w:rPr>
      <w:fldChar w:fldCharType="separate"/>
    </w:r>
    <w:r w:rsidR="00341DF8">
      <w:rPr>
        <w:b/>
        <w:bCs/>
        <w:caps/>
        <w:noProof/>
      </w:rPr>
      <w:t>34</w:t>
    </w:r>
    <w:r w:rsidRPr="009A50F4">
      <w:rPr>
        <w:b/>
        <w:bCs/>
        <w:caps/>
        <w:noProof/>
      </w:rPr>
      <w:fldChar w:fldCharType="end"/>
    </w:r>
  </w:p>
  <w:p w:rsidR="00284A8C" w:rsidRDefault="00284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AC1" w:rsidRDefault="00D6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87" w:rsidRDefault="00765787" w:rsidP="00124A51">
      <w:r>
        <w:separator/>
      </w:r>
    </w:p>
    <w:p w:rsidR="00765787" w:rsidRDefault="00765787"/>
  </w:footnote>
  <w:footnote w:type="continuationSeparator" w:id="0">
    <w:p w:rsidR="00765787" w:rsidRDefault="00765787" w:rsidP="00124A51">
      <w:r>
        <w:continuationSeparator/>
      </w:r>
    </w:p>
    <w:p w:rsidR="00765787" w:rsidRDefault="00765787"/>
  </w:footnote>
  <w:footnote w:id="1">
    <w:p w:rsidR="00284A8C" w:rsidRPr="00EC5B86" w:rsidRDefault="00284A8C" w:rsidP="00EC5B86">
      <w:pPr>
        <w:pStyle w:val="FootnoteText"/>
        <w:rPr>
          <w:rFonts w:ascii="Arial Narrow" w:hAnsi="Arial Narrow"/>
          <w:sz w:val="18"/>
          <w:szCs w:val="18"/>
        </w:rPr>
      </w:pPr>
      <w:r w:rsidRPr="00EC5B86">
        <w:rPr>
          <w:rStyle w:val="FootnoteReference"/>
          <w:rFonts w:ascii="Arial Narrow" w:hAnsi="Arial Narrow"/>
          <w:sz w:val="18"/>
          <w:szCs w:val="18"/>
        </w:rPr>
        <w:footnoteRef/>
      </w:r>
      <w:r w:rsidRPr="00EC5B86">
        <w:rPr>
          <w:rFonts w:ascii="Arial Narrow" w:hAnsi="Arial Narrow"/>
          <w:sz w:val="18"/>
          <w:szCs w:val="18"/>
        </w:rPr>
        <w:t xml:space="preserve"> Campelo RG, Lin HM, Perol M, et al: Health-related quality of life (HRQoL) results from ALTA-1L: Phase 3 study of brigatinib vs crizotinib as first-line (1L) ALK therapy in advanced ALK+ non-small cell lung cancer (NSCLC). Journal of Clinical Oncology 37:9084-9084, 2019</w:t>
      </w:r>
    </w:p>
  </w:footnote>
  <w:footnote w:id="2">
    <w:p w:rsidR="00284A8C" w:rsidRPr="00EC5B86" w:rsidRDefault="00284A8C">
      <w:pPr>
        <w:pStyle w:val="FootnoteText"/>
        <w:rPr>
          <w:rFonts w:ascii="Arial Narrow" w:hAnsi="Arial Narrow"/>
          <w:sz w:val="18"/>
          <w:szCs w:val="18"/>
        </w:rPr>
      </w:pPr>
      <w:r w:rsidRPr="00EC5B86">
        <w:rPr>
          <w:rStyle w:val="FootnoteReference"/>
          <w:rFonts w:ascii="Arial Narrow" w:hAnsi="Arial Narrow"/>
          <w:sz w:val="18"/>
          <w:szCs w:val="18"/>
        </w:rPr>
        <w:footnoteRef/>
      </w:r>
      <w:r w:rsidRPr="00EC5B86">
        <w:rPr>
          <w:rFonts w:ascii="Arial Narrow" w:hAnsi="Arial Narrow"/>
          <w:sz w:val="18"/>
          <w:szCs w:val="18"/>
        </w:rPr>
        <w:t xml:space="preserve"> Camidge DR, Kim HR, Ahn M-J, et al: Brigatinib versus Crizotinib in ALK-Positive Non–Small-Cell Lung Cancer. New England Journal of Medicine 379:2027-2039,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AC1" w:rsidRDefault="00D67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8C" w:rsidRPr="00F25571" w:rsidRDefault="00284A8C" w:rsidP="003D1222">
    <w:pPr>
      <w:pStyle w:val="Header"/>
      <w:tabs>
        <w:tab w:val="clear" w:pos="9026"/>
        <w:tab w:val="left" w:pos="225"/>
        <w:tab w:val="right" w:pos="9027"/>
      </w:tabs>
      <w:jc w:val="center"/>
      <w:rPr>
        <w:i/>
      </w:rPr>
    </w:pPr>
    <w:r>
      <w:rPr>
        <w:i/>
      </w:rPr>
      <w:t>Public Summary Document</w:t>
    </w:r>
    <w:r w:rsidRPr="00F25571">
      <w:rPr>
        <w:i/>
      </w:rPr>
      <w:t xml:space="preserve"> – November 2019 PBAC Meeting</w:t>
    </w:r>
  </w:p>
  <w:p w:rsidR="00284A8C" w:rsidRDefault="00284A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AC1" w:rsidRDefault="00D67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145F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22E9"/>
    <w:multiLevelType w:val="hybridMultilevel"/>
    <w:tmpl w:val="E02EC3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AA1464"/>
    <w:multiLevelType w:val="multilevel"/>
    <w:tmpl w:val="FAB82CF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EF24F7"/>
    <w:multiLevelType w:val="hybridMultilevel"/>
    <w:tmpl w:val="AD0EA8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B7C34E2"/>
    <w:multiLevelType w:val="hybridMultilevel"/>
    <w:tmpl w:val="C278FFF4"/>
    <w:lvl w:ilvl="0" w:tplc="0CBCE64E">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9282F"/>
    <w:multiLevelType w:val="hybridMultilevel"/>
    <w:tmpl w:val="EA9E6576"/>
    <w:lvl w:ilvl="0" w:tplc="079679CE">
      <w:start w:val="1"/>
      <w:numFmt w:val="bullet"/>
      <w:pStyle w:val="Table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784D033C"/>
    <w:multiLevelType w:val="multilevel"/>
    <w:tmpl w:val="EF3A041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7779D6"/>
    <w:multiLevelType w:val="hybridMultilevel"/>
    <w:tmpl w:val="AFB0A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8"/>
  </w:num>
  <w:num w:numId="6">
    <w:abstractNumId w:val="1"/>
  </w:num>
  <w:num w:numId="7">
    <w:abstractNumId w:val="3"/>
  </w:num>
  <w:num w:numId="8">
    <w:abstractNumId w:val="4"/>
  </w:num>
  <w:num w:numId="9">
    <w:abstractNumId w:val="2"/>
  </w:num>
  <w:num w:numId="10">
    <w:abstractNumId w:val="7"/>
  </w:num>
  <w:num w:numId="11">
    <w:abstractNumId w:val="7"/>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DD0"/>
    <w:rsid w:val="0000110B"/>
    <w:rsid w:val="0000116A"/>
    <w:rsid w:val="00001AEA"/>
    <w:rsid w:val="00001CA2"/>
    <w:rsid w:val="000021F6"/>
    <w:rsid w:val="000022AF"/>
    <w:rsid w:val="0000272E"/>
    <w:rsid w:val="00003216"/>
    <w:rsid w:val="0000327C"/>
    <w:rsid w:val="00003499"/>
    <w:rsid w:val="000039B7"/>
    <w:rsid w:val="00003B06"/>
    <w:rsid w:val="00003BD7"/>
    <w:rsid w:val="00003E23"/>
    <w:rsid w:val="000041B6"/>
    <w:rsid w:val="0000442A"/>
    <w:rsid w:val="00004730"/>
    <w:rsid w:val="00005833"/>
    <w:rsid w:val="00005EB8"/>
    <w:rsid w:val="0000602B"/>
    <w:rsid w:val="00006BA9"/>
    <w:rsid w:val="000079C8"/>
    <w:rsid w:val="00007CE9"/>
    <w:rsid w:val="0001089E"/>
    <w:rsid w:val="000109BA"/>
    <w:rsid w:val="00011B53"/>
    <w:rsid w:val="00012324"/>
    <w:rsid w:val="00012676"/>
    <w:rsid w:val="0001304D"/>
    <w:rsid w:val="0001314F"/>
    <w:rsid w:val="00013247"/>
    <w:rsid w:val="00013251"/>
    <w:rsid w:val="00013D59"/>
    <w:rsid w:val="00013EC3"/>
    <w:rsid w:val="000146BA"/>
    <w:rsid w:val="0001497F"/>
    <w:rsid w:val="000155A3"/>
    <w:rsid w:val="00015645"/>
    <w:rsid w:val="0001579C"/>
    <w:rsid w:val="00015886"/>
    <w:rsid w:val="00015E53"/>
    <w:rsid w:val="00015FD1"/>
    <w:rsid w:val="000162EF"/>
    <w:rsid w:val="0001636B"/>
    <w:rsid w:val="000163FD"/>
    <w:rsid w:val="000166F8"/>
    <w:rsid w:val="0001672F"/>
    <w:rsid w:val="00016A80"/>
    <w:rsid w:val="00017283"/>
    <w:rsid w:val="00017585"/>
    <w:rsid w:val="00017A58"/>
    <w:rsid w:val="00017DF5"/>
    <w:rsid w:val="00020A78"/>
    <w:rsid w:val="00020C04"/>
    <w:rsid w:val="00020EFD"/>
    <w:rsid w:val="00021054"/>
    <w:rsid w:val="00021094"/>
    <w:rsid w:val="00021482"/>
    <w:rsid w:val="0002225F"/>
    <w:rsid w:val="00022E05"/>
    <w:rsid w:val="00023488"/>
    <w:rsid w:val="00023763"/>
    <w:rsid w:val="0002419F"/>
    <w:rsid w:val="000246B3"/>
    <w:rsid w:val="00024789"/>
    <w:rsid w:val="0002532D"/>
    <w:rsid w:val="000253AF"/>
    <w:rsid w:val="00026140"/>
    <w:rsid w:val="0002664B"/>
    <w:rsid w:val="00026D7C"/>
    <w:rsid w:val="00026F54"/>
    <w:rsid w:val="00027801"/>
    <w:rsid w:val="00030015"/>
    <w:rsid w:val="000308C6"/>
    <w:rsid w:val="000318C2"/>
    <w:rsid w:val="00031DAD"/>
    <w:rsid w:val="00031F14"/>
    <w:rsid w:val="0003255A"/>
    <w:rsid w:val="0003288A"/>
    <w:rsid w:val="00032D42"/>
    <w:rsid w:val="00033277"/>
    <w:rsid w:val="00033633"/>
    <w:rsid w:val="00033863"/>
    <w:rsid w:val="000338D0"/>
    <w:rsid w:val="00033CA1"/>
    <w:rsid w:val="00033FF5"/>
    <w:rsid w:val="000345C9"/>
    <w:rsid w:val="000350D6"/>
    <w:rsid w:val="000355D8"/>
    <w:rsid w:val="00035DC0"/>
    <w:rsid w:val="0003607B"/>
    <w:rsid w:val="000362C0"/>
    <w:rsid w:val="000363F8"/>
    <w:rsid w:val="0003657E"/>
    <w:rsid w:val="00036829"/>
    <w:rsid w:val="000369F9"/>
    <w:rsid w:val="0003786F"/>
    <w:rsid w:val="00037BA9"/>
    <w:rsid w:val="00037F4C"/>
    <w:rsid w:val="00037F89"/>
    <w:rsid w:val="00040895"/>
    <w:rsid w:val="00040D41"/>
    <w:rsid w:val="00040DBF"/>
    <w:rsid w:val="0004181F"/>
    <w:rsid w:val="00041C2C"/>
    <w:rsid w:val="00041FBE"/>
    <w:rsid w:val="00042543"/>
    <w:rsid w:val="00042AE2"/>
    <w:rsid w:val="00042C77"/>
    <w:rsid w:val="00043973"/>
    <w:rsid w:val="00043ADF"/>
    <w:rsid w:val="00043BD3"/>
    <w:rsid w:val="00043C37"/>
    <w:rsid w:val="00044234"/>
    <w:rsid w:val="00044E11"/>
    <w:rsid w:val="00045017"/>
    <w:rsid w:val="00045A2B"/>
    <w:rsid w:val="00045B03"/>
    <w:rsid w:val="00046365"/>
    <w:rsid w:val="0004698F"/>
    <w:rsid w:val="00046FCF"/>
    <w:rsid w:val="0004725F"/>
    <w:rsid w:val="00047A0B"/>
    <w:rsid w:val="00047B47"/>
    <w:rsid w:val="00047EB2"/>
    <w:rsid w:val="00050393"/>
    <w:rsid w:val="00050BD3"/>
    <w:rsid w:val="00050E22"/>
    <w:rsid w:val="00050EB7"/>
    <w:rsid w:val="00051657"/>
    <w:rsid w:val="00051BB9"/>
    <w:rsid w:val="0005252D"/>
    <w:rsid w:val="000533AA"/>
    <w:rsid w:val="000539C8"/>
    <w:rsid w:val="000539D0"/>
    <w:rsid w:val="00053AF3"/>
    <w:rsid w:val="00053B38"/>
    <w:rsid w:val="00053E2A"/>
    <w:rsid w:val="00054621"/>
    <w:rsid w:val="000546D7"/>
    <w:rsid w:val="0005599A"/>
    <w:rsid w:val="00056177"/>
    <w:rsid w:val="0005618A"/>
    <w:rsid w:val="000562F1"/>
    <w:rsid w:val="00056A42"/>
    <w:rsid w:val="00056B7B"/>
    <w:rsid w:val="00057016"/>
    <w:rsid w:val="00057533"/>
    <w:rsid w:val="00057A45"/>
    <w:rsid w:val="00057F0F"/>
    <w:rsid w:val="00060924"/>
    <w:rsid w:val="00060AC3"/>
    <w:rsid w:val="00061126"/>
    <w:rsid w:val="000612EC"/>
    <w:rsid w:val="000613C4"/>
    <w:rsid w:val="000618A9"/>
    <w:rsid w:val="0006200F"/>
    <w:rsid w:val="000621A8"/>
    <w:rsid w:val="000622BA"/>
    <w:rsid w:val="000626DF"/>
    <w:rsid w:val="0006276D"/>
    <w:rsid w:val="00062B8F"/>
    <w:rsid w:val="00062FA9"/>
    <w:rsid w:val="000631F2"/>
    <w:rsid w:val="00063371"/>
    <w:rsid w:val="000634E0"/>
    <w:rsid w:val="000640D9"/>
    <w:rsid w:val="00064558"/>
    <w:rsid w:val="00064677"/>
    <w:rsid w:val="00064CAE"/>
    <w:rsid w:val="000652F7"/>
    <w:rsid w:val="00065690"/>
    <w:rsid w:val="00065AD0"/>
    <w:rsid w:val="00066360"/>
    <w:rsid w:val="00066658"/>
    <w:rsid w:val="00066C25"/>
    <w:rsid w:val="00066FE2"/>
    <w:rsid w:val="00067D48"/>
    <w:rsid w:val="000706CF"/>
    <w:rsid w:val="000709EC"/>
    <w:rsid w:val="000710A8"/>
    <w:rsid w:val="00071248"/>
    <w:rsid w:val="000720B9"/>
    <w:rsid w:val="00072294"/>
    <w:rsid w:val="000723C6"/>
    <w:rsid w:val="00072C43"/>
    <w:rsid w:val="00073041"/>
    <w:rsid w:val="00073156"/>
    <w:rsid w:val="0007320C"/>
    <w:rsid w:val="00073376"/>
    <w:rsid w:val="000737F7"/>
    <w:rsid w:val="000738FD"/>
    <w:rsid w:val="00073945"/>
    <w:rsid w:val="000740F4"/>
    <w:rsid w:val="0007428B"/>
    <w:rsid w:val="0007433D"/>
    <w:rsid w:val="00074C33"/>
    <w:rsid w:val="00075832"/>
    <w:rsid w:val="00075C25"/>
    <w:rsid w:val="00075CCE"/>
    <w:rsid w:val="0007613F"/>
    <w:rsid w:val="0007622B"/>
    <w:rsid w:val="0007672F"/>
    <w:rsid w:val="00076B0E"/>
    <w:rsid w:val="0007722F"/>
    <w:rsid w:val="000774F0"/>
    <w:rsid w:val="000778E9"/>
    <w:rsid w:val="0008006C"/>
    <w:rsid w:val="00080909"/>
    <w:rsid w:val="000812CA"/>
    <w:rsid w:val="00081C27"/>
    <w:rsid w:val="000820B3"/>
    <w:rsid w:val="0008258D"/>
    <w:rsid w:val="00082A9F"/>
    <w:rsid w:val="00082CD8"/>
    <w:rsid w:val="000831D6"/>
    <w:rsid w:val="000837CC"/>
    <w:rsid w:val="00083E79"/>
    <w:rsid w:val="00083E99"/>
    <w:rsid w:val="00084666"/>
    <w:rsid w:val="00084780"/>
    <w:rsid w:val="00085213"/>
    <w:rsid w:val="0008524A"/>
    <w:rsid w:val="000856C5"/>
    <w:rsid w:val="00085F35"/>
    <w:rsid w:val="0008681C"/>
    <w:rsid w:val="00086F5D"/>
    <w:rsid w:val="0008783E"/>
    <w:rsid w:val="00090B9D"/>
    <w:rsid w:val="00090C7E"/>
    <w:rsid w:val="00091017"/>
    <w:rsid w:val="000915D9"/>
    <w:rsid w:val="00091AC9"/>
    <w:rsid w:val="0009203A"/>
    <w:rsid w:val="00092600"/>
    <w:rsid w:val="0009262B"/>
    <w:rsid w:val="00093310"/>
    <w:rsid w:val="00093372"/>
    <w:rsid w:val="00093B35"/>
    <w:rsid w:val="00093E6C"/>
    <w:rsid w:val="00094105"/>
    <w:rsid w:val="000942B7"/>
    <w:rsid w:val="00094302"/>
    <w:rsid w:val="0009445C"/>
    <w:rsid w:val="000944E7"/>
    <w:rsid w:val="000945F8"/>
    <w:rsid w:val="000946E0"/>
    <w:rsid w:val="000948A9"/>
    <w:rsid w:val="00095393"/>
    <w:rsid w:val="00095506"/>
    <w:rsid w:val="00095631"/>
    <w:rsid w:val="00095C45"/>
    <w:rsid w:val="00095FE5"/>
    <w:rsid w:val="00096284"/>
    <w:rsid w:val="00096A5F"/>
    <w:rsid w:val="000970F6"/>
    <w:rsid w:val="0009795A"/>
    <w:rsid w:val="00097BC2"/>
    <w:rsid w:val="00097EC4"/>
    <w:rsid w:val="000A1871"/>
    <w:rsid w:val="000A1D44"/>
    <w:rsid w:val="000A268D"/>
    <w:rsid w:val="000A3D3A"/>
    <w:rsid w:val="000A4390"/>
    <w:rsid w:val="000A4629"/>
    <w:rsid w:val="000A4780"/>
    <w:rsid w:val="000A4816"/>
    <w:rsid w:val="000A4939"/>
    <w:rsid w:val="000A5051"/>
    <w:rsid w:val="000A5112"/>
    <w:rsid w:val="000A60D9"/>
    <w:rsid w:val="000A6839"/>
    <w:rsid w:val="000A6EE5"/>
    <w:rsid w:val="000A72CF"/>
    <w:rsid w:val="000A7C0B"/>
    <w:rsid w:val="000A7D08"/>
    <w:rsid w:val="000B01AE"/>
    <w:rsid w:val="000B0670"/>
    <w:rsid w:val="000B0E75"/>
    <w:rsid w:val="000B1591"/>
    <w:rsid w:val="000B15A3"/>
    <w:rsid w:val="000B1603"/>
    <w:rsid w:val="000B2BDC"/>
    <w:rsid w:val="000B2C46"/>
    <w:rsid w:val="000B2FC6"/>
    <w:rsid w:val="000B340C"/>
    <w:rsid w:val="000B34FB"/>
    <w:rsid w:val="000B351B"/>
    <w:rsid w:val="000B404D"/>
    <w:rsid w:val="000B4924"/>
    <w:rsid w:val="000B54C8"/>
    <w:rsid w:val="000B61DC"/>
    <w:rsid w:val="000B696F"/>
    <w:rsid w:val="000B6B5A"/>
    <w:rsid w:val="000B6CAC"/>
    <w:rsid w:val="000B6D94"/>
    <w:rsid w:val="000B6ECF"/>
    <w:rsid w:val="000B7244"/>
    <w:rsid w:val="000B7612"/>
    <w:rsid w:val="000B77F1"/>
    <w:rsid w:val="000B7CED"/>
    <w:rsid w:val="000C057A"/>
    <w:rsid w:val="000C1CD2"/>
    <w:rsid w:val="000C21D4"/>
    <w:rsid w:val="000C286C"/>
    <w:rsid w:val="000C39C2"/>
    <w:rsid w:val="000C3C73"/>
    <w:rsid w:val="000C3DF9"/>
    <w:rsid w:val="000C42CA"/>
    <w:rsid w:val="000C4875"/>
    <w:rsid w:val="000C5F62"/>
    <w:rsid w:val="000C63F2"/>
    <w:rsid w:val="000C656C"/>
    <w:rsid w:val="000C6713"/>
    <w:rsid w:val="000C6C2D"/>
    <w:rsid w:val="000C70D3"/>
    <w:rsid w:val="000C711F"/>
    <w:rsid w:val="000C7427"/>
    <w:rsid w:val="000C74A1"/>
    <w:rsid w:val="000C7590"/>
    <w:rsid w:val="000C77BE"/>
    <w:rsid w:val="000C7AFA"/>
    <w:rsid w:val="000D01D4"/>
    <w:rsid w:val="000D078D"/>
    <w:rsid w:val="000D09A2"/>
    <w:rsid w:val="000D0C82"/>
    <w:rsid w:val="000D14B7"/>
    <w:rsid w:val="000D156F"/>
    <w:rsid w:val="000D1728"/>
    <w:rsid w:val="000D1735"/>
    <w:rsid w:val="000D174F"/>
    <w:rsid w:val="000D1BFC"/>
    <w:rsid w:val="000D21D5"/>
    <w:rsid w:val="000D281A"/>
    <w:rsid w:val="000D2AF6"/>
    <w:rsid w:val="000D3015"/>
    <w:rsid w:val="000D326A"/>
    <w:rsid w:val="000D331C"/>
    <w:rsid w:val="000D3885"/>
    <w:rsid w:val="000D487D"/>
    <w:rsid w:val="000D49D4"/>
    <w:rsid w:val="000D4BB0"/>
    <w:rsid w:val="000D51FB"/>
    <w:rsid w:val="000D5A6C"/>
    <w:rsid w:val="000D5BEE"/>
    <w:rsid w:val="000D5FCD"/>
    <w:rsid w:val="000D62B4"/>
    <w:rsid w:val="000D6556"/>
    <w:rsid w:val="000D6583"/>
    <w:rsid w:val="000D6B6C"/>
    <w:rsid w:val="000D723E"/>
    <w:rsid w:val="000D760F"/>
    <w:rsid w:val="000D7F26"/>
    <w:rsid w:val="000E02D4"/>
    <w:rsid w:val="000E087D"/>
    <w:rsid w:val="000E0A01"/>
    <w:rsid w:val="000E0B39"/>
    <w:rsid w:val="000E0C84"/>
    <w:rsid w:val="000E10FA"/>
    <w:rsid w:val="000E135D"/>
    <w:rsid w:val="000E1557"/>
    <w:rsid w:val="000E172E"/>
    <w:rsid w:val="000E1782"/>
    <w:rsid w:val="000E1A7E"/>
    <w:rsid w:val="000E1CFA"/>
    <w:rsid w:val="000E2726"/>
    <w:rsid w:val="000E2B9C"/>
    <w:rsid w:val="000E3000"/>
    <w:rsid w:val="000E303B"/>
    <w:rsid w:val="000E40E8"/>
    <w:rsid w:val="000E4268"/>
    <w:rsid w:val="000E4AD8"/>
    <w:rsid w:val="000E4FE4"/>
    <w:rsid w:val="000E5428"/>
    <w:rsid w:val="000E5835"/>
    <w:rsid w:val="000E58A6"/>
    <w:rsid w:val="000E5F92"/>
    <w:rsid w:val="000E6225"/>
    <w:rsid w:val="000E69FE"/>
    <w:rsid w:val="000E6D39"/>
    <w:rsid w:val="000E7243"/>
    <w:rsid w:val="000E775C"/>
    <w:rsid w:val="000E7DC1"/>
    <w:rsid w:val="000E7E99"/>
    <w:rsid w:val="000F00BA"/>
    <w:rsid w:val="000F0104"/>
    <w:rsid w:val="000F040A"/>
    <w:rsid w:val="000F119B"/>
    <w:rsid w:val="000F1DF9"/>
    <w:rsid w:val="000F230D"/>
    <w:rsid w:val="000F2833"/>
    <w:rsid w:val="000F28F4"/>
    <w:rsid w:val="000F2C03"/>
    <w:rsid w:val="000F2C23"/>
    <w:rsid w:val="000F2C32"/>
    <w:rsid w:val="000F2C8E"/>
    <w:rsid w:val="000F316A"/>
    <w:rsid w:val="000F3260"/>
    <w:rsid w:val="000F3854"/>
    <w:rsid w:val="000F3B2F"/>
    <w:rsid w:val="000F3C74"/>
    <w:rsid w:val="000F4BB8"/>
    <w:rsid w:val="000F4E76"/>
    <w:rsid w:val="000F53B4"/>
    <w:rsid w:val="000F563D"/>
    <w:rsid w:val="000F671E"/>
    <w:rsid w:val="000F7127"/>
    <w:rsid w:val="000F7476"/>
    <w:rsid w:val="000F74BE"/>
    <w:rsid w:val="000F76E4"/>
    <w:rsid w:val="001009A3"/>
    <w:rsid w:val="00100F69"/>
    <w:rsid w:val="00100F8A"/>
    <w:rsid w:val="00100FF2"/>
    <w:rsid w:val="0010100E"/>
    <w:rsid w:val="001014DF"/>
    <w:rsid w:val="00101889"/>
    <w:rsid w:val="00101CFF"/>
    <w:rsid w:val="00101EAA"/>
    <w:rsid w:val="00101FC5"/>
    <w:rsid w:val="001022CE"/>
    <w:rsid w:val="00102362"/>
    <w:rsid w:val="0010390B"/>
    <w:rsid w:val="0010434F"/>
    <w:rsid w:val="00105017"/>
    <w:rsid w:val="001051AC"/>
    <w:rsid w:val="001059FD"/>
    <w:rsid w:val="00105AE2"/>
    <w:rsid w:val="00105D51"/>
    <w:rsid w:val="00105E4B"/>
    <w:rsid w:val="001065C9"/>
    <w:rsid w:val="00106AE2"/>
    <w:rsid w:val="00106B80"/>
    <w:rsid w:val="00106E93"/>
    <w:rsid w:val="00107254"/>
    <w:rsid w:val="00107DA4"/>
    <w:rsid w:val="001102E4"/>
    <w:rsid w:val="0011032E"/>
    <w:rsid w:val="001107B5"/>
    <w:rsid w:val="00111094"/>
    <w:rsid w:val="0011121E"/>
    <w:rsid w:val="0011183C"/>
    <w:rsid w:val="001123D7"/>
    <w:rsid w:val="001125EE"/>
    <w:rsid w:val="001126A3"/>
    <w:rsid w:val="00112B7B"/>
    <w:rsid w:val="00112CFF"/>
    <w:rsid w:val="00112EE4"/>
    <w:rsid w:val="00113140"/>
    <w:rsid w:val="0011348B"/>
    <w:rsid w:val="001139A2"/>
    <w:rsid w:val="00113A1C"/>
    <w:rsid w:val="00113C23"/>
    <w:rsid w:val="00114584"/>
    <w:rsid w:val="00114876"/>
    <w:rsid w:val="00115510"/>
    <w:rsid w:val="00115982"/>
    <w:rsid w:val="00115D8E"/>
    <w:rsid w:val="00116184"/>
    <w:rsid w:val="001162E6"/>
    <w:rsid w:val="001165A0"/>
    <w:rsid w:val="00116C53"/>
    <w:rsid w:val="00116C6B"/>
    <w:rsid w:val="00116E69"/>
    <w:rsid w:val="00116EBB"/>
    <w:rsid w:val="001200BE"/>
    <w:rsid w:val="00120A02"/>
    <w:rsid w:val="00120B03"/>
    <w:rsid w:val="00120FA3"/>
    <w:rsid w:val="00121133"/>
    <w:rsid w:val="001211D0"/>
    <w:rsid w:val="001211DA"/>
    <w:rsid w:val="00121799"/>
    <w:rsid w:val="00121B45"/>
    <w:rsid w:val="001222FC"/>
    <w:rsid w:val="0012257F"/>
    <w:rsid w:val="0012277E"/>
    <w:rsid w:val="0012326E"/>
    <w:rsid w:val="00123418"/>
    <w:rsid w:val="00123786"/>
    <w:rsid w:val="00123CFA"/>
    <w:rsid w:val="00123EDF"/>
    <w:rsid w:val="00124A51"/>
    <w:rsid w:val="00124F3A"/>
    <w:rsid w:val="001252CF"/>
    <w:rsid w:val="0012599B"/>
    <w:rsid w:val="00125ADB"/>
    <w:rsid w:val="00125ADC"/>
    <w:rsid w:val="00125D75"/>
    <w:rsid w:val="001260AD"/>
    <w:rsid w:val="00126621"/>
    <w:rsid w:val="001266AE"/>
    <w:rsid w:val="00126DF2"/>
    <w:rsid w:val="00127301"/>
    <w:rsid w:val="00127440"/>
    <w:rsid w:val="00127463"/>
    <w:rsid w:val="00127538"/>
    <w:rsid w:val="001277C0"/>
    <w:rsid w:val="00127BF7"/>
    <w:rsid w:val="00127EE2"/>
    <w:rsid w:val="00127EEE"/>
    <w:rsid w:val="001301E9"/>
    <w:rsid w:val="00130287"/>
    <w:rsid w:val="00130859"/>
    <w:rsid w:val="00130D56"/>
    <w:rsid w:val="00131626"/>
    <w:rsid w:val="00131D82"/>
    <w:rsid w:val="00131DB4"/>
    <w:rsid w:val="001324F2"/>
    <w:rsid w:val="00132BBF"/>
    <w:rsid w:val="00132DCD"/>
    <w:rsid w:val="00132E16"/>
    <w:rsid w:val="00133759"/>
    <w:rsid w:val="00133D36"/>
    <w:rsid w:val="00133E5E"/>
    <w:rsid w:val="001340A2"/>
    <w:rsid w:val="00134516"/>
    <w:rsid w:val="00134592"/>
    <w:rsid w:val="00135287"/>
    <w:rsid w:val="00135E99"/>
    <w:rsid w:val="00136615"/>
    <w:rsid w:val="001368DE"/>
    <w:rsid w:val="00136AE7"/>
    <w:rsid w:val="00136F76"/>
    <w:rsid w:val="00137394"/>
    <w:rsid w:val="00137645"/>
    <w:rsid w:val="0014015A"/>
    <w:rsid w:val="00140933"/>
    <w:rsid w:val="00140E99"/>
    <w:rsid w:val="00140F46"/>
    <w:rsid w:val="001410A7"/>
    <w:rsid w:val="0014115F"/>
    <w:rsid w:val="00141349"/>
    <w:rsid w:val="001413AC"/>
    <w:rsid w:val="001415B0"/>
    <w:rsid w:val="00141759"/>
    <w:rsid w:val="00142BD9"/>
    <w:rsid w:val="00142C8B"/>
    <w:rsid w:val="00142E41"/>
    <w:rsid w:val="00142EEC"/>
    <w:rsid w:val="00143E20"/>
    <w:rsid w:val="00143EDD"/>
    <w:rsid w:val="00144562"/>
    <w:rsid w:val="00144AF4"/>
    <w:rsid w:val="00145540"/>
    <w:rsid w:val="001456B0"/>
    <w:rsid w:val="00145849"/>
    <w:rsid w:val="0014597A"/>
    <w:rsid w:val="00145AD4"/>
    <w:rsid w:val="00145D4A"/>
    <w:rsid w:val="00145FCA"/>
    <w:rsid w:val="0014624E"/>
    <w:rsid w:val="00146E20"/>
    <w:rsid w:val="00146FC3"/>
    <w:rsid w:val="00147223"/>
    <w:rsid w:val="00147A29"/>
    <w:rsid w:val="00147F73"/>
    <w:rsid w:val="00150032"/>
    <w:rsid w:val="00150944"/>
    <w:rsid w:val="00150DD5"/>
    <w:rsid w:val="00151035"/>
    <w:rsid w:val="0015158C"/>
    <w:rsid w:val="00152329"/>
    <w:rsid w:val="00153080"/>
    <w:rsid w:val="0015323E"/>
    <w:rsid w:val="0015406B"/>
    <w:rsid w:val="00154549"/>
    <w:rsid w:val="00154574"/>
    <w:rsid w:val="00154E7D"/>
    <w:rsid w:val="00155094"/>
    <w:rsid w:val="0015515B"/>
    <w:rsid w:val="00155466"/>
    <w:rsid w:val="00155788"/>
    <w:rsid w:val="001560A7"/>
    <w:rsid w:val="0015619D"/>
    <w:rsid w:val="00156494"/>
    <w:rsid w:val="00156624"/>
    <w:rsid w:val="00156719"/>
    <w:rsid w:val="0015680D"/>
    <w:rsid w:val="00156C63"/>
    <w:rsid w:val="00157130"/>
    <w:rsid w:val="001576B1"/>
    <w:rsid w:val="00157A25"/>
    <w:rsid w:val="00157D46"/>
    <w:rsid w:val="001600C4"/>
    <w:rsid w:val="00160A4C"/>
    <w:rsid w:val="0016170D"/>
    <w:rsid w:val="00161823"/>
    <w:rsid w:val="00162135"/>
    <w:rsid w:val="00162913"/>
    <w:rsid w:val="00163410"/>
    <w:rsid w:val="001634A5"/>
    <w:rsid w:val="001638CD"/>
    <w:rsid w:val="00163EFF"/>
    <w:rsid w:val="00164027"/>
    <w:rsid w:val="001642B3"/>
    <w:rsid w:val="00164706"/>
    <w:rsid w:val="00164909"/>
    <w:rsid w:val="00164AB3"/>
    <w:rsid w:val="00164BC6"/>
    <w:rsid w:val="00164D28"/>
    <w:rsid w:val="0016514E"/>
    <w:rsid w:val="001656D8"/>
    <w:rsid w:val="00165C24"/>
    <w:rsid w:val="001661FB"/>
    <w:rsid w:val="00166898"/>
    <w:rsid w:val="001668D1"/>
    <w:rsid w:val="00166BBC"/>
    <w:rsid w:val="0016779E"/>
    <w:rsid w:val="00167B1F"/>
    <w:rsid w:val="00167B89"/>
    <w:rsid w:val="00170350"/>
    <w:rsid w:val="001704BE"/>
    <w:rsid w:val="001708E4"/>
    <w:rsid w:val="00170971"/>
    <w:rsid w:val="00171213"/>
    <w:rsid w:val="0017160B"/>
    <w:rsid w:val="001718F8"/>
    <w:rsid w:val="00171B30"/>
    <w:rsid w:val="00171C61"/>
    <w:rsid w:val="001725A9"/>
    <w:rsid w:val="0017294B"/>
    <w:rsid w:val="0017295A"/>
    <w:rsid w:val="00172D93"/>
    <w:rsid w:val="00172F69"/>
    <w:rsid w:val="00173565"/>
    <w:rsid w:val="00173B07"/>
    <w:rsid w:val="00174A64"/>
    <w:rsid w:val="001751E0"/>
    <w:rsid w:val="00176809"/>
    <w:rsid w:val="00176AA7"/>
    <w:rsid w:val="00176DD4"/>
    <w:rsid w:val="00176F5B"/>
    <w:rsid w:val="0017782B"/>
    <w:rsid w:val="0018005A"/>
    <w:rsid w:val="00180172"/>
    <w:rsid w:val="00180510"/>
    <w:rsid w:val="0018052E"/>
    <w:rsid w:val="0018090E"/>
    <w:rsid w:val="00180BF0"/>
    <w:rsid w:val="0018152B"/>
    <w:rsid w:val="00181B3C"/>
    <w:rsid w:val="00181D9C"/>
    <w:rsid w:val="00182890"/>
    <w:rsid w:val="001828CB"/>
    <w:rsid w:val="00182F64"/>
    <w:rsid w:val="00183147"/>
    <w:rsid w:val="0018321A"/>
    <w:rsid w:val="0018396B"/>
    <w:rsid w:val="00183A73"/>
    <w:rsid w:val="00183FED"/>
    <w:rsid w:val="00184130"/>
    <w:rsid w:val="0018581E"/>
    <w:rsid w:val="00185ECF"/>
    <w:rsid w:val="00186180"/>
    <w:rsid w:val="0018639C"/>
    <w:rsid w:val="001865FA"/>
    <w:rsid w:val="00186B04"/>
    <w:rsid w:val="0018752F"/>
    <w:rsid w:val="001877FF"/>
    <w:rsid w:val="00190439"/>
    <w:rsid w:val="00190577"/>
    <w:rsid w:val="00190A81"/>
    <w:rsid w:val="00191395"/>
    <w:rsid w:val="00191732"/>
    <w:rsid w:val="00192064"/>
    <w:rsid w:val="001924AF"/>
    <w:rsid w:val="00192C81"/>
    <w:rsid w:val="00192E91"/>
    <w:rsid w:val="001937A5"/>
    <w:rsid w:val="00194C1C"/>
    <w:rsid w:val="00195222"/>
    <w:rsid w:val="00195518"/>
    <w:rsid w:val="0019574F"/>
    <w:rsid w:val="0019577B"/>
    <w:rsid w:val="00195EBD"/>
    <w:rsid w:val="00195F09"/>
    <w:rsid w:val="00196A22"/>
    <w:rsid w:val="00196ACC"/>
    <w:rsid w:val="00196B58"/>
    <w:rsid w:val="00196F16"/>
    <w:rsid w:val="00197124"/>
    <w:rsid w:val="0019712C"/>
    <w:rsid w:val="001975D8"/>
    <w:rsid w:val="001979C4"/>
    <w:rsid w:val="00197D54"/>
    <w:rsid w:val="00197DFC"/>
    <w:rsid w:val="001A05CC"/>
    <w:rsid w:val="001A0EDE"/>
    <w:rsid w:val="001A0F11"/>
    <w:rsid w:val="001A1020"/>
    <w:rsid w:val="001A247A"/>
    <w:rsid w:val="001A24DC"/>
    <w:rsid w:val="001A26F8"/>
    <w:rsid w:val="001A28AA"/>
    <w:rsid w:val="001A2960"/>
    <w:rsid w:val="001A2D9B"/>
    <w:rsid w:val="001A3364"/>
    <w:rsid w:val="001A361A"/>
    <w:rsid w:val="001A373E"/>
    <w:rsid w:val="001A376A"/>
    <w:rsid w:val="001A38AD"/>
    <w:rsid w:val="001A3F0E"/>
    <w:rsid w:val="001A4311"/>
    <w:rsid w:val="001A43FA"/>
    <w:rsid w:val="001A4A03"/>
    <w:rsid w:val="001A549F"/>
    <w:rsid w:val="001A572B"/>
    <w:rsid w:val="001A59D0"/>
    <w:rsid w:val="001A59FB"/>
    <w:rsid w:val="001A5A54"/>
    <w:rsid w:val="001A5A98"/>
    <w:rsid w:val="001A5D37"/>
    <w:rsid w:val="001A6354"/>
    <w:rsid w:val="001A64A9"/>
    <w:rsid w:val="001A6FE8"/>
    <w:rsid w:val="001A791B"/>
    <w:rsid w:val="001A7AAC"/>
    <w:rsid w:val="001A7AE8"/>
    <w:rsid w:val="001A7E98"/>
    <w:rsid w:val="001B0177"/>
    <w:rsid w:val="001B1396"/>
    <w:rsid w:val="001B17BF"/>
    <w:rsid w:val="001B1F43"/>
    <w:rsid w:val="001B204E"/>
    <w:rsid w:val="001B23EA"/>
    <w:rsid w:val="001B2558"/>
    <w:rsid w:val="001B26CB"/>
    <w:rsid w:val="001B29AD"/>
    <w:rsid w:val="001B29C1"/>
    <w:rsid w:val="001B29E1"/>
    <w:rsid w:val="001B2C91"/>
    <w:rsid w:val="001B31E7"/>
    <w:rsid w:val="001B3443"/>
    <w:rsid w:val="001B3E05"/>
    <w:rsid w:val="001B3F01"/>
    <w:rsid w:val="001B4138"/>
    <w:rsid w:val="001B4B03"/>
    <w:rsid w:val="001B4D20"/>
    <w:rsid w:val="001B4D58"/>
    <w:rsid w:val="001B58EF"/>
    <w:rsid w:val="001B6376"/>
    <w:rsid w:val="001B67E8"/>
    <w:rsid w:val="001B6918"/>
    <w:rsid w:val="001B69FB"/>
    <w:rsid w:val="001B6AC0"/>
    <w:rsid w:val="001B6B48"/>
    <w:rsid w:val="001B7071"/>
    <w:rsid w:val="001B78A4"/>
    <w:rsid w:val="001B7D7E"/>
    <w:rsid w:val="001C00E9"/>
    <w:rsid w:val="001C06F3"/>
    <w:rsid w:val="001C0AED"/>
    <w:rsid w:val="001C0B7E"/>
    <w:rsid w:val="001C1CAF"/>
    <w:rsid w:val="001C21D6"/>
    <w:rsid w:val="001C23EE"/>
    <w:rsid w:val="001C2550"/>
    <w:rsid w:val="001C282D"/>
    <w:rsid w:val="001C28D2"/>
    <w:rsid w:val="001C2A9B"/>
    <w:rsid w:val="001C4299"/>
    <w:rsid w:val="001C47F4"/>
    <w:rsid w:val="001C4D07"/>
    <w:rsid w:val="001C4F8D"/>
    <w:rsid w:val="001C55B8"/>
    <w:rsid w:val="001C56C5"/>
    <w:rsid w:val="001C59C4"/>
    <w:rsid w:val="001C5CAA"/>
    <w:rsid w:val="001C5F94"/>
    <w:rsid w:val="001C614B"/>
    <w:rsid w:val="001C6E66"/>
    <w:rsid w:val="001C6F50"/>
    <w:rsid w:val="001C7151"/>
    <w:rsid w:val="001C73DD"/>
    <w:rsid w:val="001C7B27"/>
    <w:rsid w:val="001D058E"/>
    <w:rsid w:val="001D0C13"/>
    <w:rsid w:val="001D1398"/>
    <w:rsid w:val="001D148C"/>
    <w:rsid w:val="001D17D2"/>
    <w:rsid w:val="001D2673"/>
    <w:rsid w:val="001D30C4"/>
    <w:rsid w:val="001D314F"/>
    <w:rsid w:val="001D3A1C"/>
    <w:rsid w:val="001D3EFB"/>
    <w:rsid w:val="001D40F0"/>
    <w:rsid w:val="001D432D"/>
    <w:rsid w:val="001D4F45"/>
    <w:rsid w:val="001D57DA"/>
    <w:rsid w:val="001D6734"/>
    <w:rsid w:val="001D6A72"/>
    <w:rsid w:val="001D7531"/>
    <w:rsid w:val="001D7616"/>
    <w:rsid w:val="001E033A"/>
    <w:rsid w:val="001E0624"/>
    <w:rsid w:val="001E0682"/>
    <w:rsid w:val="001E093A"/>
    <w:rsid w:val="001E0EEB"/>
    <w:rsid w:val="001E113A"/>
    <w:rsid w:val="001E155B"/>
    <w:rsid w:val="001E21EB"/>
    <w:rsid w:val="001E22C1"/>
    <w:rsid w:val="001E238E"/>
    <w:rsid w:val="001E2483"/>
    <w:rsid w:val="001E2897"/>
    <w:rsid w:val="001E2B1E"/>
    <w:rsid w:val="001E2C9A"/>
    <w:rsid w:val="001E30D4"/>
    <w:rsid w:val="001E314C"/>
    <w:rsid w:val="001E32D6"/>
    <w:rsid w:val="001E3E63"/>
    <w:rsid w:val="001E4138"/>
    <w:rsid w:val="001E4E3D"/>
    <w:rsid w:val="001E52EB"/>
    <w:rsid w:val="001E5395"/>
    <w:rsid w:val="001E5DE2"/>
    <w:rsid w:val="001E5F6D"/>
    <w:rsid w:val="001E61D2"/>
    <w:rsid w:val="001E62DA"/>
    <w:rsid w:val="001E6BA9"/>
    <w:rsid w:val="001E707F"/>
    <w:rsid w:val="001E740C"/>
    <w:rsid w:val="001E755A"/>
    <w:rsid w:val="001F006E"/>
    <w:rsid w:val="001F04CD"/>
    <w:rsid w:val="001F1235"/>
    <w:rsid w:val="001F1719"/>
    <w:rsid w:val="001F1756"/>
    <w:rsid w:val="001F177E"/>
    <w:rsid w:val="001F1904"/>
    <w:rsid w:val="001F1CB3"/>
    <w:rsid w:val="001F1E88"/>
    <w:rsid w:val="001F2351"/>
    <w:rsid w:val="001F277D"/>
    <w:rsid w:val="001F2965"/>
    <w:rsid w:val="001F2F21"/>
    <w:rsid w:val="001F341E"/>
    <w:rsid w:val="001F354B"/>
    <w:rsid w:val="001F38B5"/>
    <w:rsid w:val="001F417E"/>
    <w:rsid w:val="001F4705"/>
    <w:rsid w:val="001F4868"/>
    <w:rsid w:val="001F4C97"/>
    <w:rsid w:val="001F4F1B"/>
    <w:rsid w:val="001F5A91"/>
    <w:rsid w:val="001F5D99"/>
    <w:rsid w:val="001F68ED"/>
    <w:rsid w:val="001F6B9F"/>
    <w:rsid w:val="001F7361"/>
    <w:rsid w:val="001F7B2B"/>
    <w:rsid w:val="002009D4"/>
    <w:rsid w:val="00200F2F"/>
    <w:rsid w:val="002011B0"/>
    <w:rsid w:val="002012C5"/>
    <w:rsid w:val="00201344"/>
    <w:rsid w:val="002017A5"/>
    <w:rsid w:val="00201A0B"/>
    <w:rsid w:val="00201FD2"/>
    <w:rsid w:val="002020B9"/>
    <w:rsid w:val="00202194"/>
    <w:rsid w:val="00202241"/>
    <w:rsid w:val="00203181"/>
    <w:rsid w:val="00203544"/>
    <w:rsid w:val="002036F4"/>
    <w:rsid w:val="00203783"/>
    <w:rsid w:val="0020385F"/>
    <w:rsid w:val="00203871"/>
    <w:rsid w:val="00203890"/>
    <w:rsid w:val="00203D39"/>
    <w:rsid w:val="002042E4"/>
    <w:rsid w:val="00204804"/>
    <w:rsid w:val="00204933"/>
    <w:rsid w:val="00204EA1"/>
    <w:rsid w:val="00204FC3"/>
    <w:rsid w:val="0020551B"/>
    <w:rsid w:val="00205AD8"/>
    <w:rsid w:val="00206521"/>
    <w:rsid w:val="002069A1"/>
    <w:rsid w:val="00206AC3"/>
    <w:rsid w:val="00207021"/>
    <w:rsid w:val="0020732F"/>
    <w:rsid w:val="00207D00"/>
    <w:rsid w:val="00210139"/>
    <w:rsid w:val="00210530"/>
    <w:rsid w:val="002105C1"/>
    <w:rsid w:val="00210ACF"/>
    <w:rsid w:val="00210BCA"/>
    <w:rsid w:val="00210D51"/>
    <w:rsid w:val="00210DAE"/>
    <w:rsid w:val="002126BF"/>
    <w:rsid w:val="00212761"/>
    <w:rsid w:val="00212C9E"/>
    <w:rsid w:val="00212FD6"/>
    <w:rsid w:val="00213554"/>
    <w:rsid w:val="00213B0B"/>
    <w:rsid w:val="0021402B"/>
    <w:rsid w:val="00214150"/>
    <w:rsid w:val="00214D88"/>
    <w:rsid w:val="002157CF"/>
    <w:rsid w:val="00215DCD"/>
    <w:rsid w:val="00216161"/>
    <w:rsid w:val="00216209"/>
    <w:rsid w:val="0021650D"/>
    <w:rsid w:val="0021697F"/>
    <w:rsid w:val="00216AF0"/>
    <w:rsid w:val="00217268"/>
    <w:rsid w:val="00217428"/>
    <w:rsid w:val="00217542"/>
    <w:rsid w:val="00217697"/>
    <w:rsid w:val="00220E51"/>
    <w:rsid w:val="002216B6"/>
    <w:rsid w:val="00221970"/>
    <w:rsid w:val="00221B7A"/>
    <w:rsid w:val="00221E9C"/>
    <w:rsid w:val="0022274B"/>
    <w:rsid w:val="00222C80"/>
    <w:rsid w:val="00223610"/>
    <w:rsid w:val="00223672"/>
    <w:rsid w:val="00223B49"/>
    <w:rsid w:val="002242AF"/>
    <w:rsid w:val="00224552"/>
    <w:rsid w:val="002246BC"/>
    <w:rsid w:val="00224A81"/>
    <w:rsid w:val="00224C91"/>
    <w:rsid w:val="00224DD4"/>
    <w:rsid w:val="0022555B"/>
    <w:rsid w:val="00225624"/>
    <w:rsid w:val="00225BBD"/>
    <w:rsid w:val="00226040"/>
    <w:rsid w:val="002263D3"/>
    <w:rsid w:val="002269C0"/>
    <w:rsid w:val="00227001"/>
    <w:rsid w:val="00227E74"/>
    <w:rsid w:val="0023006F"/>
    <w:rsid w:val="002309CC"/>
    <w:rsid w:val="00231073"/>
    <w:rsid w:val="00231809"/>
    <w:rsid w:val="00231B9D"/>
    <w:rsid w:val="00231CBD"/>
    <w:rsid w:val="0023209F"/>
    <w:rsid w:val="002323AE"/>
    <w:rsid w:val="0023241E"/>
    <w:rsid w:val="00232922"/>
    <w:rsid w:val="002330A9"/>
    <w:rsid w:val="002331D5"/>
    <w:rsid w:val="00233249"/>
    <w:rsid w:val="0023451C"/>
    <w:rsid w:val="002348D6"/>
    <w:rsid w:val="002350F3"/>
    <w:rsid w:val="0023560B"/>
    <w:rsid w:val="0023566A"/>
    <w:rsid w:val="0023629D"/>
    <w:rsid w:val="002368E9"/>
    <w:rsid w:val="00237255"/>
    <w:rsid w:val="00237C21"/>
    <w:rsid w:val="0024180B"/>
    <w:rsid w:val="00241B4E"/>
    <w:rsid w:val="002420B5"/>
    <w:rsid w:val="002424AF"/>
    <w:rsid w:val="0024262F"/>
    <w:rsid w:val="00242C46"/>
    <w:rsid w:val="00242F6A"/>
    <w:rsid w:val="00243268"/>
    <w:rsid w:val="002439DC"/>
    <w:rsid w:val="00243C5E"/>
    <w:rsid w:val="00244194"/>
    <w:rsid w:val="002447F7"/>
    <w:rsid w:val="00244DC8"/>
    <w:rsid w:val="00245018"/>
    <w:rsid w:val="002451CB"/>
    <w:rsid w:val="0024536B"/>
    <w:rsid w:val="002455E7"/>
    <w:rsid w:val="002456AC"/>
    <w:rsid w:val="002458BA"/>
    <w:rsid w:val="00245E43"/>
    <w:rsid w:val="00245F4C"/>
    <w:rsid w:val="0024636C"/>
    <w:rsid w:val="002464B7"/>
    <w:rsid w:val="002476AF"/>
    <w:rsid w:val="00247925"/>
    <w:rsid w:val="00247974"/>
    <w:rsid w:val="00247B3C"/>
    <w:rsid w:val="00250028"/>
    <w:rsid w:val="002503A4"/>
    <w:rsid w:val="00250510"/>
    <w:rsid w:val="00251316"/>
    <w:rsid w:val="00251322"/>
    <w:rsid w:val="00251D53"/>
    <w:rsid w:val="00251D66"/>
    <w:rsid w:val="002521F5"/>
    <w:rsid w:val="002523DC"/>
    <w:rsid w:val="00253218"/>
    <w:rsid w:val="002532C3"/>
    <w:rsid w:val="00253B75"/>
    <w:rsid w:val="002542FD"/>
    <w:rsid w:val="00254A18"/>
    <w:rsid w:val="00254B47"/>
    <w:rsid w:val="00254DCF"/>
    <w:rsid w:val="0025534B"/>
    <w:rsid w:val="002554D1"/>
    <w:rsid w:val="00255BB7"/>
    <w:rsid w:val="00255C3E"/>
    <w:rsid w:val="00255CF3"/>
    <w:rsid w:val="00255EE5"/>
    <w:rsid w:val="002561BD"/>
    <w:rsid w:val="00257541"/>
    <w:rsid w:val="0025755A"/>
    <w:rsid w:val="00257E41"/>
    <w:rsid w:val="0026035F"/>
    <w:rsid w:val="00260A00"/>
    <w:rsid w:val="00261B93"/>
    <w:rsid w:val="00261F34"/>
    <w:rsid w:val="002628F9"/>
    <w:rsid w:val="00262A1A"/>
    <w:rsid w:val="00262A87"/>
    <w:rsid w:val="00262DF5"/>
    <w:rsid w:val="002632D1"/>
    <w:rsid w:val="00263312"/>
    <w:rsid w:val="002641A3"/>
    <w:rsid w:val="002645FF"/>
    <w:rsid w:val="0026480D"/>
    <w:rsid w:val="00264B53"/>
    <w:rsid w:val="00264D26"/>
    <w:rsid w:val="002650CC"/>
    <w:rsid w:val="00265548"/>
    <w:rsid w:val="00265FE6"/>
    <w:rsid w:val="00267063"/>
    <w:rsid w:val="002673CB"/>
    <w:rsid w:val="00267509"/>
    <w:rsid w:val="00267560"/>
    <w:rsid w:val="00267642"/>
    <w:rsid w:val="002677F6"/>
    <w:rsid w:val="002678E6"/>
    <w:rsid w:val="00267AEA"/>
    <w:rsid w:val="002700E6"/>
    <w:rsid w:val="002704F6"/>
    <w:rsid w:val="00270734"/>
    <w:rsid w:val="00270824"/>
    <w:rsid w:val="00270E01"/>
    <w:rsid w:val="0027135C"/>
    <w:rsid w:val="002718D5"/>
    <w:rsid w:val="00272039"/>
    <w:rsid w:val="0027294B"/>
    <w:rsid w:val="00273008"/>
    <w:rsid w:val="00273065"/>
    <w:rsid w:val="0027332A"/>
    <w:rsid w:val="002739F1"/>
    <w:rsid w:val="00273D36"/>
    <w:rsid w:val="00273DE0"/>
    <w:rsid w:val="00273FEF"/>
    <w:rsid w:val="002742DA"/>
    <w:rsid w:val="002745EE"/>
    <w:rsid w:val="00274D4A"/>
    <w:rsid w:val="00275C5A"/>
    <w:rsid w:val="00276191"/>
    <w:rsid w:val="00277446"/>
    <w:rsid w:val="00277BB1"/>
    <w:rsid w:val="00280761"/>
    <w:rsid w:val="002809F8"/>
    <w:rsid w:val="00281014"/>
    <w:rsid w:val="0028106B"/>
    <w:rsid w:val="0028145F"/>
    <w:rsid w:val="002819E6"/>
    <w:rsid w:val="00281ADF"/>
    <w:rsid w:val="002834A6"/>
    <w:rsid w:val="002835FE"/>
    <w:rsid w:val="002838C1"/>
    <w:rsid w:val="002842B3"/>
    <w:rsid w:val="00284A8C"/>
    <w:rsid w:val="00284B34"/>
    <w:rsid w:val="002855F3"/>
    <w:rsid w:val="00286ECA"/>
    <w:rsid w:val="002872AB"/>
    <w:rsid w:val="00290816"/>
    <w:rsid w:val="00290E82"/>
    <w:rsid w:val="00290E98"/>
    <w:rsid w:val="00291070"/>
    <w:rsid w:val="002923C7"/>
    <w:rsid w:val="002929BA"/>
    <w:rsid w:val="00293EDB"/>
    <w:rsid w:val="00293FE9"/>
    <w:rsid w:val="002942FD"/>
    <w:rsid w:val="00294A4C"/>
    <w:rsid w:val="0029585B"/>
    <w:rsid w:val="00296384"/>
    <w:rsid w:val="002965D3"/>
    <w:rsid w:val="00296892"/>
    <w:rsid w:val="00296C4F"/>
    <w:rsid w:val="002A13F0"/>
    <w:rsid w:val="002A14AB"/>
    <w:rsid w:val="002A1A23"/>
    <w:rsid w:val="002A1BB4"/>
    <w:rsid w:val="002A1E85"/>
    <w:rsid w:val="002A21DC"/>
    <w:rsid w:val="002A2EF4"/>
    <w:rsid w:val="002A2F50"/>
    <w:rsid w:val="002A3071"/>
    <w:rsid w:val="002A34AC"/>
    <w:rsid w:val="002A3CA9"/>
    <w:rsid w:val="002A3EF0"/>
    <w:rsid w:val="002A44BC"/>
    <w:rsid w:val="002A4701"/>
    <w:rsid w:val="002A4A3C"/>
    <w:rsid w:val="002A54BB"/>
    <w:rsid w:val="002A563F"/>
    <w:rsid w:val="002A5D94"/>
    <w:rsid w:val="002A5E50"/>
    <w:rsid w:val="002A67C8"/>
    <w:rsid w:val="002A6B2E"/>
    <w:rsid w:val="002A75FC"/>
    <w:rsid w:val="002A76FF"/>
    <w:rsid w:val="002A7A99"/>
    <w:rsid w:val="002A7C42"/>
    <w:rsid w:val="002A7D64"/>
    <w:rsid w:val="002A7F90"/>
    <w:rsid w:val="002B010F"/>
    <w:rsid w:val="002B02CC"/>
    <w:rsid w:val="002B03C6"/>
    <w:rsid w:val="002B08D6"/>
    <w:rsid w:val="002B09A4"/>
    <w:rsid w:val="002B0A02"/>
    <w:rsid w:val="002B0B63"/>
    <w:rsid w:val="002B1436"/>
    <w:rsid w:val="002B1C1F"/>
    <w:rsid w:val="002B1E48"/>
    <w:rsid w:val="002B2A14"/>
    <w:rsid w:val="002B2C23"/>
    <w:rsid w:val="002B2E8B"/>
    <w:rsid w:val="002B304F"/>
    <w:rsid w:val="002B3396"/>
    <w:rsid w:val="002B42F1"/>
    <w:rsid w:val="002B432C"/>
    <w:rsid w:val="002B432F"/>
    <w:rsid w:val="002B4364"/>
    <w:rsid w:val="002B4772"/>
    <w:rsid w:val="002B54DE"/>
    <w:rsid w:val="002B57F9"/>
    <w:rsid w:val="002B59D0"/>
    <w:rsid w:val="002B5D2A"/>
    <w:rsid w:val="002B6132"/>
    <w:rsid w:val="002B61BD"/>
    <w:rsid w:val="002B62B3"/>
    <w:rsid w:val="002B6754"/>
    <w:rsid w:val="002B6802"/>
    <w:rsid w:val="002B6941"/>
    <w:rsid w:val="002B6980"/>
    <w:rsid w:val="002B6CCE"/>
    <w:rsid w:val="002B717D"/>
    <w:rsid w:val="002B763A"/>
    <w:rsid w:val="002B775F"/>
    <w:rsid w:val="002B7E04"/>
    <w:rsid w:val="002B7F2A"/>
    <w:rsid w:val="002C072D"/>
    <w:rsid w:val="002C2510"/>
    <w:rsid w:val="002C2775"/>
    <w:rsid w:val="002C27C1"/>
    <w:rsid w:val="002C2B38"/>
    <w:rsid w:val="002C36F6"/>
    <w:rsid w:val="002C3E05"/>
    <w:rsid w:val="002C3E08"/>
    <w:rsid w:val="002C3E92"/>
    <w:rsid w:val="002C40DC"/>
    <w:rsid w:val="002C4B98"/>
    <w:rsid w:val="002C5099"/>
    <w:rsid w:val="002C515D"/>
    <w:rsid w:val="002C566B"/>
    <w:rsid w:val="002C5889"/>
    <w:rsid w:val="002C659C"/>
    <w:rsid w:val="002C671D"/>
    <w:rsid w:val="002C6C6C"/>
    <w:rsid w:val="002C7186"/>
    <w:rsid w:val="002C71CE"/>
    <w:rsid w:val="002D166D"/>
    <w:rsid w:val="002D1F3E"/>
    <w:rsid w:val="002D1F42"/>
    <w:rsid w:val="002D2410"/>
    <w:rsid w:val="002D2418"/>
    <w:rsid w:val="002D27CD"/>
    <w:rsid w:val="002D2AF6"/>
    <w:rsid w:val="002D2D22"/>
    <w:rsid w:val="002D30B4"/>
    <w:rsid w:val="002D362C"/>
    <w:rsid w:val="002D36B4"/>
    <w:rsid w:val="002D3813"/>
    <w:rsid w:val="002D3C73"/>
    <w:rsid w:val="002D5104"/>
    <w:rsid w:val="002D577C"/>
    <w:rsid w:val="002D692D"/>
    <w:rsid w:val="002D6A8B"/>
    <w:rsid w:val="002D6B22"/>
    <w:rsid w:val="002D6EC5"/>
    <w:rsid w:val="002D6FFF"/>
    <w:rsid w:val="002D71DE"/>
    <w:rsid w:val="002E04CA"/>
    <w:rsid w:val="002E09DA"/>
    <w:rsid w:val="002E0B17"/>
    <w:rsid w:val="002E0BA9"/>
    <w:rsid w:val="002E15B9"/>
    <w:rsid w:val="002E1906"/>
    <w:rsid w:val="002E1F94"/>
    <w:rsid w:val="002E2158"/>
    <w:rsid w:val="002E2241"/>
    <w:rsid w:val="002E2242"/>
    <w:rsid w:val="002E2452"/>
    <w:rsid w:val="002E29C5"/>
    <w:rsid w:val="002E2F9B"/>
    <w:rsid w:val="002E3A5B"/>
    <w:rsid w:val="002E3B32"/>
    <w:rsid w:val="002E4105"/>
    <w:rsid w:val="002E4785"/>
    <w:rsid w:val="002E49D8"/>
    <w:rsid w:val="002E49E5"/>
    <w:rsid w:val="002E5477"/>
    <w:rsid w:val="002E56CA"/>
    <w:rsid w:val="002E57E0"/>
    <w:rsid w:val="002E59B2"/>
    <w:rsid w:val="002E5B5D"/>
    <w:rsid w:val="002E5CF2"/>
    <w:rsid w:val="002E5EF5"/>
    <w:rsid w:val="002E6E9B"/>
    <w:rsid w:val="002E7308"/>
    <w:rsid w:val="002E7722"/>
    <w:rsid w:val="002E7800"/>
    <w:rsid w:val="002E7F1D"/>
    <w:rsid w:val="002F06BC"/>
    <w:rsid w:val="002F07BA"/>
    <w:rsid w:val="002F0DA9"/>
    <w:rsid w:val="002F1D27"/>
    <w:rsid w:val="002F1FC8"/>
    <w:rsid w:val="002F2BD7"/>
    <w:rsid w:val="002F3544"/>
    <w:rsid w:val="002F3A69"/>
    <w:rsid w:val="002F3B38"/>
    <w:rsid w:val="002F45A8"/>
    <w:rsid w:val="002F4C41"/>
    <w:rsid w:val="002F4E22"/>
    <w:rsid w:val="002F4ECD"/>
    <w:rsid w:val="002F4EFE"/>
    <w:rsid w:val="002F5C08"/>
    <w:rsid w:val="002F643C"/>
    <w:rsid w:val="002F6845"/>
    <w:rsid w:val="002F6E65"/>
    <w:rsid w:val="002F71C0"/>
    <w:rsid w:val="002F7AE1"/>
    <w:rsid w:val="00300776"/>
    <w:rsid w:val="00301017"/>
    <w:rsid w:val="0030155F"/>
    <w:rsid w:val="00301CCB"/>
    <w:rsid w:val="0030280E"/>
    <w:rsid w:val="00302FF9"/>
    <w:rsid w:val="003035F8"/>
    <w:rsid w:val="003036C2"/>
    <w:rsid w:val="0030462C"/>
    <w:rsid w:val="0030466E"/>
    <w:rsid w:val="003052E6"/>
    <w:rsid w:val="0030587B"/>
    <w:rsid w:val="0030594C"/>
    <w:rsid w:val="00305F9A"/>
    <w:rsid w:val="00306020"/>
    <w:rsid w:val="00306112"/>
    <w:rsid w:val="00306D98"/>
    <w:rsid w:val="00307058"/>
    <w:rsid w:val="003074BB"/>
    <w:rsid w:val="0030786C"/>
    <w:rsid w:val="00307DBA"/>
    <w:rsid w:val="0031031A"/>
    <w:rsid w:val="00310491"/>
    <w:rsid w:val="00310545"/>
    <w:rsid w:val="00310553"/>
    <w:rsid w:val="003105D9"/>
    <w:rsid w:val="00310981"/>
    <w:rsid w:val="00310A4B"/>
    <w:rsid w:val="00310B05"/>
    <w:rsid w:val="00310F68"/>
    <w:rsid w:val="003113EC"/>
    <w:rsid w:val="0031193A"/>
    <w:rsid w:val="00312446"/>
    <w:rsid w:val="003124A9"/>
    <w:rsid w:val="0031274E"/>
    <w:rsid w:val="00312919"/>
    <w:rsid w:val="00313AE6"/>
    <w:rsid w:val="00313C51"/>
    <w:rsid w:val="00313D21"/>
    <w:rsid w:val="00313E25"/>
    <w:rsid w:val="003146ED"/>
    <w:rsid w:val="003148E2"/>
    <w:rsid w:val="00314CC5"/>
    <w:rsid w:val="00315498"/>
    <w:rsid w:val="0031555C"/>
    <w:rsid w:val="003156DC"/>
    <w:rsid w:val="00315C1D"/>
    <w:rsid w:val="00315C58"/>
    <w:rsid w:val="0031635D"/>
    <w:rsid w:val="003169F7"/>
    <w:rsid w:val="00316F43"/>
    <w:rsid w:val="0031708A"/>
    <w:rsid w:val="0031751A"/>
    <w:rsid w:val="00317C3A"/>
    <w:rsid w:val="003202AD"/>
    <w:rsid w:val="0032087D"/>
    <w:rsid w:val="00320E2E"/>
    <w:rsid w:val="0032110E"/>
    <w:rsid w:val="00321455"/>
    <w:rsid w:val="00321773"/>
    <w:rsid w:val="00322107"/>
    <w:rsid w:val="00322846"/>
    <w:rsid w:val="00322CDA"/>
    <w:rsid w:val="00323282"/>
    <w:rsid w:val="0032344C"/>
    <w:rsid w:val="00323720"/>
    <w:rsid w:val="003239A0"/>
    <w:rsid w:val="00323BBB"/>
    <w:rsid w:val="00323CC9"/>
    <w:rsid w:val="00324A6D"/>
    <w:rsid w:val="00324A9D"/>
    <w:rsid w:val="00324CBB"/>
    <w:rsid w:val="00325189"/>
    <w:rsid w:val="00325FE3"/>
    <w:rsid w:val="00326192"/>
    <w:rsid w:val="00326769"/>
    <w:rsid w:val="00326B9B"/>
    <w:rsid w:val="00326DA7"/>
    <w:rsid w:val="003270E4"/>
    <w:rsid w:val="00327526"/>
    <w:rsid w:val="0033025B"/>
    <w:rsid w:val="003305B4"/>
    <w:rsid w:val="003306B5"/>
    <w:rsid w:val="00330899"/>
    <w:rsid w:val="00330C78"/>
    <w:rsid w:val="00330F5C"/>
    <w:rsid w:val="003311E3"/>
    <w:rsid w:val="003312F5"/>
    <w:rsid w:val="00331343"/>
    <w:rsid w:val="00331581"/>
    <w:rsid w:val="0033322E"/>
    <w:rsid w:val="003334D9"/>
    <w:rsid w:val="00333612"/>
    <w:rsid w:val="00334096"/>
    <w:rsid w:val="003347C2"/>
    <w:rsid w:val="003349AD"/>
    <w:rsid w:val="00334A5C"/>
    <w:rsid w:val="00334CD4"/>
    <w:rsid w:val="0033519D"/>
    <w:rsid w:val="003351A9"/>
    <w:rsid w:val="00335AA8"/>
    <w:rsid w:val="00335B8F"/>
    <w:rsid w:val="0033619D"/>
    <w:rsid w:val="0033625A"/>
    <w:rsid w:val="003366C9"/>
    <w:rsid w:val="00336FFC"/>
    <w:rsid w:val="003371B0"/>
    <w:rsid w:val="00337465"/>
    <w:rsid w:val="00337BA6"/>
    <w:rsid w:val="00337F23"/>
    <w:rsid w:val="00337F70"/>
    <w:rsid w:val="00340DB0"/>
    <w:rsid w:val="00340DF1"/>
    <w:rsid w:val="00341975"/>
    <w:rsid w:val="00341DF8"/>
    <w:rsid w:val="00342080"/>
    <w:rsid w:val="0034373D"/>
    <w:rsid w:val="00343BDF"/>
    <w:rsid w:val="00343BFF"/>
    <w:rsid w:val="00343EF3"/>
    <w:rsid w:val="003444C9"/>
    <w:rsid w:val="003445BD"/>
    <w:rsid w:val="003451B3"/>
    <w:rsid w:val="00345974"/>
    <w:rsid w:val="00345A18"/>
    <w:rsid w:val="003468E6"/>
    <w:rsid w:val="00346F5F"/>
    <w:rsid w:val="003473CE"/>
    <w:rsid w:val="0034772E"/>
    <w:rsid w:val="003477E9"/>
    <w:rsid w:val="0035027D"/>
    <w:rsid w:val="003502CD"/>
    <w:rsid w:val="00351511"/>
    <w:rsid w:val="0035154B"/>
    <w:rsid w:val="003516C0"/>
    <w:rsid w:val="003517F9"/>
    <w:rsid w:val="00352237"/>
    <w:rsid w:val="003525BA"/>
    <w:rsid w:val="003527C5"/>
    <w:rsid w:val="00352CF3"/>
    <w:rsid w:val="00352E21"/>
    <w:rsid w:val="00353AC4"/>
    <w:rsid w:val="0035423A"/>
    <w:rsid w:val="0035437A"/>
    <w:rsid w:val="0035462B"/>
    <w:rsid w:val="00354CF8"/>
    <w:rsid w:val="00355576"/>
    <w:rsid w:val="00355D73"/>
    <w:rsid w:val="00356158"/>
    <w:rsid w:val="0035620E"/>
    <w:rsid w:val="00356F82"/>
    <w:rsid w:val="003570E2"/>
    <w:rsid w:val="00357189"/>
    <w:rsid w:val="00360312"/>
    <w:rsid w:val="00360602"/>
    <w:rsid w:val="003606A2"/>
    <w:rsid w:val="003608C6"/>
    <w:rsid w:val="00360B9C"/>
    <w:rsid w:val="00361488"/>
    <w:rsid w:val="00361AEA"/>
    <w:rsid w:val="00361DCE"/>
    <w:rsid w:val="00362397"/>
    <w:rsid w:val="0036241D"/>
    <w:rsid w:val="003624C4"/>
    <w:rsid w:val="003626B0"/>
    <w:rsid w:val="0036273A"/>
    <w:rsid w:val="00362885"/>
    <w:rsid w:val="00362CA7"/>
    <w:rsid w:val="003632C2"/>
    <w:rsid w:val="003638F5"/>
    <w:rsid w:val="00363D18"/>
    <w:rsid w:val="0036479A"/>
    <w:rsid w:val="00364B00"/>
    <w:rsid w:val="00364BD0"/>
    <w:rsid w:val="003654AC"/>
    <w:rsid w:val="00365EC5"/>
    <w:rsid w:val="003664C3"/>
    <w:rsid w:val="0036702E"/>
    <w:rsid w:val="00367536"/>
    <w:rsid w:val="00367743"/>
    <w:rsid w:val="00367F19"/>
    <w:rsid w:val="00370188"/>
    <w:rsid w:val="0037082B"/>
    <w:rsid w:val="00370CBC"/>
    <w:rsid w:val="003710CF"/>
    <w:rsid w:val="00371656"/>
    <w:rsid w:val="00371663"/>
    <w:rsid w:val="0037192D"/>
    <w:rsid w:val="00371C5B"/>
    <w:rsid w:val="00371D1C"/>
    <w:rsid w:val="00371D82"/>
    <w:rsid w:val="0037236D"/>
    <w:rsid w:val="0037253F"/>
    <w:rsid w:val="003725D3"/>
    <w:rsid w:val="003728B4"/>
    <w:rsid w:val="00372DEB"/>
    <w:rsid w:val="003732E6"/>
    <w:rsid w:val="00373328"/>
    <w:rsid w:val="0037358A"/>
    <w:rsid w:val="00373982"/>
    <w:rsid w:val="00373CD9"/>
    <w:rsid w:val="0037500C"/>
    <w:rsid w:val="003750F6"/>
    <w:rsid w:val="00375C2B"/>
    <w:rsid w:val="003760FC"/>
    <w:rsid w:val="00376506"/>
    <w:rsid w:val="00376BFC"/>
    <w:rsid w:val="00377072"/>
    <w:rsid w:val="0037770F"/>
    <w:rsid w:val="00377879"/>
    <w:rsid w:val="0038026A"/>
    <w:rsid w:val="0038068C"/>
    <w:rsid w:val="0038125C"/>
    <w:rsid w:val="0038195B"/>
    <w:rsid w:val="00381A63"/>
    <w:rsid w:val="0038247D"/>
    <w:rsid w:val="003835CE"/>
    <w:rsid w:val="0038365C"/>
    <w:rsid w:val="0038369B"/>
    <w:rsid w:val="00383B78"/>
    <w:rsid w:val="0038437D"/>
    <w:rsid w:val="003847C7"/>
    <w:rsid w:val="0038490E"/>
    <w:rsid w:val="00384FAE"/>
    <w:rsid w:val="00385A9D"/>
    <w:rsid w:val="00385B0C"/>
    <w:rsid w:val="00385DF1"/>
    <w:rsid w:val="00385E1A"/>
    <w:rsid w:val="00386072"/>
    <w:rsid w:val="00386B32"/>
    <w:rsid w:val="00387033"/>
    <w:rsid w:val="003878BC"/>
    <w:rsid w:val="00387935"/>
    <w:rsid w:val="00387F82"/>
    <w:rsid w:val="0039012C"/>
    <w:rsid w:val="003901EA"/>
    <w:rsid w:val="00390217"/>
    <w:rsid w:val="003902B1"/>
    <w:rsid w:val="00390BC1"/>
    <w:rsid w:val="003912EA"/>
    <w:rsid w:val="00391320"/>
    <w:rsid w:val="0039184F"/>
    <w:rsid w:val="00392375"/>
    <w:rsid w:val="00392BBD"/>
    <w:rsid w:val="00392D86"/>
    <w:rsid w:val="00393235"/>
    <w:rsid w:val="0039323C"/>
    <w:rsid w:val="003937F1"/>
    <w:rsid w:val="0039381A"/>
    <w:rsid w:val="00393B7A"/>
    <w:rsid w:val="00393DAA"/>
    <w:rsid w:val="00393E95"/>
    <w:rsid w:val="00395187"/>
    <w:rsid w:val="00395E51"/>
    <w:rsid w:val="00396142"/>
    <w:rsid w:val="00396896"/>
    <w:rsid w:val="00396FD0"/>
    <w:rsid w:val="003976F4"/>
    <w:rsid w:val="003978E4"/>
    <w:rsid w:val="00397BAC"/>
    <w:rsid w:val="003A0C4D"/>
    <w:rsid w:val="003A1A7A"/>
    <w:rsid w:val="003A202E"/>
    <w:rsid w:val="003A2097"/>
    <w:rsid w:val="003A209C"/>
    <w:rsid w:val="003A2392"/>
    <w:rsid w:val="003A2831"/>
    <w:rsid w:val="003A315C"/>
    <w:rsid w:val="003A3272"/>
    <w:rsid w:val="003A3AA2"/>
    <w:rsid w:val="003A3ED1"/>
    <w:rsid w:val="003A4B04"/>
    <w:rsid w:val="003A4D83"/>
    <w:rsid w:val="003A4EEF"/>
    <w:rsid w:val="003A6125"/>
    <w:rsid w:val="003A62A4"/>
    <w:rsid w:val="003A6EFE"/>
    <w:rsid w:val="003A72B1"/>
    <w:rsid w:val="003A74F9"/>
    <w:rsid w:val="003A7EB9"/>
    <w:rsid w:val="003B07BC"/>
    <w:rsid w:val="003B0BB9"/>
    <w:rsid w:val="003B0C0F"/>
    <w:rsid w:val="003B1073"/>
    <w:rsid w:val="003B11E0"/>
    <w:rsid w:val="003B170B"/>
    <w:rsid w:val="003B2099"/>
    <w:rsid w:val="003B226D"/>
    <w:rsid w:val="003B26AC"/>
    <w:rsid w:val="003B2C3B"/>
    <w:rsid w:val="003B2FD0"/>
    <w:rsid w:val="003B3578"/>
    <w:rsid w:val="003B3AB0"/>
    <w:rsid w:val="003B4AF9"/>
    <w:rsid w:val="003B51D2"/>
    <w:rsid w:val="003B523D"/>
    <w:rsid w:val="003B54A6"/>
    <w:rsid w:val="003B5B61"/>
    <w:rsid w:val="003B5C22"/>
    <w:rsid w:val="003B60AB"/>
    <w:rsid w:val="003B6AC6"/>
    <w:rsid w:val="003B6D6D"/>
    <w:rsid w:val="003B6E0A"/>
    <w:rsid w:val="003B7282"/>
    <w:rsid w:val="003B7871"/>
    <w:rsid w:val="003B7E59"/>
    <w:rsid w:val="003B7EBB"/>
    <w:rsid w:val="003C0764"/>
    <w:rsid w:val="003C11FB"/>
    <w:rsid w:val="003C1654"/>
    <w:rsid w:val="003C18B0"/>
    <w:rsid w:val="003C193E"/>
    <w:rsid w:val="003C1BA3"/>
    <w:rsid w:val="003C262F"/>
    <w:rsid w:val="003C2764"/>
    <w:rsid w:val="003C3316"/>
    <w:rsid w:val="003C3BEF"/>
    <w:rsid w:val="003C438D"/>
    <w:rsid w:val="003C5572"/>
    <w:rsid w:val="003C56BB"/>
    <w:rsid w:val="003C66B1"/>
    <w:rsid w:val="003C7766"/>
    <w:rsid w:val="003C7847"/>
    <w:rsid w:val="003C78E2"/>
    <w:rsid w:val="003C7D19"/>
    <w:rsid w:val="003D0C33"/>
    <w:rsid w:val="003D1222"/>
    <w:rsid w:val="003D14F4"/>
    <w:rsid w:val="003D1619"/>
    <w:rsid w:val="003D16B2"/>
    <w:rsid w:val="003D1828"/>
    <w:rsid w:val="003D1DE4"/>
    <w:rsid w:val="003D21AF"/>
    <w:rsid w:val="003D2422"/>
    <w:rsid w:val="003D2E4F"/>
    <w:rsid w:val="003D2FE7"/>
    <w:rsid w:val="003D3239"/>
    <w:rsid w:val="003D39A1"/>
    <w:rsid w:val="003D3FBF"/>
    <w:rsid w:val="003D45A3"/>
    <w:rsid w:val="003D4A30"/>
    <w:rsid w:val="003D4D0E"/>
    <w:rsid w:val="003D5546"/>
    <w:rsid w:val="003D5E06"/>
    <w:rsid w:val="003D62C2"/>
    <w:rsid w:val="003D6BAD"/>
    <w:rsid w:val="003D6D70"/>
    <w:rsid w:val="003D6F62"/>
    <w:rsid w:val="003D741A"/>
    <w:rsid w:val="003D79BB"/>
    <w:rsid w:val="003D7B67"/>
    <w:rsid w:val="003D7C98"/>
    <w:rsid w:val="003D7E55"/>
    <w:rsid w:val="003E0543"/>
    <w:rsid w:val="003E0B1A"/>
    <w:rsid w:val="003E0C7E"/>
    <w:rsid w:val="003E1C09"/>
    <w:rsid w:val="003E2470"/>
    <w:rsid w:val="003E2808"/>
    <w:rsid w:val="003E2BF2"/>
    <w:rsid w:val="003E3466"/>
    <w:rsid w:val="003E34DD"/>
    <w:rsid w:val="003E38E4"/>
    <w:rsid w:val="003E3D74"/>
    <w:rsid w:val="003E41AD"/>
    <w:rsid w:val="003E4428"/>
    <w:rsid w:val="003E481A"/>
    <w:rsid w:val="003E484C"/>
    <w:rsid w:val="003E4A06"/>
    <w:rsid w:val="003E4D89"/>
    <w:rsid w:val="003E54E6"/>
    <w:rsid w:val="003E564B"/>
    <w:rsid w:val="003E58AC"/>
    <w:rsid w:val="003E667E"/>
    <w:rsid w:val="003E6C0D"/>
    <w:rsid w:val="003E6D50"/>
    <w:rsid w:val="003E7456"/>
    <w:rsid w:val="003E766E"/>
    <w:rsid w:val="003E7BA5"/>
    <w:rsid w:val="003E7BFC"/>
    <w:rsid w:val="003F07EA"/>
    <w:rsid w:val="003F081E"/>
    <w:rsid w:val="003F0F67"/>
    <w:rsid w:val="003F23D0"/>
    <w:rsid w:val="003F2446"/>
    <w:rsid w:val="003F2495"/>
    <w:rsid w:val="003F2A00"/>
    <w:rsid w:val="003F3EBF"/>
    <w:rsid w:val="003F4156"/>
    <w:rsid w:val="003F452F"/>
    <w:rsid w:val="003F4B93"/>
    <w:rsid w:val="003F53B7"/>
    <w:rsid w:val="003F5588"/>
    <w:rsid w:val="003F5904"/>
    <w:rsid w:val="003F5A2F"/>
    <w:rsid w:val="003F659F"/>
    <w:rsid w:val="003F69AE"/>
    <w:rsid w:val="003F6E2D"/>
    <w:rsid w:val="003F7323"/>
    <w:rsid w:val="003F7C16"/>
    <w:rsid w:val="003F7DF9"/>
    <w:rsid w:val="004001FE"/>
    <w:rsid w:val="00400270"/>
    <w:rsid w:val="0040077F"/>
    <w:rsid w:val="00400B29"/>
    <w:rsid w:val="00401243"/>
    <w:rsid w:val="00401249"/>
    <w:rsid w:val="00401297"/>
    <w:rsid w:val="004012A5"/>
    <w:rsid w:val="0040161F"/>
    <w:rsid w:val="004018BE"/>
    <w:rsid w:val="00401B24"/>
    <w:rsid w:val="0040213E"/>
    <w:rsid w:val="0040251F"/>
    <w:rsid w:val="0040252D"/>
    <w:rsid w:val="00402890"/>
    <w:rsid w:val="00402C5C"/>
    <w:rsid w:val="004037EA"/>
    <w:rsid w:val="004038EA"/>
    <w:rsid w:val="00403A2E"/>
    <w:rsid w:val="00403D36"/>
    <w:rsid w:val="00404159"/>
    <w:rsid w:val="00404981"/>
    <w:rsid w:val="00404B68"/>
    <w:rsid w:val="00404CE0"/>
    <w:rsid w:val="00404EDD"/>
    <w:rsid w:val="0040504B"/>
    <w:rsid w:val="0040548E"/>
    <w:rsid w:val="004061C1"/>
    <w:rsid w:val="0040686F"/>
    <w:rsid w:val="00407A4D"/>
    <w:rsid w:val="00410378"/>
    <w:rsid w:val="00410708"/>
    <w:rsid w:val="00410B40"/>
    <w:rsid w:val="00410EC7"/>
    <w:rsid w:val="0041194C"/>
    <w:rsid w:val="00411A3F"/>
    <w:rsid w:val="00411B39"/>
    <w:rsid w:val="00411B76"/>
    <w:rsid w:val="004120D2"/>
    <w:rsid w:val="004122BB"/>
    <w:rsid w:val="00412DA9"/>
    <w:rsid w:val="0041376B"/>
    <w:rsid w:val="00413A1E"/>
    <w:rsid w:val="00414476"/>
    <w:rsid w:val="004144D6"/>
    <w:rsid w:val="00414B71"/>
    <w:rsid w:val="00414C2E"/>
    <w:rsid w:val="00414CCC"/>
    <w:rsid w:val="00414D38"/>
    <w:rsid w:val="004151CF"/>
    <w:rsid w:val="004151DB"/>
    <w:rsid w:val="0041544B"/>
    <w:rsid w:val="00415733"/>
    <w:rsid w:val="00415755"/>
    <w:rsid w:val="00415890"/>
    <w:rsid w:val="004158D6"/>
    <w:rsid w:val="00415CE3"/>
    <w:rsid w:val="00416364"/>
    <w:rsid w:val="004165D6"/>
    <w:rsid w:val="00416740"/>
    <w:rsid w:val="00416C1D"/>
    <w:rsid w:val="00416D45"/>
    <w:rsid w:val="00416EC3"/>
    <w:rsid w:val="00417641"/>
    <w:rsid w:val="00417AB8"/>
    <w:rsid w:val="00417C17"/>
    <w:rsid w:val="00417CB0"/>
    <w:rsid w:val="004202C9"/>
    <w:rsid w:val="00420A84"/>
    <w:rsid w:val="00420AA6"/>
    <w:rsid w:val="00420B9F"/>
    <w:rsid w:val="00420BA8"/>
    <w:rsid w:val="00420ECD"/>
    <w:rsid w:val="0042148A"/>
    <w:rsid w:val="00421F97"/>
    <w:rsid w:val="00422260"/>
    <w:rsid w:val="00422B83"/>
    <w:rsid w:val="00422F06"/>
    <w:rsid w:val="004230B1"/>
    <w:rsid w:val="00423A0F"/>
    <w:rsid w:val="00423D7F"/>
    <w:rsid w:val="0042405D"/>
    <w:rsid w:val="0042413F"/>
    <w:rsid w:val="00424695"/>
    <w:rsid w:val="00424AB5"/>
    <w:rsid w:val="00424C22"/>
    <w:rsid w:val="0042566B"/>
    <w:rsid w:val="004265AF"/>
    <w:rsid w:val="004266AC"/>
    <w:rsid w:val="00426BBF"/>
    <w:rsid w:val="00426C88"/>
    <w:rsid w:val="00427668"/>
    <w:rsid w:val="0042778D"/>
    <w:rsid w:val="00427AAB"/>
    <w:rsid w:val="00427ACF"/>
    <w:rsid w:val="00427B41"/>
    <w:rsid w:val="00427BAE"/>
    <w:rsid w:val="00427EC1"/>
    <w:rsid w:val="00430046"/>
    <w:rsid w:val="00430765"/>
    <w:rsid w:val="004308AB"/>
    <w:rsid w:val="00431006"/>
    <w:rsid w:val="004319F8"/>
    <w:rsid w:val="00431E55"/>
    <w:rsid w:val="004321F6"/>
    <w:rsid w:val="00432272"/>
    <w:rsid w:val="00432900"/>
    <w:rsid w:val="00432A95"/>
    <w:rsid w:val="00433044"/>
    <w:rsid w:val="00434993"/>
    <w:rsid w:val="00434C9B"/>
    <w:rsid w:val="00435602"/>
    <w:rsid w:val="004357A0"/>
    <w:rsid w:val="00435F5E"/>
    <w:rsid w:val="004360B7"/>
    <w:rsid w:val="00436A42"/>
    <w:rsid w:val="004375B9"/>
    <w:rsid w:val="00440A0F"/>
    <w:rsid w:val="004410E1"/>
    <w:rsid w:val="00441945"/>
    <w:rsid w:val="004428D0"/>
    <w:rsid w:val="0044312F"/>
    <w:rsid w:val="00443342"/>
    <w:rsid w:val="00443B3C"/>
    <w:rsid w:val="00443FF4"/>
    <w:rsid w:val="0044419A"/>
    <w:rsid w:val="004443A7"/>
    <w:rsid w:val="0044442C"/>
    <w:rsid w:val="00444A43"/>
    <w:rsid w:val="00444D8D"/>
    <w:rsid w:val="004453B2"/>
    <w:rsid w:val="00445941"/>
    <w:rsid w:val="004459F9"/>
    <w:rsid w:val="00445D4D"/>
    <w:rsid w:val="00446076"/>
    <w:rsid w:val="004461D4"/>
    <w:rsid w:val="004462D9"/>
    <w:rsid w:val="004463CD"/>
    <w:rsid w:val="004464EB"/>
    <w:rsid w:val="0044660B"/>
    <w:rsid w:val="00446728"/>
    <w:rsid w:val="004467BA"/>
    <w:rsid w:val="00446994"/>
    <w:rsid w:val="004469D8"/>
    <w:rsid w:val="00447662"/>
    <w:rsid w:val="004478B5"/>
    <w:rsid w:val="00447D26"/>
    <w:rsid w:val="00450B0B"/>
    <w:rsid w:val="0045116F"/>
    <w:rsid w:val="004511F3"/>
    <w:rsid w:val="00451308"/>
    <w:rsid w:val="0045132D"/>
    <w:rsid w:val="004514F8"/>
    <w:rsid w:val="00451852"/>
    <w:rsid w:val="00451B30"/>
    <w:rsid w:val="00451C72"/>
    <w:rsid w:val="00452096"/>
    <w:rsid w:val="004533FF"/>
    <w:rsid w:val="0045372C"/>
    <w:rsid w:val="00453BF8"/>
    <w:rsid w:val="004544B6"/>
    <w:rsid w:val="00454700"/>
    <w:rsid w:val="00454A53"/>
    <w:rsid w:val="00454FAE"/>
    <w:rsid w:val="004551B3"/>
    <w:rsid w:val="004553D1"/>
    <w:rsid w:val="00455D45"/>
    <w:rsid w:val="004560A3"/>
    <w:rsid w:val="00457155"/>
    <w:rsid w:val="004572F4"/>
    <w:rsid w:val="004576F7"/>
    <w:rsid w:val="004578E1"/>
    <w:rsid w:val="004606F1"/>
    <w:rsid w:val="00461C44"/>
    <w:rsid w:val="00462426"/>
    <w:rsid w:val="00462AEF"/>
    <w:rsid w:val="00462B12"/>
    <w:rsid w:val="00462EF0"/>
    <w:rsid w:val="00463449"/>
    <w:rsid w:val="0046389D"/>
    <w:rsid w:val="004638DC"/>
    <w:rsid w:val="00463912"/>
    <w:rsid w:val="0046391D"/>
    <w:rsid w:val="00463E4E"/>
    <w:rsid w:val="004640F6"/>
    <w:rsid w:val="004642C2"/>
    <w:rsid w:val="00464595"/>
    <w:rsid w:val="0046460B"/>
    <w:rsid w:val="00465424"/>
    <w:rsid w:val="004658BE"/>
    <w:rsid w:val="004659C1"/>
    <w:rsid w:val="00465EFF"/>
    <w:rsid w:val="00467592"/>
    <w:rsid w:val="00467C61"/>
    <w:rsid w:val="004702DC"/>
    <w:rsid w:val="004709AB"/>
    <w:rsid w:val="00470BDA"/>
    <w:rsid w:val="00470E3C"/>
    <w:rsid w:val="00472093"/>
    <w:rsid w:val="004728C2"/>
    <w:rsid w:val="00472A79"/>
    <w:rsid w:val="00473607"/>
    <w:rsid w:val="00473F19"/>
    <w:rsid w:val="00474355"/>
    <w:rsid w:val="0047437B"/>
    <w:rsid w:val="004746BE"/>
    <w:rsid w:val="00474718"/>
    <w:rsid w:val="00474EC3"/>
    <w:rsid w:val="00475543"/>
    <w:rsid w:val="0047562C"/>
    <w:rsid w:val="00475B2C"/>
    <w:rsid w:val="00475E22"/>
    <w:rsid w:val="00476070"/>
    <w:rsid w:val="004760C7"/>
    <w:rsid w:val="00476756"/>
    <w:rsid w:val="00476A41"/>
    <w:rsid w:val="00476E9C"/>
    <w:rsid w:val="004778CF"/>
    <w:rsid w:val="00477D9F"/>
    <w:rsid w:val="004803D3"/>
    <w:rsid w:val="00480699"/>
    <w:rsid w:val="0048088E"/>
    <w:rsid w:val="00480BA0"/>
    <w:rsid w:val="00481851"/>
    <w:rsid w:val="00482058"/>
    <w:rsid w:val="00482720"/>
    <w:rsid w:val="00482F03"/>
    <w:rsid w:val="004834D1"/>
    <w:rsid w:val="004835E7"/>
    <w:rsid w:val="00483D90"/>
    <w:rsid w:val="00483FF2"/>
    <w:rsid w:val="00484043"/>
    <w:rsid w:val="00485142"/>
    <w:rsid w:val="0048553A"/>
    <w:rsid w:val="004859E3"/>
    <w:rsid w:val="00485D13"/>
    <w:rsid w:val="004867E2"/>
    <w:rsid w:val="00486878"/>
    <w:rsid w:val="0048690F"/>
    <w:rsid w:val="00486D30"/>
    <w:rsid w:val="0048741C"/>
    <w:rsid w:val="00487528"/>
    <w:rsid w:val="0048781D"/>
    <w:rsid w:val="00487A93"/>
    <w:rsid w:val="004905CB"/>
    <w:rsid w:val="00490760"/>
    <w:rsid w:val="00490C89"/>
    <w:rsid w:val="00491AF5"/>
    <w:rsid w:val="00491B3A"/>
    <w:rsid w:val="00492CFD"/>
    <w:rsid w:val="00492E90"/>
    <w:rsid w:val="00492EED"/>
    <w:rsid w:val="00493074"/>
    <w:rsid w:val="00493322"/>
    <w:rsid w:val="00493FDA"/>
    <w:rsid w:val="004944E7"/>
    <w:rsid w:val="00494DD5"/>
    <w:rsid w:val="00495A9F"/>
    <w:rsid w:val="004960F2"/>
    <w:rsid w:val="004962D2"/>
    <w:rsid w:val="0049672F"/>
    <w:rsid w:val="004978C8"/>
    <w:rsid w:val="004A0313"/>
    <w:rsid w:val="004A04FF"/>
    <w:rsid w:val="004A05E6"/>
    <w:rsid w:val="004A0668"/>
    <w:rsid w:val="004A069A"/>
    <w:rsid w:val="004A0DA1"/>
    <w:rsid w:val="004A0F49"/>
    <w:rsid w:val="004A11E3"/>
    <w:rsid w:val="004A1E12"/>
    <w:rsid w:val="004A1F26"/>
    <w:rsid w:val="004A2B00"/>
    <w:rsid w:val="004A2F20"/>
    <w:rsid w:val="004A3885"/>
    <w:rsid w:val="004A3910"/>
    <w:rsid w:val="004A3B76"/>
    <w:rsid w:val="004A3B9B"/>
    <w:rsid w:val="004A3C46"/>
    <w:rsid w:val="004A4975"/>
    <w:rsid w:val="004A49D1"/>
    <w:rsid w:val="004A4B28"/>
    <w:rsid w:val="004A4E13"/>
    <w:rsid w:val="004A52E9"/>
    <w:rsid w:val="004A5577"/>
    <w:rsid w:val="004A5AC1"/>
    <w:rsid w:val="004A5B21"/>
    <w:rsid w:val="004A6495"/>
    <w:rsid w:val="004A6597"/>
    <w:rsid w:val="004A65D7"/>
    <w:rsid w:val="004A6D69"/>
    <w:rsid w:val="004A73AD"/>
    <w:rsid w:val="004A7843"/>
    <w:rsid w:val="004A7848"/>
    <w:rsid w:val="004A7C1D"/>
    <w:rsid w:val="004A7D92"/>
    <w:rsid w:val="004B0042"/>
    <w:rsid w:val="004B0849"/>
    <w:rsid w:val="004B1144"/>
    <w:rsid w:val="004B120D"/>
    <w:rsid w:val="004B1311"/>
    <w:rsid w:val="004B1433"/>
    <w:rsid w:val="004B1CB4"/>
    <w:rsid w:val="004B1CDE"/>
    <w:rsid w:val="004B1DD1"/>
    <w:rsid w:val="004B228D"/>
    <w:rsid w:val="004B28A9"/>
    <w:rsid w:val="004B2B33"/>
    <w:rsid w:val="004B2E61"/>
    <w:rsid w:val="004B2F18"/>
    <w:rsid w:val="004B2FF6"/>
    <w:rsid w:val="004B3050"/>
    <w:rsid w:val="004B31AA"/>
    <w:rsid w:val="004B37A1"/>
    <w:rsid w:val="004B3939"/>
    <w:rsid w:val="004B3947"/>
    <w:rsid w:val="004B3DDB"/>
    <w:rsid w:val="004B437C"/>
    <w:rsid w:val="004B44FD"/>
    <w:rsid w:val="004B4707"/>
    <w:rsid w:val="004B4799"/>
    <w:rsid w:val="004B4D43"/>
    <w:rsid w:val="004B5728"/>
    <w:rsid w:val="004B5CDB"/>
    <w:rsid w:val="004B5CFC"/>
    <w:rsid w:val="004B5E39"/>
    <w:rsid w:val="004B5FF7"/>
    <w:rsid w:val="004B6561"/>
    <w:rsid w:val="004B7112"/>
    <w:rsid w:val="004B73AE"/>
    <w:rsid w:val="004B774D"/>
    <w:rsid w:val="004B7A53"/>
    <w:rsid w:val="004B7EA7"/>
    <w:rsid w:val="004C06DA"/>
    <w:rsid w:val="004C182F"/>
    <w:rsid w:val="004C198F"/>
    <w:rsid w:val="004C1AD6"/>
    <w:rsid w:val="004C1C11"/>
    <w:rsid w:val="004C30A3"/>
    <w:rsid w:val="004C313E"/>
    <w:rsid w:val="004C4473"/>
    <w:rsid w:val="004C4AED"/>
    <w:rsid w:val="004C4DB5"/>
    <w:rsid w:val="004C603C"/>
    <w:rsid w:val="004C671A"/>
    <w:rsid w:val="004C696D"/>
    <w:rsid w:val="004C6E23"/>
    <w:rsid w:val="004C76E9"/>
    <w:rsid w:val="004D0FEE"/>
    <w:rsid w:val="004D1499"/>
    <w:rsid w:val="004D183E"/>
    <w:rsid w:val="004D1E84"/>
    <w:rsid w:val="004D1F7F"/>
    <w:rsid w:val="004D2C2D"/>
    <w:rsid w:val="004D2EDF"/>
    <w:rsid w:val="004D2F1E"/>
    <w:rsid w:val="004D3DE5"/>
    <w:rsid w:val="004D4100"/>
    <w:rsid w:val="004D411A"/>
    <w:rsid w:val="004D48FC"/>
    <w:rsid w:val="004D4A92"/>
    <w:rsid w:val="004D4C4A"/>
    <w:rsid w:val="004D5069"/>
    <w:rsid w:val="004D5C52"/>
    <w:rsid w:val="004D5C87"/>
    <w:rsid w:val="004D5F3F"/>
    <w:rsid w:val="004D6130"/>
    <w:rsid w:val="004D663D"/>
    <w:rsid w:val="004D6643"/>
    <w:rsid w:val="004D6655"/>
    <w:rsid w:val="004D668E"/>
    <w:rsid w:val="004D68F1"/>
    <w:rsid w:val="004D69B8"/>
    <w:rsid w:val="004D7227"/>
    <w:rsid w:val="004D7686"/>
    <w:rsid w:val="004D7937"/>
    <w:rsid w:val="004D7D9E"/>
    <w:rsid w:val="004E065A"/>
    <w:rsid w:val="004E09EC"/>
    <w:rsid w:val="004E0E7F"/>
    <w:rsid w:val="004E0EB8"/>
    <w:rsid w:val="004E16E8"/>
    <w:rsid w:val="004E2356"/>
    <w:rsid w:val="004E2713"/>
    <w:rsid w:val="004E2ADC"/>
    <w:rsid w:val="004E2F5F"/>
    <w:rsid w:val="004E3A61"/>
    <w:rsid w:val="004E3EDE"/>
    <w:rsid w:val="004E417D"/>
    <w:rsid w:val="004E43B2"/>
    <w:rsid w:val="004E444B"/>
    <w:rsid w:val="004E44E8"/>
    <w:rsid w:val="004E46D9"/>
    <w:rsid w:val="004E52F5"/>
    <w:rsid w:val="004E5FBB"/>
    <w:rsid w:val="004E644A"/>
    <w:rsid w:val="004E6AEC"/>
    <w:rsid w:val="004E6FE6"/>
    <w:rsid w:val="004E76D1"/>
    <w:rsid w:val="004F00FC"/>
    <w:rsid w:val="004F0100"/>
    <w:rsid w:val="004F0B76"/>
    <w:rsid w:val="004F0ECE"/>
    <w:rsid w:val="004F0F6B"/>
    <w:rsid w:val="004F159C"/>
    <w:rsid w:val="004F175B"/>
    <w:rsid w:val="004F1D02"/>
    <w:rsid w:val="004F2562"/>
    <w:rsid w:val="004F2679"/>
    <w:rsid w:val="004F267E"/>
    <w:rsid w:val="004F29EF"/>
    <w:rsid w:val="004F2F21"/>
    <w:rsid w:val="004F2FEB"/>
    <w:rsid w:val="004F3018"/>
    <w:rsid w:val="004F3A17"/>
    <w:rsid w:val="004F3DDD"/>
    <w:rsid w:val="004F434C"/>
    <w:rsid w:val="004F4491"/>
    <w:rsid w:val="004F44A3"/>
    <w:rsid w:val="004F488E"/>
    <w:rsid w:val="004F5099"/>
    <w:rsid w:val="004F541A"/>
    <w:rsid w:val="004F5D11"/>
    <w:rsid w:val="004F5ECA"/>
    <w:rsid w:val="004F5F93"/>
    <w:rsid w:val="004F6119"/>
    <w:rsid w:val="004F6913"/>
    <w:rsid w:val="004F6B5F"/>
    <w:rsid w:val="004F7865"/>
    <w:rsid w:val="004F7C0C"/>
    <w:rsid w:val="004F7C89"/>
    <w:rsid w:val="005008FA"/>
    <w:rsid w:val="00501CFA"/>
    <w:rsid w:val="00501E00"/>
    <w:rsid w:val="0050215F"/>
    <w:rsid w:val="0050219B"/>
    <w:rsid w:val="005024D0"/>
    <w:rsid w:val="005037C8"/>
    <w:rsid w:val="00503E26"/>
    <w:rsid w:val="00503EE7"/>
    <w:rsid w:val="00503F17"/>
    <w:rsid w:val="0050465E"/>
    <w:rsid w:val="00504A30"/>
    <w:rsid w:val="00504BB8"/>
    <w:rsid w:val="00504FED"/>
    <w:rsid w:val="00505635"/>
    <w:rsid w:val="0050578C"/>
    <w:rsid w:val="005057B7"/>
    <w:rsid w:val="005057B8"/>
    <w:rsid w:val="00505A47"/>
    <w:rsid w:val="00506869"/>
    <w:rsid w:val="00506928"/>
    <w:rsid w:val="00507106"/>
    <w:rsid w:val="00507132"/>
    <w:rsid w:val="00507182"/>
    <w:rsid w:val="00507479"/>
    <w:rsid w:val="0050775D"/>
    <w:rsid w:val="00507CF3"/>
    <w:rsid w:val="00507F1C"/>
    <w:rsid w:val="005100D5"/>
    <w:rsid w:val="00510338"/>
    <w:rsid w:val="005107EF"/>
    <w:rsid w:val="00510B5A"/>
    <w:rsid w:val="00510DED"/>
    <w:rsid w:val="00511C60"/>
    <w:rsid w:val="0051326B"/>
    <w:rsid w:val="0051348E"/>
    <w:rsid w:val="00513C43"/>
    <w:rsid w:val="00513DF3"/>
    <w:rsid w:val="005145B8"/>
    <w:rsid w:val="005148F1"/>
    <w:rsid w:val="00514C95"/>
    <w:rsid w:val="00515174"/>
    <w:rsid w:val="00515294"/>
    <w:rsid w:val="005152B5"/>
    <w:rsid w:val="005153DA"/>
    <w:rsid w:val="00515592"/>
    <w:rsid w:val="00515660"/>
    <w:rsid w:val="005157BC"/>
    <w:rsid w:val="0051586E"/>
    <w:rsid w:val="00515C1B"/>
    <w:rsid w:val="00515D90"/>
    <w:rsid w:val="005163B8"/>
    <w:rsid w:val="005165B2"/>
    <w:rsid w:val="005169CC"/>
    <w:rsid w:val="00516BC1"/>
    <w:rsid w:val="00516FB4"/>
    <w:rsid w:val="0051790E"/>
    <w:rsid w:val="005203FD"/>
    <w:rsid w:val="00520632"/>
    <w:rsid w:val="00520927"/>
    <w:rsid w:val="00521319"/>
    <w:rsid w:val="005217AD"/>
    <w:rsid w:val="005220C8"/>
    <w:rsid w:val="00522807"/>
    <w:rsid w:val="00522AAF"/>
    <w:rsid w:val="00522BC8"/>
    <w:rsid w:val="005233BA"/>
    <w:rsid w:val="005234AA"/>
    <w:rsid w:val="00523C28"/>
    <w:rsid w:val="0052435F"/>
    <w:rsid w:val="00524546"/>
    <w:rsid w:val="00524B36"/>
    <w:rsid w:val="00524DFC"/>
    <w:rsid w:val="00525C52"/>
    <w:rsid w:val="005268C3"/>
    <w:rsid w:val="00526E2F"/>
    <w:rsid w:val="005270C0"/>
    <w:rsid w:val="00527166"/>
    <w:rsid w:val="00527806"/>
    <w:rsid w:val="00530A00"/>
    <w:rsid w:val="00530AFF"/>
    <w:rsid w:val="005318A0"/>
    <w:rsid w:val="00531FD7"/>
    <w:rsid w:val="00532261"/>
    <w:rsid w:val="005329A8"/>
    <w:rsid w:val="00532E34"/>
    <w:rsid w:val="005332E8"/>
    <w:rsid w:val="00533E12"/>
    <w:rsid w:val="00534906"/>
    <w:rsid w:val="0053562C"/>
    <w:rsid w:val="0053616F"/>
    <w:rsid w:val="0053627C"/>
    <w:rsid w:val="005367D5"/>
    <w:rsid w:val="005369A3"/>
    <w:rsid w:val="00536CB9"/>
    <w:rsid w:val="00536F42"/>
    <w:rsid w:val="00537182"/>
    <w:rsid w:val="005375A9"/>
    <w:rsid w:val="00537B38"/>
    <w:rsid w:val="00540EFF"/>
    <w:rsid w:val="005415E1"/>
    <w:rsid w:val="005423DA"/>
    <w:rsid w:val="0054258F"/>
    <w:rsid w:val="00542743"/>
    <w:rsid w:val="00542C2D"/>
    <w:rsid w:val="00542C98"/>
    <w:rsid w:val="005433E7"/>
    <w:rsid w:val="00543BA9"/>
    <w:rsid w:val="00543F5D"/>
    <w:rsid w:val="0054441A"/>
    <w:rsid w:val="005445E6"/>
    <w:rsid w:val="0054484F"/>
    <w:rsid w:val="00544C14"/>
    <w:rsid w:val="005455DB"/>
    <w:rsid w:val="00546645"/>
    <w:rsid w:val="005504DB"/>
    <w:rsid w:val="005507C0"/>
    <w:rsid w:val="005508F3"/>
    <w:rsid w:val="00550BE2"/>
    <w:rsid w:val="00550C1D"/>
    <w:rsid w:val="00551985"/>
    <w:rsid w:val="00551A4D"/>
    <w:rsid w:val="00551C9B"/>
    <w:rsid w:val="00551FD5"/>
    <w:rsid w:val="005525CF"/>
    <w:rsid w:val="00552711"/>
    <w:rsid w:val="005527E5"/>
    <w:rsid w:val="00552BD3"/>
    <w:rsid w:val="00554B50"/>
    <w:rsid w:val="00555109"/>
    <w:rsid w:val="0055518C"/>
    <w:rsid w:val="00555869"/>
    <w:rsid w:val="00555EBE"/>
    <w:rsid w:val="00556180"/>
    <w:rsid w:val="005567F4"/>
    <w:rsid w:val="0055694E"/>
    <w:rsid w:val="0055770F"/>
    <w:rsid w:val="005578F2"/>
    <w:rsid w:val="0056034D"/>
    <w:rsid w:val="00560568"/>
    <w:rsid w:val="0056069D"/>
    <w:rsid w:val="005606D0"/>
    <w:rsid w:val="005607BE"/>
    <w:rsid w:val="00560F0A"/>
    <w:rsid w:val="00561F0B"/>
    <w:rsid w:val="0056247E"/>
    <w:rsid w:val="005633E4"/>
    <w:rsid w:val="00564EEB"/>
    <w:rsid w:val="005650BB"/>
    <w:rsid w:val="005656F7"/>
    <w:rsid w:val="00565BF2"/>
    <w:rsid w:val="00566704"/>
    <w:rsid w:val="0056696F"/>
    <w:rsid w:val="00566A16"/>
    <w:rsid w:val="0056785D"/>
    <w:rsid w:val="00570458"/>
    <w:rsid w:val="00570479"/>
    <w:rsid w:val="00570858"/>
    <w:rsid w:val="00571023"/>
    <w:rsid w:val="00571740"/>
    <w:rsid w:val="0057187E"/>
    <w:rsid w:val="00571F23"/>
    <w:rsid w:val="005720F9"/>
    <w:rsid w:val="00572269"/>
    <w:rsid w:val="0057244A"/>
    <w:rsid w:val="005724E6"/>
    <w:rsid w:val="005727FA"/>
    <w:rsid w:val="00572831"/>
    <w:rsid w:val="005728A8"/>
    <w:rsid w:val="005729ED"/>
    <w:rsid w:val="005734C9"/>
    <w:rsid w:val="00573511"/>
    <w:rsid w:val="00573674"/>
    <w:rsid w:val="00573B05"/>
    <w:rsid w:val="00573E90"/>
    <w:rsid w:val="005745B5"/>
    <w:rsid w:val="005746B3"/>
    <w:rsid w:val="0057571B"/>
    <w:rsid w:val="00575B14"/>
    <w:rsid w:val="00575B9C"/>
    <w:rsid w:val="00575D8D"/>
    <w:rsid w:val="00575FB5"/>
    <w:rsid w:val="005765E6"/>
    <w:rsid w:val="005768D8"/>
    <w:rsid w:val="005768FD"/>
    <w:rsid w:val="00576972"/>
    <w:rsid w:val="00576985"/>
    <w:rsid w:val="00576AF7"/>
    <w:rsid w:val="00576D6A"/>
    <w:rsid w:val="005772C6"/>
    <w:rsid w:val="00577FCD"/>
    <w:rsid w:val="0058059F"/>
    <w:rsid w:val="0058079C"/>
    <w:rsid w:val="00580E0D"/>
    <w:rsid w:val="00581327"/>
    <w:rsid w:val="005815C9"/>
    <w:rsid w:val="005816C6"/>
    <w:rsid w:val="00582099"/>
    <w:rsid w:val="00582CA8"/>
    <w:rsid w:val="005835B8"/>
    <w:rsid w:val="00583699"/>
    <w:rsid w:val="00583D5D"/>
    <w:rsid w:val="00583FF6"/>
    <w:rsid w:val="00584B57"/>
    <w:rsid w:val="00584E37"/>
    <w:rsid w:val="0058508F"/>
    <w:rsid w:val="0058525F"/>
    <w:rsid w:val="00585426"/>
    <w:rsid w:val="00585B4F"/>
    <w:rsid w:val="00585CDD"/>
    <w:rsid w:val="005867E0"/>
    <w:rsid w:val="00586BE0"/>
    <w:rsid w:val="00586CBF"/>
    <w:rsid w:val="00586FC1"/>
    <w:rsid w:val="00587058"/>
    <w:rsid w:val="00587584"/>
    <w:rsid w:val="005877EF"/>
    <w:rsid w:val="00587D85"/>
    <w:rsid w:val="00590473"/>
    <w:rsid w:val="00590921"/>
    <w:rsid w:val="00590CC8"/>
    <w:rsid w:val="00590E86"/>
    <w:rsid w:val="0059136B"/>
    <w:rsid w:val="0059148F"/>
    <w:rsid w:val="00591957"/>
    <w:rsid w:val="00591EE6"/>
    <w:rsid w:val="00592855"/>
    <w:rsid w:val="005929E2"/>
    <w:rsid w:val="00592BD1"/>
    <w:rsid w:val="00592FB1"/>
    <w:rsid w:val="00593467"/>
    <w:rsid w:val="00593887"/>
    <w:rsid w:val="005938D0"/>
    <w:rsid w:val="005938D2"/>
    <w:rsid w:val="00593A75"/>
    <w:rsid w:val="00593D7D"/>
    <w:rsid w:val="005947D1"/>
    <w:rsid w:val="00594975"/>
    <w:rsid w:val="00594CF9"/>
    <w:rsid w:val="0059590A"/>
    <w:rsid w:val="00596000"/>
    <w:rsid w:val="00596629"/>
    <w:rsid w:val="0059673C"/>
    <w:rsid w:val="005968AD"/>
    <w:rsid w:val="00596C7B"/>
    <w:rsid w:val="00596EE0"/>
    <w:rsid w:val="0059717A"/>
    <w:rsid w:val="0059762C"/>
    <w:rsid w:val="00597BF9"/>
    <w:rsid w:val="00597C42"/>
    <w:rsid w:val="00597DB3"/>
    <w:rsid w:val="005A03BC"/>
    <w:rsid w:val="005A0507"/>
    <w:rsid w:val="005A06B1"/>
    <w:rsid w:val="005A0D58"/>
    <w:rsid w:val="005A1080"/>
    <w:rsid w:val="005A1606"/>
    <w:rsid w:val="005A1E8F"/>
    <w:rsid w:val="005A20A5"/>
    <w:rsid w:val="005A20D6"/>
    <w:rsid w:val="005A2102"/>
    <w:rsid w:val="005A3487"/>
    <w:rsid w:val="005A3543"/>
    <w:rsid w:val="005A373D"/>
    <w:rsid w:val="005A3F96"/>
    <w:rsid w:val="005A48B7"/>
    <w:rsid w:val="005A4D0E"/>
    <w:rsid w:val="005A4D22"/>
    <w:rsid w:val="005A4D26"/>
    <w:rsid w:val="005A50E9"/>
    <w:rsid w:val="005A562F"/>
    <w:rsid w:val="005A62C5"/>
    <w:rsid w:val="005A6D99"/>
    <w:rsid w:val="005A6E18"/>
    <w:rsid w:val="005B07AB"/>
    <w:rsid w:val="005B099F"/>
    <w:rsid w:val="005B0B64"/>
    <w:rsid w:val="005B0CC5"/>
    <w:rsid w:val="005B134D"/>
    <w:rsid w:val="005B135B"/>
    <w:rsid w:val="005B20AE"/>
    <w:rsid w:val="005B2790"/>
    <w:rsid w:val="005B2B58"/>
    <w:rsid w:val="005B2ECF"/>
    <w:rsid w:val="005B388D"/>
    <w:rsid w:val="005B3ABC"/>
    <w:rsid w:val="005B403C"/>
    <w:rsid w:val="005B4065"/>
    <w:rsid w:val="005B4694"/>
    <w:rsid w:val="005B478B"/>
    <w:rsid w:val="005B4B0D"/>
    <w:rsid w:val="005B5049"/>
    <w:rsid w:val="005B507E"/>
    <w:rsid w:val="005B52A2"/>
    <w:rsid w:val="005B531C"/>
    <w:rsid w:val="005B56DB"/>
    <w:rsid w:val="005B5857"/>
    <w:rsid w:val="005B74B1"/>
    <w:rsid w:val="005B7AEC"/>
    <w:rsid w:val="005B7C8E"/>
    <w:rsid w:val="005B7FC4"/>
    <w:rsid w:val="005C00CD"/>
    <w:rsid w:val="005C0334"/>
    <w:rsid w:val="005C12EC"/>
    <w:rsid w:val="005C17E1"/>
    <w:rsid w:val="005C1B83"/>
    <w:rsid w:val="005C23E2"/>
    <w:rsid w:val="005C2BBD"/>
    <w:rsid w:val="005C2D55"/>
    <w:rsid w:val="005C3229"/>
    <w:rsid w:val="005C346B"/>
    <w:rsid w:val="005C3C26"/>
    <w:rsid w:val="005C3C5C"/>
    <w:rsid w:val="005C4BB2"/>
    <w:rsid w:val="005C4FCA"/>
    <w:rsid w:val="005C534B"/>
    <w:rsid w:val="005C6024"/>
    <w:rsid w:val="005C6243"/>
    <w:rsid w:val="005C6F05"/>
    <w:rsid w:val="005C7376"/>
    <w:rsid w:val="005D044D"/>
    <w:rsid w:val="005D0ABD"/>
    <w:rsid w:val="005D0F38"/>
    <w:rsid w:val="005D0F45"/>
    <w:rsid w:val="005D18AD"/>
    <w:rsid w:val="005D198C"/>
    <w:rsid w:val="005D1F11"/>
    <w:rsid w:val="005D2386"/>
    <w:rsid w:val="005D246B"/>
    <w:rsid w:val="005D26B4"/>
    <w:rsid w:val="005D2A22"/>
    <w:rsid w:val="005D2BC8"/>
    <w:rsid w:val="005D32F8"/>
    <w:rsid w:val="005D3A31"/>
    <w:rsid w:val="005D59B7"/>
    <w:rsid w:val="005D692C"/>
    <w:rsid w:val="005D6B49"/>
    <w:rsid w:val="005D6EE1"/>
    <w:rsid w:val="005D7087"/>
    <w:rsid w:val="005D74C5"/>
    <w:rsid w:val="005D7976"/>
    <w:rsid w:val="005E0091"/>
    <w:rsid w:val="005E013A"/>
    <w:rsid w:val="005E0339"/>
    <w:rsid w:val="005E1023"/>
    <w:rsid w:val="005E12F8"/>
    <w:rsid w:val="005E1305"/>
    <w:rsid w:val="005E18BC"/>
    <w:rsid w:val="005E1986"/>
    <w:rsid w:val="005E1A57"/>
    <w:rsid w:val="005E1B8D"/>
    <w:rsid w:val="005E208B"/>
    <w:rsid w:val="005E2156"/>
    <w:rsid w:val="005E23E4"/>
    <w:rsid w:val="005E2869"/>
    <w:rsid w:val="005E29B0"/>
    <w:rsid w:val="005E2BE3"/>
    <w:rsid w:val="005E35C4"/>
    <w:rsid w:val="005E370D"/>
    <w:rsid w:val="005E4502"/>
    <w:rsid w:val="005E468F"/>
    <w:rsid w:val="005E4C8B"/>
    <w:rsid w:val="005E56A2"/>
    <w:rsid w:val="005E56A5"/>
    <w:rsid w:val="005E60B9"/>
    <w:rsid w:val="005E645A"/>
    <w:rsid w:val="005E6CBC"/>
    <w:rsid w:val="005E73C0"/>
    <w:rsid w:val="005E7B34"/>
    <w:rsid w:val="005E7B5A"/>
    <w:rsid w:val="005E7F90"/>
    <w:rsid w:val="005F0193"/>
    <w:rsid w:val="005F0C24"/>
    <w:rsid w:val="005F11E8"/>
    <w:rsid w:val="005F12EB"/>
    <w:rsid w:val="005F14CA"/>
    <w:rsid w:val="005F17BD"/>
    <w:rsid w:val="005F19CA"/>
    <w:rsid w:val="005F1AAF"/>
    <w:rsid w:val="005F2203"/>
    <w:rsid w:val="005F2706"/>
    <w:rsid w:val="005F2740"/>
    <w:rsid w:val="005F2932"/>
    <w:rsid w:val="005F294A"/>
    <w:rsid w:val="005F37B0"/>
    <w:rsid w:val="005F4596"/>
    <w:rsid w:val="005F46E1"/>
    <w:rsid w:val="005F4AE6"/>
    <w:rsid w:val="005F4B38"/>
    <w:rsid w:val="005F50E0"/>
    <w:rsid w:val="005F55CC"/>
    <w:rsid w:val="005F5993"/>
    <w:rsid w:val="005F5B25"/>
    <w:rsid w:val="005F5B39"/>
    <w:rsid w:val="005F5C1D"/>
    <w:rsid w:val="005F5DA3"/>
    <w:rsid w:val="005F6021"/>
    <w:rsid w:val="005F63CD"/>
    <w:rsid w:val="005F685C"/>
    <w:rsid w:val="005F6868"/>
    <w:rsid w:val="005F68AF"/>
    <w:rsid w:val="005F6A8F"/>
    <w:rsid w:val="005F6B4E"/>
    <w:rsid w:val="005F7060"/>
    <w:rsid w:val="005F70F7"/>
    <w:rsid w:val="005F727B"/>
    <w:rsid w:val="005F7291"/>
    <w:rsid w:val="00600E78"/>
    <w:rsid w:val="006011D4"/>
    <w:rsid w:val="00601797"/>
    <w:rsid w:val="0060243C"/>
    <w:rsid w:val="006028EA"/>
    <w:rsid w:val="00603550"/>
    <w:rsid w:val="00603DB9"/>
    <w:rsid w:val="00603DEC"/>
    <w:rsid w:val="00603E80"/>
    <w:rsid w:val="00604388"/>
    <w:rsid w:val="00605A5A"/>
    <w:rsid w:val="00605A65"/>
    <w:rsid w:val="006073D0"/>
    <w:rsid w:val="00607669"/>
    <w:rsid w:val="00607859"/>
    <w:rsid w:val="00607AC8"/>
    <w:rsid w:val="00607AFD"/>
    <w:rsid w:val="00607B6F"/>
    <w:rsid w:val="00607C5C"/>
    <w:rsid w:val="00607F8C"/>
    <w:rsid w:val="00610A08"/>
    <w:rsid w:val="00610BDB"/>
    <w:rsid w:val="00611212"/>
    <w:rsid w:val="00611D0F"/>
    <w:rsid w:val="006128EE"/>
    <w:rsid w:val="00612BA1"/>
    <w:rsid w:val="00612F97"/>
    <w:rsid w:val="0061345D"/>
    <w:rsid w:val="00614004"/>
    <w:rsid w:val="0061415B"/>
    <w:rsid w:val="00614A9E"/>
    <w:rsid w:val="00615217"/>
    <w:rsid w:val="0061587C"/>
    <w:rsid w:val="00615B1E"/>
    <w:rsid w:val="00616802"/>
    <w:rsid w:val="00617728"/>
    <w:rsid w:val="00617A7F"/>
    <w:rsid w:val="00617ACA"/>
    <w:rsid w:val="00617E12"/>
    <w:rsid w:val="0062000F"/>
    <w:rsid w:val="0062013F"/>
    <w:rsid w:val="0062095E"/>
    <w:rsid w:val="00620BD3"/>
    <w:rsid w:val="00621477"/>
    <w:rsid w:val="006215A7"/>
    <w:rsid w:val="00621D3A"/>
    <w:rsid w:val="00621DCC"/>
    <w:rsid w:val="00621F86"/>
    <w:rsid w:val="00622318"/>
    <w:rsid w:val="006238DD"/>
    <w:rsid w:val="00623F9D"/>
    <w:rsid w:val="006244D0"/>
    <w:rsid w:val="00624655"/>
    <w:rsid w:val="00625342"/>
    <w:rsid w:val="00625387"/>
    <w:rsid w:val="00625449"/>
    <w:rsid w:val="006256DE"/>
    <w:rsid w:val="0062576D"/>
    <w:rsid w:val="006266A1"/>
    <w:rsid w:val="00626965"/>
    <w:rsid w:val="006273C5"/>
    <w:rsid w:val="0062776A"/>
    <w:rsid w:val="00627C36"/>
    <w:rsid w:val="00627F9F"/>
    <w:rsid w:val="006309AA"/>
    <w:rsid w:val="006309D2"/>
    <w:rsid w:val="006313A2"/>
    <w:rsid w:val="0063158F"/>
    <w:rsid w:val="00631A0B"/>
    <w:rsid w:val="00631BB0"/>
    <w:rsid w:val="00631D6B"/>
    <w:rsid w:val="00631DA3"/>
    <w:rsid w:val="00632594"/>
    <w:rsid w:val="006330A1"/>
    <w:rsid w:val="00633342"/>
    <w:rsid w:val="0063417A"/>
    <w:rsid w:val="00634317"/>
    <w:rsid w:val="00634741"/>
    <w:rsid w:val="0063479F"/>
    <w:rsid w:val="00634C26"/>
    <w:rsid w:val="006353F0"/>
    <w:rsid w:val="00635520"/>
    <w:rsid w:val="0063565B"/>
    <w:rsid w:val="00635C3C"/>
    <w:rsid w:val="006364A1"/>
    <w:rsid w:val="00636FBA"/>
    <w:rsid w:val="0063708C"/>
    <w:rsid w:val="00637493"/>
    <w:rsid w:val="00637BFD"/>
    <w:rsid w:val="00640014"/>
    <w:rsid w:val="00640C44"/>
    <w:rsid w:val="00641286"/>
    <w:rsid w:val="0064151A"/>
    <w:rsid w:val="006416AF"/>
    <w:rsid w:val="00641984"/>
    <w:rsid w:val="006419E5"/>
    <w:rsid w:val="00641C4E"/>
    <w:rsid w:val="00641D59"/>
    <w:rsid w:val="0064254C"/>
    <w:rsid w:val="006434B3"/>
    <w:rsid w:val="006434C0"/>
    <w:rsid w:val="006439FD"/>
    <w:rsid w:val="00643E2E"/>
    <w:rsid w:val="00644B22"/>
    <w:rsid w:val="00645A60"/>
    <w:rsid w:val="00645FE3"/>
    <w:rsid w:val="00646BB6"/>
    <w:rsid w:val="00646FB2"/>
    <w:rsid w:val="006471CC"/>
    <w:rsid w:val="00647D53"/>
    <w:rsid w:val="006501B8"/>
    <w:rsid w:val="00650775"/>
    <w:rsid w:val="0065079F"/>
    <w:rsid w:val="00650BD9"/>
    <w:rsid w:val="00650D75"/>
    <w:rsid w:val="00650F6B"/>
    <w:rsid w:val="00650FE6"/>
    <w:rsid w:val="00653197"/>
    <w:rsid w:val="006534E3"/>
    <w:rsid w:val="006536FB"/>
    <w:rsid w:val="0065379F"/>
    <w:rsid w:val="00654583"/>
    <w:rsid w:val="006549A9"/>
    <w:rsid w:val="00654E3F"/>
    <w:rsid w:val="00654FC0"/>
    <w:rsid w:val="00655502"/>
    <w:rsid w:val="00655D72"/>
    <w:rsid w:val="0065608A"/>
    <w:rsid w:val="0065678A"/>
    <w:rsid w:val="00656A52"/>
    <w:rsid w:val="00657019"/>
    <w:rsid w:val="0065721A"/>
    <w:rsid w:val="0065757A"/>
    <w:rsid w:val="0065788C"/>
    <w:rsid w:val="00657B11"/>
    <w:rsid w:val="006600B0"/>
    <w:rsid w:val="006611F1"/>
    <w:rsid w:val="006617FC"/>
    <w:rsid w:val="006619B2"/>
    <w:rsid w:val="006619EA"/>
    <w:rsid w:val="00661C6B"/>
    <w:rsid w:val="006620BD"/>
    <w:rsid w:val="00662D59"/>
    <w:rsid w:val="00663086"/>
    <w:rsid w:val="006635AB"/>
    <w:rsid w:val="006637B4"/>
    <w:rsid w:val="00663930"/>
    <w:rsid w:val="00663DDC"/>
    <w:rsid w:val="00664BDC"/>
    <w:rsid w:val="006652E7"/>
    <w:rsid w:val="0066570E"/>
    <w:rsid w:val="0066630D"/>
    <w:rsid w:val="006665F2"/>
    <w:rsid w:val="006666B2"/>
    <w:rsid w:val="006666C1"/>
    <w:rsid w:val="00666734"/>
    <w:rsid w:val="00666F71"/>
    <w:rsid w:val="0066753C"/>
    <w:rsid w:val="0066783D"/>
    <w:rsid w:val="006679AD"/>
    <w:rsid w:val="00667D6A"/>
    <w:rsid w:val="00667FD4"/>
    <w:rsid w:val="00670081"/>
    <w:rsid w:val="0067038E"/>
    <w:rsid w:val="006714A3"/>
    <w:rsid w:val="00671F05"/>
    <w:rsid w:val="00671F1D"/>
    <w:rsid w:val="00672264"/>
    <w:rsid w:val="0067244A"/>
    <w:rsid w:val="006729B7"/>
    <w:rsid w:val="00672A01"/>
    <w:rsid w:val="006730D4"/>
    <w:rsid w:val="006730FD"/>
    <w:rsid w:val="00674615"/>
    <w:rsid w:val="0067475D"/>
    <w:rsid w:val="00674B65"/>
    <w:rsid w:val="00674E42"/>
    <w:rsid w:val="0067590C"/>
    <w:rsid w:val="00675E2B"/>
    <w:rsid w:val="0067616D"/>
    <w:rsid w:val="0067695A"/>
    <w:rsid w:val="0067726F"/>
    <w:rsid w:val="006805A0"/>
    <w:rsid w:val="006806A3"/>
    <w:rsid w:val="00680D04"/>
    <w:rsid w:val="00681103"/>
    <w:rsid w:val="0068128F"/>
    <w:rsid w:val="0068140D"/>
    <w:rsid w:val="00681B99"/>
    <w:rsid w:val="00681D8F"/>
    <w:rsid w:val="00682112"/>
    <w:rsid w:val="00683237"/>
    <w:rsid w:val="0068340A"/>
    <w:rsid w:val="006840FE"/>
    <w:rsid w:val="0068432C"/>
    <w:rsid w:val="006847AA"/>
    <w:rsid w:val="00684CFE"/>
    <w:rsid w:val="00685675"/>
    <w:rsid w:val="006856C2"/>
    <w:rsid w:val="006856D3"/>
    <w:rsid w:val="00685DF1"/>
    <w:rsid w:val="00685F9A"/>
    <w:rsid w:val="00686957"/>
    <w:rsid w:val="00686EC7"/>
    <w:rsid w:val="006872BA"/>
    <w:rsid w:val="00687371"/>
    <w:rsid w:val="00690934"/>
    <w:rsid w:val="00690D1A"/>
    <w:rsid w:val="0069105E"/>
    <w:rsid w:val="00691648"/>
    <w:rsid w:val="006916BE"/>
    <w:rsid w:val="006917D7"/>
    <w:rsid w:val="00691AB3"/>
    <w:rsid w:val="00692543"/>
    <w:rsid w:val="00692D8F"/>
    <w:rsid w:val="0069308D"/>
    <w:rsid w:val="00693238"/>
    <w:rsid w:val="00693A44"/>
    <w:rsid w:val="00693BBA"/>
    <w:rsid w:val="006946FC"/>
    <w:rsid w:val="006947FC"/>
    <w:rsid w:val="00694853"/>
    <w:rsid w:val="00694A98"/>
    <w:rsid w:val="00694E2C"/>
    <w:rsid w:val="00694F44"/>
    <w:rsid w:val="00694F4B"/>
    <w:rsid w:val="006950DF"/>
    <w:rsid w:val="00695540"/>
    <w:rsid w:val="00696462"/>
    <w:rsid w:val="006966E7"/>
    <w:rsid w:val="00696A49"/>
    <w:rsid w:val="00696F04"/>
    <w:rsid w:val="006970EC"/>
    <w:rsid w:val="006976FD"/>
    <w:rsid w:val="00697D16"/>
    <w:rsid w:val="006A00D0"/>
    <w:rsid w:val="006A0385"/>
    <w:rsid w:val="006A0500"/>
    <w:rsid w:val="006A061F"/>
    <w:rsid w:val="006A07B0"/>
    <w:rsid w:val="006A084A"/>
    <w:rsid w:val="006A0D7F"/>
    <w:rsid w:val="006A0E04"/>
    <w:rsid w:val="006A1102"/>
    <w:rsid w:val="006A11AA"/>
    <w:rsid w:val="006A12D5"/>
    <w:rsid w:val="006A16C6"/>
    <w:rsid w:val="006A1828"/>
    <w:rsid w:val="006A1C60"/>
    <w:rsid w:val="006A2608"/>
    <w:rsid w:val="006A3179"/>
    <w:rsid w:val="006A3D17"/>
    <w:rsid w:val="006A3EC0"/>
    <w:rsid w:val="006A4807"/>
    <w:rsid w:val="006A491C"/>
    <w:rsid w:val="006A5406"/>
    <w:rsid w:val="006A594A"/>
    <w:rsid w:val="006A5BFC"/>
    <w:rsid w:val="006A5EB6"/>
    <w:rsid w:val="006A609D"/>
    <w:rsid w:val="006A71B1"/>
    <w:rsid w:val="006A7CD1"/>
    <w:rsid w:val="006A7E5F"/>
    <w:rsid w:val="006B080C"/>
    <w:rsid w:val="006B0C61"/>
    <w:rsid w:val="006B0E1F"/>
    <w:rsid w:val="006B1129"/>
    <w:rsid w:val="006B124B"/>
    <w:rsid w:val="006B13BB"/>
    <w:rsid w:val="006B204C"/>
    <w:rsid w:val="006B20A7"/>
    <w:rsid w:val="006B261B"/>
    <w:rsid w:val="006B2A92"/>
    <w:rsid w:val="006B2C90"/>
    <w:rsid w:val="006B31F7"/>
    <w:rsid w:val="006B3268"/>
    <w:rsid w:val="006B34DA"/>
    <w:rsid w:val="006B34F4"/>
    <w:rsid w:val="006B3542"/>
    <w:rsid w:val="006B3A1B"/>
    <w:rsid w:val="006B3A90"/>
    <w:rsid w:val="006B3DCB"/>
    <w:rsid w:val="006B405B"/>
    <w:rsid w:val="006B57B1"/>
    <w:rsid w:val="006B5D80"/>
    <w:rsid w:val="006B6206"/>
    <w:rsid w:val="006B678C"/>
    <w:rsid w:val="006B6DD0"/>
    <w:rsid w:val="006B6DE1"/>
    <w:rsid w:val="006B740F"/>
    <w:rsid w:val="006B741A"/>
    <w:rsid w:val="006B74F4"/>
    <w:rsid w:val="006B7646"/>
    <w:rsid w:val="006B7C80"/>
    <w:rsid w:val="006B7C93"/>
    <w:rsid w:val="006C03C5"/>
    <w:rsid w:val="006C0590"/>
    <w:rsid w:val="006C08DC"/>
    <w:rsid w:val="006C19BE"/>
    <w:rsid w:val="006C1BEB"/>
    <w:rsid w:val="006C1D98"/>
    <w:rsid w:val="006C1F96"/>
    <w:rsid w:val="006C25E5"/>
    <w:rsid w:val="006C2667"/>
    <w:rsid w:val="006C294B"/>
    <w:rsid w:val="006C2A8E"/>
    <w:rsid w:val="006C2BA6"/>
    <w:rsid w:val="006C2D92"/>
    <w:rsid w:val="006C2E00"/>
    <w:rsid w:val="006C3734"/>
    <w:rsid w:val="006C3A71"/>
    <w:rsid w:val="006C449D"/>
    <w:rsid w:val="006C46D4"/>
    <w:rsid w:val="006C471A"/>
    <w:rsid w:val="006C49BA"/>
    <w:rsid w:val="006C531F"/>
    <w:rsid w:val="006C5EF5"/>
    <w:rsid w:val="006C5FDC"/>
    <w:rsid w:val="006C600E"/>
    <w:rsid w:val="006C6055"/>
    <w:rsid w:val="006C628E"/>
    <w:rsid w:val="006C66EB"/>
    <w:rsid w:val="006C6AED"/>
    <w:rsid w:val="006C6B03"/>
    <w:rsid w:val="006C6EA3"/>
    <w:rsid w:val="006C7023"/>
    <w:rsid w:val="006C708B"/>
    <w:rsid w:val="006C7863"/>
    <w:rsid w:val="006D056B"/>
    <w:rsid w:val="006D080B"/>
    <w:rsid w:val="006D082F"/>
    <w:rsid w:val="006D19A2"/>
    <w:rsid w:val="006D19E8"/>
    <w:rsid w:val="006D1FE7"/>
    <w:rsid w:val="006D230D"/>
    <w:rsid w:val="006D2704"/>
    <w:rsid w:val="006D27BC"/>
    <w:rsid w:val="006D2BBA"/>
    <w:rsid w:val="006D32D9"/>
    <w:rsid w:val="006D33AB"/>
    <w:rsid w:val="006D34B8"/>
    <w:rsid w:val="006D3C24"/>
    <w:rsid w:val="006D3C7D"/>
    <w:rsid w:val="006D3D18"/>
    <w:rsid w:val="006D496F"/>
    <w:rsid w:val="006D4E9A"/>
    <w:rsid w:val="006D50C1"/>
    <w:rsid w:val="006D5557"/>
    <w:rsid w:val="006D5965"/>
    <w:rsid w:val="006D5D5F"/>
    <w:rsid w:val="006D5ED6"/>
    <w:rsid w:val="006D5EDF"/>
    <w:rsid w:val="006D5F23"/>
    <w:rsid w:val="006D609C"/>
    <w:rsid w:val="006D614D"/>
    <w:rsid w:val="006D7040"/>
    <w:rsid w:val="006D7898"/>
    <w:rsid w:val="006E0A4F"/>
    <w:rsid w:val="006E0C58"/>
    <w:rsid w:val="006E208B"/>
    <w:rsid w:val="006E21B9"/>
    <w:rsid w:val="006E2426"/>
    <w:rsid w:val="006E270F"/>
    <w:rsid w:val="006E27AF"/>
    <w:rsid w:val="006E27B1"/>
    <w:rsid w:val="006E27EC"/>
    <w:rsid w:val="006E29AE"/>
    <w:rsid w:val="006E43F6"/>
    <w:rsid w:val="006E4841"/>
    <w:rsid w:val="006E48D6"/>
    <w:rsid w:val="006E4D68"/>
    <w:rsid w:val="006E531D"/>
    <w:rsid w:val="006E558F"/>
    <w:rsid w:val="006E564C"/>
    <w:rsid w:val="006E56FE"/>
    <w:rsid w:val="006E57C2"/>
    <w:rsid w:val="006E60FE"/>
    <w:rsid w:val="006E632E"/>
    <w:rsid w:val="006E63EB"/>
    <w:rsid w:val="006E68FD"/>
    <w:rsid w:val="006E6C9F"/>
    <w:rsid w:val="006E6E35"/>
    <w:rsid w:val="006E6F24"/>
    <w:rsid w:val="006E7207"/>
    <w:rsid w:val="006E7610"/>
    <w:rsid w:val="006E7681"/>
    <w:rsid w:val="006E7A10"/>
    <w:rsid w:val="006E7C47"/>
    <w:rsid w:val="006F036C"/>
    <w:rsid w:val="006F043D"/>
    <w:rsid w:val="006F07DF"/>
    <w:rsid w:val="006F11EA"/>
    <w:rsid w:val="006F144A"/>
    <w:rsid w:val="006F166A"/>
    <w:rsid w:val="006F2D49"/>
    <w:rsid w:val="006F306C"/>
    <w:rsid w:val="006F37A6"/>
    <w:rsid w:val="006F4D21"/>
    <w:rsid w:val="006F5213"/>
    <w:rsid w:val="006F5660"/>
    <w:rsid w:val="006F58E2"/>
    <w:rsid w:val="006F6110"/>
    <w:rsid w:val="006F6192"/>
    <w:rsid w:val="006F61FC"/>
    <w:rsid w:val="006F63A5"/>
    <w:rsid w:val="006F63E8"/>
    <w:rsid w:val="006F7441"/>
    <w:rsid w:val="006F7786"/>
    <w:rsid w:val="006F78BB"/>
    <w:rsid w:val="006F7E20"/>
    <w:rsid w:val="007005C9"/>
    <w:rsid w:val="00700A08"/>
    <w:rsid w:val="0070142B"/>
    <w:rsid w:val="007014DC"/>
    <w:rsid w:val="0070225A"/>
    <w:rsid w:val="007023ED"/>
    <w:rsid w:val="0070276E"/>
    <w:rsid w:val="00702B82"/>
    <w:rsid w:val="00702D22"/>
    <w:rsid w:val="00702F8F"/>
    <w:rsid w:val="007036FB"/>
    <w:rsid w:val="00704039"/>
    <w:rsid w:val="00704548"/>
    <w:rsid w:val="007048DD"/>
    <w:rsid w:val="00704913"/>
    <w:rsid w:val="00704CE8"/>
    <w:rsid w:val="0070504F"/>
    <w:rsid w:val="00705337"/>
    <w:rsid w:val="0070594D"/>
    <w:rsid w:val="00705DC5"/>
    <w:rsid w:val="00706464"/>
    <w:rsid w:val="00706670"/>
    <w:rsid w:val="00706691"/>
    <w:rsid w:val="007067A9"/>
    <w:rsid w:val="00707039"/>
    <w:rsid w:val="0070736F"/>
    <w:rsid w:val="0070761F"/>
    <w:rsid w:val="00707DC8"/>
    <w:rsid w:val="007114AB"/>
    <w:rsid w:val="007119BC"/>
    <w:rsid w:val="00711A36"/>
    <w:rsid w:val="00711F15"/>
    <w:rsid w:val="00711FEA"/>
    <w:rsid w:val="00712B48"/>
    <w:rsid w:val="00712FF7"/>
    <w:rsid w:val="00713814"/>
    <w:rsid w:val="00714126"/>
    <w:rsid w:val="0071529C"/>
    <w:rsid w:val="00716B8A"/>
    <w:rsid w:val="00716C74"/>
    <w:rsid w:val="00716CFB"/>
    <w:rsid w:val="007172AD"/>
    <w:rsid w:val="00720135"/>
    <w:rsid w:val="007203DB"/>
    <w:rsid w:val="0072041A"/>
    <w:rsid w:val="0072093C"/>
    <w:rsid w:val="00721075"/>
    <w:rsid w:val="007215C5"/>
    <w:rsid w:val="0072221A"/>
    <w:rsid w:val="00722324"/>
    <w:rsid w:val="007225EE"/>
    <w:rsid w:val="007225F6"/>
    <w:rsid w:val="007227A3"/>
    <w:rsid w:val="007229AC"/>
    <w:rsid w:val="00722B1B"/>
    <w:rsid w:val="00722BAA"/>
    <w:rsid w:val="00722D9E"/>
    <w:rsid w:val="00722EC7"/>
    <w:rsid w:val="007232D8"/>
    <w:rsid w:val="0072347C"/>
    <w:rsid w:val="007238A9"/>
    <w:rsid w:val="00723D5F"/>
    <w:rsid w:val="0072416F"/>
    <w:rsid w:val="007243E8"/>
    <w:rsid w:val="00724D26"/>
    <w:rsid w:val="00724D98"/>
    <w:rsid w:val="00725939"/>
    <w:rsid w:val="00725BD1"/>
    <w:rsid w:val="00726499"/>
    <w:rsid w:val="007269FE"/>
    <w:rsid w:val="00726A64"/>
    <w:rsid w:val="00726C7E"/>
    <w:rsid w:val="007274BC"/>
    <w:rsid w:val="00727756"/>
    <w:rsid w:val="00727891"/>
    <w:rsid w:val="00727C8D"/>
    <w:rsid w:val="00727C94"/>
    <w:rsid w:val="007300C9"/>
    <w:rsid w:val="007306F0"/>
    <w:rsid w:val="00730BEE"/>
    <w:rsid w:val="00731120"/>
    <w:rsid w:val="00731EAE"/>
    <w:rsid w:val="007327F6"/>
    <w:rsid w:val="00732AD9"/>
    <w:rsid w:val="00732DD1"/>
    <w:rsid w:val="00732EA7"/>
    <w:rsid w:val="00733797"/>
    <w:rsid w:val="0073476D"/>
    <w:rsid w:val="00734E1C"/>
    <w:rsid w:val="00735033"/>
    <w:rsid w:val="00735120"/>
    <w:rsid w:val="00735328"/>
    <w:rsid w:val="0073571F"/>
    <w:rsid w:val="00735A97"/>
    <w:rsid w:val="00735AF0"/>
    <w:rsid w:val="007367E7"/>
    <w:rsid w:val="0073685B"/>
    <w:rsid w:val="00736877"/>
    <w:rsid w:val="00736A4A"/>
    <w:rsid w:val="00737120"/>
    <w:rsid w:val="00737510"/>
    <w:rsid w:val="00737F92"/>
    <w:rsid w:val="00740367"/>
    <w:rsid w:val="00740451"/>
    <w:rsid w:val="007406DB"/>
    <w:rsid w:val="00741345"/>
    <w:rsid w:val="00741448"/>
    <w:rsid w:val="007417CD"/>
    <w:rsid w:val="00741CB2"/>
    <w:rsid w:val="00742225"/>
    <w:rsid w:val="00742BAA"/>
    <w:rsid w:val="00744130"/>
    <w:rsid w:val="0074416D"/>
    <w:rsid w:val="007453FC"/>
    <w:rsid w:val="0074567F"/>
    <w:rsid w:val="007456AB"/>
    <w:rsid w:val="00745A95"/>
    <w:rsid w:val="00747474"/>
    <w:rsid w:val="00747565"/>
    <w:rsid w:val="00747849"/>
    <w:rsid w:val="00751753"/>
    <w:rsid w:val="00751B41"/>
    <w:rsid w:val="00752142"/>
    <w:rsid w:val="007523F9"/>
    <w:rsid w:val="0075257B"/>
    <w:rsid w:val="007527EC"/>
    <w:rsid w:val="00752D97"/>
    <w:rsid w:val="00752E79"/>
    <w:rsid w:val="007532D1"/>
    <w:rsid w:val="0075344A"/>
    <w:rsid w:val="007534DC"/>
    <w:rsid w:val="007535F1"/>
    <w:rsid w:val="00753A01"/>
    <w:rsid w:val="007546CD"/>
    <w:rsid w:val="00754C89"/>
    <w:rsid w:val="007551DF"/>
    <w:rsid w:val="00755A9D"/>
    <w:rsid w:val="00755C4A"/>
    <w:rsid w:val="00755C52"/>
    <w:rsid w:val="00755C99"/>
    <w:rsid w:val="00755F6C"/>
    <w:rsid w:val="00756E26"/>
    <w:rsid w:val="00757041"/>
    <w:rsid w:val="007573E8"/>
    <w:rsid w:val="00757969"/>
    <w:rsid w:val="00757EE7"/>
    <w:rsid w:val="00760182"/>
    <w:rsid w:val="0076087E"/>
    <w:rsid w:val="00760BE2"/>
    <w:rsid w:val="00760C4E"/>
    <w:rsid w:val="00760CE2"/>
    <w:rsid w:val="00761690"/>
    <w:rsid w:val="00761C27"/>
    <w:rsid w:val="007627DB"/>
    <w:rsid w:val="00762903"/>
    <w:rsid w:val="007629F0"/>
    <w:rsid w:val="00762E9C"/>
    <w:rsid w:val="007631C2"/>
    <w:rsid w:val="007635FB"/>
    <w:rsid w:val="00763644"/>
    <w:rsid w:val="0076369B"/>
    <w:rsid w:val="0076404C"/>
    <w:rsid w:val="007643EC"/>
    <w:rsid w:val="00764540"/>
    <w:rsid w:val="00764AE3"/>
    <w:rsid w:val="00765787"/>
    <w:rsid w:val="00765B1A"/>
    <w:rsid w:val="00765D53"/>
    <w:rsid w:val="00765D6E"/>
    <w:rsid w:val="0076647A"/>
    <w:rsid w:val="0076674B"/>
    <w:rsid w:val="00766FD3"/>
    <w:rsid w:val="00766FFB"/>
    <w:rsid w:val="007676E5"/>
    <w:rsid w:val="00767776"/>
    <w:rsid w:val="007700BA"/>
    <w:rsid w:val="007701CE"/>
    <w:rsid w:val="00770329"/>
    <w:rsid w:val="0077089E"/>
    <w:rsid w:val="00771D52"/>
    <w:rsid w:val="00772CFA"/>
    <w:rsid w:val="00772F18"/>
    <w:rsid w:val="0077312C"/>
    <w:rsid w:val="007734A0"/>
    <w:rsid w:val="0077357A"/>
    <w:rsid w:val="0077361A"/>
    <w:rsid w:val="0077364E"/>
    <w:rsid w:val="00773F70"/>
    <w:rsid w:val="0077420C"/>
    <w:rsid w:val="00774433"/>
    <w:rsid w:val="00774470"/>
    <w:rsid w:val="007745FD"/>
    <w:rsid w:val="00774996"/>
    <w:rsid w:val="0077504D"/>
    <w:rsid w:val="00775574"/>
    <w:rsid w:val="0077597C"/>
    <w:rsid w:val="00775EE1"/>
    <w:rsid w:val="00775F41"/>
    <w:rsid w:val="00776090"/>
    <w:rsid w:val="00776396"/>
    <w:rsid w:val="00776641"/>
    <w:rsid w:val="00776FBC"/>
    <w:rsid w:val="0077704C"/>
    <w:rsid w:val="00777A0B"/>
    <w:rsid w:val="00777A45"/>
    <w:rsid w:val="00780314"/>
    <w:rsid w:val="007803FF"/>
    <w:rsid w:val="00780EFE"/>
    <w:rsid w:val="00781418"/>
    <w:rsid w:val="00781524"/>
    <w:rsid w:val="00781C4F"/>
    <w:rsid w:val="00781E0A"/>
    <w:rsid w:val="0078211A"/>
    <w:rsid w:val="00782475"/>
    <w:rsid w:val="007831A6"/>
    <w:rsid w:val="007831B4"/>
    <w:rsid w:val="0078322C"/>
    <w:rsid w:val="00783E90"/>
    <w:rsid w:val="007840E6"/>
    <w:rsid w:val="007843F2"/>
    <w:rsid w:val="00784AD8"/>
    <w:rsid w:val="00785026"/>
    <w:rsid w:val="007855F5"/>
    <w:rsid w:val="00785CB1"/>
    <w:rsid w:val="0078631B"/>
    <w:rsid w:val="00787A7E"/>
    <w:rsid w:val="00787B20"/>
    <w:rsid w:val="00787F9B"/>
    <w:rsid w:val="00790317"/>
    <w:rsid w:val="00790FBA"/>
    <w:rsid w:val="007911B8"/>
    <w:rsid w:val="00791AB6"/>
    <w:rsid w:val="00791BEF"/>
    <w:rsid w:val="00791FB5"/>
    <w:rsid w:val="00792991"/>
    <w:rsid w:val="007932D3"/>
    <w:rsid w:val="00794AC7"/>
    <w:rsid w:val="00795F5B"/>
    <w:rsid w:val="00796293"/>
    <w:rsid w:val="0079631A"/>
    <w:rsid w:val="007966F7"/>
    <w:rsid w:val="00796A86"/>
    <w:rsid w:val="007972B7"/>
    <w:rsid w:val="0079745C"/>
    <w:rsid w:val="00797898"/>
    <w:rsid w:val="00797B66"/>
    <w:rsid w:val="00797EA5"/>
    <w:rsid w:val="007A010C"/>
    <w:rsid w:val="007A0322"/>
    <w:rsid w:val="007A0603"/>
    <w:rsid w:val="007A0A12"/>
    <w:rsid w:val="007A132D"/>
    <w:rsid w:val="007A191C"/>
    <w:rsid w:val="007A1DC3"/>
    <w:rsid w:val="007A2360"/>
    <w:rsid w:val="007A2367"/>
    <w:rsid w:val="007A24F8"/>
    <w:rsid w:val="007A26EC"/>
    <w:rsid w:val="007A277A"/>
    <w:rsid w:val="007A48AB"/>
    <w:rsid w:val="007A5ECE"/>
    <w:rsid w:val="007A678D"/>
    <w:rsid w:val="007A6DC2"/>
    <w:rsid w:val="007A7226"/>
    <w:rsid w:val="007A744F"/>
    <w:rsid w:val="007A78CB"/>
    <w:rsid w:val="007B0020"/>
    <w:rsid w:val="007B0D68"/>
    <w:rsid w:val="007B0FD2"/>
    <w:rsid w:val="007B1571"/>
    <w:rsid w:val="007B2225"/>
    <w:rsid w:val="007B250F"/>
    <w:rsid w:val="007B251D"/>
    <w:rsid w:val="007B2757"/>
    <w:rsid w:val="007B2866"/>
    <w:rsid w:val="007B30BB"/>
    <w:rsid w:val="007B38D7"/>
    <w:rsid w:val="007B394E"/>
    <w:rsid w:val="007B4017"/>
    <w:rsid w:val="007B45D4"/>
    <w:rsid w:val="007B4D0E"/>
    <w:rsid w:val="007B4F58"/>
    <w:rsid w:val="007B5041"/>
    <w:rsid w:val="007B517E"/>
    <w:rsid w:val="007B528D"/>
    <w:rsid w:val="007B6414"/>
    <w:rsid w:val="007B66F3"/>
    <w:rsid w:val="007B6883"/>
    <w:rsid w:val="007B6B13"/>
    <w:rsid w:val="007B71D4"/>
    <w:rsid w:val="007B77D1"/>
    <w:rsid w:val="007B7E20"/>
    <w:rsid w:val="007C0897"/>
    <w:rsid w:val="007C0A8B"/>
    <w:rsid w:val="007C0B05"/>
    <w:rsid w:val="007C1936"/>
    <w:rsid w:val="007C1C10"/>
    <w:rsid w:val="007C1CD9"/>
    <w:rsid w:val="007C2312"/>
    <w:rsid w:val="007C241F"/>
    <w:rsid w:val="007C26D8"/>
    <w:rsid w:val="007C3482"/>
    <w:rsid w:val="007C361D"/>
    <w:rsid w:val="007C3AA9"/>
    <w:rsid w:val="007C3AAD"/>
    <w:rsid w:val="007C3C37"/>
    <w:rsid w:val="007C3F38"/>
    <w:rsid w:val="007C3F3F"/>
    <w:rsid w:val="007C4109"/>
    <w:rsid w:val="007C4B84"/>
    <w:rsid w:val="007C4C40"/>
    <w:rsid w:val="007C500B"/>
    <w:rsid w:val="007C5284"/>
    <w:rsid w:val="007C56D2"/>
    <w:rsid w:val="007C6C4C"/>
    <w:rsid w:val="007C6DD1"/>
    <w:rsid w:val="007C7394"/>
    <w:rsid w:val="007C75BD"/>
    <w:rsid w:val="007D004F"/>
    <w:rsid w:val="007D01F4"/>
    <w:rsid w:val="007D02A3"/>
    <w:rsid w:val="007D07B1"/>
    <w:rsid w:val="007D0B38"/>
    <w:rsid w:val="007D0CE0"/>
    <w:rsid w:val="007D17F3"/>
    <w:rsid w:val="007D2087"/>
    <w:rsid w:val="007D25A7"/>
    <w:rsid w:val="007D26CF"/>
    <w:rsid w:val="007D29D4"/>
    <w:rsid w:val="007D2CFA"/>
    <w:rsid w:val="007D2DC1"/>
    <w:rsid w:val="007D3324"/>
    <w:rsid w:val="007D3C60"/>
    <w:rsid w:val="007D3EC8"/>
    <w:rsid w:val="007D4101"/>
    <w:rsid w:val="007D43F8"/>
    <w:rsid w:val="007D4A8C"/>
    <w:rsid w:val="007D5035"/>
    <w:rsid w:val="007D5440"/>
    <w:rsid w:val="007D575B"/>
    <w:rsid w:val="007D5E1A"/>
    <w:rsid w:val="007D5ED6"/>
    <w:rsid w:val="007D770A"/>
    <w:rsid w:val="007D773B"/>
    <w:rsid w:val="007D777E"/>
    <w:rsid w:val="007D787E"/>
    <w:rsid w:val="007D7B3A"/>
    <w:rsid w:val="007D7D7C"/>
    <w:rsid w:val="007E0042"/>
    <w:rsid w:val="007E0079"/>
    <w:rsid w:val="007E0334"/>
    <w:rsid w:val="007E0336"/>
    <w:rsid w:val="007E1207"/>
    <w:rsid w:val="007E16A0"/>
    <w:rsid w:val="007E1812"/>
    <w:rsid w:val="007E1CDE"/>
    <w:rsid w:val="007E1E8A"/>
    <w:rsid w:val="007E1F2E"/>
    <w:rsid w:val="007E20A3"/>
    <w:rsid w:val="007E2262"/>
    <w:rsid w:val="007E2389"/>
    <w:rsid w:val="007E2429"/>
    <w:rsid w:val="007E248E"/>
    <w:rsid w:val="007E30C1"/>
    <w:rsid w:val="007E33DC"/>
    <w:rsid w:val="007E356E"/>
    <w:rsid w:val="007E4351"/>
    <w:rsid w:val="007E4A5B"/>
    <w:rsid w:val="007E4CB0"/>
    <w:rsid w:val="007E4CFB"/>
    <w:rsid w:val="007E50D9"/>
    <w:rsid w:val="007E51F3"/>
    <w:rsid w:val="007E523E"/>
    <w:rsid w:val="007E562B"/>
    <w:rsid w:val="007E5C6C"/>
    <w:rsid w:val="007E608D"/>
    <w:rsid w:val="007E6212"/>
    <w:rsid w:val="007E65A0"/>
    <w:rsid w:val="007E7928"/>
    <w:rsid w:val="007E7EAB"/>
    <w:rsid w:val="007F0000"/>
    <w:rsid w:val="007F00EF"/>
    <w:rsid w:val="007F017D"/>
    <w:rsid w:val="007F0929"/>
    <w:rsid w:val="007F1017"/>
    <w:rsid w:val="007F11AF"/>
    <w:rsid w:val="007F1399"/>
    <w:rsid w:val="007F1B20"/>
    <w:rsid w:val="007F1EE6"/>
    <w:rsid w:val="007F23DF"/>
    <w:rsid w:val="007F2DF4"/>
    <w:rsid w:val="007F2E92"/>
    <w:rsid w:val="007F3D8E"/>
    <w:rsid w:val="007F3EB7"/>
    <w:rsid w:val="007F41AE"/>
    <w:rsid w:val="007F486B"/>
    <w:rsid w:val="007F4A3F"/>
    <w:rsid w:val="007F4A61"/>
    <w:rsid w:val="007F5169"/>
    <w:rsid w:val="007F5EE3"/>
    <w:rsid w:val="007F61C2"/>
    <w:rsid w:val="007F6983"/>
    <w:rsid w:val="007F74AC"/>
    <w:rsid w:val="00800361"/>
    <w:rsid w:val="00802B17"/>
    <w:rsid w:val="00802D43"/>
    <w:rsid w:val="0080384B"/>
    <w:rsid w:val="00803AE7"/>
    <w:rsid w:val="00803C0F"/>
    <w:rsid w:val="00803CC3"/>
    <w:rsid w:val="0080468B"/>
    <w:rsid w:val="00804694"/>
    <w:rsid w:val="00804B66"/>
    <w:rsid w:val="00804E1D"/>
    <w:rsid w:val="00804E31"/>
    <w:rsid w:val="00804FCF"/>
    <w:rsid w:val="00805142"/>
    <w:rsid w:val="00805A28"/>
    <w:rsid w:val="00806132"/>
    <w:rsid w:val="0080614B"/>
    <w:rsid w:val="00806277"/>
    <w:rsid w:val="008066CE"/>
    <w:rsid w:val="0080724E"/>
    <w:rsid w:val="008077DE"/>
    <w:rsid w:val="00807A8B"/>
    <w:rsid w:val="00807DBD"/>
    <w:rsid w:val="00810D7C"/>
    <w:rsid w:val="00811383"/>
    <w:rsid w:val="00811BCD"/>
    <w:rsid w:val="00811EAA"/>
    <w:rsid w:val="00812149"/>
    <w:rsid w:val="008123B7"/>
    <w:rsid w:val="0081243C"/>
    <w:rsid w:val="00812CAC"/>
    <w:rsid w:val="00813BFD"/>
    <w:rsid w:val="00813F28"/>
    <w:rsid w:val="0081419B"/>
    <w:rsid w:val="0081427D"/>
    <w:rsid w:val="00814AB2"/>
    <w:rsid w:val="00814E08"/>
    <w:rsid w:val="00815543"/>
    <w:rsid w:val="008155D5"/>
    <w:rsid w:val="00815C69"/>
    <w:rsid w:val="0081631B"/>
    <w:rsid w:val="00816549"/>
    <w:rsid w:val="008166EF"/>
    <w:rsid w:val="00816C0E"/>
    <w:rsid w:val="00816EB5"/>
    <w:rsid w:val="008172AE"/>
    <w:rsid w:val="00817487"/>
    <w:rsid w:val="0081792F"/>
    <w:rsid w:val="00817F7A"/>
    <w:rsid w:val="008206A1"/>
    <w:rsid w:val="00820962"/>
    <w:rsid w:val="008209DC"/>
    <w:rsid w:val="00820D82"/>
    <w:rsid w:val="00820DC8"/>
    <w:rsid w:val="0082138C"/>
    <w:rsid w:val="00822874"/>
    <w:rsid w:val="008228E7"/>
    <w:rsid w:val="00823C91"/>
    <w:rsid w:val="008240E2"/>
    <w:rsid w:val="00824322"/>
    <w:rsid w:val="008243F2"/>
    <w:rsid w:val="00824672"/>
    <w:rsid w:val="008247AB"/>
    <w:rsid w:val="0082494F"/>
    <w:rsid w:val="00825751"/>
    <w:rsid w:val="00826187"/>
    <w:rsid w:val="008261B0"/>
    <w:rsid w:val="008264EB"/>
    <w:rsid w:val="00826525"/>
    <w:rsid w:val="008268AC"/>
    <w:rsid w:val="008274B1"/>
    <w:rsid w:val="00827751"/>
    <w:rsid w:val="0083092A"/>
    <w:rsid w:val="00831194"/>
    <w:rsid w:val="00831BB6"/>
    <w:rsid w:val="00831C67"/>
    <w:rsid w:val="0083250C"/>
    <w:rsid w:val="0083298E"/>
    <w:rsid w:val="00832E58"/>
    <w:rsid w:val="00833081"/>
    <w:rsid w:val="00833439"/>
    <w:rsid w:val="0083382F"/>
    <w:rsid w:val="00833B05"/>
    <w:rsid w:val="0083406E"/>
    <w:rsid w:val="00834849"/>
    <w:rsid w:val="008351B0"/>
    <w:rsid w:val="00835A71"/>
    <w:rsid w:val="008362B4"/>
    <w:rsid w:val="0083650D"/>
    <w:rsid w:val="00836CDF"/>
    <w:rsid w:val="00836F0B"/>
    <w:rsid w:val="0083765F"/>
    <w:rsid w:val="00837B85"/>
    <w:rsid w:val="00837BCC"/>
    <w:rsid w:val="00837D8C"/>
    <w:rsid w:val="00840B26"/>
    <w:rsid w:val="00840CA2"/>
    <w:rsid w:val="00840CDE"/>
    <w:rsid w:val="008413FD"/>
    <w:rsid w:val="00841412"/>
    <w:rsid w:val="00843608"/>
    <w:rsid w:val="0084374F"/>
    <w:rsid w:val="00843EAA"/>
    <w:rsid w:val="0084460D"/>
    <w:rsid w:val="008449C8"/>
    <w:rsid w:val="0084575E"/>
    <w:rsid w:val="00845D39"/>
    <w:rsid w:val="0084655B"/>
    <w:rsid w:val="0084680D"/>
    <w:rsid w:val="00846A86"/>
    <w:rsid w:val="00846F64"/>
    <w:rsid w:val="00847957"/>
    <w:rsid w:val="00847DF5"/>
    <w:rsid w:val="00847EEE"/>
    <w:rsid w:val="0085059E"/>
    <w:rsid w:val="008509AE"/>
    <w:rsid w:val="00850BBC"/>
    <w:rsid w:val="00850D30"/>
    <w:rsid w:val="00850E56"/>
    <w:rsid w:val="008515B4"/>
    <w:rsid w:val="00852A5C"/>
    <w:rsid w:val="00852F06"/>
    <w:rsid w:val="00852F71"/>
    <w:rsid w:val="0085309D"/>
    <w:rsid w:val="0085315C"/>
    <w:rsid w:val="008535CA"/>
    <w:rsid w:val="00853937"/>
    <w:rsid w:val="0085435C"/>
    <w:rsid w:val="008544EA"/>
    <w:rsid w:val="00854A06"/>
    <w:rsid w:val="00854CA2"/>
    <w:rsid w:val="00854D16"/>
    <w:rsid w:val="008559DE"/>
    <w:rsid w:val="00856323"/>
    <w:rsid w:val="00856410"/>
    <w:rsid w:val="008566A3"/>
    <w:rsid w:val="00856897"/>
    <w:rsid w:val="00856E36"/>
    <w:rsid w:val="00856E9A"/>
    <w:rsid w:val="0086045A"/>
    <w:rsid w:val="0086075D"/>
    <w:rsid w:val="00861477"/>
    <w:rsid w:val="00861A33"/>
    <w:rsid w:val="00861C97"/>
    <w:rsid w:val="00862035"/>
    <w:rsid w:val="00862301"/>
    <w:rsid w:val="00862502"/>
    <w:rsid w:val="0086282D"/>
    <w:rsid w:val="00862A37"/>
    <w:rsid w:val="00862C74"/>
    <w:rsid w:val="00862C8C"/>
    <w:rsid w:val="00863003"/>
    <w:rsid w:val="00863747"/>
    <w:rsid w:val="00863A5F"/>
    <w:rsid w:val="00863B8E"/>
    <w:rsid w:val="008644BF"/>
    <w:rsid w:val="00864A0E"/>
    <w:rsid w:val="008655CC"/>
    <w:rsid w:val="008656F8"/>
    <w:rsid w:val="00865EB8"/>
    <w:rsid w:val="00865F28"/>
    <w:rsid w:val="008660D4"/>
    <w:rsid w:val="0086636C"/>
    <w:rsid w:val="0086690C"/>
    <w:rsid w:val="00866BDA"/>
    <w:rsid w:val="00866F4E"/>
    <w:rsid w:val="00866FD0"/>
    <w:rsid w:val="008671F0"/>
    <w:rsid w:val="008672F3"/>
    <w:rsid w:val="008674CA"/>
    <w:rsid w:val="008678A1"/>
    <w:rsid w:val="008678EF"/>
    <w:rsid w:val="00867E6C"/>
    <w:rsid w:val="008700CB"/>
    <w:rsid w:val="00870A13"/>
    <w:rsid w:val="00870C73"/>
    <w:rsid w:val="00871613"/>
    <w:rsid w:val="00871AF3"/>
    <w:rsid w:val="00871CFA"/>
    <w:rsid w:val="00871FA9"/>
    <w:rsid w:val="00872085"/>
    <w:rsid w:val="00872339"/>
    <w:rsid w:val="008728E9"/>
    <w:rsid w:val="008729E4"/>
    <w:rsid w:val="00872B1D"/>
    <w:rsid w:val="00872BC6"/>
    <w:rsid w:val="008741ED"/>
    <w:rsid w:val="00874208"/>
    <w:rsid w:val="00874B13"/>
    <w:rsid w:val="00874BFA"/>
    <w:rsid w:val="00875161"/>
    <w:rsid w:val="008752DB"/>
    <w:rsid w:val="0087547D"/>
    <w:rsid w:val="00875671"/>
    <w:rsid w:val="008759F7"/>
    <w:rsid w:val="00875CD3"/>
    <w:rsid w:val="008766A2"/>
    <w:rsid w:val="008767C9"/>
    <w:rsid w:val="008769B5"/>
    <w:rsid w:val="008771DA"/>
    <w:rsid w:val="0087781F"/>
    <w:rsid w:val="00877E05"/>
    <w:rsid w:val="00877E25"/>
    <w:rsid w:val="00877F8A"/>
    <w:rsid w:val="00880A34"/>
    <w:rsid w:val="00880B13"/>
    <w:rsid w:val="00880CF3"/>
    <w:rsid w:val="00880F2F"/>
    <w:rsid w:val="00881175"/>
    <w:rsid w:val="008814D8"/>
    <w:rsid w:val="0088272E"/>
    <w:rsid w:val="00882874"/>
    <w:rsid w:val="00882C6F"/>
    <w:rsid w:val="00882FF3"/>
    <w:rsid w:val="0088343C"/>
    <w:rsid w:val="00883592"/>
    <w:rsid w:val="00883787"/>
    <w:rsid w:val="00883BFB"/>
    <w:rsid w:val="0088454F"/>
    <w:rsid w:val="00884A55"/>
    <w:rsid w:val="00884CE2"/>
    <w:rsid w:val="00884DBA"/>
    <w:rsid w:val="00885230"/>
    <w:rsid w:val="0088555E"/>
    <w:rsid w:val="008857B4"/>
    <w:rsid w:val="00885AF7"/>
    <w:rsid w:val="00885DAD"/>
    <w:rsid w:val="0088631B"/>
    <w:rsid w:val="00886CD2"/>
    <w:rsid w:val="00886E60"/>
    <w:rsid w:val="00887B2F"/>
    <w:rsid w:val="00890652"/>
    <w:rsid w:val="0089169D"/>
    <w:rsid w:val="00891E02"/>
    <w:rsid w:val="00892037"/>
    <w:rsid w:val="00892420"/>
    <w:rsid w:val="008927E4"/>
    <w:rsid w:val="00892A36"/>
    <w:rsid w:val="00892AFE"/>
    <w:rsid w:val="00892C6E"/>
    <w:rsid w:val="00892C8B"/>
    <w:rsid w:val="00893239"/>
    <w:rsid w:val="0089338F"/>
    <w:rsid w:val="008934BE"/>
    <w:rsid w:val="00893928"/>
    <w:rsid w:val="00894489"/>
    <w:rsid w:val="00894E6C"/>
    <w:rsid w:val="008953E0"/>
    <w:rsid w:val="00895F00"/>
    <w:rsid w:val="008960E0"/>
    <w:rsid w:val="008963A5"/>
    <w:rsid w:val="00896570"/>
    <w:rsid w:val="00896710"/>
    <w:rsid w:val="00896F4B"/>
    <w:rsid w:val="008974C2"/>
    <w:rsid w:val="008A04A2"/>
    <w:rsid w:val="008A0DDB"/>
    <w:rsid w:val="008A1B0B"/>
    <w:rsid w:val="008A1C25"/>
    <w:rsid w:val="008A1D48"/>
    <w:rsid w:val="008A2005"/>
    <w:rsid w:val="008A278D"/>
    <w:rsid w:val="008A28F5"/>
    <w:rsid w:val="008A2A3A"/>
    <w:rsid w:val="008A322E"/>
    <w:rsid w:val="008A3363"/>
    <w:rsid w:val="008A3371"/>
    <w:rsid w:val="008A38E4"/>
    <w:rsid w:val="008A3A3C"/>
    <w:rsid w:val="008A3C3E"/>
    <w:rsid w:val="008A4577"/>
    <w:rsid w:val="008A4B70"/>
    <w:rsid w:val="008A4F16"/>
    <w:rsid w:val="008A5A08"/>
    <w:rsid w:val="008A5FDB"/>
    <w:rsid w:val="008A6B96"/>
    <w:rsid w:val="008A6DB1"/>
    <w:rsid w:val="008A79DE"/>
    <w:rsid w:val="008B136C"/>
    <w:rsid w:val="008B1423"/>
    <w:rsid w:val="008B1757"/>
    <w:rsid w:val="008B18CA"/>
    <w:rsid w:val="008B22DC"/>
    <w:rsid w:val="008B2D8A"/>
    <w:rsid w:val="008B3026"/>
    <w:rsid w:val="008B3950"/>
    <w:rsid w:val="008B3D7D"/>
    <w:rsid w:val="008B3F62"/>
    <w:rsid w:val="008B400C"/>
    <w:rsid w:val="008B4935"/>
    <w:rsid w:val="008B4F36"/>
    <w:rsid w:val="008B51C2"/>
    <w:rsid w:val="008B5229"/>
    <w:rsid w:val="008B595B"/>
    <w:rsid w:val="008B5AEF"/>
    <w:rsid w:val="008B5CAA"/>
    <w:rsid w:val="008B6708"/>
    <w:rsid w:val="008B697D"/>
    <w:rsid w:val="008B6A87"/>
    <w:rsid w:val="008B722A"/>
    <w:rsid w:val="008B784E"/>
    <w:rsid w:val="008B7D7E"/>
    <w:rsid w:val="008C0397"/>
    <w:rsid w:val="008C0A00"/>
    <w:rsid w:val="008C0A8B"/>
    <w:rsid w:val="008C0D7C"/>
    <w:rsid w:val="008C1243"/>
    <w:rsid w:val="008C15A1"/>
    <w:rsid w:val="008C2AEF"/>
    <w:rsid w:val="008C2FC7"/>
    <w:rsid w:val="008C306D"/>
    <w:rsid w:val="008C345B"/>
    <w:rsid w:val="008C34E9"/>
    <w:rsid w:val="008C357F"/>
    <w:rsid w:val="008C35F6"/>
    <w:rsid w:val="008C3605"/>
    <w:rsid w:val="008C3CD8"/>
    <w:rsid w:val="008C436C"/>
    <w:rsid w:val="008C450B"/>
    <w:rsid w:val="008C46C2"/>
    <w:rsid w:val="008C488E"/>
    <w:rsid w:val="008C5141"/>
    <w:rsid w:val="008C5224"/>
    <w:rsid w:val="008C5296"/>
    <w:rsid w:val="008C5FD1"/>
    <w:rsid w:val="008C62B5"/>
    <w:rsid w:val="008C6ADD"/>
    <w:rsid w:val="008C6F44"/>
    <w:rsid w:val="008C71ED"/>
    <w:rsid w:val="008C73A6"/>
    <w:rsid w:val="008C7486"/>
    <w:rsid w:val="008C7E0D"/>
    <w:rsid w:val="008C7ECB"/>
    <w:rsid w:val="008D01DB"/>
    <w:rsid w:val="008D0E8A"/>
    <w:rsid w:val="008D0EE8"/>
    <w:rsid w:val="008D1383"/>
    <w:rsid w:val="008D170D"/>
    <w:rsid w:val="008D185E"/>
    <w:rsid w:val="008D2106"/>
    <w:rsid w:val="008D2138"/>
    <w:rsid w:val="008D274E"/>
    <w:rsid w:val="008D2BD7"/>
    <w:rsid w:val="008D33ED"/>
    <w:rsid w:val="008D3444"/>
    <w:rsid w:val="008D38D7"/>
    <w:rsid w:val="008D3922"/>
    <w:rsid w:val="008D42F0"/>
    <w:rsid w:val="008D43B5"/>
    <w:rsid w:val="008D461E"/>
    <w:rsid w:val="008D4625"/>
    <w:rsid w:val="008D4755"/>
    <w:rsid w:val="008D4B12"/>
    <w:rsid w:val="008D4C3D"/>
    <w:rsid w:val="008D4E86"/>
    <w:rsid w:val="008D592D"/>
    <w:rsid w:val="008D6148"/>
    <w:rsid w:val="008D624B"/>
    <w:rsid w:val="008D6570"/>
    <w:rsid w:val="008D66DF"/>
    <w:rsid w:val="008D723B"/>
    <w:rsid w:val="008D7513"/>
    <w:rsid w:val="008D7F20"/>
    <w:rsid w:val="008E0D3C"/>
    <w:rsid w:val="008E1063"/>
    <w:rsid w:val="008E128D"/>
    <w:rsid w:val="008E1B9E"/>
    <w:rsid w:val="008E1C19"/>
    <w:rsid w:val="008E295F"/>
    <w:rsid w:val="008E2D1F"/>
    <w:rsid w:val="008E3144"/>
    <w:rsid w:val="008E3653"/>
    <w:rsid w:val="008E3978"/>
    <w:rsid w:val="008E3A7B"/>
    <w:rsid w:val="008E3F02"/>
    <w:rsid w:val="008E4852"/>
    <w:rsid w:val="008E48CB"/>
    <w:rsid w:val="008E541D"/>
    <w:rsid w:val="008E55AB"/>
    <w:rsid w:val="008E5B19"/>
    <w:rsid w:val="008E680C"/>
    <w:rsid w:val="008E6AAE"/>
    <w:rsid w:val="008E6C5C"/>
    <w:rsid w:val="008E6F16"/>
    <w:rsid w:val="008E71D4"/>
    <w:rsid w:val="008E7B1B"/>
    <w:rsid w:val="008E7F18"/>
    <w:rsid w:val="008F015B"/>
    <w:rsid w:val="008F02CA"/>
    <w:rsid w:val="008F118F"/>
    <w:rsid w:val="008F11EF"/>
    <w:rsid w:val="008F120A"/>
    <w:rsid w:val="008F168D"/>
    <w:rsid w:val="008F247B"/>
    <w:rsid w:val="008F27E0"/>
    <w:rsid w:val="008F2911"/>
    <w:rsid w:val="008F291C"/>
    <w:rsid w:val="008F2A26"/>
    <w:rsid w:val="008F3449"/>
    <w:rsid w:val="008F3536"/>
    <w:rsid w:val="008F400D"/>
    <w:rsid w:val="008F48EB"/>
    <w:rsid w:val="008F4B2D"/>
    <w:rsid w:val="008F4F0B"/>
    <w:rsid w:val="008F51FD"/>
    <w:rsid w:val="008F570F"/>
    <w:rsid w:val="008F608D"/>
    <w:rsid w:val="008F65BB"/>
    <w:rsid w:val="008F6D33"/>
    <w:rsid w:val="008F6F0F"/>
    <w:rsid w:val="008F7143"/>
    <w:rsid w:val="008F77DB"/>
    <w:rsid w:val="008F7EA6"/>
    <w:rsid w:val="009000C0"/>
    <w:rsid w:val="00900BE9"/>
    <w:rsid w:val="00900E81"/>
    <w:rsid w:val="00901112"/>
    <w:rsid w:val="009011FA"/>
    <w:rsid w:val="009014A7"/>
    <w:rsid w:val="00901549"/>
    <w:rsid w:val="009015D6"/>
    <w:rsid w:val="009016B0"/>
    <w:rsid w:val="0090180A"/>
    <w:rsid w:val="00901927"/>
    <w:rsid w:val="00901E2D"/>
    <w:rsid w:val="00902390"/>
    <w:rsid w:val="009027D7"/>
    <w:rsid w:val="00902AC5"/>
    <w:rsid w:val="00902CA3"/>
    <w:rsid w:val="00903314"/>
    <w:rsid w:val="0090386E"/>
    <w:rsid w:val="00904421"/>
    <w:rsid w:val="009046C4"/>
    <w:rsid w:val="00904810"/>
    <w:rsid w:val="00904BB3"/>
    <w:rsid w:val="00904FC0"/>
    <w:rsid w:val="009057DA"/>
    <w:rsid w:val="00905999"/>
    <w:rsid w:val="009062A5"/>
    <w:rsid w:val="00906AE2"/>
    <w:rsid w:val="00906D25"/>
    <w:rsid w:val="00906FD3"/>
    <w:rsid w:val="009070E0"/>
    <w:rsid w:val="00907268"/>
    <w:rsid w:val="00907354"/>
    <w:rsid w:val="00907CD3"/>
    <w:rsid w:val="0091021E"/>
    <w:rsid w:val="0091027C"/>
    <w:rsid w:val="00910C7C"/>
    <w:rsid w:val="00910EA9"/>
    <w:rsid w:val="00911272"/>
    <w:rsid w:val="0091143B"/>
    <w:rsid w:val="0091162B"/>
    <w:rsid w:val="0091172F"/>
    <w:rsid w:val="00911CDD"/>
    <w:rsid w:val="0091239D"/>
    <w:rsid w:val="0091258B"/>
    <w:rsid w:val="00912B20"/>
    <w:rsid w:val="00912C28"/>
    <w:rsid w:val="009133D3"/>
    <w:rsid w:val="009135D6"/>
    <w:rsid w:val="009138FD"/>
    <w:rsid w:val="00913BEF"/>
    <w:rsid w:val="00914C77"/>
    <w:rsid w:val="00914E37"/>
    <w:rsid w:val="00915138"/>
    <w:rsid w:val="0091531C"/>
    <w:rsid w:val="00915E7A"/>
    <w:rsid w:val="009160C1"/>
    <w:rsid w:val="00916B02"/>
    <w:rsid w:val="00917187"/>
    <w:rsid w:val="00917C3A"/>
    <w:rsid w:val="009202AA"/>
    <w:rsid w:val="009209ED"/>
    <w:rsid w:val="00920DF9"/>
    <w:rsid w:val="00921070"/>
    <w:rsid w:val="00921D8A"/>
    <w:rsid w:val="0092261E"/>
    <w:rsid w:val="00922F8B"/>
    <w:rsid w:val="00923026"/>
    <w:rsid w:val="0092369B"/>
    <w:rsid w:val="00923A95"/>
    <w:rsid w:val="00923BFE"/>
    <w:rsid w:val="00923C37"/>
    <w:rsid w:val="0092446F"/>
    <w:rsid w:val="009255EF"/>
    <w:rsid w:val="00925E72"/>
    <w:rsid w:val="009266AD"/>
    <w:rsid w:val="009268E1"/>
    <w:rsid w:val="009274E4"/>
    <w:rsid w:val="00927672"/>
    <w:rsid w:val="00930128"/>
    <w:rsid w:val="0093176D"/>
    <w:rsid w:val="00931E98"/>
    <w:rsid w:val="009320F2"/>
    <w:rsid w:val="009324AE"/>
    <w:rsid w:val="0093268B"/>
    <w:rsid w:val="00932CB6"/>
    <w:rsid w:val="00933A25"/>
    <w:rsid w:val="00933B3F"/>
    <w:rsid w:val="00935681"/>
    <w:rsid w:val="00935AB1"/>
    <w:rsid w:val="00935B8F"/>
    <w:rsid w:val="009364DE"/>
    <w:rsid w:val="00936766"/>
    <w:rsid w:val="009367C9"/>
    <w:rsid w:val="00936ADD"/>
    <w:rsid w:val="00937273"/>
    <w:rsid w:val="009404F1"/>
    <w:rsid w:val="00941301"/>
    <w:rsid w:val="00941573"/>
    <w:rsid w:val="00941645"/>
    <w:rsid w:val="00941F59"/>
    <w:rsid w:val="00942024"/>
    <w:rsid w:val="00942449"/>
    <w:rsid w:val="00943550"/>
    <w:rsid w:val="0094363A"/>
    <w:rsid w:val="0094476F"/>
    <w:rsid w:val="00944912"/>
    <w:rsid w:val="00944A84"/>
    <w:rsid w:val="00944E4E"/>
    <w:rsid w:val="00945520"/>
    <w:rsid w:val="0094559D"/>
    <w:rsid w:val="00945626"/>
    <w:rsid w:val="0094583A"/>
    <w:rsid w:val="00945B2F"/>
    <w:rsid w:val="00945CCC"/>
    <w:rsid w:val="009462FA"/>
    <w:rsid w:val="009463EF"/>
    <w:rsid w:val="009464D8"/>
    <w:rsid w:val="009467DE"/>
    <w:rsid w:val="00947385"/>
    <w:rsid w:val="009477ED"/>
    <w:rsid w:val="00947A81"/>
    <w:rsid w:val="00950063"/>
    <w:rsid w:val="00950318"/>
    <w:rsid w:val="00951055"/>
    <w:rsid w:val="009510A2"/>
    <w:rsid w:val="00951213"/>
    <w:rsid w:val="00952500"/>
    <w:rsid w:val="00952DE8"/>
    <w:rsid w:val="00953257"/>
    <w:rsid w:val="00953318"/>
    <w:rsid w:val="00953DD7"/>
    <w:rsid w:val="009541D6"/>
    <w:rsid w:val="0095505D"/>
    <w:rsid w:val="00955501"/>
    <w:rsid w:val="0095648F"/>
    <w:rsid w:val="00956A46"/>
    <w:rsid w:val="00956B2A"/>
    <w:rsid w:val="00956BBB"/>
    <w:rsid w:val="009574EF"/>
    <w:rsid w:val="009576E7"/>
    <w:rsid w:val="009579E4"/>
    <w:rsid w:val="00957D40"/>
    <w:rsid w:val="009602BA"/>
    <w:rsid w:val="0096068E"/>
    <w:rsid w:val="00960EFA"/>
    <w:rsid w:val="0096126C"/>
    <w:rsid w:val="009612C9"/>
    <w:rsid w:val="00962810"/>
    <w:rsid w:val="0096299D"/>
    <w:rsid w:val="00962CB9"/>
    <w:rsid w:val="00962E5C"/>
    <w:rsid w:val="00962EEF"/>
    <w:rsid w:val="00963041"/>
    <w:rsid w:val="009634AC"/>
    <w:rsid w:val="0096405C"/>
    <w:rsid w:val="00964312"/>
    <w:rsid w:val="00964CF0"/>
    <w:rsid w:val="00964E1F"/>
    <w:rsid w:val="009652F3"/>
    <w:rsid w:val="009653F9"/>
    <w:rsid w:val="00965540"/>
    <w:rsid w:val="0096571A"/>
    <w:rsid w:val="00965B8A"/>
    <w:rsid w:val="00966295"/>
    <w:rsid w:val="009663B6"/>
    <w:rsid w:val="00966EBA"/>
    <w:rsid w:val="00970BF9"/>
    <w:rsid w:val="009717AC"/>
    <w:rsid w:val="00972E9B"/>
    <w:rsid w:val="00973246"/>
    <w:rsid w:val="00973CA1"/>
    <w:rsid w:val="00973EDC"/>
    <w:rsid w:val="00974493"/>
    <w:rsid w:val="00974918"/>
    <w:rsid w:val="00974C19"/>
    <w:rsid w:val="00974F72"/>
    <w:rsid w:val="009753F7"/>
    <w:rsid w:val="00975DF8"/>
    <w:rsid w:val="009762D6"/>
    <w:rsid w:val="009763BC"/>
    <w:rsid w:val="0097694D"/>
    <w:rsid w:val="00976EA9"/>
    <w:rsid w:val="00976EBC"/>
    <w:rsid w:val="00977101"/>
    <w:rsid w:val="009773E2"/>
    <w:rsid w:val="00977499"/>
    <w:rsid w:val="009776B2"/>
    <w:rsid w:val="00980003"/>
    <w:rsid w:val="00980AEE"/>
    <w:rsid w:val="00981F93"/>
    <w:rsid w:val="009820B2"/>
    <w:rsid w:val="00982E6D"/>
    <w:rsid w:val="00982E82"/>
    <w:rsid w:val="0098344B"/>
    <w:rsid w:val="009836CE"/>
    <w:rsid w:val="00983967"/>
    <w:rsid w:val="00983E2F"/>
    <w:rsid w:val="00983E57"/>
    <w:rsid w:val="00984324"/>
    <w:rsid w:val="0098487E"/>
    <w:rsid w:val="00984A55"/>
    <w:rsid w:val="00984C81"/>
    <w:rsid w:val="0098555F"/>
    <w:rsid w:val="00985AC6"/>
    <w:rsid w:val="00985D4B"/>
    <w:rsid w:val="0098675D"/>
    <w:rsid w:val="009905E4"/>
    <w:rsid w:val="0099091F"/>
    <w:rsid w:val="00991485"/>
    <w:rsid w:val="00991F3F"/>
    <w:rsid w:val="00992A05"/>
    <w:rsid w:val="00992F45"/>
    <w:rsid w:val="00993648"/>
    <w:rsid w:val="009939DE"/>
    <w:rsid w:val="00993B0E"/>
    <w:rsid w:val="0099433A"/>
    <w:rsid w:val="00994A87"/>
    <w:rsid w:val="00994B63"/>
    <w:rsid w:val="00994D5F"/>
    <w:rsid w:val="00994F6E"/>
    <w:rsid w:val="00995107"/>
    <w:rsid w:val="009951D3"/>
    <w:rsid w:val="009953F8"/>
    <w:rsid w:val="00996416"/>
    <w:rsid w:val="00996943"/>
    <w:rsid w:val="00996B1A"/>
    <w:rsid w:val="00996D25"/>
    <w:rsid w:val="00996F05"/>
    <w:rsid w:val="009973E1"/>
    <w:rsid w:val="00997CAC"/>
    <w:rsid w:val="00997E62"/>
    <w:rsid w:val="009A05C6"/>
    <w:rsid w:val="009A0715"/>
    <w:rsid w:val="009A08B4"/>
    <w:rsid w:val="009A0F6B"/>
    <w:rsid w:val="009A0FE3"/>
    <w:rsid w:val="009A107C"/>
    <w:rsid w:val="009A22FD"/>
    <w:rsid w:val="009A2868"/>
    <w:rsid w:val="009A2CE8"/>
    <w:rsid w:val="009A2DAA"/>
    <w:rsid w:val="009A32DF"/>
    <w:rsid w:val="009A3762"/>
    <w:rsid w:val="009A3800"/>
    <w:rsid w:val="009A39E3"/>
    <w:rsid w:val="009A3D00"/>
    <w:rsid w:val="009A3E62"/>
    <w:rsid w:val="009A4A60"/>
    <w:rsid w:val="009A4CDD"/>
    <w:rsid w:val="009A4D82"/>
    <w:rsid w:val="009A4EF8"/>
    <w:rsid w:val="009A50DA"/>
    <w:rsid w:val="009A50F4"/>
    <w:rsid w:val="009A56A5"/>
    <w:rsid w:val="009A57A6"/>
    <w:rsid w:val="009A5E00"/>
    <w:rsid w:val="009A6059"/>
    <w:rsid w:val="009A647F"/>
    <w:rsid w:val="009A67AB"/>
    <w:rsid w:val="009A6B1F"/>
    <w:rsid w:val="009A70F7"/>
    <w:rsid w:val="009A7248"/>
    <w:rsid w:val="009A7726"/>
    <w:rsid w:val="009A7759"/>
    <w:rsid w:val="009A7F10"/>
    <w:rsid w:val="009B05B4"/>
    <w:rsid w:val="009B08F0"/>
    <w:rsid w:val="009B0A8A"/>
    <w:rsid w:val="009B0D40"/>
    <w:rsid w:val="009B1540"/>
    <w:rsid w:val="009B192C"/>
    <w:rsid w:val="009B1A2E"/>
    <w:rsid w:val="009B2611"/>
    <w:rsid w:val="009B2FF7"/>
    <w:rsid w:val="009B3E26"/>
    <w:rsid w:val="009B4967"/>
    <w:rsid w:val="009B4CEF"/>
    <w:rsid w:val="009B578E"/>
    <w:rsid w:val="009B57D8"/>
    <w:rsid w:val="009B6446"/>
    <w:rsid w:val="009B75A9"/>
    <w:rsid w:val="009C010E"/>
    <w:rsid w:val="009C05FD"/>
    <w:rsid w:val="009C0ADD"/>
    <w:rsid w:val="009C1507"/>
    <w:rsid w:val="009C1A5A"/>
    <w:rsid w:val="009C216E"/>
    <w:rsid w:val="009C2791"/>
    <w:rsid w:val="009C3C7C"/>
    <w:rsid w:val="009C3EBD"/>
    <w:rsid w:val="009C3ED8"/>
    <w:rsid w:val="009C3FD8"/>
    <w:rsid w:val="009C41CA"/>
    <w:rsid w:val="009C486D"/>
    <w:rsid w:val="009C51B3"/>
    <w:rsid w:val="009C5345"/>
    <w:rsid w:val="009C5A27"/>
    <w:rsid w:val="009C5AB0"/>
    <w:rsid w:val="009C6B0D"/>
    <w:rsid w:val="009C6BB5"/>
    <w:rsid w:val="009C6CEA"/>
    <w:rsid w:val="009C7B85"/>
    <w:rsid w:val="009C7DE2"/>
    <w:rsid w:val="009D06AF"/>
    <w:rsid w:val="009D09A5"/>
    <w:rsid w:val="009D0B53"/>
    <w:rsid w:val="009D0C21"/>
    <w:rsid w:val="009D1028"/>
    <w:rsid w:val="009D158B"/>
    <w:rsid w:val="009D195E"/>
    <w:rsid w:val="009D1D1A"/>
    <w:rsid w:val="009D1ED6"/>
    <w:rsid w:val="009D2364"/>
    <w:rsid w:val="009D2AAA"/>
    <w:rsid w:val="009D2DC4"/>
    <w:rsid w:val="009D341C"/>
    <w:rsid w:val="009D35BE"/>
    <w:rsid w:val="009D393C"/>
    <w:rsid w:val="009D3ACB"/>
    <w:rsid w:val="009D3DD8"/>
    <w:rsid w:val="009D41F7"/>
    <w:rsid w:val="009D4F25"/>
    <w:rsid w:val="009D5508"/>
    <w:rsid w:val="009D5B91"/>
    <w:rsid w:val="009D5F60"/>
    <w:rsid w:val="009D653D"/>
    <w:rsid w:val="009D69D7"/>
    <w:rsid w:val="009D6FFA"/>
    <w:rsid w:val="009D7304"/>
    <w:rsid w:val="009D792E"/>
    <w:rsid w:val="009D7C3B"/>
    <w:rsid w:val="009D7F99"/>
    <w:rsid w:val="009E0148"/>
    <w:rsid w:val="009E03ED"/>
    <w:rsid w:val="009E0A5A"/>
    <w:rsid w:val="009E0C94"/>
    <w:rsid w:val="009E0CB3"/>
    <w:rsid w:val="009E0D74"/>
    <w:rsid w:val="009E0DFE"/>
    <w:rsid w:val="009E103E"/>
    <w:rsid w:val="009E1176"/>
    <w:rsid w:val="009E207D"/>
    <w:rsid w:val="009E2530"/>
    <w:rsid w:val="009E26A8"/>
    <w:rsid w:val="009E3241"/>
    <w:rsid w:val="009E3770"/>
    <w:rsid w:val="009E4460"/>
    <w:rsid w:val="009E4C07"/>
    <w:rsid w:val="009E4D86"/>
    <w:rsid w:val="009E5108"/>
    <w:rsid w:val="009E5703"/>
    <w:rsid w:val="009E59E9"/>
    <w:rsid w:val="009E5B5B"/>
    <w:rsid w:val="009E5C27"/>
    <w:rsid w:val="009E5D62"/>
    <w:rsid w:val="009E6165"/>
    <w:rsid w:val="009E6265"/>
    <w:rsid w:val="009E6FC9"/>
    <w:rsid w:val="009E70D1"/>
    <w:rsid w:val="009F0A92"/>
    <w:rsid w:val="009F0FA9"/>
    <w:rsid w:val="009F13D5"/>
    <w:rsid w:val="009F148E"/>
    <w:rsid w:val="009F1558"/>
    <w:rsid w:val="009F1746"/>
    <w:rsid w:val="009F1997"/>
    <w:rsid w:val="009F1CEB"/>
    <w:rsid w:val="009F2230"/>
    <w:rsid w:val="009F23CF"/>
    <w:rsid w:val="009F2527"/>
    <w:rsid w:val="009F2FAE"/>
    <w:rsid w:val="009F3221"/>
    <w:rsid w:val="009F357D"/>
    <w:rsid w:val="009F39B0"/>
    <w:rsid w:val="009F3C25"/>
    <w:rsid w:val="009F40A2"/>
    <w:rsid w:val="009F4482"/>
    <w:rsid w:val="009F4D1B"/>
    <w:rsid w:val="009F4D42"/>
    <w:rsid w:val="009F4FE3"/>
    <w:rsid w:val="009F57E1"/>
    <w:rsid w:val="009F5C1E"/>
    <w:rsid w:val="009F5D12"/>
    <w:rsid w:val="009F627B"/>
    <w:rsid w:val="009F638D"/>
    <w:rsid w:val="009F730B"/>
    <w:rsid w:val="009F7683"/>
    <w:rsid w:val="009F78B6"/>
    <w:rsid w:val="009F7944"/>
    <w:rsid w:val="009F7DDE"/>
    <w:rsid w:val="009F7FD1"/>
    <w:rsid w:val="00A00C43"/>
    <w:rsid w:val="00A010F1"/>
    <w:rsid w:val="00A01184"/>
    <w:rsid w:val="00A01B48"/>
    <w:rsid w:val="00A022A7"/>
    <w:rsid w:val="00A025D4"/>
    <w:rsid w:val="00A02824"/>
    <w:rsid w:val="00A035C4"/>
    <w:rsid w:val="00A03B3C"/>
    <w:rsid w:val="00A03C65"/>
    <w:rsid w:val="00A03D43"/>
    <w:rsid w:val="00A03F54"/>
    <w:rsid w:val="00A04380"/>
    <w:rsid w:val="00A05EBE"/>
    <w:rsid w:val="00A0637C"/>
    <w:rsid w:val="00A066C2"/>
    <w:rsid w:val="00A06B25"/>
    <w:rsid w:val="00A075B8"/>
    <w:rsid w:val="00A075C3"/>
    <w:rsid w:val="00A076F4"/>
    <w:rsid w:val="00A10480"/>
    <w:rsid w:val="00A108A3"/>
    <w:rsid w:val="00A11CD0"/>
    <w:rsid w:val="00A1221A"/>
    <w:rsid w:val="00A122A9"/>
    <w:rsid w:val="00A12913"/>
    <w:rsid w:val="00A12965"/>
    <w:rsid w:val="00A12CE8"/>
    <w:rsid w:val="00A13364"/>
    <w:rsid w:val="00A136B1"/>
    <w:rsid w:val="00A13948"/>
    <w:rsid w:val="00A139CF"/>
    <w:rsid w:val="00A14225"/>
    <w:rsid w:val="00A143AA"/>
    <w:rsid w:val="00A1482C"/>
    <w:rsid w:val="00A14A10"/>
    <w:rsid w:val="00A14CC8"/>
    <w:rsid w:val="00A14F13"/>
    <w:rsid w:val="00A1555B"/>
    <w:rsid w:val="00A155C5"/>
    <w:rsid w:val="00A15790"/>
    <w:rsid w:val="00A157F6"/>
    <w:rsid w:val="00A1592B"/>
    <w:rsid w:val="00A15B5B"/>
    <w:rsid w:val="00A15C46"/>
    <w:rsid w:val="00A15FE5"/>
    <w:rsid w:val="00A162F2"/>
    <w:rsid w:val="00A1660E"/>
    <w:rsid w:val="00A16623"/>
    <w:rsid w:val="00A169E7"/>
    <w:rsid w:val="00A16A29"/>
    <w:rsid w:val="00A16AD8"/>
    <w:rsid w:val="00A178AE"/>
    <w:rsid w:val="00A17D66"/>
    <w:rsid w:val="00A17ED7"/>
    <w:rsid w:val="00A208FC"/>
    <w:rsid w:val="00A214A1"/>
    <w:rsid w:val="00A21CE8"/>
    <w:rsid w:val="00A21CF3"/>
    <w:rsid w:val="00A21DF9"/>
    <w:rsid w:val="00A22C70"/>
    <w:rsid w:val="00A22E9E"/>
    <w:rsid w:val="00A23256"/>
    <w:rsid w:val="00A23944"/>
    <w:rsid w:val="00A23A53"/>
    <w:rsid w:val="00A2456E"/>
    <w:rsid w:val="00A2590A"/>
    <w:rsid w:val="00A2689C"/>
    <w:rsid w:val="00A26C21"/>
    <w:rsid w:val="00A26F9D"/>
    <w:rsid w:val="00A27AEC"/>
    <w:rsid w:val="00A30145"/>
    <w:rsid w:val="00A3043B"/>
    <w:rsid w:val="00A308D0"/>
    <w:rsid w:val="00A30918"/>
    <w:rsid w:val="00A30FC5"/>
    <w:rsid w:val="00A310A8"/>
    <w:rsid w:val="00A31568"/>
    <w:rsid w:val="00A31689"/>
    <w:rsid w:val="00A31B54"/>
    <w:rsid w:val="00A320CC"/>
    <w:rsid w:val="00A320DB"/>
    <w:rsid w:val="00A329D8"/>
    <w:rsid w:val="00A3407A"/>
    <w:rsid w:val="00A34813"/>
    <w:rsid w:val="00A348B3"/>
    <w:rsid w:val="00A34DBF"/>
    <w:rsid w:val="00A35797"/>
    <w:rsid w:val="00A35999"/>
    <w:rsid w:val="00A35A94"/>
    <w:rsid w:val="00A35D16"/>
    <w:rsid w:val="00A36138"/>
    <w:rsid w:val="00A364C9"/>
    <w:rsid w:val="00A369EA"/>
    <w:rsid w:val="00A36F8D"/>
    <w:rsid w:val="00A37386"/>
    <w:rsid w:val="00A37750"/>
    <w:rsid w:val="00A37BCD"/>
    <w:rsid w:val="00A409E9"/>
    <w:rsid w:val="00A40CDF"/>
    <w:rsid w:val="00A40D6F"/>
    <w:rsid w:val="00A40F80"/>
    <w:rsid w:val="00A41508"/>
    <w:rsid w:val="00A418F3"/>
    <w:rsid w:val="00A41F49"/>
    <w:rsid w:val="00A4215D"/>
    <w:rsid w:val="00A427EA"/>
    <w:rsid w:val="00A42C37"/>
    <w:rsid w:val="00A43165"/>
    <w:rsid w:val="00A43C59"/>
    <w:rsid w:val="00A44219"/>
    <w:rsid w:val="00A44291"/>
    <w:rsid w:val="00A44313"/>
    <w:rsid w:val="00A44414"/>
    <w:rsid w:val="00A44456"/>
    <w:rsid w:val="00A4453F"/>
    <w:rsid w:val="00A44F18"/>
    <w:rsid w:val="00A4528C"/>
    <w:rsid w:val="00A45852"/>
    <w:rsid w:val="00A458FE"/>
    <w:rsid w:val="00A45D15"/>
    <w:rsid w:val="00A45ED9"/>
    <w:rsid w:val="00A461FB"/>
    <w:rsid w:val="00A467B9"/>
    <w:rsid w:val="00A46BC6"/>
    <w:rsid w:val="00A4736A"/>
    <w:rsid w:val="00A473D2"/>
    <w:rsid w:val="00A47ACA"/>
    <w:rsid w:val="00A50957"/>
    <w:rsid w:val="00A50ECD"/>
    <w:rsid w:val="00A5154D"/>
    <w:rsid w:val="00A518F3"/>
    <w:rsid w:val="00A51F1B"/>
    <w:rsid w:val="00A52729"/>
    <w:rsid w:val="00A52B8C"/>
    <w:rsid w:val="00A52CD1"/>
    <w:rsid w:val="00A52F53"/>
    <w:rsid w:val="00A53308"/>
    <w:rsid w:val="00A53675"/>
    <w:rsid w:val="00A53677"/>
    <w:rsid w:val="00A53A52"/>
    <w:rsid w:val="00A542E4"/>
    <w:rsid w:val="00A5442C"/>
    <w:rsid w:val="00A54498"/>
    <w:rsid w:val="00A545AD"/>
    <w:rsid w:val="00A54B96"/>
    <w:rsid w:val="00A54D0B"/>
    <w:rsid w:val="00A55D86"/>
    <w:rsid w:val="00A55E62"/>
    <w:rsid w:val="00A564D7"/>
    <w:rsid w:val="00A567C2"/>
    <w:rsid w:val="00A56B6A"/>
    <w:rsid w:val="00A5769F"/>
    <w:rsid w:val="00A577D3"/>
    <w:rsid w:val="00A578DC"/>
    <w:rsid w:val="00A601EE"/>
    <w:rsid w:val="00A604CB"/>
    <w:rsid w:val="00A622EE"/>
    <w:rsid w:val="00A6289D"/>
    <w:rsid w:val="00A628E6"/>
    <w:rsid w:val="00A62CEC"/>
    <w:rsid w:val="00A62FED"/>
    <w:rsid w:val="00A633ED"/>
    <w:rsid w:val="00A63C82"/>
    <w:rsid w:val="00A63F8E"/>
    <w:rsid w:val="00A64473"/>
    <w:rsid w:val="00A64885"/>
    <w:rsid w:val="00A652C7"/>
    <w:rsid w:val="00A656DE"/>
    <w:rsid w:val="00A6592D"/>
    <w:rsid w:val="00A66080"/>
    <w:rsid w:val="00A666CA"/>
    <w:rsid w:val="00A66812"/>
    <w:rsid w:val="00A6704C"/>
    <w:rsid w:val="00A6725B"/>
    <w:rsid w:val="00A6762E"/>
    <w:rsid w:val="00A70605"/>
    <w:rsid w:val="00A706F0"/>
    <w:rsid w:val="00A70A38"/>
    <w:rsid w:val="00A70AE0"/>
    <w:rsid w:val="00A70CC2"/>
    <w:rsid w:val="00A70F89"/>
    <w:rsid w:val="00A7104E"/>
    <w:rsid w:val="00A7199D"/>
    <w:rsid w:val="00A72951"/>
    <w:rsid w:val="00A72B75"/>
    <w:rsid w:val="00A72EC8"/>
    <w:rsid w:val="00A72EE4"/>
    <w:rsid w:val="00A73134"/>
    <w:rsid w:val="00A73525"/>
    <w:rsid w:val="00A73C34"/>
    <w:rsid w:val="00A75CCD"/>
    <w:rsid w:val="00A76801"/>
    <w:rsid w:val="00A768F6"/>
    <w:rsid w:val="00A76907"/>
    <w:rsid w:val="00A773E9"/>
    <w:rsid w:val="00A777A7"/>
    <w:rsid w:val="00A777B2"/>
    <w:rsid w:val="00A77808"/>
    <w:rsid w:val="00A812BE"/>
    <w:rsid w:val="00A81671"/>
    <w:rsid w:val="00A81AB7"/>
    <w:rsid w:val="00A82786"/>
    <w:rsid w:val="00A82AD4"/>
    <w:rsid w:val="00A82F7E"/>
    <w:rsid w:val="00A830B4"/>
    <w:rsid w:val="00A834B8"/>
    <w:rsid w:val="00A83DD3"/>
    <w:rsid w:val="00A84717"/>
    <w:rsid w:val="00A8476B"/>
    <w:rsid w:val="00A84C38"/>
    <w:rsid w:val="00A84EF9"/>
    <w:rsid w:val="00A85067"/>
    <w:rsid w:val="00A85377"/>
    <w:rsid w:val="00A85773"/>
    <w:rsid w:val="00A866BB"/>
    <w:rsid w:val="00A86719"/>
    <w:rsid w:val="00A86826"/>
    <w:rsid w:val="00A86E8B"/>
    <w:rsid w:val="00A87164"/>
    <w:rsid w:val="00A871E8"/>
    <w:rsid w:val="00A87835"/>
    <w:rsid w:val="00A87B18"/>
    <w:rsid w:val="00A906C3"/>
    <w:rsid w:val="00A90D0A"/>
    <w:rsid w:val="00A913BA"/>
    <w:rsid w:val="00A918DF"/>
    <w:rsid w:val="00A91F45"/>
    <w:rsid w:val="00A9216D"/>
    <w:rsid w:val="00A92A5A"/>
    <w:rsid w:val="00A93072"/>
    <w:rsid w:val="00A9319D"/>
    <w:rsid w:val="00A93953"/>
    <w:rsid w:val="00A93BCE"/>
    <w:rsid w:val="00A93DA5"/>
    <w:rsid w:val="00A93EFF"/>
    <w:rsid w:val="00A94357"/>
    <w:rsid w:val="00A94403"/>
    <w:rsid w:val="00A959D8"/>
    <w:rsid w:val="00A96338"/>
    <w:rsid w:val="00A96561"/>
    <w:rsid w:val="00A9658D"/>
    <w:rsid w:val="00A96D1B"/>
    <w:rsid w:val="00A96E46"/>
    <w:rsid w:val="00A96E67"/>
    <w:rsid w:val="00A972E5"/>
    <w:rsid w:val="00A9751E"/>
    <w:rsid w:val="00A975F1"/>
    <w:rsid w:val="00A97CA7"/>
    <w:rsid w:val="00AA0636"/>
    <w:rsid w:val="00AA113D"/>
    <w:rsid w:val="00AA14B0"/>
    <w:rsid w:val="00AA1BEF"/>
    <w:rsid w:val="00AA1F8E"/>
    <w:rsid w:val="00AA212F"/>
    <w:rsid w:val="00AA21DA"/>
    <w:rsid w:val="00AA269C"/>
    <w:rsid w:val="00AA34E6"/>
    <w:rsid w:val="00AA3723"/>
    <w:rsid w:val="00AA378C"/>
    <w:rsid w:val="00AA385A"/>
    <w:rsid w:val="00AA3BCA"/>
    <w:rsid w:val="00AA40ED"/>
    <w:rsid w:val="00AA42AA"/>
    <w:rsid w:val="00AA5925"/>
    <w:rsid w:val="00AA62EC"/>
    <w:rsid w:val="00AA6475"/>
    <w:rsid w:val="00AA6C7D"/>
    <w:rsid w:val="00AA71F2"/>
    <w:rsid w:val="00AA7FD6"/>
    <w:rsid w:val="00AB042A"/>
    <w:rsid w:val="00AB0512"/>
    <w:rsid w:val="00AB097B"/>
    <w:rsid w:val="00AB0AD8"/>
    <w:rsid w:val="00AB0D8B"/>
    <w:rsid w:val="00AB0ECF"/>
    <w:rsid w:val="00AB1933"/>
    <w:rsid w:val="00AB193F"/>
    <w:rsid w:val="00AB1F7A"/>
    <w:rsid w:val="00AB20EC"/>
    <w:rsid w:val="00AB250E"/>
    <w:rsid w:val="00AB2A59"/>
    <w:rsid w:val="00AB2D34"/>
    <w:rsid w:val="00AB3430"/>
    <w:rsid w:val="00AB35F2"/>
    <w:rsid w:val="00AB3671"/>
    <w:rsid w:val="00AB3A58"/>
    <w:rsid w:val="00AB46AB"/>
    <w:rsid w:val="00AB4A46"/>
    <w:rsid w:val="00AB4AD1"/>
    <w:rsid w:val="00AB5425"/>
    <w:rsid w:val="00AB5B84"/>
    <w:rsid w:val="00AB641E"/>
    <w:rsid w:val="00AB6779"/>
    <w:rsid w:val="00AB70E8"/>
    <w:rsid w:val="00AB7B51"/>
    <w:rsid w:val="00AB7BD2"/>
    <w:rsid w:val="00AB7C86"/>
    <w:rsid w:val="00AB7CFA"/>
    <w:rsid w:val="00AB7D0E"/>
    <w:rsid w:val="00AC049D"/>
    <w:rsid w:val="00AC053E"/>
    <w:rsid w:val="00AC06D4"/>
    <w:rsid w:val="00AC0816"/>
    <w:rsid w:val="00AC13B8"/>
    <w:rsid w:val="00AC23BB"/>
    <w:rsid w:val="00AC242E"/>
    <w:rsid w:val="00AC26B6"/>
    <w:rsid w:val="00AC2886"/>
    <w:rsid w:val="00AC2E1B"/>
    <w:rsid w:val="00AC2F43"/>
    <w:rsid w:val="00AC399B"/>
    <w:rsid w:val="00AC4422"/>
    <w:rsid w:val="00AC44C5"/>
    <w:rsid w:val="00AC5B48"/>
    <w:rsid w:val="00AC6E42"/>
    <w:rsid w:val="00AC7711"/>
    <w:rsid w:val="00AC7A1B"/>
    <w:rsid w:val="00AD0509"/>
    <w:rsid w:val="00AD0A11"/>
    <w:rsid w:val="00AD24CC"/>
    <w:rsid w:val="00AD2B19"/>
    <w:rsid w:val="00AD309D"/>
    <w:rsid w:val="00AD39E5"/>
    <w:rsid w:val="00AD443B"/>
    <w:rsid w:val="00AD4AF8"/>
    <w:rsid w:val="00AD4D6E"/>
    <w:rsid w:val="00AD5455"/>
    <w:rsid w:val="00AD54BC"/>
    <w:rsid w:val="00AD5527"/>
    <w:rsid w:val="00AD5A78"/>
    <w:rsid w:val="00AD6502"/>
    <w:rsid w:val="00AD6C90"/>
    <w:rsid w:val="00AD7973"/>
    <w:rsid w:val="00AD7A51"/>
    <w:rsid w:val="00AE04D3"/>
    <w:rsid w:val="00AE0580"/>
    <w:rsid w:val="00AE0723"/>
    <w:rsid w:val="00AE072F"/>
    <w:rsid w:val="00AE0847"/>
    <w:rsid w:val="00AE2ED7"/>
    <w:rsid w:val="00AE31AD"/>
    <w:rsid w:val="00AE33DA"/>
    <w:rsid w:val="00AE36EF"/>
    <w:rsid w:val="00AE3FE5"/>
    <w:rsid w:val="00AE4072"/>
    <w:rsid w:val="00AE40C8"/>
    <w:rsid w:val="00AE68F1"/>
    <w:rsid w:val="00AE693A"/>
    <w:rsid w:val="00AE782C"/>
    <w:rsid w:val="00AE79EB"/>
    <w:rsid w:val="00AE7A7D"/>
    <w:rsid w:val="00AE7A9C"/>
    <w:rsid w:val="00AF0CCE"/>
    <w:rsid w:val="00AF0DD4"/>
    <w:rsid w:val="00AF1315"/>
    <w:rsid w:val="00AF1769"/>
    <w:rsid w:val="00AF18EF"/>
    <w:rsid w:val="00AF19BF"/>
    <w:rsid w:val="00AF2115"/>
    <w:rsid w:val="00AF2423"/>
    <w:rsid w:val="00AF2DC3"/>
    <w:rsid w:val="00AF3599"/>
    <w:rsid w:val="00AF394D"/>
    <w:rsid w:val="00AF39C2"/>
    <w:rsid w:val="00AF4A0E"/>
    <w:rsid w:val="00AF5140"/>
    <w:rsid w:val="00AF529B"/>
    <w:rsid w:val="00AF56D3"/>
    <w:rsid w:val="00AF5E61"/>
    <w:rsid w:val="00AF6B56"/>
    <w:rsid w:val="00AF6E2C"/>
    <w:rsid w:val="00AF6EF5"/>
    <w:rsid w:val="00AF76D7"/>
    <w:rsid w:val="00AF79DB"/>
    <w:rsid w:val="00B00015"/>
    <w:rsid w:val="00B00D50"/>
    <w:rsid w:val="00B00D85"/>
    <w:rsid w:val="00B00DA8"/>
    <w:rsid w:val="00B00E70"/>
    <w:rsid w:val="00B01012"/>
    <w:rsid w:val="00B01A58"/>
    <w:rsid w:val="00B01E93"/>
    <w:rsid w:val="00B026DD"/>
    <w:rsid w:val="00B033E5"/>
    <w:rsid w:val="00B03A63"/>
    <w:rsid w:val="00B04769"/>
    <w:rsid w:val="00B04C31"/>
    <w:rsid w:val="00B04E95"/>
    <w:rsid w:val="00B04FB1"/>
    <w:rsid w:val="00B060D5"/>
    <w:rsid w:val="00B066DF"/>
    <w:rsid w:val="00B0710D"/>
    <w:rsid w:val="00B0736C"/>
    <w:rsid w:val="00B07533"/>
    <w:rsid w:val="00B10D39"/>
    <w:rsid w:val="00B10EE8"/>
    <w:rsid w:val="00B1140E"/>
    <w:rsid w:val="00B1155F"/>
    <w:rsid w:val="00B11903"/>
    <w:rsid w:val="00B127A3"/>
    <w:rsid w:val="00B14BDE"/>
    <w:rsid w:val="00B1601A"/>
    <w:rsid w:val="00B16078"/>
    <w:rsid w:val="00B1658C"/>
    <w:rsid w:val="00B16798"/>
    <w:rsid w:val="00B16C07"/>
    <w:rsid w:val="00B17403"/>
    <w:rsid w:val="00B201A4"/>
    <w:rsid w:val="00B20C80"/>
    <w:rsid w:val="00B213A6"/>
    <w:rsid w:val="00B2143F"/>
    <w:rsid w:val="00B22201"/>
    <w:rsid w:val="00B222D7"/>
    <w:rsid w:val="00B2294A"/>
    <w:rsid w:val="00B229DE"/>
    <w:rsid w:val="00B22DDC"/>
    <w:rsid w:val="00B23C1D"/>
    <w:rsid w:val="00B23E8B"/>
    <w:rsid w:val="00B2408F"/>
    <w:rsid w:val="00B24656"/>
    <w:rsid w:val="00B246FA"/>
    <w:rsid w:val="00B24920"/>
    <w:rsid w:val="00B24A6F"/>
    <w:rsid w:val="00B24B9B"/>
    <w:rsid w:val="00B24DF6"/>
    <w:rsid w:val="00B24F3F"/>
    <w:rsid w:val="00B25049"/>
    <w:rsid w:val="00B253ED"/>
    <w:rsid w:val="00B258DA"/>
    <w:rsid w:val="00B25D94"/>
    <w:rsid w:val="00B25F59"/>
    <w:rsid w:val="00B26356"/>
    <w:rsid w:val="00B26521"/>
    <w:rsid w:val="00B270B9"/>
    <w:rsid w:val="00B27217"/>
    <w:rsid w:val="00B30121"/>
    <w:rsid w:val="00B3036F"/>
    <w:rsid w:val="00B30391"/>
    <w:rsid w:val="00B304C1"/>
    <w:rsid w:val="00B3055C"/>
    <w:rsid w:val="00B3062C"/>
    <w:rsid w:val="00B308F2"/>
    <w:rsid w:val="00B308F8"/>
    <w:rsid w:val="00B30AA8"/>
    <w:rsid w:val="00B30D71"/>
    <w:rsid w:val="00B312B4"/>
    <w:rsid w:val="00B31742"/>
    <w:rsid w:val="00B3193B"/>
    <w:rsid w:val="00B32413"/>
    <w:rsid w:val="00B3241C"/>
    <w:rsid w:val="00B3263A"/>
    <w:rsid w:val="00B32884"/>
    <w:rsid w:val="00B3338F"/>
    <w:rsid w:val="00B3491B"/>
    <w:rsid w:val="00B34BD3"/>
    <w:rsid w:val="00B34FE2"/>
    <w:rsid w:val="00B3575A"/>
    <w:rsid w:val="00B357D8"/>
    <w:rsid w:val="00B35FD6"/>
    <w:rsid w:val="00B3659C"/>
    <w:rsid w:val="00B36A2B"/>
    <w:rsid w:val="00B36C2A"/>
    <w:rsid w:val="00B36FA8"/>
    <w:rsid w:val="00B370FA"/>
    <w:rsid w:val="00B372D5"/>
    <w:rsid w:val="00B376F7"/>
    <w:rsid w:val="00B378EC"/>
    <w:rsid w:val="00B37A90"/>
    <w:rsid w:val="00B37BFC"/>
    <w:rsid w:val="00B37D75"/>
    <w:rsid w:val="00B37DBF"/>
    <w:rsid w:val="00B37E52"/>
    <w:rsid w:val="00B40358"/>
    <w:rsid w:val="00B408DB"/>
    <w:rsid w:val="00B40C34"/>
    <w:rsid w:val="00B40E48"/>
    <w:rsid w:val="00B41349"/>
    <w:rsid w:val="00B41614"/>
    <w:rsid w:val="00B4193D"/>
    <w:rsid w:val="00B419C1"/>
    <w:rsid w:val="00B41C34"/>
    <w:rsid w:val="00B42851"/>
    <w:rsid w:val="00B42A26"/>
    <w:rsid w:val="00B42D95"/>
    <w:rsid w:val="00B42EC4"/>
    <w:rsid w:val="00B42F80"/>
    <w:rsid w:val="00B435CB"/>
    <w:rsid w:val="00B4368E"/>
    <w:rsid w:val="00B441BD"/>
    <w:rsid w:val="00B44805"/>
    <w:rsid w:val="00B45404"/>
    <w:rsid w:val="00B45916"/>
    <w:rsid w:val="00B45A3C"/>
    <w:rsid w:val="00B4608D"/>
    <w:rsid w:val="00B463BE"/>
    <w:rsid w:val="00B4641D"/>
    <w:rsid w:val="00B464DD"/>
    <w:rsid w:val="00B4659A"/>
    <w:rsid w:val="00B467C2"/>
    <w:rsid w:val="00B47699"/>
    <w:rsid w:val="00B4784B"/>
    <w:rsid w:val="00B47D35"/>
    <w:rsid w:val="00B47D7D"/>
    <w:rsid w:val="00B50AA9"/>
    <w:rsid w:val="00B50DB8"/>
    <w:rsid w:val="00B51115"/>
    <w:rsid w:val="00B51484"/>
    <w:rsid w:val="00B514AC"/>
    <w:rsid w:val="00B5168B"/>
    <w:rsid w:val="00B517B4"/>
    <w:rsid w:val="00B51AD6"/>
    <w:rsid w:val="00B51C06"/>
    <w:rsid w:val="00B52798"/>
    <w:rsid w:val="00B527BC"/>
    <w:rsid w:val="00B534A1"/>
    <w:rsid w:val="00B53654"/>
    <w:rsid w:val="00B5371A"/>
    <w:rsid w:val="00B53905"/>
    <w:rsid w:val="00B53DB6"/>
    <w:rsid w:val="00B53F4F"/>
    <w:rsid w:val="00B545A0"/>
    <w:rsid w:val="00B54611"/>
    <w:rsid w:val="00B54B5B"/>
    <w:rsid w:val="00B54D37"/>
    <w:rsid w:val="00B54D96"/>
    <w:rsid w:val="00B54F03"/>
    <w:rsid w:val="00B55116"/>
    <w:rsid w:val="00B5562E"/>
    <w:rsid w:val="00B56302"/>
    <w:rsid w:val="00B563E6"/>
    <w:rsid w:val="00B56B0A"/>
    <w:rsid w:val="00B57000"/>
    <w:rsid w:val="00B57085"/>
    <w:rsid w:val="00B57CE6"/>
    <w:rsid w:val="00B603B8"/>
    <w:rsid w:val="00B605D4"/>
    <w:rsid w:val="00B606E7"/>
    <w:rsid w:val="00B60939"/>
    <w:rsid w:val="00B60AFD"/>
    <w:rsid w:val="00B60DEB"/>
    <w:rsid w:val="00B61554"/>
    <w:rsid w:val="00B62162"/>
    <w:rsid w:val="00B62587"/>
    <w:rsid w:val="00B62715"/>
    <w:rsid w:val="00B62E98"/>
    <w:rsid w:val="00B6327E"/>
    <w:rsid w:val="00B63DF7"/>
    <w:rsid w:val="00B63F01"/>
    <w:rsid w:val="00B647D5"/>
    <w:rsid w:val="00B64A51"/>
    <w:rsid w:val="00B64E1A"/>
    <w:rsid w:val="00B64EE3"/>
    <w:rsid w:val="00B64F6F"/>
    <w:rsid w:val="00B659D1"/>
    <w:rsid w:val="00B65B05"/>
    <w:rsid w:val="00B6640F"/>
    <w:rsid w:val="00B6663F"/>
    <w:rsid w:val="00B66826"/>
    <w:rsid w:val="00B66BA9"/>
    <w:rsid w:val="00B66C59"/>
    <w:rsid w:val="00B6722B"/>
    <w:rsid w:val="00B677C7"/>
    <w:rsid w:val="00B67819"/>
    <w:rsid w:val="00B67872"/>
    <w:rsid w:val="00B720CD"/>
    <w:rsid w:val="00B727CB"/>
    <w:rsid w:val="00B72C10"/>
    <w:rsid w:val="00B739A2"/>
    <w:rsid w:val="00B73AAA"/>
    <w:rsid w:val="00B7414E"/>
    <w:rsid w:val="00B74379"/>
    <w:rsid w:val="00B743F9"/>
    <w:rsid w:val="00B746FC"/>
    <w:rsid w:val="00B7474C"/>
    <w:rsid w:val="00B749B0"/>
    <w:rsid w:val="00B74BE6"/>
    <w:rsid w:val="00B752CC"/>
    <w:rsid w:val="00B7610A"/>
    <w:rsid w:val="00B76E1B"/>
    <w:rsid w:val="00B77056"/>
    <w:rsid w:val="00B77112"/>
    <w:rsid w:val="00B77AE8"/>
    <w:rsid w:val="00B77D9B"/>
    <w:rsid w:val="00B80C40"/>
    <w:rsid w:val="00B80C57"/>
    <w:rsid w:val="00B81131"/>
    <w:rsid w:val="00B81378"/>
    <w:rsid w:val="00B81624"/>
    <w:rsid w:val="00B818A4"/>
    <w:rsid w:val="00B81B89"/>
    <w:rsid w:val="00B823C7"/>
    <w:rsid w:val="00B823F9"/>
    <w:rsid w:val="00B8262F"/>
    <w:rsid w:val="00B82906"/>
    <w:rsid w:val="00B82AE9"/>
    <w:rsid w:val="00B836F2"/>
    <w:rsid w:val="00B8392A"/>
    <w:rsid w:val="00B8399E"/>
    <w:rsid w:val="00B84117"/>
    <w:rsid w:val="00B84123"/>
    <w:rsid w:val="00B84332"/>
    <w:rsid w:val="00B843FE"/>
    <w:rsid w:val="00B84459"/>
    <w:rsid w:val="00B84F89"/>
    <w:rsid w:val="00B8520B"/>
    <w:rsid w:val="00B859F8"/>
    <w:rsid w:val="00B85AA2"/>
    <w:rsid w:val="00B85E55"/>
    <w:rsid w:val="00B8649C"/>
    <w:rsid w:val="00B86688"/>
    <w:rsid w:val="00B86D8B"/>
    <w:rsid w:val="00B87888"/>
    <w:rsid w:val="00B87922"/>
    <w:rsid w:val="00B87933"/>
    <w:rsid w:val="00B879C4"/>
    <w:rsid w:val="00B87F0A"/>
    <w:rsid w:val="00B90458"/>
    <w:rsid w:val="00B90865"/>
    <w:rsid w:val="00B90D26"/>
    <w:rsid w:val="00B91135"/>
    <w:rsid w:val="00B91AA2"/>
    <w:rsid w:val="00B928E7"/>
    <w:rsid w:val="00B92D0B"/>
    <w:rsid w:val="00B9381A"/>
    <w:rsid w:val="00B93C7E"/>
    <w:rsid w:val="00B94166"/>
    <w:rsid w:val="00B9463D"/>
    <w:rsid w:val="00B94945"/>
    <w:rsid w:val="00B949D8"/>
    <w:rsid w:val="00B95897"/>
    <w:rsid w:val="00B95D80"/>
    <w:rsid w:val="00B96410"/>
    <w:rsid w:val="00B97234"/>
    <w:rsid w:val="00B977D6"/>
    <w:rsid w:val="00BA06E3"/>
    <w:rsid w:val="00BA095B"/>
    <w:rsid w:val="00BA0BDB"/>
    <w:rsid w:val="00BA1099"/>
    <w:rsid w:val="00BA12E5"/>
    <w:rsid w:val="00BA1391"/>
    <w:rsid w:val="00BA1ABC"/>
    <w:rsid w:val="00BA1E24"/>
    <w:rsid w:val="00BA23EE"/>
    <w:rsid w:val="00BA2590"/>
    <w:rsid w:val="00BA31FE"/>
    <w:rsid w:val="00BA322D"/>
    <w:rsid w:val="00BA387D"/>
    <w:rsid w:val="00BA3E75"/>
    <w:rsid w:val="00BA4085"/>
    <w:rsid w:val="00BA4528"/>
    <w:rsid w:val="00BA4956"/>
    <w:rsid w:val="00BA5D17"/>
    <w:rsid w:val="00BA5DEE"/>
    <w:rsid w:val="00BA605B"/>
    <w:rsid w:val="00BA70DC"/>
    <w:rsid w:val="00BA715B"/>
    <w:rsid w:val="00BA74D4"/>
    <w:rsid w:val="00BA74E4"/>
    <w:rsid w:val="00BA75C4"/>
    <w:rsid w:val="00BB009D"/>
    <w:rsid w:val="00BB0938"/>
    <w:rsid w:val="00BB0B17"/>
    <w:rsid w:val="00BB0BDD"/>
    <w:rsid w:val="00BB0DB7"/>
    <w:rsid w:val="00BB1BC0"/>
    <w:rsid w:val="00BB1F36"/>
    <w:rsid w:val="00BB2A73"/>
    <w:rsid w:val="00BB3FE6"/>
    <w:rsid w:val="00BB4398"/>
    <w:rsid w:val="00BB4ACC"/>
    <w:rsid w:val="00BB4E25"/>
    <w:rsid w:val="00BB526F"/>
    <w:rsid w:val="00BB5691"/>
    <w:rsid w:val="00BB5D85"/>
    <w:rsid w:val="00BB5D9A"/>
    <w:rsid w:val="00BB6625"/>
    <w:rsid w:val="00BB703E"/>
    <w:rsid w:val="00BB704B"/>
    <w:rsid w:val="00BB7405"/>
    <w:rsid w:val="00BB7BD3"/>
    <w:rsid w:val="00BC0DBD"/>
    <w:rsid w:val="00BC1775"/>
    <w:rsid w:val="00BC21AC"/>
    <w:rsid w:val="00BC2A6F"/>
    <w:rsid w:val="00BC2EC4"/>
    <w:rsid w:val="00BC3631"/>
    <w:rsid w:val="00BC3C28"/>
    <w:rsid w:val="00BC49E4"/>
    <w:rsid w:val="00BC59B0"/>
    <w:rsid w:val="00BC692A"/>
    <w:rsid w:val="00BC6976"/>
    <w:rsid w:val="00BC6A84"/>
    <w:rsid w:val="00BC6B68"/>
    <w:rsid w:val="00BC6C92"/>
    <w:rsid w:val="00BC71CA"/>
    <w:rsid w:val="00BC7A36"/>
    <w:rsid w:val="00BD00F9"/>
    <w:rsid w:val="00BD012A"/>
    <w:rsid w:val="00BD081B"/>
    <w:rsid w:val="00BD1AC9"/>
    <w:rsid w:val="00BD1F99"/>
    <w:rsid w:val="00BD25BB"/>
    <w:rsid w:val="00BD25FD"/>
    <w:rsid w:val="00BD2C23"/>
    <w:rsid w:val="00BD368F"/>
    <w:rsid w:val="00BD38F0"/>
    <w:rsid w:val="00BD3BDB"/>
    <w:rsid w:val="00BD41D8"/>
    <w:rsid w:val="00BD549B"/>
    <w:rsid w:val="00BD58FF"/>
    <w:rsid w:val="00BD595B"/>
    <w:rsid w:val="00BD5FBC"/>
    <w:rsid w:val="00BD671F"/>
    <w:rsid w:val="00BD68A3"/>
    <w:rsid w:val="00BD6938"/>
    <w:rsid w:val="00BD6CF3"/>
    <w:rsid w:val="00BD71F7"/>
    <w:rsid w:val="00BD73E7"/>
    <w:rsid w:val="00BD7676"/>
    <w:rsid w:val="00BD7A59"/>
    <w:rsid w:val="00BD7F3C"/>
    <w:rsid w:val="00BE01DA"/>
    <w:rsid w:val="00BE13B3"/>
    <w:rsid w:val="00BE1D2F"/>
    <w:rsid w:val="00BE1DB0"/>
    <w:rsid w:val="00BE1EB7"/>
    <w:rsid w:val="00BE2180"/>
    <w:rsid w:val="00BE21F2"/>
    <w:rsid w:val="00BE24D4"/>
    <w:rsid w:val="00BE3FB6"/>
    <w:rsid w:val="00BE40AD"/>
    <w:rsid w:val="00BE4217"/>
    <w:rsid w:val="00BE4220"/>
    <w:rsid w:val="00BE4275"/>
    <w:rsid w:val="00BE4772"/>
    <w:rsid w:val="00BE4898"/>
    <w:rsid w:val="00BE5246"/>
    <w:rsid w:val="00BE52F4"/>
    <w:rsid w:val="00BE58A8"/>
    <w:rsid w:val="00BE591F"/>
    <w:rsid w:val="00BE64A8"/>
    <w:rsid w:val="00BE6B7B"/>
    <w:rsid w:val="00BE70BF"/>
    <w:rsid w:val="00BE71EA"/>
    <w:rsid w:val="00BE723E"/>
    <w:rsid w:val="00BE7245"/>
    <w:rsid w:val="00BF08B9"/>
    <w:rsid w:val="00BF0F95"/>
    <w:rsid w:val="00BF1283"/>
    <w:rsid w:val="00BF1D7D"/>
    <w:rsid w:val="00BF1F39"/>
    <w:rsid w:val="00BF2433"/>
    <w:rsid w:val="00BF2CED"/>
    <w:rsid w:val="00BF2D1F"/>
    <w:rsid w:val="00BF33B9"/>
    <w:rsid w:val="00BF34DD"/>
    <w:rsid w:val="00BF40FB"/>
    <w:rsid w:val="00BF41D6"/>
    <w:rsid w:val="00BF432E"/>
    <w:rsid w:val="00BF55E9"/>
    <w:rsid w:val="00BF5A1A"/>
    <w:rsid w:val="00BF5A9A"/>
    <w:rsid w:val="00BF61C9"/>
    <w:rsid w:val="00BF63B5"/>
    <w:rsid w:val="00BF6C94"/>
    <w:rsid w:val="00BF7BEA"/>
    <w:rsid w:val="00BF7CDB"/>
    <w:rsid w:val="00BF7D85"/>
    <w:rsid w:val="00BF7DB3"/>
    <w:rsid w:val="00BF7F07"/>
    <w:rsid w:val="00C00424"/>
    <w:rsid w:val="00C004A0"/>
    <w:rsid w:val="00C0050D"/>
    <w:rsid w:val="00C00DB9"/>
    <w:rsid w:val="00C00F49"/>
    <w:rsid w:val="00C00F7B"/>
    <w:rsid w:val="00C01186"/>
    <w:rsid w:val="00C012E9"/>
    <w:rsid w:val="00C014C9"/>
    <w:rsid w:val="00C02252"/>
    <w:rsid w:val="00C02381"/>
    <w:rsid w:val="00C023FA"/>
    <w:rsid w:val="00C03447"/>
    <w:rsid w:val="00C03B40"/>
    <w:rsid w:val="00C03C4B"/>
    <w:rsid w:val="00C03F3D"/>
    <w:rsid w:val="00C04350"/>
    <w:rsid w:val="00C04F39"/>
    <w:rsid w:val="00C04F40"/>
    <w:rsid w:val="00C05F51"/>
    <w:rsid w:val="00C0632F"/>
    <w:rsid w:val="00C0663E"/>
    <w:rsid w:val="00C067EB"/>
    <w:rsid w:val="00C06A23"/>
    <w:rsid w:val="00C06F9F"/>
    <w:rsid w:val="00C07A3D"/>
    <w:rsid w:val="00C07AB1"/>
    <w:rsid w:val="00C07C37"/>
    <w:rsid w:val="00C07D3C"/>
    <w:rsid w:val="00C10AE0"/>
    <w:rsid w:val="00C10D1C"/>
    <w:rsid w:val="00C11C91"/>
    <w:rsid w:val="00C12C14"/>
    <w:rsid w:val="00C12ED0"/>
    <w:rsid w:val="00C13133"/>
    <w:rsid w:val="00C13C4A"/>
    <w:rsid w:val="00C1415C"/>
    <w:rsid w:val="00C1456D"/>
    <w:rsid w:val="00C145CB"/>
    <w:rsid w:val="00C1463B"/>
    <w:rsid w:val="00C146A2"/>
    <w:rsid w:val="00C14917"/>
    <w:rsid w:val="00C151A2"/>
    <w:rsid w:val="00C156CE"/>
    <w:rsid w:val="00C157F4"/>
    <w:rsid w:val="00C160F2"/>
    <w:rsid w:val="00C16A8A"/>
    <w:rsid w:val="00C17963"/>
    <w:rsid w:val="00C200AA"/>
    <w:rsid w:val="00C20B28"/>
    <w:rsid w:val="00C21277"/>
    <w:rsid w:val="00C21B47"/>
    <w:rsid w:val="00C221A8"/>
    <w:rsid w:val="00C23051"/>
    <w:rsid w:val="00C2327F"/>
    <w:rsid w:val="00C23618"/>
    <w:rsid w:val="00C237ED"/>
    <w:rsid w:val="00C23A0D"/>
    <w:rsid w:val="00C24632"/>
    <w:rsid w:val="00C24B2B"/>
    <w:rsid w:val="00C24C4D"/>
    <w:rsid w:val="00C24EE4"/>
    <w:rsid w:val="00C251A5"/>
    <w:rsid w:val="00C25418"/>
    <w:rsid w:val="00C25AD3"/>
    <w:rsid w:val="00C25B35"/>
    <w:rsid w:val="00C25D9C"/>
    <w:rsid w:val="00C2662C"/>
    <w:rsid w:val="00C26AA5"/>
    <w:rsid w:val="00C27304"/>
    <w:rsid w:val="00C2778B"/>
    <w:rsid w:val="00C27BD6"/>
    <w:rsid w:val="00C30B00"/>
    <w:rsid w:val="00C31073"/>
    <w:rsid w:val="00C3119A"/>
    <w:rsid w:val="00C31487"/>
    <w:rsid w:val="00C315CE"/>
    <w:rsid w:val="00C31649"/>
    <w:rsid w:val="00C324B0"/>
    <w:rsid w:val="00C32903"/>
    <w:rsid w:val="00C32AF4"/>
    <w:rsid w:val="00C3324D"/>
    <w:rsid w:val="00C3404F"/>
    <w:rsid w:val="00C34067"/>
    <w:rsid w:val="00C34859"/>
    <w:rsid w:val="00C34B07"/>
    <w:rsid w:val="00C34B3E"/>
    <w:rsid w:val="00C34E2F"/>
    <w:rsid w:val="00C3518F"/>
    <w:rsid w:val="00C352BF"/>
    <w:rsid w:val="00C3594D"/>
    <w:rsid w:val="00C35974"/>
    <w:rsid w:val="00C35F09"/>
    <w:rsid w:val="00C36092"/>
    <w:rsid w:val="00C36507"/>
    <w:rsid w:val="00C36545"/>
    <w:rsid w:val="00C36FEC"/>
    <w:rsid w:val="00C3719F"/>
    <w:rsid w:val="00C375A8"/>
    <w:rsid w:val="00C375E0"/>
    <w:rsid w:val="00C376EA"/>
    <w:rsid w:val="00C378CC"/>
    <w:rsid w:val="00C37C9D"/>
    <w:rsid w:val="00C37EA4"/>
    <w:rsid w:val="00C40368"/>
    <w:rsid w:val="00C40385"/>
    <w:rsid w:val="00C4091F"/>
    <w:rsid w:val="00C40A56"/>
    <w:rsid w:val="00C40BAD"/>
    <w:rsid w:val="00C40BEA"/>
    <w:rsid w:val="00C413E1"/>
    <w:rsid w:val="00C413F5"/>
    <w:rsid w:val="00C41428"/>
    <w:rsid w:val="00C42329"/>
    <w:rsid w:val="00C42FF2"/>
    <w:rsid w:val="00C43943"/>
    <w:rsid w:val="00C445F3"/>
    <w:rsid w:val="00C44D90"/>
    <w:rsid w:val="00C44FAA"/>
    <w:rsid w:val="00C45050"/>
    <w:rsid w:val="00C45A6F"/>
    <w:rsid w:val="00C45B91"/>
    <w:rsid w:val="00C4601D"/>
    <w:rsid w:val="00C465BE"/>
    <w:rsid w:val="00C466A0"/>
    <w:rsid w:val="00C46C6A"/>
    <w:rsid w:val="00C475AA"/>
    <w:rsid w:val="00C479E1"/>
    <w:rsid w:val="00C47F2F"/>
    <w:rsid w:val="00C504C9"/>
    <w:rsid w:val="00C506CD"/>
    <w:rsid w:val="00C50BA8"/>
    <w:rsid w:val="00C51847"/>
    <w:rsid w:val="00C51B2E"/>
    <w:rsid w:val="00C51CFF"/>
    <w:rsid w:val="00C52343"/>
    <w:rsid w:val="00C526BF"/>
    <w:rsid w:val="00C53007"/>
    <w:rsid w:val="00C534CC"/>
    <w:rsid w:val="00C536B2"/>
    <w:rsid w:val="00C53FAF"/>
    <w:rsid w:val="00C54C02"/>
    <w:rsid w:val="00C55048"/>
    <w:rsid w:val="00C55803"/>
    <w:rsid w:val="00C55876"/>
    <w:rsid w:val="00C55C5E"/>
    <w:rsid w:val="00C56308"/>
    <w:rsid w:val="00C56714"/>
    <w:rsid w:val="00C5706D"/>
    <w:rsid w:val="00C57148"/>
    <w:rsid w:val="00C5740F"/>
    <w:rsid w:val="00C57BE0"/>
    <w:rsid w:val="00C603C5"/>
    <w:rsid w:val="00C6051A"/>
    <w:rsid w:val="00C60935"/>
    <w:rsid w:val="00C615D7"/>
    <w:rsid w:val="00C61CFE"/>
    <w:rsid w:val="00C61DBF"/>
    <w:rsid w:val="00C61F0C"/>
    <w:rsid w:val="00C62614"/>
    <w:rsid w:val="00C62BF7"/>
    <w:rsid w:val="00C62C26"/>
    <w:rsid w:val="00C63746"/>
    <w:rsid w:val="00C63BAE"/>
    <w:rsid w:val="00C645C4"/>
    <w:rsid w:val="00C6500D"/>
    <w:rsid w:val="00C65316"/>
    <w:rsid w:val="00C65576"/>
    <w:rsid w:val="00C657E5"/>
    <w:rsid w:val="00C65FE7"/>
    <w:rsid w:val="00C66165"/>
    <w:rsid w:val="00C67665"/>
    <w:rsid w:val="00C67A00"/>
    <w:rsid w:val="00C67A67"/>
    <w:rsid w:val="00C67BA7"/>
    <w:rsid w:val="00C67F00"/>
    <w:rsid w:val="00C70907"/>
    <w:rsid w:val="00C710B3"/>
    <w:rsid w:val="00C7151A"/>
    <w:rsid w:val="00C716A0"/>
    <w:rsid w:val="00C719E2"/>
    <w:rsid w:val="00C71F60"/>
    <w:rsid w:val="00C72241"/>
    <w:rsid w:val="00C72430"/>
    <w:rsid w:val="00C725DA"/>
    <w:rsid w:val="00C72D13"/>
    <w:rsid w:val="00C73B7E"/>
    <w:rsid w:val="00C73D5A"/>
    <w:rsid w:val="00C7412D"/>
    <w:rsid w:val="00C7459B"/>
    <w:rsid w:val="00C748E9"/>
    <w:rsid w:val="00C750C8"/>
    <w:rsid w:val="00C7560F"/>
    <w:rsid w:val="00C75828"/>
    <w:rsid w:val="00C75854"/>
    <w:rsid w:val="00C76682"/>
    <w:rsid w:val="00C76F75"/>
    <w:rsid w:val="00C7725F"/>
    <w:rsid w:val="00C7737A"/>
    <w:rsid w:val="00C77FB1"/>
    <w:rsid w:val="00C80562"/>
    <w:rsid w:val="00C80771"/>
    <w:rsid w:val="00C80A0E"/>
    <w:rsid w:val="00C80A70"/>
    <w:rsid w:val="00C80ECD"/>
    <w:rsid w:val="00C8121F"/>
    <w:rsid w:val="00C814C9"/>
    <w:rsid w:val="00C81779"/>
    <w:rsid w:val="00C81D45"/>
    <w:rsid w:val="00C8213F"/>
    <w:rsid w:val="00C82ACE"/>
    <w:rsid w:val="00C82AE2"/>
    <w:rsid w:val="00C82F61"/>
    <w:rsid w:val="00C84202"/>
    <w:rsid w:val="00C84749"/>
    <w:rsid w:val="00C8511C"/>
    <w:rsid w:val="00C853A0"/>
    <w:rsid w:val="00C854AA"/>
    <w:rsid w:val="00C85620"/>
    <w:rsid w:val="00C856A5"/>
    <w:rsid w:val="00C857CD"/>
    <w:rsid w:val="00C85DBC"/>
    <w:rsid w:val="00C8646A"/>
    <w:rsid w:val="00C86602"/>
    <w:rsid w:val="00C86E2A"/>
    <w:rsid w:val="00C87618"/>
    <w:rsid w:val="00C87664"/>
    <w:rsid w:val="00C876FC"/>
    <w:rsid w:val="00C8797A"/>
    <w:rsid w:val="00C879BF"/>
    <w:rsid w:val="00C87C84"/>
    <w:rsid w:val="00C900B8"/>
    <w:rsid w:val="00C9023A"/>
    <w:rsid w:val="00C90B68"/>
    <w:rsid w:val="00C90C71"/>
    <w:rsid w:val="00C90F3A"/>
    <w:rsid w:val="00C912F4"/>
    <w:rsid w:val="00C91394"/>
    <w:rsid w:val="00C9155B"/>
    <w:rsid w:val="00C918F8"/>
    <w:rsid w:val="00C92A6B"/>
    <w:rsid w:val="00C931CF"/>
    <w:rsid w:val="00C938CE"/>
    <w:rsid w:val="00C938CF"/>
    <w:rsid w:val="00C93CC2"/>
    <w:rsid w:val="00C943A0"/>
    <w:rsid w:val="00C94A17"/>
    <w:rsid w:val="00C951B3"/>
    <w:rsid w:val="00C9624D"/>
    <w:rsid w:val="00C9665D"/>
    <w:rsid w:val="00C969DA"/>
    <w:rsid w:val="00C96AF7"/>
    <w:rsid w:val="00C9723F"/>
    <w:rsid w:val="00C9754E"/>
    <w:rsid w:val="00C9757D"/>
    <w:rsid w:val="00C97937"/>
    <w:rsid w:val="00C97965"/>
    <w:rsid w:val="00C97A32"/>
    <w:rsid w:val="00CA0263"/>
    <w:rsid w:val="00CA0CDD"/>
    <w:rsid w:val="00CA13CD"/>
    <w:rsid w:val="00CA18D5"/>
    <w:rsid w:val="00CA2C77"/>
    <w:rsid w:val="00CA373D"/>
    <w:rsid w:val="00CA3979"/>
    <w:rsid w:val="00CA444F"/>
    <w:rsid w:val="00CA460A"/>
    <w:rsid w:val="00CA4A76"/>
    <w:rsid w:val="00CA4B40"/>
    <w:rsid w:val="00CA4BA1"/>
    <w:rsid w:val="00CA5089"/>
    <w:rsid w:val="00CA5201"/>
    <w:rsid w:val="00CA5245"/>
    <w:rsid w:val="00CA55A2"/>
    <w:rsid w:val="00CA575C"/>
    <w:rsid w:val="00CA590A"/>
    <w:rsid w:val="00CA5E1E"/>
    <w:rsid w:val="00CA64B0"/>
    <w:rsid w:val="00CA6555"/>
    <w:rsid w:val="00CA6EF0"/>
    <w:rsid w:val="00CA71F4"/>
    <w:rsid w:val="00CA7B09"/>
    <w:rsid w:val="00CA7C82"/>
    <w:rsid w:val="00CA7F6E"/>
    <w:rsid w:val="00CB083D"/>
    <w:rsid w:val="00CB102D"/>
    <w:rsid w:val="00CB165D"/>
    <w:rsid w:val="00CB1972"/>
    <w:rsid w:val="00CB2F2A"/>
    <w:rsid w:val="00CB305E"/>
    <w:rsid w:val="00CB3771"/>
    <w:rsid w:val="00CB3EF9"/>
    <w:rsid w:val="00CB48B3"/>
    <w:rsid w:val="00CB4AA9"/>
    <w:rsid w:val="00CB4B4F"/>
    <w:rsid w:val="00CB4CFF"/>
    <w:rsid w:val="00CB508F"/>
    <w:rsid w:val="00CB53AD"/>
    <w:rsid w:val="00CB5A07"/>
    <w:rsid w:val="00CB5B1A"/>
    <w:rsid w:val="00CB61DA"/>
    <w:rsid w:val="00CB62E9"/>
    <w:rsid w:val="00CB65BD"/>
    <w:rsid w:val="00CB6608"/>
    <w:rsid w:val="00CB67EB"/>
    <w:rsid w:val="00CB6AD9"/>
    <w:rsid w:val="00CB6B22"/>
    <w:rsid w:val="00CB6BCF"/>
    <w:rsid w:val="00CB732A"/>
    <w:rsid w:val="00CB75C7"/>
    <w:rsid w:val="00CB777B"/>
    <w:rsid w:val="00CB7A1E"/>
    <w:rsid w:val="00CB7E80"/>
    <w:rsid w:val="00CB7F5F"/>
    <w:rsid w:val="00CC014B"/>
    <w:rsid w:val="00CC052B"/>
    <w:rsid w:val="00CC073D"/>
    <w:rsid w:val="00CC112C"/>
    <w:rsid w:val="00CC11B8"/>
    <w:rsid w:val="00CC1633"/>
    <w:rsid w:val="00CC1B39"/>
    <w:rsid w:val="00CC2043"/>
    <w:rsid w:val="00CC22C8"/>
    <w:rsid w:val="00CC3284"/>
    <w:rsid w:val="00CC362E"/>
    <w:rsid w:val="00CC3D50"/>
    <w:rsid w:val="00CC3E6F"/>
    <w:rsid w:val="00CC4085"/>
    <w:rsid w:val="00CC4444"/>
    <w:rsid w:val="00CC4632"/>
    <w:rsid w:val="00CC4E07"/>
    <w:rsid w:val="00CC4EE0"/>
    <w:rsid w:val="00CC4F2D"/>
    <w:rsid w:val="00CC51B9"/>
    <w:rsid w:val="00CC5CBD"/>
    <w:rsid w:val="00CC64F3"/>
    <w:rsid w:val="00CC66DB"/>
    <w:rsid w:val="00CC7062"/>
    <w:rsid w:val="00CC7677"/>
    <w:rsid w:val="00CD056B"/>
    <w:rsid w:val="00CD0771"/>
    <w:rsid w:val="00CD08BA"/>
    <w:rsid w:val="00CD0BE6"/>
    <w:rsid w:val="00CD0F87"/>
    <w:rsid w:val="00CD1057"/>
    <w:rsid w:val="00CD15ED"/>
    <w:rsid w:val="00CD184D"/>
    <w:rsid w:val="00CD263A"/>
    <w:rsid w:val="00CD2AE5"/>
    <w:rsid w:val="00CD2BC5"/>
    <w:rsid w:val="00CD2BDC"/>
    <w:rsid w:val="00CD2E13"/>
    <w:rsid w:val="00CD3348"/>
    <w:rsid w:val="00CD338E"/>
    <w:rsid w:val="00CD33C8"/>
    <w:rsid w:val="00CD3E7C"/>
    <w:rsid w:val="00CD4611"/>
    <w:rsid w:val="00CD4B6E"/>
    <w:rsid w:val="00CD5667"/>
    <w:rsid w:val="00CD56C8"/>
    <w:rsid w:val="00CD59B8"/>
    <w:rsid w:val="00CD6ADC"/>
    <w:rsid w:val="00CD6E18"/>
    <w:rsid w:val="00CD6E23"/>
    <w:rsid w:val="00CD7A38"/>
    <w:rsid w:val="00CD7BD2"/>
    <w:rsid w:val="00CE09B7"/>
    <w:rsid w:val="00CE0ADF"/>
    <w:rsid w:val="00CE11E9"/>
    <w:rsid w:val="00CE139B"/>
    <w:rsid w:val="00CE1564"/>
    <w:rsid w:val="00CE1792"/>
    <w:rsid w:val="00CE181B"/>
    <w:rsid w:val="00CE229E"/>
    <w:rsid w:val="00CE29EA"/>
    <w:rsid w:val="00CE2B66"/>
    <w:rsid w:val="00CE2FB6"/>
    <w:rsid w:val="00CE3F7B"/>
    <w:rsid w:val="00CE44BA"/>
    <w:rsid w:val="00CE457B"/>
    <w:rsid w:val="00CE502B"/>
    <w:rsid w:val="00CE513B"/>
    <w:rsid w:val="00CE55A6"/>
    <w:rsid w:val="00CE6274"/>
    <w:rsid w:val="00CE6402"/>
    <w:rsid w:val="00CE69A3"/>
    <w:rsid w:val="00CE70A2"/>
    <w:rsid w:val="00CE7B27"/>
    <w:rsid w:val="00CF0381"/>
    <w:rsid w:val="00CF0B8A"/>
    <w:rsid w:val="00CF0E91"/>
    <w:rsid w:val="00CF16BF"/>
    <w:rsid w:val="00CF22B4"/>
    <w:rsid w:val="00CF2B8D"/>
    <w:rsid w:val="00CF2D37"/>
    <w:rsid w:val="00CF3130"/>
    <w:rsid w:val="00CF32EE"/>
    <w:rsid w:val="00CF39BE"/>
    <w:rsid w:val="00CF3AA2"/>
    <w:rsid w:val="00CF3DF0"/>
    <w:rsid w:val="00CF456B"/>
    <w:rsid w:val="00CF49F8"/>
    <w:rsid w:val="00CF5A22"/>
    <w:rsid w:val="00CF5E90"/>
    <w:rsid w:val="00CF6432"/>
    <w:rsid w:val="00CF7226"/>
    <w:rsid w:val="00CF7256"/>
    <w:rsid w:val="00CF7EC8"/>
    <w:rsid w:val="00CF7ECD"/>
    <w:rsid w:val="00D00F5D"/>
    <w:rsid w:val="00D024C8"/>
    <w:rsid w:val="00D0262E"/>
    <w:rsid w:val="00D02B5D"/>
    <w:rsid w:val="00D03412"/>
    <w:rsid w:val="00D034F0"/>
    <w:rsid w:val="00D039F1"/>
    <w:rsid w:val="00D045F0"/>
    <w:rsid w:val="00D04815"/>
    <w:rsid w:val="00D04B4A"/>
    <w:rsid w:val="00D04B66"/>
    <w:rsid w:val="00D04FF1"/>
    <w:rsid w:val="00D05242"/>
    <w:rsid w:val="00D056FC"/>
    <w:rsid w:val="00D05874"/>
    <w:rsid w:val="00D0587F"/>
    <w:rsid w:val="00D05957"/>
    <w:rsid w:val="00D071B1"/>
    <w:rsid w:val="00D07254"/>
    <w:rsid w:val="00D07738"/>
    <w:rsid w:val="00D079E4"/>
    <w:rsid w:val="00D07D97"/>
    <w:rsid w:val="00D1016A"/>
    <w:rsid w:val="00D10485"/>
    <w:rsid w:val="00D109F4"/>
    <w:rsid w:val="00D110BD"/>
    <w:rsid w:val="00D11C17"/>
    <w:rsid w:val="00D11EC3"/>
    <w:rsid w:val="00D1217D"/>
    <w:rsid w:val="00D124EF"/>
    <w:rsid w:val="00D1253A"/>
    <w:rsid w:val="00D12B03"/>
    <w:rsid w:val="00D12B81"/>
    <w:rsid w:val="00D12EC6"/>
    <w:rsid w:val="00D1319F"/>
    <w:rsid w:val="00D13675"/>
    <w:rsid w:val="00D13767"/>
    <w:rsid w:val="00D13A3E"/>
    <w:rsid w:val="00D13BE5"/>
    <w:rsid w:val="00D13ECC"/>
    <w:rsid w:val="00D141E1"/>
    <w:rsid w:val="00D1496D"/>
    <w:rsid w:val="00D14F2A"/>
    <w:rsid w:val="00D14FF9"/>
    <w:rsid w:val="00D15138"/>
    <w:rsid w:val="00D15296"/>
    <w:rsid w:val="00D15321"/>
    <w:rsid w:val="00D15536"/>
    <w:rsid w:val="00D15EEC"/>
    <w:rsid w:val="00D161DB"/>
    <w:rsid w:val="00D16508"/>
    <w:rsid w:val="00D16CA7"/>
    <w:rsid w:val="00D175F7"/>
    <w:rsid w:val="00D17A38"/>
    <w:rsid w:val="00D17D6C"/>
    <w:rsid w:val="00D2109D"/>
    <w:rsid w:val="00D21C4E"/>
    <w:rsid w:val="00D21F67"/>
    <w:rsid w:val="00D226B8"/>
    <w:rsid w:val="00D22FE9"/>
    <w:rsid w:val="00D2404B"/>
    <w:rsid w:val="00D245D5"/>
    <w:rsid w:val="00D24B5F"/>
    <w:rsid w:val="00D25992"/>
    <w:rsid w:val="00D25C4E"/>
    <w:rsid w:val="00D25DD2"/>
    <w:rsid w:val="00D261C6"/>
    <w:rsid w:val="00D2710A"/>
    <w:rsid w:val="00D2754D"/>
    <w:rsid w:val="00D27602"/>
    <w:rsid w:val="00D27B27"/>
    <w:rsid w:val="00D30047"/>
    <w:rsid w:val="00D30465"/>
    <w:rsid w:val="00D304B8"/>
    <w:rsid w:val="00D31AC7"/>
    <w:rsid w:val="00D32C34"/>
    <w:rsid w:val="00D32E9A"/>
    <w:rsid w:val="00D333A5"/>
    <w:rsid w:val="00D333E0"/>
    <w:rsid w:val="00D33BE9"/>
    <w:rsid w:val="00D33CB8"/>
    <w:rsid w:val="00D343D0"/>
    <w:rsid w:val="00D34454"/>
    <w:rsid w:val="00D34E99"/>
    <w:rsid w:val="00D3547C"/>
    <w:rsid w:val="00D3548A"/>
    <w:rsid w:val="00D357FF"/>
    <w:rsid w:val="00D3597D"/>
    <w:rsid w:val="00D35C63"/>
    <w:rsid w:val="00D360AB"/>
    <w:rsid w:val="00D3610D"/>
    <w:rsid w:val="00D36279"/>
    <w:rsid w:val="00D36879"/>
    <w:rsid w:val="00D370ED"/>
    <w:rsid w:val="00D37DDA"/>
    <w:rsid w:val="00D40E60"/>
    <w:rsid w:val="00D41465"/>
    <w:rsid w:val="00D41DD2"/>
    <w:rsid w:val="00D41DDD"/>
    <w:rsid w:val="00D424C7"/>
    <w:rsid w:val="00D42BB1"/>
    <w:rsid w:val="00D43376"/>
    <w:rsid w:val="00D43B2A"/>
    <w:rsid w:val="00D43C6D"/>
    <w:rsid w:val="00D43D55"/>
    <w:rsid w:val="00D440DA"/>
    <w:rsid w:val="00D44A73"/>
    <w:rsid w:val="00D45088"/>
    <w:rsid w:val="00D4539B"/>
    <w:rsid w:val="00D45D84"/>
    <w:rsid w:val="00D45E88"/>
    <w:rsid w:val="00D46A78"/>
    <w:rsid w:val="00D47575"/>
    <w:rsid w:val="00D47797"/>
    <w:rsid w:val="00D4783C"/>
    <w:rsid w:val="00D4789F"/>
    <w:rsid w:val="00D47BE5"/>
    <w:rsid w:val="00D47EBE"/>
    <w:rsid w:val="00D47FD0"/>
    <w:rsid w:val="00D500DF"/>
    <w:rsid w:val="00D502C6"/>
    <w:rsid w:val="00D50959"/>
    <w:rsid w:val="00D50E30"/>
    <w:rsid w:val="00D5107B"/>
    <w:rsid w:val="00D511DF"/>
    <w:rsid w:val="00D51294"/>
    <w:rsid w:val="00D5181A"/>
    <w:rsid w:val="00D5197C"/>
    <w:rsid w:val="00D52839"/>
    <w:rsid w:val="00D52D89"/>
    <w:rsid w:val="00D53E51"/>
    <w:rsid w:val="00D549DD"/>
    <w:rsid w:val="00D55432"/>
    <w:rsid w:val="00D55AA5"/>
    <w:rsid w:val="00D55DB3"/>
    <w:rsid w:val="00D561C5"/>
    <w:rsid w:val="00D5645D"/>
    <w:rsid w:val="00D56D11"/>
    <w:rsid w:val="00D57B87"/>
    <w:rsid w:val="00D57EB9"/>
    <w:rsid w:val="00D60E86"/>
    <w:rsid w:val="00D61323"/>
    <w:rsid w:val="00D61D94"/>
    <w:rsid w:val="00D627CC"/>
    <w:rsid w:val="00D62C61"/>
    <w:rsid w:val="00D62CB3"/>
    <w:rsid w:val="00D63642"/>
    <w:rsid w:val="00D6373F"/>
    <w:rsid w:val="00D63978"/>
    <w:rsid w:val="00D63E56"/>
    <w:rsid w:val="00D64159"/>
    <w:rsid w:val="00D64379"/>
    <w:rsid w:val="00D64BF4"/>
    <w:rsid w:val="00D653E5"/>
    <w:rsid w:val="00D65437"/>
    <w:rsid w:val="00D66232"/>
    <w:rsid w:val="00D672C0"/>
    <w:rsid w:val="00D676A1"/>
    <w:rsid w:val="00D67AC1"/>
    <w:rsid w:val="00D70153"/>
    <w:rsid w:val="00D7069C"/>
    <w:rsid w:val="00D70F16"/>
    <w:rsid w:val="00D711D9"/>
    <w:rsid w:val="00D71BD8"/>
    <w:rsid w:val="00D73365"/>
    <w:rsid w:val="00D73C31"/>
    <w:rsid w:val="00D745A0"/>
    <w:rsid w:val="00D745BC"/>
    <w:rsid w:val="00D75502"/>
    <w:rsid w:val="00D75BF0"/>
    <w:rsid w:val="00D76062"/>
    <w:rsid w:val="00D765E3"/>
    <w:rsid w:val="00D76A44"/>
    <w:rsid w:val="00D77BD4"/>
    <w:rsid w:val="00D77E1B"/>
    <w:rsid w:val="00D801D1"/>
    <w:rsid w:val="00D8028B"/>
    <w:rsid w:val="00D81195"/>
    <w:rsid w:val="00D81590"/>
    <w:rsid w:val="00D815EF"/>
    <w:rsid w:val="00D81D09"/>
    <w:rsid w:val="00D82B72"/>
    <w:rsid w:val="00D82E97"/>
    <w:rsid w:val="00D83833"/>
    <w:rsid w:val="00D8397D"/>
    <w:rsid w:val="00D84CA5"/>
    <w:rsid w:val="00D85418"/>
    <w:rsid w:val="00D85915"/>
    <w:rsid w:val="00D859F1"/>
    <w:rsid w:val="00D85C88"/>
    <w:rsid w:val="00D85DAF"/>
    <w:rsid w:val="00D8647A"/>
    <w:rsid w:val="00D86993"/>
    <w:rsid w:val="00D86D1A"/>
    <w:rsid w:val="00D8703C"/>
    <w:rsid w:val="00D90081"/>
    <w:rsid w:val="00D90697"/>
    <w:rsid w:val="00D9090B"/>
    <w:rsid w:val="00D90AD2"/>
    <w:rsid w:val="00D91178"/>
    <w:rsid w:val="00D91923"/>
    <w:rsid w:val="00D91B6D"/>
    <w:rsid w:val="00D91F8C"/>
    <w:rsid w:val="00D91F8D"/>
    <w:rsid w:val="00D925B9"/>
    <w:rsid w:val="00D92637"/>
    <w:rsid w:val="00D9275B"/>
    <w:rsid w:val="00D927A8"/>
    <w:rsid w:val="00D93361"/>
    <w:rsid w:val="00D93753"/>
    <w:rsid w:val="00D93D4E"/>
    <w:rsid w:val="00D94086"/>
    <w:rsid w:val="00D94559"/>
    <w:rsid w:val="00D946BA"/>
    <w:rsid w:val="00D94F96"/>
    <w:rsid w:val="00D95382"/>
    <w:rsid w:val="00D95614"/>
    <w:rsid w:val="00D95620"/>
    <w:rsid w:val="00D95BDA"/>
    <w:rsid w:val="00D96464"/>
    <w:rsid w:val="00D972AE"/>
    <w:rsid w:val="00D974A0"/>
    <w:rsid w:val="00D979FC"/>
    <w:rsid w:val="00D97D54"/>
    <w:rsid w:val="00DA108F"/>
    <w:rsid w:val="00DA1099"/>
    <w:rsid w:val="00DA1129"/>
    <w:rsid w:val="00DA12A2"/>
    <w:rsid w:val="00DA13B7"/>
    <w:rsid w:val="00DA1BD6"/>
    <w:rsid w:val="00DA1D9D"/>
    <w:rsid w:val="00DA1F39"/>
    <w:rsid w:val="00DA21AE"/>
    <w:rsid w:val="00DA2390"/>
    <w:rsid w:val="00DA2B7F"/>
    <w:rsid w:val="00DA2C02"/>
    <w:rsid w:val="00DA3167"/>
    <w:rsid w:val="00DA33BD"/>
    <w:rsid w:val="00DA3890"/>
    <w:rsid w:val="00DA397A"/>
    <w:rsid w:val="00DA3FA1"/>
    <w:rsid w:val="00DA41C5"/>
    <w:rsid w:val="00DA431D"/>
    <w:rsid w:val="00DA478B"/>
    <w:rsid w:val="00DA4833"/>
    <w:rsid w:val="00DA4915"/>
    <w:rsid w:val="00DA49D7"/>
    <w:rsid w:val="00DA4DBE"/>
    <w:rsid w:val="00DA4DC3"/>
    <w:rsid w:val="00DA563C"/>
    <w:rsid w:val="00DA689D"/>
    <w:rsid w:val="00DA68F8"/>
    <w:rsid w:val="00DA77A5"/>
    <w:rsid w:val="00DA79F3"/>
    <w:rsid w:val="00DA7F4A"/>
    <w:rsid w:val="00DB02E0"/>
    <w:rsid w:val="00DB03CA"/>
    <w:rsid w:val="00DB0BCF"/>
    <w:rsid w:val="00DB1922"/>
    <w:rsid w:val="00DB192F"/>
    <w:rsid w:val="00DB1A50"/>
    <w:rsid w:val="00DB1F9C"/>
    <w:rsid w:val="00DB2823"/>
    <w:rsid w:val="00DB2944"/>
    <w:rsid w:val="00DB2AF2"/>
    <w:rsid w:val="00DB2B61"/>
    <w:rsid w:val="00DB2F63"/>
    <w:rsid w:val="00DB2FDE"/>
    <w:rsid w:val="00DB3984"/>
    <w:rsid w:val="00DB4385"/>
    <w:rsid w:val="00DB43C9"/>
    <w:rsid w:val="00DB4738"/>
    <w:rsid w:val="00DB484F"/>
    <w:rsid w:val="00DB50E6"/>
    <w:rsid w:val="00DB5B84"/>
    <w:rsid w:val="00DB6692"/>
    <w:rsid w:val="00DB6A26"/>
    <w:rsid w:val="00DB7BA4"/>
    <w:rsid w:val="00DB7C5A"/>
    <w:rsid w:val="00DC04F6"/>
    <w:rsid w:val="00DC05AF"/>
    <w:rsid w:val="00DC05CD"/>
    <w:rsid w:val="00DC0608"/>
    <w:rsid w:val="00DC0CA3"/>
    <w:rsid w:val="00DC0ED3"/>
    <w:rsid w:val="00DC13B5"/>
    <w:rsid w:val="00DC17FD"/>
    <w:rsid w:val="00DC2138"/>
    <w:rsid w:val="00DC2492"/>
    <w:rsid w:val="00DC2A6B"/>
    <w:rsid w:val="00DC2C74"/>
    <w:rsid w:val="00DC2DEB"/>
    <w:rsid w:val="00DC35E1"/>
    <w:rsid w:val="00DC3952"/>
    <w:rsid w:val="00DC3960"/>
    <w:rsid w:val="00DC3A29"/>
    <w:rsid w:val="00DC3C57"/>
    <w:rsid w:val="00DC3C59"/>
    <w:rsid w:val="00DC3D10"/>
    <w:rsid w:val="00DC479A"/>
    <w:rsid w:val="00DC4BC5"/>
    <w:rsid w:val="00DC4C78"/>
    <w:rsid w:val="00DC4DC7"/>
    <w:rsid w:val="00DC5501"/>
    <w:rsid w:val="00DC5D16"/>
    <w:rsid w:val="00DC5E02"/>
    <w:rsid w:val="00DC629C"/>
    <w:rsid w:val="00DC6B50"/>
    <w:rsid w:val="00DC6B53"/>
    <w:rsid w:val="00DC7EF2"/>
    <w:rsid w:val="00DD01B6"/>
    <w:rsid w:val="00DD06D3"/>
    <w:rsid w:val="00DD0A71"/>
    <w:rsid w:val="00DD0AB6"/>
    <w:rsid w:val="00DD0F44"/>
    <w:rsid w:val="00DD13CD"/>
    <w:rsid w:val="00DD273C"/>
    <w:rsid w:val="00DD2C94"/>
    <w:rsid w:val="00DD2D02"/>
    <w:rsid w:val="00DD30B2"/>
    <w:rsid w:val="00DD32BB"/>
    <w:rsid w:val="00DD3755"/>
    <w:rsid w:val="00DD3F07"/>
    <w:rsid w:val="00DD3F28"/>
    <w:rsid w:val="00DD4537"/>
    <w:rsid w:val="00DD4A84"/>
    <w:rsid w:val="00DD4C68"/>
    <w:rsid w:val="00DD4E15"/>
    <w:rsid w:val="00DD505B"/>
    <w:rsid w:val="00DD51F7"/>
    <w:rsid w:val="00DD5834"/>
    <w:rsid w:val="00DD5B71"/>
    <w:rsid w:val="00DD62A6"/>
    <w:rsid w:val="00DD6543"/>
    <w:rsid w:val="00DD668F"/>
    <w:rsid w:val="00DD76AE"/>
    <w:rsid w:val="00DE0114"/>
    <w:rsid w:val="00DE070E"/>
    <w:rsid w:val="00DE0D01"/>
    <w:rsid w:val="00DE10FD"/>
    <w:rsid w:val="00DE169E"/>
    <w:rsid w:val="00DE1BAD"/>
    <w:rsid w:val="00DE1BBC"/>
    <w:rsid w:val="00DE249E"/>
    <w:rsid w:val="00DE25F9"/>
    <w:rsid w:val="00DE2655"/>
    <w:rsid w:val="00DE3138"/>
    <w:rsid w:val="00DE31C3"/>
    <w:rsid w:val="00DE37F8"/>
    <w:rsid w:val="00DE3989"/>
    <w:rsid w:val="00DE3B90"/>
    <w:rsid w:val="00DE3C84"/>
    <w:rsid w:val="00DE40E6"/>
    <w:rsid w:val="00DE4449"/>
    <w:rsid w:val="00DE4485"/>
    <w:rsid w:val="00DE4FCB"/>
    <w:rsid w:val="00DE51F7"/>
    <w:rsid w:val="00DE5A1D"/>
    <w:rsid w:val="00DE5B37"/>
    <w:rsid w:val="00DE620C"/>
    <w:rsid w:val="00DE6C29"/>
    <w:rsid w:val="00DE6D88"/>
    <w:rsid w:val="00DE712C"/>
    <w:rsid w:val="00DE7585"/>
    <w:rsid w:val="00DE7832"/>
    <w:rsid w:val="00DE7A2D"/>
    <w:rsid w:val="00DE7A7D"/>
    <w:rsid w:val="00DE7CFD"/>
    <w:rsid w:val="00DE7D78"/>
    <w:rsid w:val="00DF0249"/>
    <w:rsid w:val="00DF088E"/>
    <w:rsid w:val="00DF1170"/>
    <w:rsid w:val="00DF13E6"/>
    <w:rsid w:val="00DF143F"/>
    <w:rsid w:val="00DF1616"/>
    <w:rsid w:val="00DF1778"/>
    <w:rsid w:val="00DF18FC"/>
    <w:rsid w:val="00DF2392"/>
    <w:rsid w:val="00DF2C1E"/>
    <w:rsid w:val="00DF2D47"/>
    <w:rsid w:val="00DF354F"/>
    <w:rsid w:val="00DF357E"/>
    <w:rsid w:val="00DF44B6"/>
    <w:rsid w:val="00DF4D1D"/>
    <w:rsid w:val="00DF520C"/>
    <w:rsid w:val="00DF5B2F"/>
    <w:rsid w:val="00DF5D2B"/>
    <w:rsid w:val="00DF62D4"/>
    <w:rsid w:val="00DF6B11"/>
    <w:rsid w:val="00DF6E3A"/>
    <w:rsid w:val="00DF746C"/>
    <w:rsid w:val="00DF749D"/>
    <w:rsid w:val="00DF7574"/>
    <w:rsid w:val="00E009B5"/>
    <w:rsid w:val="00E00E8E"/>
    <w:rsid w:val="00E00F54"/>
    <w:rsid w:val="00E0142C"/>
    <w:rsid w:val="00E015EA"/>
    <w:rsid w:val="00E01A6F"/>
    <w:rsid w:val="00E023BF"/>
    <w:rsid w:val="00E026AA"/>
    <w:rsid w:val="00E02AC0"/>
    <w:rsid w:val="00E03D11"/>
    <w:rsid w:val="00E03D9E"/>
    <w:rsid w:val="00E04309"/>
    <w:rsid w:val="00E04B5F"/>
    <w:rsid w:val="00E0545C"/>
    <w:rsid w:val="00E05630"/>
    <w:rsid w:val="00E05875"/>
    <w:rsid w:val="00E05920"/>
    <w:rsid w:val="00E05A95"/>
    <w:rsid w:val="00E05E47"/>
    <w:rsid w:val="00E05E9A"/>
    <w:rsid w:val="00E06958"/>
    <w:rsid w:val="00E06B47"/>
    <w:rsid w:val="00E06DBB"/>
    <w:rsid w:val="00E07031"/>
    <w:rsid w:val="00E074E8"/>
    <w:rsid w:val="00E075A8"/>
    <w:rsid w:val="00E07F3F"/>
    <w:rsid w:val="00E1002E"/>
    <w:rsid w:val="00E10149"/>
    <w:rsid w:val="00E10682"/>
    <w:rsid w:val="00E10870"/>
    <w:rsid w:val="00E10DD5"/>
    <w:rsid w:val="00E1108F"/>
    <w:rsid w:val="00E11876"/>
    <w:rsid w:val="00E1193D"/>
    <w:rsid w:val="00E122A3"/>
    <w:rsid w:val="00E12965"/>
    <w:rsid w:val="00E12FB5"/>
    <w:rsid w:val="00E1375C"/>
    <w:rsid w:val="00E13760"/>
    <w:rsid w:val="00E138B4"/>
    <w:rsid w:val="00E13985"/>
    <w:rsid w:val="00E15302"/>
    <w:rsid w:val="00E15519"/>
    <w:rsid w:val="00E15919"/>
    <w:rsid w:val="00E16372"/>
    <w:rsid w:val="00E1688B"/>
    <w:rsid w:val="00E168D3"/>
    <w:rsid w:val="00E17695"/>
    <w:rsid w:val="00E17E8D"/>
    <w:rsid w:val="00E204CE"/>
    <w:rsid w:val="00E20BBC"/>
    <w:rsid w:val="00E20D01"/>
    <w:rsid w:val="00E20E4D"/>
    <w:rsid w:val="00E20ED6"/>
    <w:rsid w:val="00E21358"/>
    <w:rsid w:val="00E21758"/>
    <w:rsid w:val="00E2249B"/>
    <w:rsid w:val="00E22A0D"/>
    <w:rsid w:val="00E23637"/>
    <w:rsid w:val="00E236BA"/>
    <w:rsid w:val="00E23DC5"/>
    <w:rsid w:val="00E24BC4"/>
    <w:rsid w:val="00E268FD"/>
    <w:rsid w:val="00E26997"/>
    <w:rsid w:val="00E2771E"/>
    <w:rsid w:val="00E30289"/>
    <w:rsid w:val="00E30AD4"/>
    <w:rsid w:val="00E326A1"/>
    <w:rsid w:val="00E32C89"/>
    <w:rsid w:val="00E32DFA"/>
    <w:rsid w:val="00E338C8"/>
    <w:rsid w:val="00E34095"/>
    <w:rsid w:val="00E34566"/>
    <w:rsid w:val="00E34948"/>
    <w:rsid w:val="00E34FAB"/>
    <w:rsid w:val="00E3520E"/>
    <w:rsid w:val="00E35C4B"/>
    <w:rsid w:val="00E35E3B"/>
    <w:rsid w:val="00E36364"/>
    <w:rsid w:val="00E363AA"/>
    <w:rsid w:val="00E36604"/>
    <w:rsid w:val="00E3660D"/>
    <w:rsid w:val="00E36727"/>
    <w:rsid w:val="00E367BA"/>
    <w:rsid w:val="00E3682A"/>
    <w:rsid w:val="00E3714E"/>
    <w:rsid w:val="00E37235"/>
    <w:rsid w:val="00E37569"/>
    <w:rsid w:val="00E376BB"/>
    <w:rsid w:val="00E3775E"/>
    <w:rsid w:val="00E379B6"/>
    <w:rsid w:val="00E37D2B"/>
    <w:rsid w:val="00E4056D"/>
    <w:rsid w:val="00E40660"/>
    <w:rsid w:val="00E40872"/>
    <w:rsid w:val="00E41CA2"/>
    <w:rsid w:val="00E41E30"/>
    <w:rsid w:val="00E42629"/>
    <w:rsid w:val="00E42D44"/>
    <w:rsid w:val="00E431BA"/>
    <w:rsid w:val="00E43CBA"/>
    <w:rsid w:val="00E43D70"/>
    <w:rsid w:val="00E43D75"/>
    <w:rsid w:val="00E441A9"/>
    <w:rsid w:val="00E443FE"/>
    <w:rsid w:val="00E44D48"/>
    <w:rsid w:val="00E452CC"/>
    <w:rsid w:val="00E45E9F"/>
    <w:rsid w:val="00E46276"/>
    <w:rsid w:val="00E466F3"/>
    <w:rsid w:val="00E46ED7"/>
    <w:rsid w:val="00E47665"/>
    <w:rsid w:val="00E4784E"/>
    <w:rsid w:val="00E47B2C"/>
    <w:rsid w:val="00E5000E"/>
    <w:rsid w:val="00E5024B"/>
    <w:rsid w:val="00E503FE"/>
    <w:rsid w:val="00E5122D"/>
    <w:rsid w:val="00E51560"/>
    <w:rsid w:val="00E516F3"/>
    <w:rsid w:val="00E5388A"/>
    <w:rsid w:val="00E54347"/>
    <w:rsid w:val="00E55078"/>
    <w:rsid w:val="00E55353"/>
    <w:rsid w:val="00E55424"/>
    <w:rsid w:val="00E554F3"/>
    <w:rsid w:val="00E55BB5"/>
    <w:rsid w:val="00E55D7B"/>
    <w:rsid w:val="00E56604"/>
    <w:rsid w:val="00E5681C"/>
    <w:rsid w:val="00E56D5E"/>
    <w:rsid w:val="00E56DB6"/>
    <w:rsid w:val="00E5779C"/>
    <w:rsid w:val="00E5787F"/>
    <w:rsid w:val="00E579BE"/>
    <w:rsid w:val="00E57BD1"/>
    <w:rsid w:val="00E57EA8"/>
    <w:rsid w:val="00E602BE"/>
    <w:rsid w:val="00E60916"/>
    <w:rsid w:val="00E60F75"/>
    <w:rsid w:val="00E60FB6"/>
    <w:rsid w:val="00E614FF"/>
    <w:rsid w:val="00E617C4"/>
    <w:rsid w:val="00E62374"/>
    <w:rsid w:val="00E62933"/>
    <w:rsid w:val="00E62CDB"/>
    <w:rsid w:val="00E63572"/>
    <w:rsid w:val="00E6390A"/>
    <w:rsid w:val="00E6494D"/>
    <w:rsid w:val="00E64D89"/>
    <w:rsid w:val="00E6520E"/>
    <w:rsid w:val="00E65C73"/>
    <w:rsid w:val="00E65E79"/>
    <w:rsid w:val="00E66A9D"/>
    <w:rsid w:val="00E66BA2"/>
    <w:rsid w:val="00E67416"/>
    <w:rsid w:val="00E7035E"/>
    <w:rsid w:val="00E7070D"/>
    <w:rsid w:val="00E70AA6"/>
    <w:rsid w:val="00E70D06"/>
    <w:rsid w:val="00E7141D"/>
    <w:rsid w:val="00E715DF"/>
    <w:rsid w:val="00E71604"/>
    <w:rsid w:val="00E718B6"/>
    <w:rsid w:val="00E71C01"/>
    <w:rsid w:val="00E71D39"/>
    <w:rsid w:val="00E71F76"/>
    <w:rsid w:val="00E723BA"/>
    <w:rsid w:val="00E724EE"/>
    <w:rsid w:val="00E7258B"/>
    <w:rsid w:val="00E72CA9"/>
    <w:rsid w:val="00E72D09"/>
    <w:rsid w:val="00E733A0"/>
    <w:rsid w:val="00E73581"/>
    <w:rsid w:val="00E73906"/>
    <w:rsid w:val="00E744BE"/>
    <w:rsid w:val="00E74788"/>
    <w:rsid w:val="00E7548E"/>
    <w:rsid w:val="00E75941"/>
    <w:rsid w:val="00E7621F"/>
    <w:rsid w:val="00E76CEA"/>
    <w:rsid w:val="00E773A8"/>
    <w:rsid w:val="00E777E2"/>
    <w:rsid w:val="00E77AE4"/>
    <w:rsid w:val="00E80552"/>
    <w:rsid w:val="00E80803"/>
    <w:rsid w:val="00E80FC8"/>
    <w:rsid w:val="00E810F7"/>
    <w:rsid w:val="00E8137B"/>
    <w:rsid w:val="00E81E12"/>
    <w:rsid w:val="00E8241C"/>
    <w:rsid w:val="00E82C7C"/>
    <w:rsid w:val="00E83348"/>
    <w:rsid w:val="00E833F7"/>
    <w:rsid w:val="00E83717"/>
    <w:rsid w:val="00E8397B"/>
    <w:rsid w:val="00E839C7"/>
    <w:rsid w:val="00E83BDF"/>
    <w:rsid w:val="00E84B1A"/>
    <w:rsid w:val="00E84DCD"/>
    <w:rsid w:val="00E84FF7"/>
    <w:rsid w:val="00E853E8"/>
    <w:rsid w:val="00E85604"/>
    <w:rsid w:val="00E85E01"/>
    <w:rsid w:val="00E865B1"/>
    <w:rsid w:val="00E87007"/>
    <w:rsid w:val="00E874CC"/>
    <w:rsid w:val="00E87A1D"/>
    <w:rsid w:val="00E90E60"/>
    <w:rsid w:val="00E91422"/>
    <w:rsid w:val="00E9145B"/>
    <w:rsid w:val="00E91680"/>
    <w:rsid w:val="00E91825"/>
    <w:rsid w:val="00E9184F"/>
    <w:rsid w:val="00E91B23"/>
    <w:rsid w:val="00E91C4A"/>
    <w:rsid w:val="00E920A8"/>
    <w:rsid w:val="00E92333"/>
    <w:rsid w:val="00E924ED"/>
    <w:rsid w:val="00E925D8"/>
    <w:rsid w:val="00E926A5"/>
    <w:rsid w:val="00E929A8"/>
    <w:rsid w:val="00E92B8E"/>
    <w:rsid w:val="00E92E3C"/>
    <w:rsid w:val="00E93B32"/>
    <w:rsid w:val="00E9454E"/>
    <w:rsid w:val="00E94669"/>
    <w:rsid w:val="00E946F5"/>
    <w:rsid w:val="00E958AF"/>
    <w:rsid w:val="00E95DD9"/>
    <w:rsid w:val="00E974AE"/>
    <w:rsid w:val="00E97833"/>
    <w:rsid w:val="00E979A1"/>
    <w:rsid w:val="00E97BBB"/>
    <w:rsid w:val="00EA0280"/>
    <w:rsid w:val="00EA0AF3"/>
    <w:rsid w:val="00EA0B6C"/>
    <w:rsid w:val="00EA15E3"/>
    <w:rsid w:val="00EA166B"/>
    <w:rsid w:val="00EA17C3"/>
    <w:rsid w:val="00EA24FB"/>
    <w:rsid w:val="00EA2AEC"/>
    <w:rsid w:val="00EA2CAA"/>
    <w:rsid w:val="00EA2F45"/>
    <w:rsid w:val="00EA3864"/>
    <w:rsid w:val="00EA4AD9"/>
    <w:rsid w:val="00EA533B"/>
    <w:rsid w:val="00EA54B9"/>
    <w:rsid w:val="00EA57B3"/>
    <w:rsid w:val="00EA5828"/>
    <w:rsid w:val="00EA5CEC"/>
    <w:rsid w:val="00EA7C37"/>
    <w:rsid w:val="00EA7F16"/>
    <w:rsid w:val="00EB02D5"/>
    <w:rsid w:val="00EB075D"/>
    <w:rsid w:val="00EB1267"/>
    <w:rsid w:val="00EB1568"/>
    <w:rsid w:val="00EB15B6"/>
    <w:rsid w:val="00EB1E5D"/>
    <w:rsid w:val="00EB2054"/>
    <w:rsid w:val="00EB24E2"/>
    <w:rsid w:val="00EB2552"/>
    <w:rsid w:val="00EB2CEA"/>
    <w:rsid w:val="00EB38DF"/>
    <w:rsid w:val="00EB410D"/>
    <w:rsid w:val="00EB4916"/>
    <w:rsid w:val="00EB491D"/>
    <w:rsid w:val="00EB4AA6"/>
    <w:rsid w:val="00EB4EAB"/>
    <w:rsid w:val="00EB59CE"/>
    <w:rsid w:val="00EB5A46"/>
    <w:rsid w:val="00EB5BC9"/>
    <w:rsid w:val="00EB5CE4"/>
    <w:rsid w:val="00EB5F07"/>
    <w:rsid w:val="00EB61A9"/>
    <w:rsid w:val="00EB71E0"/>
    <w:rsid w:val="00EB7544"/>
    <w:rsid w:val="00EC00C9"/>
    <w:rsid w:val="00EC123D"/>
    <w:rsid w:val="00EC2649"/>
    <w:rsid w:val="00EC37D1"/>
    <w:rsid w:val="00EC3EDC"/>
    <w:rsid w:val="00EC4D04"/>
    <w:rsid w:val="00EC5B86"/>
    <w:rsid w:val="00EC5F46"/>
    <w:rsid w:val="00EC6173"/>
    <w:rsid w:val="00EC725E"/>
    <w:rsid w:val="00EC75B2"/>
    <w:rsid w:val="00EC798F"/>
    <w:rsid w:val="00ED0182"/>
    <w:rsid w:val="00ED0FD7"/>
    <w:rsid w:val="00ED132E"/>
    <w:rsid w:val="00ED151D"/>
    <w:rsid w:val="00ED3022"/>
    <w:rsid w:val="00ED30CD"/>
    <w:rsid w:val="00ED3A2C"/>
    <w:rsid w:val="00ED40A1"/>
    <w:rsid w:val="00ED4CC8"/>
    <w:rsid w:val="00ED4E8A"/>
    <w:rsid w:val="00ED5106"/>
    <w:rsid w:val="00ED5393"/>
    <w:rsid w:val="00ED57EA"/>
    <w:rsid w:val="00ED5824"/>
    <w:rsid w:val="00ED5E41"/>
    <w:rsid w:val="00ED62C8"/>
    <w:rsid w:val="00ED6A8D"/>
    <w:rsid w:val="00ED7045"/>
    <w:rsid w:val="00ED718A"/>
    <w:rsid w:val="00ED7265"/>
    <w:rsid w:val="00ED761B"/>
    <w:rsid w:val="00ED7731"/>
    <w:rsid w:val="00ED79C6"/>
    <w:rsid w:val="00EE07D3"/>
    <w:rsid w:val="00EE0A1E"/>
    <w:rsid w:val="00EE0AB2"/>
    <w:rsid w:val="00EE0B20"/>
    <w:rsid w:val="00EE0EC6"/>
    <w:rsid w:val="00EE1E5C"/>
    <w:rsid w:val="00EE210F"/>
    <w:rsid w:val="00EE222B"/>
    <w:rsid w:val="00EE22AF"/>
    <w:rsid w:val="00EE27EB"/>
    <w:rsid w:val="00EE2B5F"/>
    <w:rsid w:val="00EE2D4B"/>
    <w:rsid w:val="00EE3A05"/>
    <w:rsid w:val="00EE3CD5"/>
    <w:rsid w:val="00EE471E"/>
    <w:rsid w:val="00EE472A"/>
    <w:rsid w:val="00EE4D59"/>
    <w:rsid w:val="00EE5124"/>
    <w:rsid w:val="00EE53FA"/>
    <w:rsid w:val="00EE54AD"/>
    <w:rsid w:val="00EE5730"/>
    <w:rsid w:val="00EE5B79"/>
    <w:rsid w:val="00EE62C7"/>
    <w:rsid w:val="00EE6BEA"/>
    <w:rsid w:val="00EE74ED"/>
    <w:rsid w:val="00EE76D8"/>
    <w:rsid w:val="00EE78C0"/>
    <w:rsid w:val="00EE7E43"/>
    <w:rsid w:val="00EE7F87"/>
    <w:rsid w:val="00EF0171"/>
    <w:rsid w:val="00EF02ED"/>
    <w:rsid w:val="00EF09DB"/>
    <w:rsid w:val="00EF0ADB"/>
    <w:rsid w:val="00EF0B3A"/>
    <w:rsid w:val="00EF0C4C"/>
    <w:rsid w:val="00EF1B25"/>
    <w:rsid w:val="00EF2254"/>
    <w:rsid w:val="00EF3412"/>
    <w:rsid w:val="00EF361C"/>
    <w:rsid w:val="00EF3E4D"/>
    <w:rsid w:val="00EF3FD8"/>
    <w:rsid w:val="00EF4598"/>
    <w:rsid w:val="00EF4747"/>
    <w:rsid w:val="00EF4AAF"/>
    <w:rsid w:val="00EF4BF8"/>
    <w:rsid w:val="00EF648C"/>
    <w:rsid w:val="00EF6AF9"/>
    <w:rsid w:val="00EF6C2E"/>
    <w:rsid w:val="00EF6D30"/>
    <w:rsid w:val="00EF7BCC"/>
    <w:rsid w:val="00F00056"/>
    <w:rsid w:val="00F000BB"/>
    <w:rsid w:val="00F00297"/>
    <w:rsid w:val="00F00B72"/>
    <w:rsid w:val="00F01FCC"/>
    <w:rsid w:val="00F02253"/>
    <w:rsid w:val="00F023F2"/>
    <w:rsid w:val="00F027DD"/>
    <w:rsid w:val="00F031B5"/>
    <w:rsid w:val="00F035D3"/>
    <w:rsid w:val="00F03B59"/>
    <w:rsid w:val="00F03BA0"/>
    <w:rsid w:val="00F03BB4"/>
    <w:rsid w:val="00F03C2E"/>
    <w:rsid w:val="00F03EB6"/>
    <w:rsid w:val="00F044DC"/>
    <w:rsid w:val="00F04A66"/>
    <w:rsid w:val="00F0516C"/>
    <w:rsid w:val="00F0518F"/>
    <w:rsid w:val="00F0529F"/>
    <w:rsid w:val="00F05590"/>
    <w:rsid w:val="00F055B4"/>
    <w:rsid w:val="00F056B2"/>
    <w:rsid w:val="00F056D3"/>
    <w:rsid w:val="00F05993"/>
    <w:rsid w:val="00F05BF2"/>
    <w:rsid w:val="00F067A2"/>
    <w:rsid w:val="00F079DD"/>
    <w:rsid w:val="00F07F47"/>
    <w:rsid w:val="00F1014A"/>
    <w:rsid w:val="00F10DC4"/>
    <w:rsid w:val="00F110C4"/>
    <w:rsid w:val="00F1263A"/>
    <w:rsid w:val="00F1263F"/>
    <w:rsid w:val="00F12FE5"/>
    <w:rsid w:val="00F1336A"/>
    <w:rsid w:val="00F13615"/>
    <w:rsid w:val="00F13827"/>
    <w:rsid w:val="00F13BB8"/>
    <w:rsid w:val="00F13DB7"/>
    <w:rsid w:val="00F14127"/>
    <w:rsid w:val="00F14140"/>
    <w:rsid w:val="00F14658"/>
    <w:rsid w:val="00F14DA7"/>
    <w:rsid w:val="00F14FFB"/>
    <w:rsid w:val="00F15090"/>
    <w:rsid w:val="00F155C7"/>
    <w:rsid w:val="00F163B3"/>
    <w:rsid w:val="00F16422"/>
    <w:rsid w:val="00F1654B"/>
    <w:rsid w:val="00F16DE7"/>
    <w:rsid w:val="00F1784E"/>
    <w:rsid w:val="00F17A76"/>
    <w:rsid w:val="00F20C3F"/>
    <w:rsid w:val="00F20CE0"/>
    <w:rsid w:val="00F20E97"/>
    <w:rsid w:val="00F216C2"/>
    <w:rsid w:val="00F220A7"/>
    <w:rsid w:val="00F226C8"/>
    <w:rsid w:val="00F2299A"/>
    <w:rsid w:val="00F22D1C"/>
    <w:rsid w:val="00F22EA9"/>
    <w:rsid w:val="00F230F8"/>
    <w:rsid w:val="00F23297"/>
    <w:rsid w:val="00F23520"/>
    <w:rsid w:val="00F23B2D"/>
    <w:rsid w:val="00F23B7B"/>
    <w:rsid w:val="00F24824"/>
    <w:rsid w:val="00F24837"/>
    <w:rsid w:val="00F249DB"/>
    <w:rsid w:val="00F24F39"/>
    <w:rsid w:val="00F2523A"/>
    <w:rsid w:val="00F25731"/>
    <w:rsid w:val="00F2575F"/>
    <w:rsid w:val="00F25C16"/>
    <w:rsid w:val="00F2604A"/>
    <w:rsid w:val="00F266AD"/>
    <w:rsid w:val="00F2672E"/>
    <w:rsid w:val="00F2686F"/>
    <w:rsid w:val="00F26988"/>
    <w:rsid w:val="00F26B01"/>
    <w:rsid w:val="00F27565"/>
    <w:rsid w:val="00F30964"/>
    <w:rsid w:val="00F30A1D"/>
    <w:rsid w:val="00F30A33"/>
    <w:rsid w:val="00F310D4"/>
    <w:rsid w:val="00F31246"/>
    <w:rsid w:val="00F31BCD"/>
    <w:rsid w:val="00F31D5A"/>
    <w:rsid w:val="00F31EF0"/>
    <w:rsid w:val="00F3229D"/>
    <w:rsid w:val="00F328AB"/>
    <w:rsid w:val="00F3318A"/>
    <w:rsid w:val="00F33DE9"/>
    <w:rsid w:val="00F341AB"/>
    <w:rsid w:val="00F34ABD"/>
    <w:rsid w:val="00F34BA8"/>
    <w:rsid w:val="00F34C09"/>
    <w:rsid w:val="00F357C8"/>
    <w:rsid w:val="00F35A13"/>
    <w:rsid w:val="00F35CD9"/>
    <w:rsid w:val="00F360E5"/>
    <w:rsid w:val="00F3619A"/>
    <w:rsid w:val="00F3627F"/>
    <w:rsid w:val="00F36C12"/>
    <w:rsid w:val="00F36DB0"/>
    <w:rsid w:val="00F37838"/>
    <w:rsid w:val="00F378D9"/>
    <w:rsid w:val="00F37C07"/>
    <w:rsid w:val="00F40AAA"/>
    <w:rsid w:val="00F40BA7"/>
    <w:rsid w:val="00F40CEB"/>
    <w:rsid w:val="00F40DE7"/>
    <w:rsid w:val="00F41090"/>
    <w:rsid w:val="00F4143B"/>
    <w:rsid w:val="00F41623"/>
    <w:rsid w:val="00F419B9"/>
    <w:rsid w:val="00F41E71"/>
    <w:rsid w:val="00F41ED8"/>
    <w:rsid w:val="00F41F5A"/>
    <w:rsid w:val="00F4226B"/>
    <w:rsid w:val="00F4255C"/>
    <w:rsid w:val="00F4263C"/>
    <w:rsid w:val="00F42A42"/>
    <w:rsid w:val="00F42A4A"/>
    <w:rsid w:val="00F42CDA"/>
    <w:rsid w:val="00F4424B"/>
    <w:rsid w:val="00F4453A"/>
    <w:rsid w:val="00F446C8"/>
    <w:rsid w:val="00F451F5"/>
    <w:rsid w:val="00F458B0"/>
    <w:rsid w:val="00F45AA7"/>
    <w:rsid w:val="00F46CB6"/>
    <w:rsid w:val="00F473BF"/>
    <w:rsid w:val="00F47442"/>
    <w:rsid w:val="00F47956"/>
    <w:rsid w:val="00F47BBD"/>
    <w:rsid w:val="00F47BF3"/>
    <w:rsid w:val="00F47DE8"/>
    <w:rsid w:val="00F50526"/>
    <w:rsid w:val="00F50539"/>
    <w:rsid w:val="00F50D62"/>
    <w:rsid w:val="00F51082"/>
    <w:rsid w:val="00F523A6"/>
    <w:rsid w:val="00F52A5D"/>
    <w:rsid w:val="00F52C43"/>
    <w:rsid w:val="00F52C6D"/>
    <w:rsid w:val="00F5304E"/>
    <w:rsid w:val="00F53989"/>
    <w:rsid w:val="00F53E9D"/>
    <w:rsid w:val="00F542C1"/>
    <w:rsid w:val="00F544C5"/>
    <w:rsid w:val="00F5472E"/>
    <w:rsid w:val="00F54A8A"/>
    <w:rsid w:val="00F551EC"/>
    <w:rsid w:val="00F55535"/>
    <w:rsid w:val="00F55E73"/>
    <w:rsid w:val="00F55EDA"/>
    <w:rsid w:val="00F564E6"/>
    <w:rsid w:val="00F5718F"/>
    <w:rsid w:val="00F60092"/>
    <w:rsid w:val="00F60A78"/>
    <w:rsid w:val="00F60E65"/>
    <w:rsid w:val="00F60F6B"/>
    <w:rsid w:val="00F6101C"/>
    <w:rsid w:val="00F626D0"/>
    <w:rsid w:val="00F63DD4"/>
    <w:rsid w:val="00F63E61"/>
    <w:rsid w:val="00F6438C"/>
    <w:rsid w:val="00F64707"/>
    <w:rsid w:val="00F64E92"/>
    <w:rsid w:val="00F65301"/>
    <w:rsid w:val="00F658C9"/>
    <w:rsid w:val="00F65F4B"/>
    <w:rsid w:val="00F6644B"/>
    <w:rsid w:val="00F67394"/>
    <w:rsid w:val="00F678E5"/>
    <w:rsid w:val="00F67973"/>
    <w:rsid w:val="00F70671"/>
    <w:rsid w:val="00F70C9D"/>
    <w:rsid w:val="00F710B4"/>
    <w:rsid w:val="00F71170"/>
    <w:rsid w:val="00F71EA3"/>
    <w:rsid w:val="00F72B07"/>
    <w:rsid w:val="00F73204"/>
    <w:rsid w:val="00F7461A"/>
    <w:rsid w:val="00F749C0"/>
    <w:rsid w:val="00F74CD9"/>
    <w:rsid w:val="00F75B55"/>
    <w:rsid w:val="00F76D2B"/>
    <w:rsid w:val="00F76D7C"/>
    <w:rsid w:val="00F803A2"/>
    <w:rsid w:val="00F80A7B"/>
    <w:rsid w:val="00F80DA6"/>
    <w:rsid w:val="00F80E5D"/>
    <w:rsid w:val="00F815AE"/>
    <w:rsid w:val="00F820EB"/>
    <w:rsid w:val="00F82AF7"/>
    <w:rsid w:val="00F832D3"/>
    <w:rsid w:val="00F837F2"/>
    <w:rsid w:val="00F83C2D"/>
    <w:rsid w:val="00F84048"/>
    <w:rsid w:val="00F84402"/>
    <w:rsid w:val="00F851CE"/>
    <w:rsid w:val="00F85364"/>
    <w:rsid w:val="00F86A2C"/>
    <w:rsid w:val="00F86B0B"/>
    <w:rsid w:val="00F873F6"/>
    <w:rsid w:val="00F874C3"/>
    <w:rsid w:val="00F876C0"/>
    <w:rsid w:val="00F878C5"/>
    <w:rsid w:val="00F87C60"/>
    <w:rsid w:val="00F87CF0"/>
    <w:rsid w:val="00F87D6C"/>
    <w:rsid w:val="00F90007"/>
    <w:rsid w:val="00F9057E"/>
    <w:rsid w:val="00F90585"/>
    <w:rsid w:val="00F909C1"/>
    <w:rsid w:val="00F90E31"/>
    <w:rsid w:val="00F90F83"/>
    <w:rsid w:val="00F91085"/>
    <w:rsid w:val="00F91145"/>
    <w:rsid w:val="00F911AD"/>
    <w:rsid w:val="00F91219"/>
    <w:rsid w:val="00F916B9"/>
    <w:rsid w:val="00F921BE"/>
    <w:rsid w:val="00F926F7"/>
    <w:rsid w:val="00F92868"/>
    <w:rsid w:val="00F92A04"/>
    <w:rsid w:val="00F931E9"/>
    <w:rsid w:val="00F93653"/>
    <w:rsid w:val="00F93C17"/>
    <w:rsid w:val="00F942F1"/>
    <w:rsid w:val="00F9479D"/>
    <w:rsid w:val="00F94D3A"/>
    <w:rsid w:val="00F956FB"/>
    <w:rsid w:val="00F95DBB"/>
    <w:rsid w:val="00F9609E"/>
    <w:rsid w:val="00F960EB"/>
    <w:rsid w:val="00F966CB"/>
    <w:rsid w:val="00F96796"/>
    <w:rsid w:val="00F9741D"/>
    <w:rsid w:val="00F976E6"/>
    <w:rsid w:val="00F97A78"/>
    <w:rsid w:val="00F97B0D"/>
    <w:rsid w:val="00FA027B"/>
    <w:rsid w:val="00FA07AE"/>
    <w:rsid w:val="00FA0B20"/>
    <w:rsid w:val="00FA0E83"/>
    <w:rsid w:val="00FA100F"/>
    <w:rsid w:val="00FA16A2"/>
    <w:rsid w:val="00FA1739"/>
    <w:rsid w:val="00FA1E9A"/>
    <w:rsid w:val="00FA1ED1"/>
    <w:rsid w:val="00FA24E7"/>
    <w:rsid w:val="00FA27D3"/>
    <w:rsid w:val="00FA2986"/>
    <w:rsid w:val="00FA35CC"/>
    <w:rsid w:val="00FA3C1B"/>
    <w:rsid w:val="00FA3CBD"/>
    <w:rsid w:val="00FA3FE0"/>
    <w:rsid w:val="00FA4C1A"/>
    <w:rsid w:val="00FA4C31"/>
    <w:rsid w:val="00FA4D30"/>
    <w:rsid w:val="00FA5ACF"/>
    <w:rsid w:val="00FA67F1"/>
    <w:rsid w:val="00FA6D29"/>
    <w:rsid w:val="00FA6FA8"/>
    <w:rsid w:val="00FA7E3D"/>
    <w:rsid w:val="00FB0443"/>
    <w:rsid w:val="00FB0559"/>
    <w:rsid w:val="00FB0CD8"/>
    <w:rsid w:val="00FB0D1C"/>
    <w:rsid w:val="00FB1566"/>
    <w:rsid w:val="00FB16CB"/>
    <w:rsid w:val="00FB1B8C"/>
    <w:rsid w:val="00FB2075"/>
    <w:rsid w:val="00FB20C4"/>
    <w:rsid w:val="00FB20CF"/>
    <w:rsid w:val="00FB2A2B"/>
    <w:rsid w:val="00FB2DB8"/>
    <w:rsid w:val="00FB2FCB"/>
    <w:rsid w:val="00FB3A17"/>
    <w:rsid w:val="00FB504C"/>
    <w:rsid w:val="00FB547E"/>
    <w:rsid w:val="00FB627D"/>
    <w:rsid w:val="00FB639D"/>
    <w:rsid w:val="00FB7468"/>
    <w:rsid w:val="00FB7A25"/>
    <w:rsid w:val="00FC069B"/>
    <w:rsid w:val="00FC1074"/>
    <w:rsid w:val="00FC14DC"/>
    <w:rsid w:val="00FC1884"/>
    <w:rsid w:val="00FC194A"/>
    <w:rsid w:val="00FC2191"/>
    <w:rsid w:val="00FC25CD"/>
    <w:rsid w:val="00FC322E"/>
    <w:rsid w:val="00FC3362"/>
    <w:rsid w:val="00FC352F"/>
    <w:rsid w:val="00FC36F4"/>
    <w:rsid w:val="00FC371D"/>
    <w:rsid w:val="00FC3796"/>
    <w:rsid w:val="00FC4277"/>
    <w:rsid w:val="00FC4D8C"/>
    <w:rsid w:val="00FC516D"/>
    <w:rsid w:val="00FC5393"/>
    <w:rsid w:val="00FC5566"/>
    <w:rsid w:val="00FC59E2"/>
    <w:rsid w:val="00FC5CD7"/>
    <w:rsid w:val="00FC5ED8"/>
    <w:rsid w:val="00FC5F0B"/>
    <w:rsid w:val="00FC610E"/>
    <w:rsid w:val="00FC6539"/>
    <w:rsid w:val="00FC6E10"/>
    <w:rsid w:val="00FC7996"/>
    <w:rsid w:val="00FC79A5"/>
    <w:rsid w:val="00FC7E26"/>
    <w:rsid w:val="00FD065B"/>
    <w:rsid w:val="00FD0C5B"/>
    <w:rsid w:val="00FD0EC2"/>
    <w:rsid w:val="00FD10D0"/>
    <w:rsid w:val="00FD1340"/>
    <w:rsid w:val="00FD171D"/>
    <w:rsid w:val="00FD17BE"/>
    <w:rsid w:val="00FD185C"/>
    <w:rsid w:val="00FD1CCD"/>
    <w:rsid w:val="00FD1DFF"/>
    <w:rsid w:val="00FD2100"/>
    <w:rsid w:val="00FD29B8"/>
    <w:rsid w:val="00FD2F56"/>
    <w:rsid w:val="00FD36C1"/>
    <w:rsid w:val="00FD4082"/>
    <w:rsid w:val="00FD410A"/>
    <w:rsid w:val="00FD436C"/>
    <w:rsid w:val="00FD446D"/>
    <w:rsid w:val="00FD49DE"/>
    <w:rsid w:val="00FD52B0"/>
    <w:rsid w:val="00FD6394"/>
    <w:rsid w:val="00FD64D9"/>
    <w:rsid w:val="00FD6927"/>
    <w:rsid w:val="00FD7224"/>
    <w:rsid w:val="00FD76CE"/>
    <w:rsid w:val="00FD7A2F"/>
    <w:rsid w:val="00FD7DBE"/>
    <w:rsid w:val="00FE021B"/>
    <w:rsid w:val="00FE05DF"/>
    <w:rsid w:val="00FE0944"/>
    <w:rsid w:val="00FE0E6C"/>
    <w:rsid w:val="00FE1FCC"/>
    <w:rsid w:val="00FE280F"/>
    <w:rsid w:val="00FE28E4"/>
    <w:rsid w:val="00FE2ED0"/>
    <w:rsid w:val="00FE324E"/>
    <w:rsid w:val="00FE3258"/>
    <w:rsid w:val="00FE3574"/>
    <w:rsid w:val="00FE38A1"/>
    <w:rsid w:val="00FE3FFE"/>
    <w:rsid w:val="00FE4605"/>
    <w:rsid w:val="00FE47B6"/>
    <w:rsid w:val="00FE4A11"/>
    <w:rsid w:val="00FE51CC"/>
    <w:rsid w:val="00FE5BF6"/>
    <w:rsid w:val="00FE5CCF"/>
    <w:rsid w:val="00FE5FD7"/>
    <w:rsid w:val="00FE6330"/>
    <w:rsid w:val="00FE68E7"/>
    <w:rsid w:val="00FE6D46"/>
    <w:rsid w:val="00FE70C3"/>
    <w:rsid w:val="00FE7A90"/>
    <w:rsid w:val="00FF0992"/>
    <w:rsid w:val="00FF09CA"/>
    <w:rsid w:val="00FF0A97"/>
    <w:rsid w:val="00FF1182"/>
    <w:rsid w:val="00FF1871"/>
    <w:rsid w:val="00FF2645"/>
    <w:rsid w:val="00FF3464"/>
    <w:rsid w:val="00FF3B24"/>
    <w:rsid w:val="00FF3DCF"/>
    <w:rsid w:val="00FF492C"/>
    <w:rsid w:val="00FF4A21"/>
    <w:rsid w:val="00FF4DC0"/>
    <w:rsid w:val="00FF5AA3"/>
    <w:rsid w:val="00FF5AD8"/>
    <w:rsid w:val="00FF5D3C"/>
    <w:rsid w:val="00FF62AA"/>
    <w:rsid w:val="00FF694F"/>
    <w:rsid w:val="00FF6A33"/>
    <w:rsid w:val="00FF6CB5"/>
    <w:rsid w:val="00FF6D66"/>
    <w:rsid w:val="00FF749A"/>
    <w:rsid w:val="00FF76C3"/>
    <w:rsid w:val="00FF7BA0"/>
    <w:rsid w:val="00FF7F3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C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
    <w:basedOn w:val="Normal"/>
    <w:next w:val="Normal"/>
    <w:link w:val="CaptionChar"/>
    <w:autoRedefine/>
    <w:uiPriority w:val="2"/>
    <w:unhideWhenUsed/>
    <w:qFormat/>
    <w:rsid w:val="002942FD"/>
    <w:pPr>
      <w:keepNext/>
      <w:widowControl/>
    </w:pPr>
    <w:rPr>
      <w:rFonts w:ascii="Arial Narrow" w:hAnsi="Arial Narrow"/>
      <w:b/>
      <w:bCs/>
      <w:sz w:val="20"/>
      <w:szCs w:val="18"/>
    </w:rPr>
  </w:style>
  <w:style w:type="character" w:customStyle="1" w:styleId="CaptionChar">
    <w:name w:val="Caption Char"/>
    <w:aliases w:val="Caption PRIMA Char,Caption SYNEVi Char"/>
    <w:link w:val="Caption"/>
    <w:uiPriority w:val="2"/>
    <w:rsid w:val="002942FD"/>
    <w:rPr>
      <w:rFonts w:ascii="Arial Narrow" w:hAnsi="Arial Narrow" w:cs="Arial"/>
      <w:b/>
      <w:bCs/>
      <w:snapToGrid w:val="0"/>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L,Bullet Point,Bulletr List Paragraph,Content descriptions,FooterText,List Bullet 1,List Paragraph2,List Paragraph21,Listeafsnit1,NFP GP Bulleted List"/>
    <w:basedOn w:val="Normal"/>
    <w:link w:val="ListParagraphChar"/>
    <w:uiPriority w:val="1"/>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L Char,Bullet Point Char,Bulletr List Paragraph Char,Content descriptions Char,FooterText Char,List Bullet 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A310A8"/>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E7BFC"/>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nhideWhenUsed/>
    <w:rsid w:val="00B01E93"/>
    <w:rPr>
      <w:sz w:val="20"/>
      <w:szCs w:val="20"/>
    </w:rPr>
  </w:style>
  <w:style w:type="character" w:customStyle="1" w:styleId="FootnoteTextChar">
    <w:name w:val="Footnote Text Char"/>
    <w:basedOn w:val="DefaultParagraphFont"/>
    <w:link w:val="FootnoteText"/>
    <w:rsid w:val="00B01E93"/>
    <w:rPr>
      <w:rFonts w:ascii="Calibri" w:hAnsi="Calibri" w:cs="Arial"/>
      <w:snapToGrid w:val="0"/>
      <w:lang w:eastAsia="en-US"/>
    </w:rPr>
  </w:style>
  <w:style w:type="character" w:styleId="FootnoteReference">
    <w:name w:val="footnote reference"/>
    <w:basedOn w:val="DefaultParagraphFont"/>
    <w:unhideWhenUsed/>
    <w:rsid w:val="00B01E93"/>
    <w:rPr>
      <w:vertAlign w:val="superscript"/>
    </w:rPr>
  </w:style>
  <w:style w:type="paragraph" w:customStyle="1" w:styleId="Default">
    <w:name w:val="Default"/>
    <w:rsid w:val="009D2DC4"/>
    <w:pPr>
      <w:autoSpaceDE w:val="0"/>
      <w:autoSpaceDN w:val="0"/>
      <w:adjustRightInd w:val="0"/>
    </w:pPr>
    <w:rPr>
      <w:rFonts w:ascii="Arial" w:hAnsi="Arial" w:cs="Arial"/>
      <w:color w:val="000000"/>
      <w:sz w:val="24"/>
      <w:szCs w:val="24"/>
      <w:lang w:bidi="th-TH"/>
    </w:rPr>
  </w:style>
  <w:style w:type="table" w:customStyle="1" w:styleId="TableGrid14">
    <w:name w:val="Table Grid14"/>
    <w:basedOn w:val="TableNormal"/>
    <w:next w:val="TableGrid"/>
    <w:rsid w:val="006730F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character" w:customStyle="1" w:styleId="SmallBold">
    <w:name w:val="Small Bold"/>
    <w:basedOn w:val="DefaultParagraphFont"/>
    <w:uiPriority w:val="4"/>
    <w:qFormat/>
    <w:rsid w:val="006730FD"/>
    <w:rPr>
      <w:rFonts w:ascii="Calibri" w:hAnsi="Calibri"/>
      <w:b/>
      <w:sz w:val="20"/>
      <w:lang w:val="en-AU"/>
    </w:rPr>
  </w:style>
  <w:style w:type="table" w:customStyle="1" w:styleId="Submissionstandard">
    <w:name w:val="Submission standard"/>
    <w:uiPriority w:val="99"/>
    <w:qFormat/>
    <w:rsid w:val="00537B38"/>
    <w:rPr>
      <w:rFonts w:ascii="Arial Narrow" w:hAnsi="Arial Narrow"/>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Candara" w:hAnsi="Candara" w:cs="Times New Roman"/>
        <w:b/>
        <w:sz w:val="20"/>
      </w:rPr>
      <w:tblPr/>
      <w:tcPr>
        <w:shd w:val="clear" w:color="auto" w:fill="BFBFBF"/>
      </w:tcPr>
    </w:tblStylePr>
  </w:style>
  <w:style w:type="paragraph" w:customStyle="1" w:styleId="TableHeading0">
    <w:name w:val="Table Heading"/>
    <w:basedOn w:val="Normal"/>
    <w:qFormat/>
    <w:rsid w:val="001F177E"/>
    <w:pPr>
      <w:keepNext/>
      <w:widowControl/>
      <w:jc w:val="center"/>
    </w:pPr>
    <w:rPr>
      <w:rFonts w:asciiTheme="minorHAnsi" w:eastAsiaTheme="minorHAnsi" w:hAnsiTheme="minorHAnsi" w:cstheme="minorBidi"/>
      <w:b/>
      <w:snapToGrid/>
      <w:sz w:val="20"/>
      <w:szCs w:val="20"/>
    </w:rPr>
  </w:style>
  <w:style w:type="paragraph" w:customStyle="1" w:styleId="TableTextnospacing">
    <w:name w:val="Table Text no spacing"/>
    <w:basedOn w:val="Tabletext"/>
    <w:qFormat/>
    <w:rsid w:val="001F177E"/>
    <w:rPr>
      <w:rFonts w:ascii="Calibri" w:eastAsiaTheme="minorHAnsi" w:hAnsi="Calibri" w:cstheme="minorBidi"/>
      <w:b/>
    </w:rPr>
  </w:style>
  <w:style w:type="character" w:customStyle="1" w:styleId="Small">
    <w:name w:val="Small"/>
    <w:basedOn w:val="DefaultParagraphFont"/>
    <w:uiPriority w:val="4"/>
    <w:qFormat/>
    <w:rsid w:val="00D00F5D"/>
    <w:rPr>
      <w:rFonts w:ascii="Candara" w:hAnsi="Candara"/>
      <w:sz w:val="20"/>
    </w:rPr>
  </w:style>
  <w:style w:type="paragraph" w:customStyle="1" w:styleId="TableLeft">
    <w:name w:val="Table Left"/>
    <w:basedOn w:val="Normal"/>
    <w:link w:val="TableLeftChar"/>
    <w:uiPriority w:val="99"/>
    <w:qFormat/>
    <w:rsid w:val="00977499"/>
    <w:pPr>
      <w:widowControl/>
      <w:jc w:val="left"/>
    </w:pPr>
    <w:rPr>
      <w:rFonts w:ascii="Candara" w:hAnsi="Candara" w:cs="Times New Roman"/>
      <w:snapToGrid/>
      <w:sz w:val="20"/>
    </w:rPr>
  </w:style>
  <w:style w:type="character" w:customStyle="1" w:styleId="TableLeftChar">
    <w:name w:val="Table Left Char"/>
    <w:basedOn w:val="DefaultParagraphFont"/>
    <w:link w:val="TableLeft"/>
    <w:uiPriority w:val="99"/>
    <w:locked/>
    <w:rsid w:val="00977499"/>
    <w:rPr>
      <w:rFonts w:ascii="Candara" w:hAnsi="Candara"/>
      <w:szCs w:val="22"/>
      <w:lang w:eastAsia="en-US"/>
    </w:rPr>
  </w:style>
  <w:style w:type="numbering" w:customStyle="1" w:styleId="Style12">
    <w:name w:val="Style12"/>
    <w:uiPriority w:val="99"/>
    <w:rsid w:val="00474718"/>
  </w:style>
  <w:style w:type="paragraph" w:customStyle="1" w:styleId="TableText0">
    <w:name w:val="TableText"/>
    <w:basedOn w:val="Normal"/>
    <w:link w:val="TableTextChar0"/>
    <w:uiPriority w:val="3"/>
    <w:qFormat/>
    <w:rsid w:val="00474718"/>
    <w:pPr>
      <w:widowControl/>
      <w:spacing w:before="40" w:after="40"/>
      <w:ind w:left="57"/>
      <w:contextualSpacing/>
      <w:jc w:val="left"/>
    </w:pPr>
    <w:rPr>
      <w:rFonts w:cs="Calibri"/>
      <w:bCs/>
      <w:snapToGrid/>
      <w:sz w:val="20"/>
      <w:szCs w:val="20"/>
    </w:rPr>
  </w:style>
  <w:style w:type="character" w:customStyle="1" w:styleId="TableTextChar0">
    <w:name w:val="TableText Char"/>
    <w:basedOn w:val="DefaultParagraphFont"/>
    <w:link w:val="TableText0"/>
    <w:uiPriority w:val="3"/>
    <w:rsid w:val="00474718"/>
    <w:rPr>
      <w:rFonts w:ascii="Calibri" w:hAnsi="Calibri" w:cs="Calibri"/>
      <w:bCs/>
      <w:lang w:eastAsia="en-US"/>
    </w:rPr>
  </w:style>
  <w:style w:type="paragraph" w:styleId="ListBullet">
    <w:name w:val="List Bullet"/>
    <w:basedOn w:val="Normal"/>
    <w:unhideWhenUsed/>
    <w:rsid w:val="006C1BEB"/>
    <w:pPr>
      <w:numPr>
        <w:numId w:val="3"/>
      </w:numPr>
      <w:contextualSpacing/>
    </w:pPr>
  </w:style>
  <w:style w:type="paragraph" w:customStyle="1" w:styleId="Tabletextnospacing0">
    <w:name w:val="Table text no spacing"/>
    <w:basedOn w:val="Tabletext"/>
    <w:qFormat/>
    <w:rsid w:val="005A1E8F"/>
    <w:pPr>
      <w:contextualSpacing/>
    </w:pPr>
    <w:rPr>
      <w:rFonts w:ascii="Calibri" w:eastAsiaTheme="minorHAnsi" w:hAnsi="Calibri" w:cstheme="minorBidi"/>
      <w:b/>
      <w:color w:val="000000"/>
      <w:sz w:val="18"/>
      <w:lang w:val="en-GB" w:eastAsia="en-GB"/>
      <w14:textFill>
        <w14:solidFill>
          <w14:srgbClr w14:val="000000">
            <w14:lumMod w14:val="95000"/>
          </w14:srgbClr>
        </w14:solidFill>
      </w14:textFill>
    </w:rPr>
  </w:style>
  <w:style w:type="table" w:customStyle="1" w:styleId="TableGrid21">
    <w:name w:val="Table Grid21"/>
    <w:basedOn w:val="TableNormal"/>
    <w:next w:val="TableGrid"/>
    <w:uiPriority w:val="59"/>
    <w:rsid w:val="005A1E8F"/>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1">
    <w:name w:val="Table Text"/>
    <w:basedOn w:val="TableLeftChar"/>
    <w:uiPriority w:val="99"/>
    <w:qFormat/>
    <w:rsid w:val="00D30047"/>
    <w:rPr>
      <w:rFonts w:ascii="Calibri" w:eastAsia="Times New Roman" w:hAnsi="Calibri" w:cs="Times New Roman"/>
      <w:b w:val="0"/>
      <w:sz w:val="19"/>
      <w:szCs w:val="22"/>
      <w:lang w:val="en-AU" w:eastAsia="en-US" w:bidi="ar-SA"/>
    </w:rPr>
  </w:style>
  <w:style w:type="paragraph" w:customStyle="1" w:styleId="Table">
    <w:name w:val="Table"/>
    <w:aliases w:val="10 pt  Bold,9 pt"/>
    <w:basedOn w:val="Normal"/>
    <w:link w:val="TableChar"/>
    <w:qFormat/>
    <w:rsid w:val="00D30047"/>
    <w:pPr>
      <w:widowControl/>
      <w:jc w:val="left"/>
    </w:pPr>
    <w:rPr>
      <w:rFonts w:eastAsiaTheme="majorEastAsia" w:cstheme="majorBidi"/>
      <w:b/>
      <w:snapToGrid/>
      <w:sz w:val="20"/>
      <w:lang w:bidi="en-US"/>
    </w:rPr>
  </w:style>
  <w:style w:type="character" w:customStyle="1" w:styleId="TableChar">
    <w:name w:val="Table Char"/>
    <w:basedOn w:val="DefaultParagraphFont"/>
    <w:link w:val="Table"/>
    <w:locked/>
    <w:rsid w:val="00D30047"/>
    <w:rPr>
      <w:rFonts w:ascii="Calibri" w:eastAsiaTheme="majorEastAsia" w:hAnsi="Calibri" w:cstheme="majorBidi"/>
      <w:b/>
      <w:szCs w:val="22"/>
      <w:lang w:eastAsia="en-US" w:bidi="en-US"/>
    </w:rPr>
  </w:style>
  <w:style w:type="character" w:customStyle="1" w:styleId="UnresolvedMention1">
    <w:name w:val="Unresolved Mention1"/>
    <w:basedOn w:val="DefaultParagraphFont"/>
    <w:uiPriority w:val="99"/>
    <w:semiHidden/>
    <w:unhideWhenUsed/>
    <w:rsid w:val="004D1499"/>
    <w:rPr>
      <w:color w:val="605E5C"/>
      <w:shd w:val="clear" w:color="auto" w:fill="E1DFDD"/>
    </w:rPr>
  </w:style>
  <w:style w:type="table" w:customStyle="1" w:styleId="TableGrid5">
    <w:name w:val="Table Grid5"/>
    <w:basedOn w:val="TableNormal"/>
    <w:next w:val="TableGrid"/>
    <w:rsid w:val="00811EAA"/>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qFormat/>
    <w:rsid w:val="00DA12A2"/>
    <w:pPr>
      <w:widowControl/>
      <w:numPr>
        <w:numId w:val="4"/>
      </w:numPr>
      <w:spacing w:before="120"/>
      <w:jc w:val="left"/>
    </w:pPr>
    <w:rPr>
      <w:rFonts w:asciiTheme="minorHAnsi" w:eastAsiaTheme="minorHAnsi" w:hAnsiTheme="minorHAnsi" w:cstheme="minorBidi"/>
      <w:snapToGrid/>
      <w:sz w:val="20"/>
      <w:szCs w:val="20"/>
    </w:rPr>
  </w:style>
  <w:style w:type="paragraph" w:customStyle="1" w:styleId="Tablebulletwithnospace">
    <w:name w:val="Table bullet with no space"/>
    <w:basedOn w:val="TableBullet"/>
    <w:qFormat/>
    <w:rsid w:val="00DA12A2"/>
    <w:pPr>
      <w:spacing w:before="60"/>
      <w:contextualSpacing/>
    </w:pPr>
    <w:rPr>
      <w:rFonts w:ascii="Calibri" w:hAnsi="Calibri"/>
    </w:rPr>
  </w:style>
  <w:style w:type="character" w:customStyle="1" w:styleId="Heading1Char">
    <w:name w:val="Heading 1 Char"/>
    <w:basedOn w:val="DefaultParagraphFont"/>
    <w:link w:val="Heading1"/>
    <w:uiPriority w:val="1"/>
    <w:rsid w:val="00921070"/>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921070"/>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921070"/>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921070"/>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921070"/>
    <w:rPr>
      <w:rFonts w:ascii="Calibri" w:hAnsi="Calibri" w:cs="Arial"/>
      <w:b/>
      <w:bCs/>
      <w:i/>
      <w:snapToGrid w:val="0"/>
      <w:sz w:val="24"/>
      <w:szCs w:val="22"/>
      <w:lang w:eastAsia="en-US"/>
    </w:rPr>
  </w:style>
  <w:style w:type="table" w:customStyle="1" w:styleId="TableGridbeth1">
    <w:name w:val="Table Gridbeth1"/>
    <w:basedOn w:val="TableNormal"/>
    <w:next w:val="TableGrid"/>
    <w:uiPriority w:val="39"/>
    <w:rsid w:val="00921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921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39"/>
    <w:rsid w:val="00921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39"/>
    <w:rsid w:val="00921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39"/>
    <w:rsid w:val="00921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rsid w:val="009210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StylePr>
  </w:style>
  <w:style w:type="table" w:customStyle="1" w:styleId="TableGridbeth6">
    <w:name w:val="Table Gridbeth6"/>
    <w:basedOn w:val="TableNormal"/>
    <w:next w:val="TableGrid"/>
    <w:uiPriority w:val="39"/>
    <w:rsid w:val="00921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69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FootnoteChar">
    <w:name w:val="Caption Footnote Char"/>
    <w:basedOn w:val="DefaultParagraphFont"/>
    <w:link w:val="CaptionFootnote"/>
    <w:rsid w:val="005B0CC5"/>
    <w:rPr>
      <w:rFonts w:ascii="Calibri" w:hAnsi="Calibri"/>
      <w:bCs/>
      <w:sz w:val="16"/>
      <w:szCs w:val="18"/>
    </w:rPr>
  </w:style>
  <w:style w:type="paragraph" w:customStyle="1" w:styleId="CaptionFootnote">
    <w:name w:val="Caption Footnote"/>
    <w:basedOn w:val="Caption"/>
    <w:link w:val="CaptionFootnoteChar"/>
    <w:qFormat/>
    <w:rsid w:val="005B0CC5"/>
    <w:pPr>
      <w:jc w:val="left"/>
    </w:pPr>
    <w:rPr>
      <w:rFonts w:cs="Times New Roman"/>
      <w:b w:val="0"/>
      <w:snapToGrid/>
      <w:sz w:val="16"/>
      <w:lang w:eastAsia="en-AU"/>
    </w:rPr>
  </w:style>
  <w:style w:type="character" w:customStyle="1" w:styleId="UnresolvedMention2">
    <w:name w:val="Unresolved Mention2"/>
    <w:basedOn w:val="DefaultParagraphFont"/>
    <w:uiPriority w:val="99"/>
    <w:semiHidden/>
    <w:unhideWhenUsed/>
    <w:rsid w:val="00C31073"/>
    <w:rPr>
      <w:color w:val="808080"/>
      <w:shd w:val="clear" w:color="auto" w:fill="E6E6E6"/>
    </w:rPr>
  </w:style>
  <w:style w:type="paragraph" w:customStyle="1" w:styleId="TextUnderFigure">
    <w:name w:val="Text Under Figure"/>
    <w:basedOn w:val="Normal"/>
    <w:next w:val="Normal"/>
    <w:rsid w:val="00EA2AEC"/>
    <w:pPr>
      <w:widowControl/>
      <w:spacing w:before="120" w:after="120" w:line="276" w:lineRule="auto"/>
      <w:contextualSpacing/>
      <w:jc w:val="left"/>
    </w:pPr>
    <w:rPr>
      <w:rFonts w:ascii="Arial" w:hAnsi="Arial" w:cs="Times New Roman"/>
      <w:i/>
      <w:snapToGrid/>
      <w:sz w:val="16"/>
      <w:lang w:eastAsia="en-AU"/>
    </w:rPr>
  </w:style>
  <w:style w:type="paragraph" w:customStyle="1" w:styleId="TableHeadingleft">
    <w:name w:val="Table Heading left"/>
    <w:basedOn w:val="Normal"/>
    <w:next w:val="Normal"/>
    <w:qFormat/>
    <w:rsid w:val="007E0336"/>
    <w:pPr>
      <w:widowControl/>
      <w:spacing w:before="40" w:after="40"/>
      <w:jc w:val="left"/>
    </w:pPr>
    <w:rPr>
      <w:rFonts w:asciiTheme="minorHAnsi" w:eastAsiaTheme="minorHAnsi" w:hAnsiTheme="minorHAnsi" w:cs="Tahoma"/>
      <w:b/>
      <w:snapToGrid/>
      <w:sz w:val="18"/>
      <w:szCs w:val="18"/>
      <w:lang w:val="de-DE"/>
    </w:rPr>
  </w:style>
  <w:style w:type="paragraph" w:styleId="PlainText">
    <w:name w:val="Plain Text"/>
    <w:basedOn w:val="Normal"/>
    <w:link w:val="PlainTextChar"/>
    <w:uiPriority w:val="99"/>
    <w:rsid w:val="00101FC5"/>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101FC5"/>
    <w:rPr>
      <w:rFonts w:ascii="Courier New" w:hAnsi="Courier New"/>
    </w:rPr>
  </w:style>
  <w:style w:type="paragraph" w:customStyle="1" w:styleId="2Sections">
    <w:name w:val="2. Sections"/>
    <w:qFormat/>
    <w:rsid w:val="00E5388A"/>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E5388A"/>
    <w:pPr>
      <w:widowControl/>
      <w:spacing w:after="120"/>
      <w:ind w:left="720" w:hanging="7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7883">
      <w:bodyDiv w:val="1"/>
      <w:marLeft w:val="0"/>
      <w:marRight w:val="0"/>
      <w:marTop w:val="0"/>
      <w:marBottom w:val="0"/>
      <w:divBdr>
        <w:top w:val="none" w:sz="0" w:space="0" w:color="auto"/>
        <w:left w:val="none" w:sz="0" w:space="0" w:color="auto"/>
        <w:bottom w:val="none" w:sz="0" w:space="0" w:color="auto"/>
        <w:right w:val="none" w:sz="0" w:space="0" w:color="auto"/>
      </w:divBdr>
    </w:div>
    <w:div w:id="185405612">
      <w:bodyDiv w:val="1"/>
      <w:marLeft w:val="0"/>
      <w:marRight w:val="0"/>
      <w:marTop w:val="0"/>
      <w:marBottom w:val="0"/>
      <w:divBdr>
        <w:top w:val="none" w:sz="0" w:space="0" w:color="auto"/>
        <w:left w:val="none" w:sz="0" w:space="0" w:color="auto"/>
        <w:bottom w:val="none" w:sz="0" w:space="0" w:color="auto"/>
        <w:right w:val="none" w:sz="0" w:space="0" w:color="auto"/>
      </w:divBdr>
    </w:div>
    <w:div w:id="218439498">
      <w:bodyDiv w:val="1"/>
      <w:marLeft w:val="0"/>
      <w:marRight w:val="0"/>
      <w:marTop w:val="0"/>
      <w:marBottom w:val="0"/>
      <w:divBdr>
        <w:top w:val="none" w:sz="0" w:space="0" w:color="auto"/>
        <w:left w:val="none" w:sz="0" w:space="0" w:color="auto"/>
        <w:bottom w:val="none" w:sz="0" w:space="0" w:color="auto"/>
        <w:right w:val="none" w:sz="0" w:space="0" w:color="auto"/>
      </w:divBdr>
    </w:div>
    <w:div w:id="244384743">
      <w:bodyDiv w:val="1"/>
      <w:marLeft w:val="0"/>
      <w:marRight w:val="0"/>
      <w:marTop w:val="0"/>
      <w:marBottom w:val="0"/>
      <w:divBdr>
        <w:top w:val="none" w:sz="0" w:space="0" w:color="auto"/>
        <w:left w:val="none" w:sz="0" w:space="0" w:color="auto"/>
        <w:bottom w:val="none" w:sz="0" w:space="0" w:color="auto"/>
        <w:right w:val="none" w:sz="0" w:space="0" w:color="auto"/>
      </w:divBdr>
    </w:div>
    <w:div w:id="606545676">
      <w:bodyDiv w:val="1"/>
      <w:marLeft w:val="0"/>
      <w:marRight w:val="0"/>
      <w:marTop w:val="0"/>
      <w:marBottom w:val="0"/>
      <w:divBdr>
        <w:top w:val="none" w:sz="0" w:space="0" w:color="auto"/>
        <w:left w:val="none" w:sz="0" w:space="0" w:color="auto"/>
        <w:bottom w:val="none" w:sz="0" w:space="0" w:color="auto"/>
        <w:right w:val="none" w:sz="0" w:space="0" w:color="auto"/>
      </w:divBdr>
    </w:div>
    <w:div w:id="931359679">
      <w:bodyDiv w:val="1"/>
      <w:marLeft w:val="0"/>
      <w:marRight w:val="0"/>
      <w:marTop w:val="0"/>
      <w:marBottom w:val="0"/>
      <w:divBdr>
        <w:top w:val="none" w:sz="0" w:space="0" w:color="auto"/>
        <w:left w:val="none" w:sz="0" w:space="0" w:color="auto"/>
        <w:bottom w:val="none" w:sz="0" w:space="0" w:color="auto"/>
        <w:right w:val="none" w:sz="0" w:space="0" w:color="auto"/>
      </w:divBdr>
    </w:div>
    <w:div w:id="1409380863">
      <w:bodyDiv w:val="1"/>
      <w:marLeft w:val="0"/>
      <w:marRight w:val="0"/>
      <w:marTop w:val="0"/>
      <w:marBottom w:val="0"/>
      <w:divBdr>
        <w:top w:val="none" w:sz="0" w:space="0" w:color="auto"/>
        <w:left w:val="none" w:sz="0" w:space="0" w:color="auto"/>
        <w:bottom w:val="none" w:sz="0" w:space="0" w:color="auto"/>
        <w:right w:val="none" w:sz="0" w:space="0" w:color="auto"/>
      </w:divBdr>
    </w:div>
    <w:div w:id="1554580324">
      <w:bodyDiv w:val="1"/>
      <w:marLeft w:val="0"/>
      <w:marRight w:val="0"/>
      <w:marTop w:val="0"/>
      <w:marBottom w:val="0"/>
      <w:divBdr>
        <w:top w:val="none" w:sz="0" w:space="0" w:color="auto"/>
        <w:left w:val="none" w:sz="0" w:space="0" w:color="auto"/>
        <w:bottom w:val="none" w:sz="0" w:space="0" w:color="auto"/>
        <w:right w:val="none" w:sz="0" w:space="0" w:color="auto"/>
      </w:divBdr>
    </w:div>
    <w:div w:id="1624537512">
      <w:bodyDiv w:val="1"/>
      <w:marLeft w:val="0"/>
      <w:marRight w:val="0"/>
      <w:marTop w:val="0"/>
      <w:marBottom w:val="0"/>
      <w:divBdr>
        <w:top w:val="none" w:sz="0" w:space="0" w:color="auto"/>
        <w:left w:val="none" w:sz="0" w:space="0" w:color="auto"/>
        <w:bottom w:val="none" w:sz="0" w:space="0" w:color="auto"/>
        <w:right w:val="none" w:sz="0" w:space="0" w:color="auto"/>
      </w:divBdr>
    </w:div>
    <w:div w:id="1703901235">
      <w:bodyDiv w:val="1"/>
      <w:marLeft w:val="0"/>
      <w:marRight w:val="0"/>
      <w:marTop w:val="0"/>
      <w:marBottom w:val="0"/>
      <w:divBdr>
        <w:top w:val="none" w:sz="0" w:space="0" w:color="auto"/>
        <w:left w:val="none" w:sz="0" w:space="0" w:color="auto"/>
        <w:bottom w:val="none" w:sz="0" w:space="0" w:color="auto"/>
        <w:right w:val="none" w:sz="0" w:space="0" w:color="auto"/>
      </w:divBdr>
    </w:div>
    <w:div w:id="21156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9844-4835-4494-BAFC-F1CD7DB7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13405</Words>
  <Characters>75577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2020-02-25T04:41:00Z</dcterms:created>
  <dcterms:modified xsi:type="dcterms:W3CDTF">2020-02-25T04:44:00Z</dcterms:modified>
</cp:coreProperties>
</file>