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7F" w:rsidRPr="00192045" w:rsidRDefault="00FD1E7F" w:rsidP="00FD1E7F">
      <w:pPr>
        <w:pStyle w:val="BodyText"/>
      </w:pPr>
    </w:p>
    <w:p w:rsidR="009B7399" w:rsidRPr="00192045" w:rsidRDefault="00F77789" w:rsidP="009B7399">
      <w:pPr>
        <w:widowControl/>
        <w:ind w:left="720" w:hanging="720"/>
        <w:rPr>
          <w:b/>
          <w:sz w:val="36"/>
          <w:szCs w:val="36"/>
        </w:rPr>
      </w:pPr>
      <w:r w:rsidRPr="00192045">
        <w:rPr>
          <w:b/>
          <w:sz w:val="36"/>
          <w:szCs w:val="36"/>
        </w:rPr>
        <w:t>6.01</w:t>
      </w:r>
      <w:r w:rsidR="00B60939" w:rsidRPr="00192045">
        <w:rPr>
          <w:b/>
          <w:sz w:val="36"/>
          <w:szCs w:val="36"/>
        </w:rPr>
        <w:tab/>
      </w:r>
      <w:r w:rsidR="007103D1" w:rsidRPr="00192045">
        <w:rPr>
          <w:b/>
          <w:sz w:val="36"/>
          <w:szCs w:val="36"/>
        </w:rPr>
        <w:t>B</w:t>
      </w:r>
      <w:r w:rsidRPr="00192045">
        <w:rPr>
          <w:b/>
          <w:sz w:val="36"/>
          <w:szCs w:val="36"/>
        </w:rPr>
        <w:t>RIVARACETAM</w:t>
      </w:r>
      <w:r w:rsidR="00B60939" w:rsidRPr="00192045">
        <w:rPr>
          <w:b/>
          <w:sz w:val="36"/>
          <w:szCs w:val="36"/>
        </w:rPr>
        <w:t xml:space="preserve">, </w:t>
      </w:r>
      <w:r w:rsidR="009B7399" w:rsidRPr="00192045">
        <w:rPr>
          <w:b/>
          <w:sz w:val="36"/>
          <w:szCs w:val="36"/>
        </w:rPr>
        <w:br/>
        <w:t>T</w:t>
      </w:r>
      <w:r w:rsidR="007103D1" w:rsidRPr="00192045">
        <w:rPr>
          <w:b/>
          <w:sz w:val="36"/>
          <w:szCs w:val="36"/>
        </w:rPr>
        <w:t>ablet</w:t>
      </w:r>
      <w:r w:rsidR="009B7399" w:rsidRPr="00192045">
        <w:rPr>
          <w:b/>
          <w:sz w:val="36"/>
          <w:szCs w:val="36"/>
        </w:rPr>
        <w:t>,</w:t>
      </w:r>
      <w:r w:rsidR="007103D1" w:rsidRPr="00192045">
        <w:rPr>
          <w:b/>
          <w:sz w:val="36"/>
          <w:szCs w:val="36"/>
        </w:rPr>
        <w:t xml:space="preserve"> 25 mg, 50 mg, 75 mg and 100 mg</w:t>
      </w:r>
      <w:r w:rsidR="009B7399" w:rsidRPr="00192045">
        <w:rPr>
          <w:b/>
          <w:sz w:val="36"/>
          <w:szCs w:val="36"/>
        </w:rPr>
        <w:t>,</w:t>
      </w:r>
    </w:p>
    <w:p w:rsidR="009B7399" w:rsidRPr="00192045" w:rsidRDefault="009B7399" w:rsidP="009B7399">
      <w:pPr>
        <w:widowControl/>
        <w:ind w:left="720"/>
        <w:rPr>
          <w:b/>
          <w:sz w:val="36"/>
          <w:szCs w:val="36"/>
        </w:rPr>
      </w:pPr>
      <w:r w:rsidRPr="00192045">
        <w:rPr>
          <w:b/>
          <w:sz w:val="36"/>
          <w:szCs w:val="36"/>
        </w:rPr>
        <w:t>O</w:t>
      </w:r>
      <w:r w:rsidR="007103D1" w:rsidRPr="00192045">
        <w:rPr>
          <w:b/>
          <w:sz w:val="36"/>
          <w:szCs w:val="36"/>
        </w:rPr>
        <w:t>ral solution 10 mg/mL,</w:t>
      </w:r>
      <w:r w:rsidR="00B60939" w:rsidRPr="00192045">
        <w:rPr>
          <w:b/>
          <w:sz w:val="36"/>
          <w:szCs w:val="36"/>
        </w:rPr>
        <w:t xml:space="preserve"> </w:t>
      </w:r>
      <w:r w:rsidRPr="00192045">
        <w:rPr>
          <w:b/>
          <w:sz w:val="36"/>
          <w:szCs w:val="36"/>
        </w:rPr>
        <w:t xml:space="preserve">300 mL, </w:t>
      </w:r>
    </w:p>
    <w:p w:rsidR="00433044" w:rsidRPr="0021515C" w:rsidRDefault="007103D1" w:rsidP="0021515C">
      <w:pPr>
        <w:widowControl/>
        <w:ind w:left="720"/>
        <w:rPr>
          <w:b/>
          <w:sz w:val="36"/>
          <w:szCs w:val="36"/>
        </w:rPr>
      </w:pPr>
      <w:proofErr w:type="spellStart"/>
      <w:r w:rsidRPr="00192045">
        <w:rPr>
          <w:b/>
          <w:sz w:val="36"/>
          <w:szCs w:val="36"/>
        </w:rPr>
        <w:t>Briviact</w:t>
      </w:r>
      <w:proofErr w:type="spellEnd"/>
      <w:r w:rsidRPr="00192045">
        <w:rPr>
          <w:b/>
          <w:sz w:val="36"/>
          <w:szCs w:val="36"/>
        </w:rPr>
        <w:t>®, UCB Pharma</w:t>
      </w:r>
    </w:p>
    <w:p w:rsidR="00B50DB8" w:rsidRPr="00192045" w:rsidRDefault="00B50DB8" w:rsidP="00B46946">
      <w:pPr>
        <w:pStyle w:val="Heading1"/>
      </w:pPr>
      <w:bookmarkStart w:id="0" w:name="_Toc19712685"/>
      <w:r w:rsidRPr="00192045">
        <w:t>Purpose of Application</w:t>
      </w:r>
      <w:bookmarkEnd w:id="0"/>
    </w:p>
    <w:p w:rsidR="007103D1" w:rsidRPr="00192045" w:rsidRDefault="007103D1" w:rsidP="003104E1">
      <w:pPr>
        <w:pStyle w:val="numberedbulletstyle"/>
      </w:pPr>
      <w:r w:rsidRPr="00192045">
        <w:t xml:space="preserve">The purpose of the submission was to request an extension to the existing Authority Required (Streamlined) listing for </w:t>
      </w:r>
      <w:proofErr w:type="spellStart"/>
      <w:r w:rsidRPr="00192045">
        <w:t>brivaracetam</w:t>
      </w:r>
      <w:proofErr w:type="spellEnd"/>
      <w:r w:rsidRPr="00192045">
        <w:t xml:space="preserve"> for treatment of intractable partial onset epileptic seizures, in combination with two or more anti-epileptic drugs (AEDs), to include patients aged 4 - 15 years whose condition has not been satisfactorily controlled by other AEDs. The submission also sought removal of the requirement in the continuation criteria that patients be maintained on two or more other AEDs in combination with </w:t>
      </w:r>
      <w:proofErr w:type="spellStart"/>
      <w:r w:rsidRPr="00192045">
        <w:t>brivaracetam</w:t>
      </w:r>
      <w:proofErr w:type="spellEnd"/>
      <w:r w:rsidRPr="00192045">
        <w:t xml:space="preserve">. </w:t>
      </w:r>
    </w:p>
    <w:p w:rsidR="007103D1" w:rsidRPr="00192045" w:rsidRDefault="007103D1" w:rsidP="003104E1">
      <w:pPr>
        <w:pStyle w:val="numberedbulletstyle"/>
      </w:pPr>
      <w:r w:rsidRPr="00192045">
        <w:t xml:space="preserve">The requested listing was on the basis of </w:t>
      </w:r>
      <w:r w:rsidR="002644E1" w:rsidRPr="00192045">
        <w:t xml:space="preserve">non-inferior effectiveness and safety when compared with </w:t>
      </w:r>
      <w:proofErr w:type="spellStart"/>
      <w:r w:rsidR="002644E1" w:rsidRPr="00192045">
        <w:t>lacosamide</w:t>
      </w:r>
      <w:proofErr w:type="spellEnd"/>
      <w:r w:rsidRPr="00192045">
        <w:t>.</w:t>
      </w:r>
    </w:p>
    <w:p w:rsidR="007103D1" w:rsidRPr="00192045" w:rsidRDefault="007103D1" w:rsidP="000439C3">
      <w:pPr>
        <w:keepNext/>
        <w:widowControl/>
        <w:rPr>
          <w:rStyle w:val="CommentReference"/>
        </w:rPr>
      </w:pPr>
      <w:bookmarkStart w:id="1" w:name="_Hlk18916180"/>
      <w:r w:rsidRPr="00192045">
        <w:rPr>
          <w:rStyle w:val="CommentReference"/>
        </w:rPr>
        <w:t>Table 1: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7103D1" w:rsidRPr="00192045" w:rsidTr="00822893">
        <w:trPr>
          <w:cantSplit/>
          <w:tblHeader/>
        </w:trPr>
        <w:tc>
          <w:tcPr>
            <w:tcW w:w="1696" w:type="dxa"/>
            <w:shd w:val="clear" w:color="auto" w:fill="auto"/>
          </w:tcPr>
          <w:p w:rsidR="007103D1" w:rsidRPr="00192045" w:rsidRDefault="007103D1" w:rsidP="000439C3">
            <w:pPr>
              <w:pStyle w:val="Tabletext"/>
              <w:keepNext/>
              <w:rPr>
                <w:b/>
                <w:szCs w:val="20"/>
              </w:rPr>
            </w:pPr>
            <w:r w:rsidRPr="00192045">
              <w:rPr>
                <w:b/>
              </w:rPr>
              <w:t>Component</w:t>
            </w:r>
          </w:p>
        </w:tc>
        <w:tc>
          <w:tcPr>
            <w:tcW w:w="7484" w:type="dxa"/>
            <w:shd w:val="clear" w:color="auto" w:fill="auto"/>
          </w:tcPr>
          <w:p w:rsidR="007103D1" w:rsidRPr="00192045" w:rsidRDefault="007103D1" w:rsidP="000439C3">
            <w:pPr>
              <w:pStyle w:val="Tabletext"/>
              <w:keepNext/>
              <w:jc w:val="center"/>
              <w:rPr>
                <w:b/>
              </w:rPr>
            </w:pPr>
            <w:r w:rsidRPr="00192045">
              <w:rPr>
                <w:b/>
              </w:rPr>
              <w:t>Description</w:t>
            </w:r>
          </w:p>
        </w:tc>
      </w:tr>
      <w:tr w:rsidR="007103D1" w:rsidRPr="00192045" w:rsidTr="00822893">
        <w:trPr>
          <w:cantSplit/>
        </w:trPr>
        <w:tc>
          <w:tcPr>
            <w:tcW w:w="1696" w:type="dxa"/>
            <w:vAlign w:val="center"/>
          </w:tcPr>
          <w:p w:rsidR="007103D1" w:rsidRPr="00192045" w:rsidRDefault="007103D1" w:rsidP="000439C3">
            <w:pPr>
              <w:pStyle w:val="Tabletext"/>
              <w:keepNext/>
            </w:pPr>
            <w:r w:rsidRPr="00192045">
              <w:t>Population</w:t>
            </w:r>
          </w:p>
        </w:tc>
        <w:tc>
          <w:tcPr>
            <w:tcW w:w="7484" w:type="dxa"/>
            <w:vAlign w:val="center"/>
          </w:tcPr>
          <w:p w:rsidR="007103D1" w:rsidRPr="00192045" w:rsidRDefault="007103D1" w:rsidP="000439C3">
            <w:pPr>
              <w:pStyle w:val="Tabletext"/>
              <w:keepNext/>
            </w:pPr>
            <w:r w:rsidRPr="00192045">
              <w:t>Children aged ≥ 4 years (4</w:t>
            </w:r>
            <w:r w:rsidR="00A550C4" w:rsidRPr="00192045">
              <w:t xml:space="preserve"> - </w:t>
            </w:r>
            <w:r w:rsidRPr="00192045">
              <w:t>15</w:t>
            </w:r>
            <w:r w:rsidR="00A550C4" w:rsidRPr="00192045">
              <w:t xml:space="preserve"> </w:t>
            </w:r>
            <w:r w:rsidRPr="00192045">
              <w:t>years) with partial onset (focal) epileptic seizures</w:t>
            </w:r>
          </w:p>
        </w:tc>
      </w:tr>
      <w:tr w:rsidR="007103D1" w:rsidRPr="00192045" w:rsidTr="00822893">
        <w:trPr>
          <w:cantSplit/>
        </w:trPr>
        <w:tc>
          <w:tcPr>
            <w:tcW w:w="1696" w:type="dxa"/>
            <w:vAlign w:val="center"/>
          </w:tcPr>
          <w:p w:rsidR="007103D1" w:rsidRPr="00192045" w:rsidRDefault="007103D1" w:rsidP="000439C3">
            <w:pPr>
              <w:pStyle w:val="Tabletext"/>
              <w:keepNext/>
            </w:pPr>
            <w:r w:rsidRPr="00192045">
              <w:t>Intervention</w:t>
            </w:r>
          </w:p>
        </w:tc>
        <w:tc>
          <w:tcPr>
            <w:tcW w:w="7484" w:type="dxa"/>
            <w:vAlign w:val="center"/>
          </w:tcPr>
          <w:p w:rsidR="007103D1" w:rsidRPr="00192045" w:rsidRDefault="007103D1" w:rsidP="000439C3">
            <w:pPr>
              <w:pStyle w:val="Tabletext"/>
              <w:keepNext/>
            </w:pPr>
            <w:proofErr w:type="spellStart"/>
            <w:r w:rsidRPr="00192045">
              <w:t>Brivaracetam</w:t>
            </w:r>
            <w:proofErr w:type="spellEnd"/>
            <w:r w:rsidRPr="00192045">
              <w:t xml:space="preserve"> tablets and oral solution</w:t>
            </w:r>
          </w:p>
        </w:tc>
      </w:tr>
      <w:tr w:rsidR="007103D1" w:rsidRPr="00192045" w:rsidTr="00822893">
        <w:trPr>
          <w:cantSplit/>
        </w:trPr>
        <w:tc>
          <w:tcPr>
            <w:tcW w:w="1696" w:type="dxa"/>
            <w:vAlign w:val="center"/>
          </w:tcPr>
          <w:p w:rsidR="007103D1" w:rsidRPr="00192045" w:rsidRDefault="007103D1" w:rsidP="000439C3">
            <w:pPr>
              <w:pStyle w:val="Tabletext"/>
              <w:keepNext/>
            </w:pPr>
            <w:r w:rsidRPr="00192045">
              <w:t>Comparator</w:t>
            </w:r>
          </w:p>
        </w:tc>
        <w:tc>
          <w:tcPr>
            <w:tcW w:w="7484" w:type="dxa"/>
            <w:vAlign w:val="center"/>
          </w:tcPr>
          <w:p w:rsidR="007103D1" w:rsidRPr="00192045" w:rsidRDefault="007103D1" w:rsidP="000439C3">
            <w:pPr>
              <w:pStyle w:val="Tabletext"/>
              <w:keepNext/>
            </w:pPr>
            <w:proofErr w:type="spellStart"/>
            <w:r w:rsidRPr="00192045">
              <w:t>Lacosamide</w:t>
            </w:r>
            <w:proofErr w:type="spellEnd"/>
          </w:p>
        </w:tc>
      </w:tr>
      <w:tr w:rsidR="007103D1" w:rsidRPr="00192045" w:rsidTr="00822893">
        <w:trPr>
          <w:cantSplit/>
        </w:trPr>
        <w:tc>
          <w:tcPr>
            <w:tcW w:w="1696" w:type="dxa"/>
            <w:vAlign w:val="center"/>
          </w:tcPr>
          <w:p w:rsidR="007103D1" w:rsidRPr="00192045" w:rsidRDefault="007103D1" w:rsidP="000439C3">
            <w:pPr>
              <w:pStyle w:val="Tabletext"/>
              <w:keepNext/>
            </w:pPr>
            <w:r w:rsidRPr="00192045">
              <w:t>Outcomes</w:t>
            </w:r>
          </w:p>
        </w:tc>
        <w:tc>
          <w:tcPr>
            <w:tcW w:w="7484" w:type="dxa"/>
            <w:vAlign w:val="center"/>
          </w:tcPr>
          <w:p w:rsidR="007103D1" w:rsidRPr="00192045" w:rsidRDefault="007103D1" w:rsidP="000439C3">
            <w:pPr>
              <w:pStyle w:val="Tabletext"/>
              <w:keepNext/>
            </w:pPr>
            <w:r w:rsidRPr="00192045">
              <w:t>Frequency of partial onset intractable epileptic seizures with or without secondary generalisation</w:t>
            </w:r>
          </w:p>
        </w:tc>
      </w:tr>
      <w:tr w:rsidR="007103D1" w:rsidRPr="00192045" w:rsidTr="00822893">
        <w:trPr>
          <w:cantSplit/>
        </w:trPr>
        <w:tc>
          <w:tcPr>
            <w:tcW w:w="1696" w:type="dxa"/>
            <w:vAlign w:val="center"/>
          </w:tcPr>
          <w:p w:rsidR="007103D1" w:rsidRPr="00192045" w:rsidRDefault="007103D1" w:rsidP="000439C3">
            <w:pPr>
              <w:pStyle w:val="Tabletext"/>
              <w:keepNext/>
            </w:pPr>
            <w:r w:rsidRPr="00192045">
              <w:t>Clinical claim</w:t>
            </w:r>
          </w:p>
        </w:tc>
        <w:tc>
          <w:tcPr>
            <w:tcW w:w="7484" w:type="dxa"/>
            <w:vAlign w:val="center"/>
          </w:tcPr>
          <w:p w:rsidR="007103D1" w:rsidRPr="00192045" w:rsidRDefault="007103D1" w:rsidP="000439C3">
            <w:pPr>
              <w:pStyle w:val="Tabletext"/>
              <w:keepNext/>
            </w:pPr>
            <w:r w:rsidRPr="00192045">
              <w:t xml:space="preserve">When used as add-on therapy following multiple failed lines of AED treatment, </w:t>
            </w:r>
            <w:proofErr w:type="spellStart"/>
            <w:r w:rsidRPr="00192045">
              <w:t>brivaracetam</w:t>
            </w:r>
            <w:proofErr w:type="spellEnd"/>
            <w:r w:rsidRPr="00192045">
              <w:t xml:space="preserve"> is as effective in reducing partial-onset epileptic seizure frequency in paediatric patients aged 4</w:t>
            </w:r>
            <w:r w:rsidR="00A550C4" w:rsidRPr="00192045">
              <w:t xml:space="preserve"> </w:t>
            </w:r>
            <w:r w:rsidRPr="00192045">
              <w:t>-</w:t>
            </w:r>
            <w:r w:rsidR="00A550C4" w:rsidRPr="00192045">
              <w:t xml:space="preserve"> </w:t>
            </w:r>
            <w:r w:rsidRPr="00192045">
              <w:t xml:space="preserve">15 years as in patients aged 16 years and above and is non-inferior to </w:t>
            </w:r>
            <w:proofErr w:type="spellStart"/>
            <w:r w:rsidRPr="00192045">
              <w:t>lacosamide</w:t>
            </w:r>
            <w:proofErr w:type="spellEnd"/>
            <w:r w:rsidRPr="00192045">
              <w:t xml:space="preserve"> in paediatric patients aged 4</w:t>
            </w:r>
            <w:r w:rsidR="00A550C4" w:rsidRPr="00192045">
              <w:t xml:space="preserve"> </w:t>
            </w:r>
            <w:r w:rsidRPr="00192045">
              <w:t>-</w:t>
            </w:r>
            <w:r w:rsidR="00A550C4" w:rsidRPr="00192045">
              <w:t xml:space="preserve"> </w:t>
            </w:r>
            <w:r w:rsidRPr="00192045">
              <w:t>15 years in this setting.</w:t>
            </w:r>
          </w:p>
        </w:tc>
      </w:tr>
    </w:tbl>
    <w:p w:rsidR="007103D1" w:rsidRPr="00192045" w:rsidRDefault="007103D1" w:rsidP="00500B84">
      <w:pPr>
        <w:pStyle w:val="TableFooter"/>
        <w:widowControl/>
      </w:pPr>
      <w:r w:rsidRPr="00192045">
        <w:t xml:space="preserve">Source: Table 1.1, p14 of the submission </w:t>
      </w:r>
    </w:p>
    <w:bookmarkEnd w:id="1"/>
    <w:p w:rsidR="007103D1" w:rsidRPr="00192045" w:rsidRDefault="007A66CE" w:rsidP="00500B84">
      <w:pPr>
        <w:pStyle w:val="TableFooter"/>
        <w:widowControl/>
      </w:pPr>
      <w:r w:rsidRPr="00192045">
        <w:t xml:space="preserve">AED = antiepileptic drug </w:t>
      </w:r>
    </w:p>
    <w:p w:rsidR="007E6309" w:rsidRPr="00192045" w:rsidRDefault="00B50DB8" w:rsidP="00B46946">
      <w:pPr>
        <w:pStyle w:val="Heading1"/>
      </w:pPr>
      <w:bookmarkStart w:id="2" w:name="_Toc19712686"/>
      <w:r w:rsidRPr="00192045">
        <w:t>Requested listing</w:t>
      </w:r>
      <w:bookmarkEnd w:id="2"/>
    </w:p>
    <w:p w:rsidR="004079DA" w:rsidRPr="00192045" w:rsidRDefault="0078243B" w:rsidP="004079DA">
      <w:pPr>
        <w:pStyle w:val="numberedbulletstyle"/>
      </w:pPr>
      <w:r w:rsidRPr="00192045">
        <w:t>Deletions requested by the submission to the current listings are crossed out with strikethrough.</w:t>
      </w:r>
    </w:p>
    <w:tbl>
      <w:tblPr>
        <w:tblW w:w="8964" w:type="dxa"/>
        <w:tblInd w:w="108" w:type="dxa"/>
        <w:tblLayout w:type="fixed"/>
        <w:tblLook w:val="0000" w:firstRow="0" w:lastRow="0" w:firstColumn="0" w:lastColumn="0" w:noHBand="0" w:noVBand="0"/>
      </w:tblPr>
      <w:tblGrid>
        <w:gridCol w:w="2302"/>
        <w:gridCol w:w="1242"/>
        <w:gridCol w:w="567"/>
        <w:gridCol w:w="567"/>
        <w:gridCol w:w="1701"/>
        <w:gridCol w:w="1559"/>
        <w:gridCol w:w="1026"/>
      </w:tblGrid>
      <w:tr w:rsidR="0078243B" w:rsidRPr="00192045" w:rsidTr="009B7399">
        <w:trPr>
          <w:cantSplit/>
          <w:trHeight w:val="471"/>
        </w:trPr>
        <w:tc>
          <w:tcPr>
            <w:tcW w:w="3544" w:type="dxa"/>
            <w:gridSpan w:val="2"/>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Name, Restriction,</w:t>
            </w:r>
          </w:p>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Manner of administration and form</w:t>
            </w:r>
          </w:p>
        </w:tc>
        <w:tc>
          <w:tcPr>
            <w:tcW w:w="567"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Max.</w:t>
            </w:r>
          </w:p>
          <w:p w:rsidR="0078243B" w:rsidRPr="00192045" w:rsidRDefault="0078243B" w:rsidP="0078243B">
            <w:pPr>
              <w:keepNext/>
              <w:widowControl/>
              <w:ind w:left="-108"/>
              <w:rPr>
                <w:rFonts w:ascii="Arial Narrow" w:hAnsi="Arial Narrow"/>
                <w:sz w:val="20"/>
                <w:szCs w:val="20"/>
              </w:rPr>
            </w:pPr>
            <w:proofErr w:type="spellStart"/>
            <w:r w:rsidRPr="00192045">
              <w:rPr>
                <w:rFonts w:ascii="Arial Narrow" w:hAnsi="Arial Narrow"/>
                <w:sz w:val="20"/>
                <w:szCs w:val="20"/>
              </w:rPr>
              <w:t>Qty</w:t>
            </w:r>
            <w:proofErr w:type="spellEnd"/>
          </w:p>
        </w:tc>
        <w:tc>
          <w:tcPr>
            <w:tcW w:w="567"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№.of</w:t>
            </w:r>
          </w:p>
          <w:p w:rsidR="0078243B" w:rsidRPr="00192045" w:rsidRDefault="0078243B" w:rsidP="0078243B">
            <w:pPr>
              <w:keepNext/>
              <w:widowControl/>
              <w:ind w:left="-108"/>
              <w:rPr>
                <w:rFonts w:ascii="Arial Narrow" w:hAnsi="Arial Narrow"/>
                <w:sz w:val="20"/>
                <w:szCs w:val="20"/>
              </w:rPr>
            </w:pPr>
            <w:proofErr w:type="spellStart"/>
            <w:r w:rsidRPr="00192045">
              <w:rPr>
                <w:rFonts w:ascii="Arial Narrow" w:hAnsi="Arial Narrow"/>
                <w:sz w:val="20"/>
                <w:szCs w:val="20"/>
              </w:rPr>
              <w:t>Rpts</w:t>
            </w:r>
            <w:proofErr w:type="spellEnd"/>
          </w:p>
        </w:tc>
        <w:tc>
          <w:tcPr>
            <w:tcW w:w="1701"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 xml:space="preserve">Dispensed Price for Max. </w:t>
            </w:r>
            <w:proofErr w:type="spellStart"/>
            <w:r w:rsidRPr="00192045">
              <w:rPr>
                <w:rFonts w:ascii="Arial Narrow" w:hAnsi="Arial Narrow"/>
                <w:sz w:val="20"/>
                <w:szCs w:val="20"/>
              </w:rPr>
              <w:t>Qty</w:t>
            </w:r>
            <w:proofErr w:type="spellEnd"/>
          </w:p>
        </w:tc>
        <w:tc>
          <w:tcPr>
            <w:tcW w:w="2585" w:type="dxa"/>
            <w:gridSpan w:val="2"/>
            <w:tcBorders>
              <w:bottom w:val="single" w:sz="4" w:space="0" w:color="auto"/>
            </w:tcBorders>
          </w:tcPr>
          <w:p w:rsidR="0078243B" w:rsidRPr="00192045" w:rsidRDefault="0078243B" w:rsidP="0078243B">
            <w:pPr>
              <w:keepNext/>
              <w:widowControl/>
              <w:rPr>
                <w:rFonts w:ascii="Arial Narrow" w:hAnsi="Arial Narrow"/>
                <w:sz w:val="20"/>
                <w:szCs w:val="20"/>
              </w:rPr>
            </w:pPr>
            <w:r w:rsidRPr="00192045">
              <w:rPr>
                <w:rFonts w:ascii="Arial Narrow" w:hAnsi="Arial Narrow"/>
                <w:sz w:val="20"/>
                <w:szCs w:val="20"/>
              </w:rPr>
              <w:t>Proprietary Name and Manufacturer</w:t>
            </w:r>
          </w:p>
        </w:tc>
      </w:tr>
      <w:tr w:rsidR="0078243B" w:rsidRPr="00192045" w:rsidTr="009B7399">
        <w:trPr>
          <w:cantSplit/>
          <w:trHeight w:val="577"/>
        </w:trPr>
        <w:tc>
          <w:tcPr>
            <w:tcW w:w="3544" w:type="dxa"/>
            <w:gridSpan w:val="2"/>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mallCaps/>
                <w:sz w:val="20"/>
              </w:rPr>
              <w:t>BRIVARACETAM</w:t>
            </w:r>
            <w:r w:rsidRPr="00192045">
              <w:rPr>
                <w:rFonts w:ascii="Arial Narrow" w:hAnsi="Arial Narrow"/>
                <w:smallCaps/>
                <w:sz w:val="20"/>
              </w:rPr>
              <w:br/>
            </w:r>
            <w:r w:rsidRPr="00192045">
              <w:rPr>
                <w:rFonts w:ascii="Arial Narrow" w:hAnsi="Arial Narrow"/>
                <w:sz w:val="20"/>
              </w:rPr>
              <w:t xml:space="preserve">Tablets 25 mg, 50 mg, 75 mg and 100 mg </w:t>
            </w:r>
          </w:p>
        </w:tc>
        <w:tc>
          <w:tcPr>
            <w:tcW w:w="567" w:type="dxa"/>
            <w:vAlign w:val="center"/>
          </w:tcPr>
          <w:p w:rsidR="0078243B" w:rsidRPr="00192045" w:rsidRDefault="0078243B" w:rsidP="0078243B">
            <w:pPr>
              <w:keepNext/>
              <w:widowControl/>
              <w:ind w:left="-108"/>
              <w:jc w:val="center"/>
              <w:rPr>
                <w:rFonts w:ascii="Arial Narrow" w:hAnsi="Arial Narrow"/>
                <w:sz w:val="20"/>
              </w:rPr>
            </w:pPr>
            <w:r w:rsidRPr="00192045">
              <w:rPr>
                <w:rFonts w:ascii="Arial Narrow" w:hAnsi="Arial Narrow"/>
                <w:sz w:val="20"/>
              </w:rPr>
              <w:t>56</w:t>
            </w:r>
          </w:p>
        </w:tc>
        <w:tc>
          <w:tcPr>
            <w:tcW w:w="567" w:type="dxa"/>
            <w:vAlign w:val="center"/>
          </w:tcPr>
          <w:p w:rsidR="0078243B" w:rsidRPr="00192045" w:rsidRDefault="0078243B" w:rsidP="0078243B">
            <w:pPr>
              <w:keepNext/>
              <w:widowControl/>
              <w:ind w:left="-108"/>
              <w:jc w:val="center"/>
              <w:rPr>
                <w:rFonts w:ascii="Arial Narrow" w:hAnsi="Arial Narrow"/>
                <w:sz w:val="20"/>
              </w:rPr>
            </w:pPr>
            <w:r w:rsidRPr="00192045">
              <w:rPr>
                <w:rFonts w:ascii="Arial Narrow" w:hAnsi="Arial Narrow"/>
                <w:sz w:val="20"/>
              </w:rPr>
              <w:t>5</w:t>
            </w:r>
          </w:p>
        </w:tc>
        <w:tc>
          <w:tcPr>
            <w:tcW w:w="1701" w:type="dxa"/>
            <w:vAlign w:val="center"/>
          </w:tcPr>
          <w:p w:rsidR="0078243B" w:rsidRPr="00192045" w:rsidRDefault="0078243B" w:rsidP="0078243B">
            <w:pPr>
              <w:keepNext/>
              <w:widowControl/>
              <w:jc w:val="center"/>
              <w:rPr>
                <w:rFonts w:ascii="Arial Narrow" w:hAnsi="Arial Narrow"/>
                <w:sz w:val="20"/>
                <w:vertAlign w:val="superscript"/>
              </w:rPr>
            </w:pPr>
            <w:r w:rsidRPr="00192045">
              <w:rPr>
                <w:rFonts w:ascii="Arial Narrow" w:hAnsi="Arial Narrow"/>
                <w:sz w:val="20"/>
              </w:rPr>
              <w:t>$160.69 </w:t>
            </w:r>
            <w:r w:rsidRPr="00192045">
              <w:rPr>
                <w:rFonts w:ascii="Arial Narrow" w:hAnsi="Arial Narrow"/>
                <w:sz w:val="20"/>
                <w:vertAlign w:val="superscript"/>
              </w:rPr>
              <w:t>a</w:t>
            </w:r>
          </w:p>
        </w:tc>
        <w:tc>
          <w:tcPr>
            <w:tcW w:w="1559" w:type="dxa"/>
            <w:vAlign w:val="center"/>
          </w:tcPr>
          <w:p w:rsidR="0078243B" w:rsidRPr="00192045" w:rsidRDefault="0078243B" w:rsidP="0078243B">
            <w:pPr>
              <w:keepNext/>
              <w:widowControl/>
              <w:jc w:val="center"/>
              <w:rPr>
                <w:rFonts w:ascii="Arial Narrow" w:hAnsi="Arial Narrow"/>
                <w:sz w:val="20"/>
              </w:rPr>
            </w:pPr>
            <w:proofErr w:type="spellStart"/>
            <w:r w:rsidRPr="00192045">
              <w:rPr>
                <w:rFonts w:ascii="Arial Narrow" w:hAnsi="Arial Narrow"/>
                <w:sz w:val="20"/>
              </w:rPr>
              <w:t>Briviact</w:t>
            </w:r>
            <w:proofErr w:type="spellEnd"/>
            <w:r w:rsidRPr="00192045">
              <w:rPr>
                <w:rFonts w:ascii="Arial Narrow" w:hAnsi="Arial Narrow"/>
                <w:sz w:val="20"/>
                <w:vertAlign w:val="superscript"/>
              </w:rPr>
              <w:t>®</w:t>
            </w:r>
          </w:p>
        </w:tc>
        <w:tc>
          <w:tcPr>
            <w:tcW w:w="1026" w:type="dxa"/>
            <w:vAlign w:val="center"/>
          </w:tcPr>
          <w:p w:rsidR="0078243B" w:rsidRPr="00192045" w:rsidRDefault="0078243B" w:rsidP="0078243B">
            <w:pPr>
              <w:keepNext/>
              <w:widowControl/>
              <w:jc w:val="center"/>
              <w:rPr>
                <w:rFonts w:ascii="Arial Narrow" w:hAnsi="Arial Narrow"/>
                <w:sz w:val="20"/>
              </w:rPr>
            </w:pPr>
            <w:r w:rsidRPr="00192045">
              <w:rPr>
                <w:rFonts w:ascii="Arial Narrow" w:hAnsi="Arial Narrow"/>
                <w:sz w:val="20"/>
              </w:rPr>
              <w:t>UCB Pharma</w:t>
            </w:r>
          </w:p>
        </w:tc>
      </w:tr>
      <w:tr w:rsidR="0078243B" w:rsidRPr="00192045" w:rsidTr="009B7399">
        <w:trPr>
          <w:cantSplit/>
          <w:trHeight w:val="360"/>
        </w:trPr>
        <w:tc>
          <w:tcPr>
            <w:tcW w:w="8964" w:type="dxa"/>
            <w:gridSpan w:val="7"/>
            <w:tcBorders>
              <w:bottom w:val="single" w:sz="4" w:space="0" w:color="auto"/>
            </w:tcBorders>
          </w:tcPr>
          <w:p w:rsidR="0078243B" w:rsidRPr="00192045" w:rsidRDefault="0078243B" w:rsidP="0078243B">
            <w:pPr>
              <w:widowControl/>
              <w:rPr>
                <w:rFonts w:ascii="Arial Narrow" w:hAnsi="Arial Narrow"/>
                <w:sz w:val="16"/>
                <w:szCs w:val="20"/>
              </w:rPr>
            </w:pPr>
            <w:r w:rsidRPr="00192045">
              <w:rPr>
                <w:rFonts w:ascii="Arial Narrow" w:hAnsi="Arial Narrow"/>
                <w:sz w:val="18"/>
                <w:szCs w:val="20"/>
                <w:vertAlign w:val="superscript"/>
              </w:rPr>
              <w:t>a</w:t>
            </w:r>
            <w:r w:rsidRPr="00192045">
              <w:rPr>
                <w:rFonts w:ascii="Arial Narrow" w:hAnsi="Arial Narrow"/>
                <w:sz w:val="18"/>
                <w:szCs w:val="20"/>
              </w:rPr>
              <w:t xml:space="preserve"> Dispensed price updated to reflect updated pharmacy mark-ups</w:t>
            </w:r>
          </w:p>
        </w:tc>
      </w:tr>
      <w:tr w:rsidR="0078243B" w:rsidRPr="00192045" w:rsidTr="009B7399">
        <w:trPr>
          <w:cantSplit/>
          <w:trHeight w:val="265"/>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GENERAL – General Schedule (Code GE)</w:t>
            </w:r>
          </w:p>
        </w:tc>
      </w:tr>
      <w:tr w:rsidR="0078243B" w:rsidRPr="00192045" w:rsidTr="009B7399">
        <w:trPr>
          <w:cantSplit/>
          <w:trHeight w:val="175"/>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9B7399">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r w:rsidR="009B7399" w:rsidRPr="00192045">
              <w:rPr>
                <w:rFonts w:ascii="Arial Narrow" w:hAnsi="Arial Narrow"/>
                <w:sz w:val="20"/>
                <w:szCs w:val="20"/>
              </w:rPr>
              <w:t xml:space="preserve">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8243B" w:rsidRPr="00192045" w:rsidTr="009B7399">
        <w:trPr>
          <w:cantSplit/>
          <w:trHeight w:val="149"/>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49372D">
            <w:pPr>
              <w:widowControl/>
              <w:rPr>
                <w:rFonts w:ascii="Arial Narrow" w:hAnsi="Arial Narrow"/>
                <w:sz w:val="20"/>
              </w:rPr>
            </w:pPr>
            <w:r w:rsidRPr="00192045">
              <w:rPr>
                <w:rFonts w:ascii="Arial Narrow" w:hAnsi="Arial Narrow"/>
                <w:sz w:val="20"/>
              </w:rPr>
              <w:t>Intractable partial epileptic seizures</w:t>
            </w:r>
          </w:p>
        </w:tc>
      </w:tr>
      <w:tr w:rsidR="0078243B" w:rsidRPr="00192045" w:rsidTr="009B7399">
        <w:trPr>
          <w:cantSplit/>
          <w:trHeight w:val="7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Initial treatment</w:t>
            </w:r>
          </w:p>
        </w:tc>
      </w:tr>
      <w:tr w:rsidR="0078243B" w:rsidRPr="00192045" w:rsidTr="009B7399">
        <w:trPr>
          <w:cantSplit/>
          <w:trHeight w:val="36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lastRenderedPageBreak/>
              <w:t>Restriction Level / Method:</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8243B" w:rsidRPr="00192045" w:rsidTr="009B7399">
        <w:trPr>
          <w:cantSplit/>
          <w:trHeight w:val="119"/>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Must be treated by a neurologist</w:t>
            </w:r>
          </w:p>
        </w:tc>
      </w:tr>
      <w:tr w:rsidR="0078243B" w:rsidRPr="00192045" w:rsidTr="009B7399">
        <w:trPr>
          <w:cantSplit/>
          <w:trHeight w:val="36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Treatment must be in combination with two or more anti-epileptic drugs which includes one second-line adjunctive agent,</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The condition must have failed to be controlled satisfactorily by other anti-epileptic drugs, which includes at least one first-line anti-epileptic agent and at least two second-line adjunctive anti-epileptic agents,</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 except for cross titration.</w:t>
            </w:r>
          </w:p>
        </w:tc>
      </w:tr>
      <w:tr w:rsidR="0078243B" w:rsidRPr="00192045" w:rsidTr="009B7399">
        <w:trPr>
          <w:cantSplit/>
          <w:trHeight w:val="245"/>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trike/>
                <w:sz w:val="20"/>
                <w:szCs w:val="20"/>
              </w:rPr>
              <w:t>Patient must be aged 16 years or older.</w:t>
            </w:r>
          </w:p>
        </w:tc>
      </w:tr>
    </w:tbl>
    <w:p w:rsidR="0078243B" w:rsidRPr="00192045" w:rsidRDefault="0078243B" w:rsidP="0078243B">
      <w:pPr>
        <w:widowControl/>
      </w:pPr>
    </w:p>
    <w:tbl>
      <w:tblPr>
        <w:tblW w:w="8959" w:type="dxa"/>
        <w:tblInd w:w="108" w:type="dxa"/>
        <w:tblLayout w:type="fixed"/>
        <w:tblLook w:val="0000" w:firstRow="0" w:lastRow="0" w:firstColumn="0" w:lastColumn="0" w:noHBand="0" w:noVBand="0"/>
      </w:tblPr>
      <w:tblGrid>
        <w:gridCol w:w="2297"/>
        <w:gridCol w:w="6662"/>
      </w:tblGrid>
      <w:tr w:rsidR="0078243B" w:rsidRPr="00192045" w:rsidTr="009B7399">
        <w:trPr>
          <w:cantSplit/>
          <w:trHeight w:val="252"/>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Category / Program</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GENERAL – General Schedule (Code GE)</w:t>
            </w:r>
          </w:p>
        </w:tc>
      </w:tr>
      <w:tr w:rsidR="0078243B" w:rsidRPr="00192045" w:rsidTr="009B7399">
        <w:trPr>
          <w:cantSplit/>
          <w:trHeight w:val="277"/>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Prescriber type:</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DE3472">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00DE3472" w:rsidRPr="00192045">
              <w:rPr>
                <w:rFonts w:ascii="Arial Narrow" w:hAnsi="Arial Narrow"/>
                <w:sz w:val="20"/>
                <w:szCs w:val="20"/>
              </w:rPr>
              <w:fldChar w:fldCharType="begin">
                <w:ffData>
                  <w:name w:val="Check3"/>
                  <w:enabled/>
                  <w:calcOnExit w:val="0"/>
                  <w:checkBox>
                    <w:sizeAuto/>
                    <w:default w:val="1"/>
                  </w:checkBox>
                </w:ffData>
              </w:fldChar>
            </w:r>
            <w:bookmarkStart w:id="3" w:name="Check3"/>
            <w:r w:rsidR="00DE3472"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00DE3472" w:rsidRPr="00192045">
              <w:rPr>
                <w:rFonts w:ascii="Arial Narrow" w:hAnsi="Arial Narrow"/>
                <w:sz w:val="20"/>
                <w:szCs w:val="20"/>
              </w:rPr>
              <w:fldChar w:fldCharType="end"/>
            </w:r>
            <w:bookmarkEnd w:id="3"/>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r w:rsidR="009B7399" w:rsidRPr="00192045">
              <w:rPr>
                <w:rFonts w:ascii="Arial Narrow" w:hAnsi="Arial Narrow"/>
                <w:sz w:val="20"/>
                <w:szCs w:val="20"/>
              </w:rPr>
              <w:t xml:space="preserve">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8243B" w:rsidRPr="00192045" w:rsidTr="009B7399">
        <w:trPr>
          <w:cantSplit/>
          <w:trHeight w:val="219"/>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49372D">
            <w:pPr>
              <w:widowControl/>
              <w:rPr>
                <w:rFonts w:ascii="Arial Narrow" w:hAnsi="Arial Narrow"/>
                <w:sz w:val="20"/>
              </w:rPr>
            </w:pPr>
            <w:r w:rsidRPr="00192045">
              <w:rPr>
                <w:rFonts w:ascii="Arial Narrow" w:hAnsi="Arial Narrow"/>
                <w:sz w:val="20"/>
              </w:rPr>
              <w:t>Intractable partial epileptic seizures</w:t>
            </w:r>
          </w:p>
        </w:tc>
      </w:tr>
      <w:tr w:rsidR="0078243B" w:rsidRPr="00192045" w:rsidTr="009B7399">
        <w:trPr>
          <w:cantSplit/>
          <w:trHeight w:val="123"/>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Treatment phase:</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Continuing treatment</w:t>
            </w:r>
          </w:p>
        </w:tc>
      </w:tr>
      <w:tr w:rsidR="0078243B" w:rsidRPr="00192045" w:rsidTr="009B7399">
        <w:trPr>
          <w:cantSplit/>
          <w:trHeight w:val="360"/>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Restriction Level / Method:</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8243B" w:rsidRPr="00192045" w:rsidTr="009B7399">
        <w:trPr>
          <w:cantSplit/>
          <w:trHeight w:val="203"/>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Must be treated by a neurologist</w:t>
            </w:r>
          </w:p>
        </w:tc>
      </w:tr>
      <w:tr w:rsidR="0078243B" w:rsidRPr="00192045" w:rsidTr="009B7399">
        <w:trPr>
          <w:cantSplit/>
          <w:trHeight w:val="360"/>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 xml:space="preserve">Patient must have previously been treated with PBS-subsidised treatment with this drug for this condition, </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AND</w:t>
            </w:r>
          </w:p>
          <w:p w:rsidR="0078243B" w:rsidRPr="00192045" w:rsidRDefault="0078243B" w:rsidP="0078243B">
            <w:pPr>
              <w:widowControl/>
              <w:rPr>
                <w:rFonts w:ascii="Arial Narrow" w:hAnsi="Arial Narrow"/>
                <w:strike/>
                <w:sz w:val="20"/>
                <w:szCs w:val="20"/>
              </w:rPr>
            </w:pPr>
            <w:r w:rsidRPr="00192045">
              <w:rPr>
                <w:rFonts w:ascii="Arial Narrow" w:hAnsi="Arial Narrow"/>
                <w:strike/>
                <w:sz w:val="20"/>
                <w:szCs w:val="20"/>
              </w:rPr>
              <w:t>The treatment must be in combination with two or more anti-epileptic drugs which includes one second-line adjunctive agent</w:t>
            </w:r>
          </w:p>
          <w:p w:rsidR="0078243B" w:rsidRPr="00192045" w:rsidRDefault="0078243B" w:rsidP="0078243B">
            <w:pPr>
              <w:widowControl/>
              <w:rPr>
                <w:rFonts w:ascii="Arial Narrow" w:hAnsi="Arial Narrow"/>
                <w:strike/>
                <w:sz w:val="20"/>
                <w:szCs w:val="20"/>
              </w:rPr>
            </w:pPr>
            <w:r w:rsidRPr="00192045">
              <w:rPr>
                <w:rFonts w:ascii="Arial Narrow" w:hAnsi="Arial Narrow"/>
                <w:strike/>
                <w:sz w:val="20"/>
                <w:szCs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w:t>
            </w:r>
          </w:p>
        </w:tc>
      </w:tr>
      <w:tr w:rsidR="0078243B" w:rsidRPr="00192045" w:rsidTr="009B7399">
        <w:trPr>
          <w:cantSplit/>
          <w:trHeight w:val="187"/>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Population criteria</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trike/>
                <w:sz w:val="20"/>
                <w:szCs w:val="20"/>
              </w:rPr>
            </w:pPr>
            <w:r w:rsidRPr="00192045">
              <w:rPr>
                <w:rFonts w:ascii="Arial Narrow" w:hAnsi="Arial Narrow"/>
                <w:strike/>
                <w:sz w:val="20"/>
                <w:szCs w:val="20"/>
              </w:rPr>
              <w:t>Patient must be aged 16 years or older.</w:t>
            </w:r>
          </w:p>
        </w:tc>
      </w:tr>
    </w:tbl>
    <w:p w:rsidR="0078243B" w:rsidRPr="00192045" w:rsidRDefault="0078243B" w:rsidP="0078243B">
      <w:pPr>
        <w:widowControl/>
      </w:pPr>
    </w:p>
    <w:tbl>
      <w:tblPr>
        <w:tblW w:w="8964" w:type="dxa"/>
        <w:tblInd w:w="108" w:type="dxa"/>
        <w:tblLayout w:type="fixed"/>
        <w:tblLook w:val="0000" w:firstRow="0" w:lastRow="0" w:firstColumn="0" w:lastColumn="0" w:noHBand="0" w:noVBand="0"/>
      </w:tblPr>
      <w:tblGrid>
        <w:gridCol w:w="2302"/>
        <w:gridCol w:w="959"/>
        <w:gridCol w:w="567"/>
        <w:gridCol w:w="850"/>
        <w:gridCol w:w="1701"/>
        <w:gridCol w:w="1559"/>
        <w:gridCol w:w="1026"/>
      </w:tblGrid>
      <w:tr w:rsidR="0078243B" w:rsidRPr="00192045" w:rsidTr="009B7399">
        <w:trPr>
          <w:cantSplit/>
          <w:trHeight w:val="471"/>
        </w:trPr>
        <w:tc>
          <w:tcPr>
            <w:tcW w:w="3261" w:type="dxa"/>
            <w:gridSpan w:val="2"/>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Name, Restriction,</w:t>
            </w:r>
          </w:p>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Manner of administration and form</w:t>
            </w:r>
          </w:p>
        </w:tc>
        <w:tc>
          <w:tcPr>
            <w:tcW w:w="567"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Max.</w:t>
            </w:r>
          </w:p>
          <w:p w:rsidR="0078243B" w:rsidRPr="00192045" w:rsidRDefault="0078243B" w:rsidP="0078243B">
            <w:pPr>
              <w:keepNext/>
              <w:widowControl/>
              <w:ind w:left="-108"/>
              <w:rPr>
                <w:rFonts w:ascii="Arial Narrow" w:hAnsi="Arial Narrow"/>
                <w:sz w:val="20"/>
                <w:szCs w:val="20"/>
              </w:rPr>
            </w:pPr>
            <w:proofErr w:type="spellStart"/>
            <w:r w:rsidRPr="00192045">
              <w:rPr>
                <w:rFonts w:ascii="Arial Narrow" w:hAnsi="Arial Narrow"/>
                <w:sz w:val="20"/>
                <w:szCs w:val="20"/>
              </w:rPr>
              <w:t>Qty</w:t>
            </w:r>
            <w:proofErr w:type="spellEnd"/>
          </w:p>
        </w:tc>
        <w:tc>
          <w:tcPr>
            <w:tcW w:w="850"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№.of</w:t>
            </w:r>
          </w:p>
          <w:p w:rsidR="0078243B" w:rsidRPr="00192045" w:rsidRDefault="0078243B" w:rsidP="0078243B">
            <w:pPr>
              <w:keepNext/>
              <w:widowControl/>
              <w:ind w:left="-108"/>
              <w:rPr>
                <w:rFonts w:ascii="Arial Narrow" w:hAnsi="Arial Narrow"/>
                <w:sz w:val="20"/>
                <w:szCs w:val="20"/>
              </w:rPr>
            </w:pPr>
            <w:proofErr w:type="spellStart"/>
            <w:r w:rsidRPr="00192045">
              <w:rPr>
                <w:rFonts w:ascii="Arial Narrow" w:hAnsi="Arial Narrow"/>
                <w:sz w:val="20"/>
                <w:szCs w:val="20"/>
              </w:rPr>
              <w:t>Rpts</w:t>
            </w:r>
            <w:proofErr w:type="spellEnd"/>
          </w:p>
        </w:tc>
        <w:tc>
          <w:tcPr>
            <w:tcW w:w="1701" w:type="dxa"/>
            <w:tcBorders>
              <w:bottom w:val="single" w:sz="4" w:space="0" w:color="auto"/>
            </w:tcBorders>
          </w:tcPr>
          <w:p w:rsidR="0078243B" w:rsidRPr="00192045" w:rsidRDefault="0078243B" w:rsidP="0078243B">
            <w:pPr>
              <w:keepNext/>
              <w:widowControl/>
              <w:ind w:left="-108"/>
              <w:rPr>
                <w:rFonts w:ascii="Arial Narrow" w:hAnsi="Arial Narrow"/>
                <w:sz w:val="20"/>
                <w:szCs w:val="20"/>
              </w:rPr>
            </w:pPr>
            <w:r w:rsidRPr="00192045">
              <w:rPr>
                <w:rFonts w:ascii="Arial Narrow" w:hAnsi="Arial Narrow"/>
                <w:sz w:val="20"/>
                <w:szCs w:val="20"/>
              </w:rPr>
              <w:t xml:space="preserve">Dispensed Price for Max. </w:t>
            </w:r>
            <w:proofErr w:type="spellStart"/>
            <w:r w:rsidRPr="00192045">
              <w:rPr>
                <w:rFonts w:ascii="Arial Narrow" w:hAnsi="Arial Narrow"/>
                <w:sz w:val="20"/>
                <w:szCs w:val="20"/>
              </w:rPr>
              <w:t>Qty</w:t>
            </w:r>
            <w:proofErr w:type="spellEnd"/>
          </w:p>
        </w:tc>
        <w:tc>
          <w:tcPr>
            <w:tcW w:w="2585" w:type="dxa"/>
            <w:gridSpan w:val="2"/>
            <w:tcBorders>
              <w:bottom w:val="single" w:sz="4" w:space="0" w:color="auto"/>
            </w:tcBorders>
          </w:tcPr>
          <w:p w:rsidR="0078243B" w:rsidRPr="00192045" w:rsidRDefault="0078243B" w:rsidP="0078243B">
            <w:pPr>
              <w:keepNext/>
              <w:widowControl/>
              <w:rPr>
                <w:rFonts w:ascii="Arial Narrow" w:hAnsi="Arial Narrow"/>
                <w:sz w:val="20"/>
                <w:szCs w:val="20"/>
              </w:rPr>
            </w:pPr>
            <w:r w:rsidRPr="00192045">
              <w:rPr>
                <w:rFonts w:ascii="Arial Narrow" w:hAnsi="Arial Narrow"/>
                <w:sz w:val="20"/>
                <w:szCs w:val="20"/>
              </w:rPr>
              <w:t>Proprietary Name and Manufacturer</w:t>
            </w:r>
          </w:p>
        </w:tc>
      </w:tr>
      <w:tr w:rsidR="0078243B" w:rsidRPr="00192045" w:rsidTr="009B7399">
        <w:trPr>
          <w:cantSplit/>
          <w:trHeight w:val="577"/>
        </w:trPr>
        <w:tc>
          <w:tcPr>
            <w:tcW w:w="3261" w:type="dxa"/>
            <w:gridSpan w:val="2"/>
          </w:tcPr>
          <w:p w:rsidR="0078243B" w:rsidRPr="00192045" w:rsidRDefault="0078243B" w:rsidP="00DE3472">
            <w:pPr>
              <w:keepNext/>
              <w:widowControl/>
              <w:ind w:left="-108"/>
              <w:rPr>
                <w:rFonts w:ascii="Arial Narrow" w:hAnsi="Arial Narrow"/>
                <w:sz w:val="20"/>
                <w:vertAlign w:val="superscript"/>
              </w:rPr>
            </w:pPr>
            <w:r w:rsidRPr="00192045">
              <w:rPr>
                <w:rFonts w:ascii="Arial Narrow" w:hAnsi="Arial Narrow"/>
                <w:smallCaps/>
                <w:sz w:val="20"/>
              </w:rPr>
              <w:t>BRIVARACETAM</w:t>
            </w:r>
            <w:r w:rsidRPr="00192045">
              <w:rPr>
                <w:rFonts w:ascii="Arial Narrow" w:hAnsi="Arial Narrow"/>
                <w:smallCaps/>
                <w:sz w:val="20"/>
              </w:rPr>
              <w:br/>
            </w:r>
            <w:r w:rsidRPr="00192045">
              <w:rPr>
                <w:rFonts w:ascii="Arial Narrow" w:hAnsi="Arial Narrow"/>
                <w:sz w:val="20"/>
              </w:rPr>
              <w:t>Oral solution, 10 mg/mL, 300 mL</w:t>
            </w:r>
          </w:p>
        </w:tc>
        <w:tc>
          <w:tcPr>
            <w:tcW w:w="567" w:type="dxa"/>
            <w:vAlign w:val="center"/>
          </w:tcPr>
          <w:p w:rsidR="0078243B" w:rsidRPr="00192045" w:rsidRDefault="0078243B" w:rsidP="0078243B">
            <w:pPr>
              <w:keepNext/>
              <w:widowControl/>
              <w:jc w:val="center"/>
              <w:rPr>
                <w:rFonts w:ascii="Arial Narrow" w:hAnsi="Arial Narrow"/>
                <w:sz w:val="20"/>
              </w:rPr>
            </w:pPr>
            <w:r w:rsidRPr="00192045">
              <w:rPr>
                <w:rFonts w:ascii="Arial Narrow" w:hAnsi="Arial Narrow"/>
                <w:sz w:val="20"/>
              </w:rPr>
              <w:t>1</w:t>
            </w:r>
          </w:p>
        </w:tc>
        <w:tc>
          <w:tcPr>
            <w:tcW w:w="850" w:type="dxa"/>
            <w:vAlign w:val="center"/>
          </w:tcPr>
          <w:p w:rsidR="0078243B" w:rsidRPr="00192045" w:rsidRDefault="0078243B" w:rsidP="0078243B">
            <w:pPr>
              <w:keepNext/>
              <w:widowControl/>
              <w:ind w:left="-108"/>
              <w:jc w:val="center"/>
              <w:rPr>
                <w:rFonts w:ascii="Arial Narrow" w:hAnsi="Arial Narrow"/>
                <w:sz w:val="20"/>
              </w:rPr>
            </w:pPr>
            <w:r w:rsidRPr="00192045">
              <w:rPr>
                <w:rFonts w:ascii="Arial Narrow" w:hAnsi="Arial Narrow"/>
                <w:sz w:val="20"/>
              </w:rPr>
              <w:t>5</w:t>
            </w:r>
          </w:p>
        </w:tc>
        <w:tc>
          <w:tcPr>
            <w:tcW w:w="1701" w:type="dxa"/>
            <w:vAlign w:val="center"/>
          </w:tcPr>
          <w:p w:rsidR="0078243B" w:rsidRPr="00192045" w:rsidRDefault="0078243B" w:rsidP="00060F29">
            <w:pPr>
              <w:keepNext/>
              <w:widowControl/>
              <w:jc w:val="center"/>
              <w:rPr>
                <w:rFonts w:ascii="Arial Narrow" w:hAnsi="Arial Narrow"/>
                <w:strike/>
                <w:sz w:val="20"/>
                <w:vertAlign w:val="superscript"/>
              </w:rPr>
            </w:pPr>
            <w:r w:rsidRPr="00192045">
              <w:rPr>
                <w:rFonts w:ascii="Arial Narrow" w:hAnsi="Arial Narrow"/>
                <w:sz w:val="20"/>
              </w:rPr>
              <w:t>$198.21</w:t>
            </w:r>
            <w:r w:rsidRPr="00192045">
              <w:rPr>
                <w:rFonts w:ascii="Arial Narrow" w:hAnsi="Arial Narrow"/>
                <w:sz w:val="20"/>
                <w:vertAlign w:val="superscript"/>
              </w:rPr>
              <w:t>a</w:t>
            </w:r>
          </w:p>
        </w:tc>
        <w:tc>
          <w:tcPr>
            <w:tcW w:w="1559" w:type="dxa"/>
            <w:vAlign w:val="center"/>
          </w:tcPr>
          <w:p w:rsidR="0078243B" w:rsidRPr="00192045" w:rsidRDefault="0078243B" w:rsidP="0078243B">
            <w:pPr>
              <w:keepNext/>
              <w:widowControl/>
              <w:jc w:val="center"/>
              <w:rPr>
                <w:rFonts w:ascii="Arial Narrow" w:hAnsi="Arial Narrow"/>
                <w:sz w:val="20"/>
              </w:rPr>
            </w:pPr>
            <w:proofErr w:type="spellStart"/>
            <w:r w:rsidRPr="00192045">
              <w:rPr>
                <w:rFonts w:ascii="Arial Narrow" w:hAnsi="Arial Narrow"/>
                <w:sz w:val="20"/>
              </w:rPr>
              <w:t>Briviact</w:t>
            </w:r>
            <w:proofErr w:type="spellEnd"/>
            <w:r w:rsidRPr="00192045">
              <w:rPr>
                <w:rFonts w:ascii="Arial Narrow" w:hAnsi="Arial Narrow"/>
                <w:sz w:val="20"/>
                <w:vertAlign w:val="superscript"/>
              </w:rPr>
              <w:t>®</w:t>
            </w:r>
          </w:p>
        </w:tc>
        <w:tc>
          <w:tcPr>
            <w:tcW w:w="1026" w:type="dxa"/>
            <w:vAlign w:val="center"/>
          </w:tcPr>
          <w:p w:rsidR="0078243B" w:rsidRPr="00192045" w:rsidRDefault="0078243B" w:rsidP="0078243B">
            <w:pPr>
              <w:keepNext/>
              <w:widowControl/>
              <w:jc w:val="center"/>
              <w:rPr>
                <w:rFonts w:ascii="Arial Narrow" w:hAnsi="Arial Narrow"/>
                <w:sz w:val="20"/>
              </w:rPr>
            </w:pPr>
            <w:r w:rsidRPr="00192045">
              <w:rPr>
                <w:rFonts w:ascii="Arial Narrow" w:hAnsi="Arial Narrow"/>
                <w:sz w:val="20"/>
              </w:rPr>
              <w:t>UCB Pharma</w:t>
            </w:r>
          </w:p>
        </w:tc>
      </w:tr>
      <w:tr w:rsidR="0078243B" w:rsidRPr="00192045" w:rsidTr="009B7399">
        <w:trPr>
          <w:cantSplit/>
          <w:trHeight w:val="360"/>
        </w:trPr>
        <w:tc>
          <w:tcPr>
            <w:tcW w:w="8964" w:type="dxa"/>
            <w:gridSpan w:val="7"/>
            <w:tcBorders>
              <w:bottom w:val="single" w:sz="4" w:space="0" w:color="auto"/>
            </w:tcBorders>
          </w:tcPr>
          <w:p w:rsidR="0078243B" w:rsidRPr="00192045" w:rsidRDefault="0078243B" w:rsidP="0078243B">
            <w:pPr>
              <w:widowControl/>
              <w:rPr>
                <w:rFonts w:ascii="Arial Narrow" w:hAnsi="Arial Narrow"/>
                <w:sz w:val="18"/>
                <w:szCs w:val="20"/>
              </w:rPr>
            </w:pPr>
            <w:r w:rsidRPr="00192045">
              <w:rPr>
                <w:rFonts w:ascii="Arial Narrow" w:hAnsi="Arial Narrow"/>
                <w:sz w:val="18"/>
                <w:szCs w:val="20"/>
                <w:vertAlign w:val="superscript"/>
              </w:rPr>
              <w:t>a</w:t>
            </w:r>
            <w:r w:rsidRPr="00192045">
              <w:rPr>
                <w:rFonts w:ascii="Arial Narrow" w:hAnsi="Arial Narrow"/>
                <w:sz w:val="18"/>
                <w:szCs w:val="20"/>
              </w:rPr>
              <w:t xml:space="preserve"> Dispensed price updated to reflect updated pharmacy mark-ups</w:t>
            </w:r>
          </w:p>
          <w:p w:rsidR="0078243B" w:rsidRPr="00192045" w:rsidRDefault="0078243B" w:rsidP="00060F29">
            <w:pPr>
              <w:widowControl/>
              <w:rPr>
                <w:rFonts w:ascii="Arial Narrow" w:hAnsi="Arial Narrow"/>
                <w:sz w:val="20"/>
                <w:szCs w:val="20"/>
              </w:rPr>
            </w:pPr>
          </w:p>
        </w:tc>
      </w:tr>
      <w:tr w:rsidR="0078243B" w:rsidRPr="00192045" w:rsidTr="009B7399">
        <w:trPr>
          <w:cantSplit/>
          <w:trHeight w:val="23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GENERAL – General Schedule (Code GE)</w:t>
            </w:r>
          </w:p>
        </w:tc>
      </w:tr>
      <w:tr w:rsidR="0078243B" w:rsidRPr="00192045" w:rsidTr="009B7399">
        <w:trPr>
          <w:cantSplit/>
          <w:trHeight w:val="272"/>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9B7399">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r w:rsidR="009B7399" w:rsidRPr="00192045">
              <w:rPr>
                <w:rFonts w:ascii="Arial Narrow" w:hAnsi="Arial Narrow"/>
                <w:sz w:val="20"/>
                <w:szCs w:val="20"/>
              </w:rPr>
              <w:t xml:space="preserve">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8243B" w:rsidRPr="00192045" w:rsidTr="009B7399">
        <w:trPr>
          <w:cantSplit/>
          <w:trHeight w:val="225"/>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DE3472" w:rsidP="0078243B">
            <w:pPr>
              <w:widowControl/>
              <w:rPr>
                <w:rFonts w:ascii="Arial Narrow" w:hAnsi="Arial Narrow"/>
                <w:strike/>
                <w:sz w:val="20"/>
              </w:rPr>
            </w:pPr>
            <w:r w:rsidRPr="00192045">
              <w:rPr>
                <w:rFonts w:ascii="Arial Narrow" w:hAnsi="Arial Narrow"/>
                <w:sz w:val="20"/>
              </w:rPr>
              <w:t>Intractable partial epileptic seizures</w:t>
            </w:r>
          </w:p>
        </w:tc>
      </w:tr>
      <w:tr w:rsidR="0078243B" w:rsidRPr="00192045" w:rsidTr="009B7399">
        <w:trPr>
          <w:cantSplit/>
          <w:trHeight w:val="129"/>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Initial treatment</w:t>
            </w:r>
          </w:p>
        </w:tc>
      </w:tr>
      <w:tr w:rsidR="0078243B" w:rsidRPr="00192045" w:rsidTr="009B7399">
        <w:trPr>
          <w:cantSplit/>
          <w:trHeight w:val="36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lastRenderedPageBreak/>
              <w:t>Restriction Level / Method:</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8243B" w:rsidRPr="00192045" w:rsidTr="009B7399">
        <w:trPr>
          <w:cantSplit/>
          <w:trHeight w:val="229"/>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Must be treated by a neurologist</w:t>
            </w:r>
          </w:p>
        </w:tc>
      </w:tr>
      <w:tr w:rsidR="0078243B" w:rsidRPr="00192045" w:rsidTr="009B7399">
        <w:trPr>
          <w:cantSplit/>
          <w:trHeight w:val="360"/>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rPr>
            </w:pPr>
            <w:r w:rsidRPr="00192045">
              <w:rPr>
                <w:rFonts w:ascii="Arial Narrow" w:hAnsi="Arial Narrow"/>
                <w:sz w:val="20"/>
              </w:rPr>
              <w:t>Treatment must be in combination with two or more anti-epileptic drugs which includes one second-line adjunctive agent,</w:t>
            </w:r>
          </w:p>
          <w:p w:rsidR="0078243B" w:rsidRPr="00192045" w:rsidRDefault="0078243B" w:rsidP="0078243B">
            <w:pPr>
              <w:widowControl/>
              <w:rPr>
                <w:rFonts w:ascii="Arial Narrow" w:hAnsi="Arial Narrow"/>
                <w:sz w:val="20"/>
              </w:rPr>
            </w:pPr>
            <w:r w:rsidRPr="00192045">
              <w:rPr>
                <w:rFonts w:ascii="Arial Narrow" w:hAnsi="Arial Narrow"/>
                <w:sz w:val="20"/>
              </w:rPr>
              <w:t>AND</w:t>
            </w:r>
          </w:p>
          <w:p w:rsidR="0078243B" w:rsidRPr="00192045" w:rsidRDefault="0078243B" w:rsidP="0078243B">
            <w:pPr>
              <w:widowControl/>
              <w:rPr>
                <w:rFonts w:ascii="Arial Narrow" w:hAnsi="Arial Narrow"/>
                <w:sz w:val="20"/>
              </w:rPr>
            </w:pPr>
            <w:r w:rsidRPr="00192045">
              <w:rPr>
                <w:rFonts w:ascii="Arial Narrow" w:hAnsi="Arial Narrow"/>
                <w:sz w:val="20"/>
              </w:rPr>
              <w:t>The condition must have failed to be controlled satisfactorily by other anti-epileptic drugs, which includes at least one first-line anti-epileptic agent and at least two second-line adjunctive anti-epileptic agents,</w:t>
            </w:r>
          </w:p>
          <w:p w:rsidR="0078243B" w:rsidRPr="00192045" w:rsidRDefault="0078243B" w:rsidP="0078243B">
            <w:pPr>
              <w:widowControl/>
              <w:rPr>
                <w:rFonts w:ascii="Arial Narrow" w:hAnsi="Arial Narrow"/>
                <w:sz w:val="20"/>
              </w:rPr>
            </w:pPr>
            <w:r w:rsidRPr="00192045">
              <w:rPr>
                <w:rFonts w:ascii="Arial Narrow" w:hAnsi="Arial Narrow"/>
                <w:sz w:val="20"/>
              </w:rPr>
              <w:t>AND</w:t>
            </w:r>
          </w:p>
          <w:p w:rsidR="0078243B" w:rsidRPr="00192045" w:rsidRDefault="0078243B" w:rsidP="0078243B">
            <w:pPr>
              <w:widowControl/>
              <w:rPr>
                <w:rFonts w:ascii="Arial Narrow" w:hAnsi="Arial Narrow"/>
                <w:sz w:val="20"/>
              </w:rPr>
            </w:pPr>
            <w:r w:rsidRPr="00192045">
              <w:rPr>
                <w:rFonts w:ascii="Arial Narrow" w:hAnsi="Arial Narrow"/>
                <w:sz w:val="20"/>
              </w:rPr>
              <w:t>Patient must be unable to take a solid dose form of this drug,</w:t>
            </w:r>
          </w:p>
          <w:p w:rsidR="0078243B" w:rsidRPr="00192045" w:rsidRDefault="0078243B" w:rsidP="0078243B">
            <w:pPr>
              <w:widowControl/>
              <w:rPr>
                <w:rFonts w:ascii="Arial Narrow" w:hAnsi="Arial Narrow"/>
                <w:sz w:val="20"/>
              </w:rPr>
            </w:pPr>
            <w:r w:rsidRPr="00192045">
              <w:rPr>
                <w:rFonts w:ascii="Arial Narrow" w:hAnsi="Arial Narrow"/>
                <w:sz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rPr>
              <w:t xml:space="preserve">The treatment must not be given concomitantly with </w:t>
            </w:r>
            <w:proofErr w:type="spellStart"/>
            <w:r w:rsidRPr="00192045">
              <w:rPr>
                <w:rFonts w:ascii="Arial Narrow" w:hAnsi="Arial Narrow"/>
                <w:sz w:val="20"/>
              </w:rPr>
              <w:t>levetiracetam</w:t>
            </w:r>
            <w:proofErr w:type="spellEnd"/>
            <w:r w:rsidRPr="00192045">
              <w:rPr>
                <w:rFonts w:ascii="Arial Narrow" w:hAnsi="Arial Narrow"/>
                <w:sz w:val="20"/>
              </w:rPr>
              <w:t>, except for cross titration.</w:t>
            </w:r>
          </w:p>
        </w:tc>
      </w:tr>
      <w:tr w:rsidR="0078243B" w:rsidRPr="00192045" w:rsidTr="009B7399">
        <w:trPr>
          <w:cantSplit/>
          <w:trHeight w:val="251"/>
        </w:trPr>
        <w:tc>
          <w:tcPr>
            <w:tcW w:w="230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rPr>
            </w:pPr>
            <w:r w:rsidRPr="00192045">
              <w:rPr>
                <w:rFonts w:ascii="Arial Narrow" w:hAnsi="Arial Narrow"/>
                <w:strike/>
                <w:sz w:val="20"/>
                <w:szCs w:val="20"/>
              </w:rPr>
              <w:t>Patient must be aged 16 years or older.</w:t>
            </w:r>
          </w:p>
        </w:tc>
      </w:tr>
    </w:tbl>
    <w:p w:rsidR="0078243B" w:rsidRPr="00192045" w:rsidRDefault="0078243B" w:rsidP="0078243B">
      <w:pPr>
        <w:widowControl/>
      </w:pPr>
    </w:p>
    <w:tbl>
      <w:tblPr>
        <w:tblW w:w="8959" w:type="dxa"/>
        <w:tblInd w:w="108" w:type="dxa"/>
        <w:tblLayout w:type="fixed"/>
        <w:tblLook w:val="0000" w:firstRow="0" w:lastRow="0" w:firstColumn="0" w:lastColumn="0" w:noHBand="0" w:noVBand="0"/>
      </w:tblPr>
      <w:tblGrid>
        <w:gridCol w:w="2297"/>
        <w:gridCol w:w="6662"/>
      </w:tblGrid>
      <w:tr w:rsidR="0078243B" w:rsidRPr="00192045" w:rsidTr="009B7399">
        <w:trPr>
          <w:cantSplit/>
          <w:trHeight w:val="273"/>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Category / Program</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GENERAL – General Schedule (Code GE)</w:t>
            </w:r>
          </w:p>
        </w:tc>
      </w:tr>
      <w:tr w:rsidR="0078243B" w:rsidRPr="00192045" w:rsidTr="009B7399">
        <w:trPr>
          <w:cantSplit/>
          <w:trHeight w:val="213"/>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Prescriber type:</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DE3472">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00DE3472" w:rsidRPr="00192045">
              <w:rPr>
                <w:rFonts w:ascii="Arial Narrow" w:hAnsi="Arial Narrow"/>
                <w:sz w:val="20"/>
                <w:szCs w:val="20"/>
              </w:rPr>
              <w:fldChar w:fldCharType="begin">
                <w:ffData>
                  <w:name w:val=""/>
                  <w:enabled/>
                  <w:calcOnExit w:val="0"/>
                  <w:checkBox>
                    <w:sizeAuto/>
                    <w:default w:val="1"/>
                  </w:checkBox>
                </w:ffData>
              </w:fldChar>
            </w:r>
            <w:r w:rsidR="00DE3472"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00DE3472"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r w:rsidR="009B7399" w:rsidRPr="00192045">
              <w:rPr>
                <w:rFonts w:ascii="Arial Narrow" w:hAnsi="Arial Narrow"/>
                <w:sz w:val="20"/>
                <w:szCs w:val="20"/>
              </w:rPr>
              <w:t xml:space="preserve">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8243B" w:rsidRPr="00192045" w:rsidTr="009B7399">
        <w:trPr>
          <w:cantSplit/>
          <w:trHeight w:val="281"/>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49372D" w:rsidP="0049372D">
            <w:pPr>
              <w:widowControl/>
              <w:rPr>
                <w:rFonts w:ascii="Arial Narrow" w:hAnsi="Arial Narrow"/>
                <w:strike/>
                <w:sz w:val="20"/>
              </w:rPr>
            </w:pPr>
            <w:r w:rsidRPr="00192045">
              <w:rPr>
                <w:rFonts w:ascii="Arial Narrow" w:hAnsi="Arial Narrow"/>
                <w:sz w:val="20"/>
              </w:rPr>
              <w:t xml:space="preserve">Intractable partial epileptic seizures </w:t>
            </w:r>
          </w:p>
        </w:tc>
      </w:tr>
      <w:tr w:rsidR="0078243B" w:rsidRPr="00192045" w:rsidTr="009B7399">
        <w:trPr>
          <w:cantSplit/>
          <w:trHeight w:val="271"/>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Treatment phase:</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Continuing treatment</w:t>
            </w:r>
          </w:p>
        </w:tc>
      </w:tr>
      <w:tr w:rsidR="0078243B" w:rsidRPr="00192045" w:rsidTr="009B7399">
        <w:trPr>
          <w:cantSplit/>
          <w:trHeight w:val="360"/>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i/>
                <w:sz w:val="20"/>
                <w:szCs w:val="20"/>
              </w:rPr>
            </w:pPr>
            <w:r w:rsidRPr="00192045">
              <w:rPr>
                <w:rFonts w:ascii="Arial Narrow" w:hAnsi="Arial Narrow"/>
                <w:b/>
                <w:sz w:val="20"/>
                <w:szCs w:val="20"/>
              </w:rPr>
              <w:t>Restriction Level / Method:</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8243B" w:rsidRPr="00192045" w:rsidTr="009B7399">
        <w:trPr>
          <w:cantSplit/>
          <w:trHeight w:val="153"/>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Must be treated by a neurologist</w:t>
            </w:r>
          </w:p>
        </w:tc>
      </w:tr>
      <w:tr w:rsidR="0078243B" w:rsidRPr="00192045" w:rsidTr="009B7399">
        <w:trPr>
          <w:cantSplit/>
          <w:trHeight w:val="360"/>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z w:val="20"/>
                <w:szCs w:val="20"/>
              </w:rPr>
              <w:t>Patient must have previously been treated with PBS-subsidised treatment with this drug for this condition,</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AND</w:t>
            </w:r>
          </w:p>
          <w:p w:rsidR="0078243B" w:rsidRPr="00192045" w:rsidRDefault="0078243B" w:rsidP="0078243B">
            <w:pPr>
              <w:widowControl/>
              <w:rPr>
                <w:rFonts w:ascii="Arial Narrow" w:hAnsi="Arial Narrow"/>
                <w:strike/>
                <w:sz w:val="20"/>
                <w:szCs w:val="20"/>
              </w:rPr>
            </w:pPr>
            <w:r w:rsidRPr="00192045">
              <w:rPr>
                <w:rFonts w:ascii="Arial Narrow" w:hAnsi="Arial Narrow"/>
                <w:strike/>
                <w:sz w:val="20"/>
                <w:szCs w:val="20"/>
              </w:rPr>
              <w:t>The treatment must be in combination with two or more anti-epileptic drugs which includes one second-line adjunctive agent</w:t>
            </w:r>
          </w:p>
          <w:p w:rsidR="0078243B" w:rsidRPr="00192045" w:rsidRDefault="0078243B" w:rsidP="0078243B">
            <w:pPr>
              <w:widowControl/>
              <w:rPr>
                <w:rFonts w:ascii="Arial Narrow" w:hAnsi="Arial Narrow"/>
                <w:strike/>
                <w:sz w:val="20"/>
                <w:szCs w:val="20"/>
              </w:rPr>
            </w:pPr>
            <w:r w:rsidRPr="00192045">
              <w:rPr>
                <w:rFonts w:ascii="Arial Narrow" w:hAnsi="Arial Narrow"/>
                <w:strike/>
                <w:sz w:val="20"/>
                <w:szCs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 xml:space="preserve">Patient must be unable to take a solid dose form of this drug, </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AND</w:t>
            </w:r>
          </w:p>
          <w:p w:rsidR="0078243B" w:rsidRPr="00192045" w:rsidRDefault="0078243B" w:rsidP="0078243B">
            <w:pPr>
              <w:widowControl/>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w:t>
            </w:r>
          </w:p>
        </w:tc>
      </w:tr>
      <w:tr w:rsidR="0078243B" w:rsidRPr="00192045" w:rsidTr="009B7399">
        <w:trPr>
          <w:cantSplit/>
          <w:trHeight w:val="257"/>
        </w:trPr>
        <w:tc>
          <w:tcPr>
            <w:tcW w:w="2297"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b/>
                <w:sz w:val="20"/>
                <w:szCs w:val="20"/>
              </w:rPr>
            </w:pPr>
            <w:r w:rsidRPr="00192045">
              <w:rPr>
                <w:rFonts w:ascii="Arial Narrow" w:hAnsi="Arial Narrow"/>
                <w:b/>
                <w:sz w:val="20"/>
                <w:szCs w:val="20"/>
              </w:rPr>
              <w:t>Population criteria</w:t>
            </w:r>
          </w:p>
        </w:tc>
        <w:tc>
          <w:tcPr>
            <w:tcW w:w="6662" w:type="dxa"/>
            <w:tcBorders>
              <w:top w:val="single" w:sz="4" w:space="0" w:color="auto"/>
              <w:left w:val="single" w:sz="4" w:space="0" w:color="auto"/>
              <w:bottom w:val="single" w:sz="4" w:space="0" w:color="auto"/>
              <w:right w:val="single" w:sz="4" w:space="0" w:color="auto"/>
            </w:tcBorders>
          </w:tcPr>
          <w:p w:rsidR="0078243B" w:rsidRPr="00192045" w:rsidRDefault="0078243B" w:rsidP="0078243B">
            <w:pPr>
              <w:widowControl/>
              <w:rPr>
                <w:rFonts w:ascii="Arial Narrow" w:hAnsi="Arial Narrow"/>
                <w:sz w:val="20"/>
                <w:szCs w:val="20"/>
              </w:rPr>
            </w:pPr>
            <w:r w:rsidRPr="00192045">
              <w:rPr>
                <w:rFonts w:ascii="Arial Narrow" w:hAnsi="Arial Narrow"/>
                <w:strike/>
                <w:sz w:val="20"/>
                <w:szCs w:val="20"/>
              </w:rPr>
              <w:t>Patient must be aged 16 years or older.</w:t>
            </w:r>
          </w:p>
        </w:tc>
      </w:tr>
    </w:tbl>
    <w:p w:rsidR="0078243B" w:rsidRPr="00192045" w:rsidRDefault="0078243B" w:rsidP="0078243B">
      <w:pPr>
        <w:widowControl/>
      </w:pPr>
    </w:p>
    <w:p w:rsidR="0078243B" w:rsidRPr="00192045" w:rsidRDefault="00931A67" w:rsidP="003104E1">
      <w:pPr>
        <w:pStyle w:val="numberedbulletstyle"/>
      </w:pPr>
      <w:r w:rsidRPr="004079DA">
        <w:t xml:space="preserve">The </w:t>
      </w:r>
      <w:r>
        <w:t>current</w:t>
      </w:r>
      <w:r w:rsidR="00167666">
        <w:t xml:space="preserve"> </w:t>
      </w:r>
      <w:r w:rsidRPr="004079DA">
        <w:t xml:space="preserve">PBS restriction </w:t>
      </w:r>
      <w:r>
        <w:t>is</w:t>
      </w:r>
      <w:r w:rsidRPr="004079DA">
        <w:t xml:space="preserve"> narrower than the TGA approved indication because it require</w:t>
      </w:r>
      <w:r>
        <w:t>s</w:t>
      </w:r>
      <w:r w:rsidRPr="004079DA">
        <w:t xml:space="preserve"> patients to have </w:t>
      </w:r>
      <w:r>
        <w:t>previously been treated with</w:t>
      </w:r>
      <w:r w:rsidRPr="004079DA">
        <w:t xml:space="preserve"> at least one first-line AED and at least two second</w:t>
      </w:r>
      <w:r>
        <w:t>-</w:t>
      </w:r>
      <w:r w:rsidRPr="004079DA">
        <w:t xml:space="preserve">line adjunctive AEDs </w:t>
      </w:r>
      <w:r>
        <w:t xml:space="preserve">which have not been effective </w:t>
      </w:r>
      <w:r w:rsidRPr="004079DA">
        <w:t xml:space="preserve">and to initiate </w:t>
      </w:r>
      <w:proofErr w:type="spellStart"/>
      <w:r w:rsidR="0078243B" w:rsidRPr="00192045">
        <w:t>brivaracetam</w:t>
      </w:r>
      <w:proofErr w:type="spellEnd"/>
      <w:r w:rsidR="0078243B" w:rsidRPr="00192045">
        <w:t xml:space="preserve"> in combination with two or more other AEDs (compared with </w:t>
      </w:r>
      <w:r w:rsidR="00F1729E" w:rsidRPr="00192045">
        <w:t>’</w:t>
      </w:r>
      <w:r w:rsidR="0078243B" w:rsidRPr="00192045">
        <w:t>add on therapy</w:t>
      </w:r>
      <w:r w:rsidR="00F1729E" w:rsidRPr="00192045">
        <w:t xml:space="preserve">‘ </w:t>
      </w:r>
      <w:r w:rsidR="0078243B" w:rsidRPr="00192045">
        <w:t xml:space="preserve">in the TGA approved indication). The submission requested to remove the </w:t>
      </w:r>
      <w:r w:rsidR="007D2999" w:rsidRPr="00192045">
        <w:t xml:space="preserve">current </w:t>
      </w:r>
      <w:r w:rsidR="0078243B" w:rsidRPr="00192045">
        <w:t xml:space="preserve">requirement under the continuation rule for patients to remain on two other AEDs on the basis that the continuation criterion was erroneously included in the November 2017 resubmission for the population aged 16 years and older. The submission noted that at the November 2012 consideration of </w:t>
      </w:r>
      <w:proofErr w:type="spellStart"/>
      <w:r w:rsidR="0078243B" w:rsidRPr="00192045">
        <w:t>lacosamide</w:t>
      </w:r>
      <w:proofErr w:type="spellEnd"/>
      <w:r w:rsidR="0078243B" w:rsidRPr="00192045">
        <w:t xml:space="preserve">, the PBAC </w:t>
      </w:r>
      <w:r w:rsidR="0078243B" w:rsidRPr="00192045">
        <w:lastRenderedPageBreak/>
        <w:t>noted that it would be reasonable to remove ineffective AEDs from a patient’s regimen as early as practicable (</w:t>
      </w:r>
      <w:r w:rsidR="007D2999" w:rsidRPr="00192045">
        <w:t>see</w:t>
      </w:r>
      <w:r w:rsidR="0078243B" w:rsidRPr="00192045">
        <w:t xml:space="preserve"> </w:t>
      </w:r>
      <w:r w:rsidR="007D2999" w:rsidRPr="00192045">
        <w:t>paragraph 3.5</w:t>
      </w:r>
      <w:r w:rsidR="0078243B" w:rsidRPr="00192045">
        <w:t xml:space="preserve">). </w:t>
      </w:r>
    </w:p>
    <w:p w:rsidR="0078243B" w:rsidRPr="00192045" w:rsidRDefault="0078243B" w:rsidP="003104E1">
      <w:pPr>
        <w:pStyle w:val="numberedbulletstyle"/>
      </w:pPr>
      <w:r w:rsidRPr="00192045">
        <w:t xml:space="preserve">The submission requested the current age criterion be removed from the restriction on the basis of non-inferior effectiveness and safety in the paediatric population compared with </w:t>
      </w:r>
      <w:proofErr w:type="spellStart"/>
      <w:r w:rsidRPr="00192045">
        <w:t>lacosamide</w:t>
      </w:r>
      <w:proofErr w:type="spellEnd"/>
      <w:r w:rsidRPr="00192045">
        <w:t xml:space="preserve">. This </w:t>
      </w:r>
      <w:r w:rsidR="00965602" w:rsidRPr="00192045">
        <w:t>was</w:t>
      </w:r>
      <w:r w:rsidRPr="00192045">
        <w:t xml:space="preserve"> broader with respect to age than the TGA approved indication which is for patients aged four years and older but </w:t>
      </w:r>
      <w:r w:rsidR="00965602" w:rsidRPr="00192045">
        <w:t>was</w:t>
      </w:r>
      <w:r w:rsidRPr="00192045">
        <w:t xml:space="preserve"> consistent with the PBS listing for </w:t>
      </w:r>
      <w:proofErr w:type="spellStart"/>
      <w:r w:rsidRPr="00192045">
        <w:t>lacosamide</w:t>
      </w:r>
      <w:proofErr w:type="spellEnd"/>
      <w:r w:rsidRPr="00192045">
        <w:t xml:space="preserve"> for the same indication (see paragraph 3.3). </w:t>
      </w:r>
    </w:p>
    <w:p w:rsidR="0078243B" w:rsidRPr="00192045" w:rsidRDefault="00700679" w:rsidP="003104E1">
      <w:pPr>
        <w:pStyle w:val="numberedbulletstyle"/>
      </w:pPr>
      <w:r w:rsidRPr="00192045">
        <w:t xml:space="preserve">The current listings for </w:t>
      </w:r>
      <w:proofErr w:type="spellStart"/>
      <w:r w:rsidRPr="00192045">
        <w:t>brivaracetam</w:t>
      </w:r>
      <w:proofErr w:type="spellEnd"/>
      <w:r w:rsidRPr="00192045">
        <w:t xml:space="preserve"> allow nurse practitioner prescribing for continuing therapy. </w:t>
      </w:r>
    </w:p>
    <w:p w:rsidR="001C54C3" w:rsidRPr="00192045" w:rsidRDefault="001C54C3" w:rsidP="001C54C3">
      <w:pPr>
        <w:pStyle w:val="numberedbulletstyle"/>
        <w:numPr>
          <w:ilvl w:val="0"/>
          <w:numId w:val="0"/>
        </w:numPr>
        <w:ind w:left="720"/>
        <w:rPr>
          <w:i/>
        </w:rPr>
      </w:pPr>
      <w:r w:rsidRPr="00192045">
        <w:rPr>
          <w:i/>
        </w:rPr>
        <w:t>For more detail on PBAC’s view, see section 7 PBAC outcome.</w:t>
      </w:r>
    </w:p>
    <w:p w:rsidR="00B50DB8" w:rsidRPr="00192045" w:rsidRDefault="00B50DB8" w:rsidP="00B46946">
      <w:pPr>
        <w:pStyle w:val="Heading1"/>
      </w:pPr>
      <w:bookmarkStart w:id="4" w:name="_Toc19712687"/>
      <w:r w:rsidRPr="00192045">
        <w:t>Background</w:t>
      </w:r>
      <w:bookmarkEnd w:id="4"/>
    </w:p>
    <w:p w:rsidR="00B60939" w:rsidRPr="00192045" w:rsidRDefault="00591957" w:rsidP="00500B84">
      <w:pPr>
        <w:pStyle w:val="Heading2"/>
        <w:widowControl/>
      </w:pPr>
      <w:bookmarkStart w:id="5" w:name="_Toc19712688"/>
      <w:r w:rsidRPr="00192045">
        <w:t>Registration status</w:t>
      </w:r>
      <w:bookmarkEnd w:id="5"/>
    </w:p>
    <w:p w:rsidR="0035118A" w:rsidRPr="00192045" w:rsidRDefault="0035118A" w:rsidP="003104E1">
      <w:pPr>
        <w:pStyle w:val="numberedbulletstyle"/>
      </w:pPr>
      <w:proofErr w:type="spellStart"/>
      <w:r w:rsidRPr="00192045">
        <w:t>Brivaracetam</w:t>
      </w:r>
      <w:proofErr w:type="spellEnd"/>
      <w:r w:rsidRPr="00192045">
        <w:t xml:space="preserve"> was TGA registered on 2 August 2016 as add-on therapy in the treatment of partial onset seizures with or without secondary generalisation in patients from 16 years of age with epilepsy.</w:t>
      </w:r>
    </w:p>
    <w:p w:rsidR="00893B07" w:rsidRPr="00192045" w:rsidRDefault="00893B07" w:rsidP="003104E1">
      <w:pPr>
        <w:pStyle w:val="numberedbulletstyle"/>
      </w:pPr>
      <w:r w:rsidRPr="00192045">
        <w:t xml:space="preserve">The TGA registered indication for </w:t>
      </w:r>
      <w:proofErr w:type="spellStart"/>
      <w:r w:rsidRPr="00192045">
        <w:t>brivaracetam</w:t>
      </w:r>
      <w:proofErr w:type="spellEnd"/>
      <w:r w:rsidRPr="00192045">
        <w:t xml:space="preserve"> was extended </w:t>
      </w:r>
      <w:r w:rsidR="007103D1" w:rsidRPr="00192045">
        <w:t>in</w:t>
      </w:r>
      <w:r w:rsidRPr="00192045">
        <w:t xml:space="preserve"> May 2019 to: </w:t>
      </w:r>
      <w:proofErr w:type="spellStart"/>
      <w:r w:rsidRPr="00192045">
        <w:t>Briviact</w:t>
      </w:r>
      <w:proofErr w:type="spellEnd"/>
      <w:r w:rsidRPr="00192045">
        <w:t xml:space="preserve"> tablets and oral solution are indicated as </w:t>
      </w:r>
      <w:r w:rsidR="000439C3" w:rsidRPr="00192045">
        <w:t>‘</w:t>
      </w:r>
      <w:r w:rsidRPr="00192045">
        <w:t>add-on therapy in the treatment of partial onset seizures with or without secondary generalisation in patients from 4 years of age with epilepsy</w:t>
      </w:r>
      <w:r w:rsidR="00965602" w:rsidRPr="00192045">
        <w:t>’</w:t>
      </w:r>
      <w:r w:rsidR="00C90B75" w:rsidRPr="00192045">
        <w:t>.</w:t>
      </w:r>
    </w:p>
    <w:p w:rsidR="007103D1" w:rsidRPr="00192045" w:rsidRDefault="007103D1" w:rsidP="003104E1">
      <w:pPr>
        <w:pStyle w:val="numberedbulletstyle"/>
      </w:pPr>
      <w:r w:rsidRPr="00192045">
        <w:t>TGA registration was primarily based on extrapolation from adult efficacy data using pharmacokinetic and dose-response studies in children. This was based on TGA, European Medicines Agency (EMA), and United States Food and Drug Administration (FDA) allowing extrapolation of drug efficacy, but not safety, from partial (focal) epilepsy trials in adults to children aged four years and older.</w:t>
      </w:r>
      <w:r w:rsidR="005278FE" w:rsidRPr="00192045">
        <w:t xml:space="preserve"> An assessment of safety data in children was perform</w:t>
      </w:r>
      <w:r w:rsidR="00167666">
        <w:t>ed.</w:t>
      </w:r>
    </w:p>
    <w:p w:rsidR="00B033E5" w:rsidRPr="00192045" w:rsidRDefault="00B033E5" w:rsidP="00500B84">
      <w:pPr>
        <w:pStyle w:val="Heading2"/>
        <w:widowControl/>
      </w:pPr>
      <w:bookmarkStart w:id="6" w:name="_Toc19712689"/>
      <w:r w:rsidRPr="00192045">
        <w:t>Previous PBAC consideration</w:t>
      </w:r>
      <w:bookmarkEnd w:id="6"/>
    </w:p>
    <w:p w:rsidR="007103D1" w:rsidRPr="00192045" w:rsidRDefault="007103D1" w:rsidP="003104E1">
      <w:pPr>
        <w:pStyle w:val="numberedbulletstyle"/>
      </w:pPr>
      <w:r w:rsidRPr="00192045">
        <w:t xml:space="preserve">The PBAC recommended listing of </w:t>
      </w:r>
      <w:proofErr w:type="spellStart"/>
      <w:r w:rsidRPr="00192045">
        <w:t>brivaracetam</w:t>
      </w:r>
      <w:proofErr w:type="spellEnd"/>
      <w:r w:rsidRPr="00192045">
        <w:t xml:space="preserve"> for the treatment of intractable partial epileptic seizures in patients aged 16 years and older at its November 2017 meeting.</w:t>
      </w:r>
      <w:r w:rsidR="00EF59F4" w:rsidRPr="00192045">
        <w:t xml:space="preserve"> </w:t>
      </w:r>
      <w:r w:rsidR="00FE648B" w:rsidRPr="00192045">
        <w:t xml:space="preserve">Based on </w:t>
      </w:r>
      <w:r w:rsidR="00EF59F4" w:rsidRPr="00192045">
        <w:t xml:space="preserve">an indirect comparison of </w:t>
      </w:r>
      <w:proofErr w:type="spellStart"/>
      <w:r w:rsidR="00EF59F4" w:rsidRPr="00192045">
        <w:t>brivaracetam</w:t>
      </w:r>
      <w:proofErr w:type="spellEnd"/>
      <w:r w:rsidR="00EF59F4" w:rsidRPr="00192045">
        <w:t xml:space="preserve"> and </w:t>
      </w:r>
      <w:proofErr w:type="spellStart"/>
      <w:r w:rsidR="00EF59F4" w:rsidRPr="00192045">
        <w:t>lacosamide</w:t>
      </w:r>
      <w:proofErr w:type="spellEnd"/>
      <w:r w:rsidR="00FE648B" w:rsidRPr="00192045">
        <w:t>,</w:t>
      </w:r>
      <w:r w:rsidRPr="00192045">
        <w:t xml:space="preserve"> </w:t>
      </w:r>
      <w:r w:rsidR="00FE648B" w:rsidRPr="00192045">
        <w:t>t</w:t>
      </w:r>
      <w:r w:rsidRPr="00192045">
        <w:t xml:space="preserve">he PBAC </w:t>
      </w:r>
      <w:r w:rsidR="00FE648B" w:rsidRPr="00192045">
        <w:t xml:space="preserve">recommended </w:t>
      </w:r>
      <w:r w:rsidRPr="00192045">
        <w:t xml:space="preserve">listing </w:t>
      </w:r>
      <w:proofErr w:type="spellStart"/>
      <w:r w:rsidR="00FE648B" w:rsidRPr="00192045">
        <w:t>brivaracetam</w:t>
      </w:r>
      <w:proofErr w:type="spellEnd"/>
      <w:r w:rsidR="00FE648B" w:rsidRPr="00192045">
        <w:t xml:space="preserve"> considering</w:t>
      </w:r>
      <w:r w:rsidRPr="00192045">
        <w:t>, among other matters, that the cost</w:t>
      </w:r>
      <w:r w:rsidRPr="00192045">
        <w:noBreakHyphen/>
        <w:t xml:space="preserve">effectiveness of </w:t>
      </w:r>
      <w:proofErr w:type="spellStart"/>
      <w:r w:rsidRPr="00192045">
        <w:t>brivaracetam</w:t>
      </w:r>
      <w:proofErr w:type="spellEnd"/>
      <w:r w:rsidRPr="00192045">
        <w:t xml:space="preserve"> would be acceptable if it were cost</w:t>
      </w:r>
      <w:r w:rsidRPr="00192045">
        <w:noBreakHyphen/>
        <w:t xml:space="preserve">minimised against </w:t>
      </w:r>
      <w:proofErr w:type="spellStart"/>
      <w:r w:rsidRPr="00192045">
        <w:t>lacosamide</w:t>
      </w:r>
      <w:proofErr w:type="spellEnd"/>
      <w:r w:rsidRPr="00192045">
        <w:t xml:space="preserve"> (paragraph 7.1, </w:t>
      </w:r>
      <w:proofErr w:type="spellStart"/>
      <w:r w:rsidRPr="00192045">
        <w:t>brivaracetam</w:t>
      </w:r>
      <w:proofErr w:type="spellEnd"/>
      <w:r w:rsidRPr="00192045">
        <w:t xml:space="preserve"> </w:t>
      </w:r>
      <w:r w:rsidR="007A66CE" w:rsidRPr="00192045">
        <w:t>P</w:t>
      </w:r>
      <w:r w:rsidRPr="00192045">
        <w:t xml:space="preserve">ublic </w:t>
      </w:r>
      <w:r w:rsidR="007A66CE" w:rsidRPr="00192045">
        <w:t>S</w:t>
      </w:r>
      <w:r w:rsidRPr="00192045">
        <w:t xml:space="preserve">ummary </w:t>
      </w:r>
      <w:r w:rsidR="007A66CE" w:rsidRPr="00192045">
        <w:t>D</w:t>
      </w:r>
      <w:r w:rsidRPr="00192045">
        <w:t>ocument (PSD), November 2017</w:t>
      </w:r>
      <w:r w:rsidR="0003436D" w:rsidRPr="00192045">
        <w:t xml:space="preserve"> PBAC Meeting</w:t>
      </w:r>
      <w:r w:rsidR="00167666">
        <w:t>).</w:t>
      </w:r>
    </w:p>
    <w:p w:rsidR="007103D1" w:rsidRPr="00192045" w:rsidRDefault="007103D1" w:rsidP="003104E1">
      <w:pPr>
        <w:pStyle w:val="numberedbulletstyle"/>
      </w:pPr>
      <w:r w:rsidRPr="00192045">
        <w:t xml:space="preserve">At the November 2012 consideration of </w:t>
      </w:r>
      <w:proofErr w:type="spellStart"/>
      <w:r w:rsidRPr="00192045">
        <w:t>lacosamide</w:t>
      </w:r>
      <w:proofErr w:type="spellEnd"/>
      <w:r w:rsidRPr="00192045">
        <w:t xml:space="preserve">, the PBAC recommended removing the requirement under the continuation rule for patients to remain on two other AEDs. The PBAC considered that this would allow patients to use </w:t>
      </w:r>
      <w:proofErr w:type="spellStart"/>
      <w:r w:rsidRPr="00192045">
        <w:t>lacosamide</w:t>
      </w:r>
      <w:proofErr w:type="spellEnd"/>
      <w:r w:rsidRPr="00192045">
        <w:t xml:space="preserve"> as eventual dual or monotherapy. The PBAC noted the advice of the sponsor’s clinical </w:t>
      </w:r>
      <w:r w:rsidRPr="00192045">
        <w:lastRenderedPageBreak/>
        <w:t>expert</w:t>
      </w:r>
      <w:r w:rsidR="00D74C2A" w:rsidRPr="00192045">
        <w:t xml:space="preserve"> </w:t>
      </w:r>
      <w:r w:rsidRPr="00192045">
        <w:t>that given the substantial burden of treatment-related toxicity from AEDs, it was considered clinically appropriate to remove ineffective AEDs from a patient’s regimen as early as practicable. The PBAC considered this reasonable</w:t>
      </w:r>
      <w:r w:rsidR="00E36195" w:rsidRPr="00192045">
        <w:t>.</w:t>
      </w:r>
      <w:r w:rsidR="0001612D" w:rsidRPr="00192045">
        <w:t xml:space="preserve"> The PBAC also recommended a streamlined authority listing while maintaining the existing risk</w:t>
      </w:r>
      <w:r w:rsidR="0001612D" w:rsidRPr="00192045">
        <w:noBreakHyphen/>
        <w:t>share</w:t>
      </w:r>
      <w:r w:rsidRPr="00192045">
        <w:t xml:space="preserve"> </w:t>
      </w:r>
      <w:r w:rsidR="0001612D" w:rsidRPr="00192045">
        <w:t xml:space="preserve">arrangement </w:t>
      </w:r>
      <w:r w:rsidRPr="00192045">
        <w:t xml:space="preserve">(paragraph 12, </w:t>
      </w:r>
      <w:proofErr w:type="spellStart"/>
      <w:r w:rsidRPr="00192045">
        <w:t>lacosamide</w:t>
      </w:r>
      <w:proofErr w:type="spellEnd"/>
      <w:r w:rsidRPr="00192045">
        <w:t xml:space="preserve"> PSD, November 2012</w:t>
      </w:r>
      <w:r w:rsidR="0003436D" w:rsidRPr="00192045">
        <w:t xml:space="preserve"> PBAC Meeting</w:t>
      </w:r>
      <w:r w:rsidRPr="00192045">
        <w:t>)</w:t>
      </w:r>
      <w:r w:rsidR="00891CD4" w:rsidRPr="00192045">
        <w:t>.</w:t>
      </w:r>
      <w:r w:rsidR="0001612D" w:rsidRPr="00192045">
        <w:t xml:space="preserve"> </w:t>
      </w:r>
    </w:p>
    <w:p w:rsidR="008923F7" w:rsidRPr="00192045" w:rsidRDefault="007103D1" w:rsidP="008923F7">
      <w:pPr>
        <w:pStyle w:val="numberedbulletstyle"/>
      </w:pPr>
      <w:r w:rsidRPr="00192045">
        <w:t xml:space="preserve">At its November 2018 meeting, the PBAC recommended an extension to the listing for </w:t>
      </w:r>
      <w:proofErr w:type="spellStart"/>
      <w:r w:rsidRPr="00192045">
        <w:t>lacosamide</w:t>
      </w:r>
      <w:proofErr w:type="spellEnd"/>
      <w:r w:rsidRPr="00192045">
        <w:t xml:space="preserve"> to include patients aged 4 - 15 years</w:t>
      </w:r>
      <w:r w:rsidR="002F233D" w:rsidRPr="00192045">
        <w:t>, with the recommended restriction being silent on age</w:t>
      </w:r>
      <w:r w:rsidRPr="00192045">
        <w:t xml:space="preserve">. The PBAC were satisfied that </w:t>
      </w:r>
      <w:proofErr w:type="spellStart"/>
      <w:r w:rsidRPr="00192045">
        <w:t>lacosamide</w:t>
      </w:r>
      <w:proofErr w:type="spellEnd"/>
      <w:r w:rsidRPr="00192045">
        <w:t xml:space="preserve"> provides, for some patients, a significant improvement in efficacy over placebo (paragraph 7.1, </w:t>
      </w:r>
      <w:proofErr w:type="spellStart"/>
      <w:r w:rsidRPr="00192045">
        <w:t>lacosamide</w:t>
      </w:r>
      <w:proofErr w:type="spellEnd"/>
      <w:r w:rsidRPr="00192045">
        <w:t xml:space="preserve"> PSD, November 2018</w:t>
      </w:r>
      <w:r w:rsidR="0003436D" w:rsidRPr="00192045">
        <w:t xml:space="preserve"> PBAC Meeting</w:t>
      </w:r>
      <w:r w:rsidRPr="00192045">
        <w:t xml:space="preserve">). </w:t>
      </w:r>
      <w:r w:rsidR="00A03EC1" w:rsidRPr="00192045">
        <w:t>Among the different type</w:t>
      </w:r>
      <w:r w:rsidR="00680112" w:rsidRPr="00192045">
        <w:t>s</w:t>
      </w:r>
      <w:r w:rsidR="00A03EC1" w:rsidRPr="00192045">
        <w:t xml:space="preserve"> of evidence presented, t</w:t>
      </w:r>
      <w:r w:rsidRPr="00192045">
        <w:t xml:space="preserve">he </w:t>
      </w:r>
      <w:r w:rsidR="00A03EC1" w:rsidRPr="00192045">
        <w:t xml:space="preserve">PBAC considered the head-to-head </w:t>
      </w:r>
      <w:r w:rsidRPr="00192045">
        <w:t xml:space="preserve">randomised trial </w:t>
      </w:r>
      <w:r w:rsidR="00A03EC1" w:rsidRPr="00192045">
        <w:t xml:space="preserve">comparing </w:t>
      </w:r>
      <w:proofErr w:type="spellStart"/>
      <w:r w:rsidR="00A03EC1" w:rsidRPr="00192045">
        <w:t>lacosamide</w:t>
      </w:r>
      <w:proofErr w:type="spellEnd"/>
      <w:r w:rsidR="00A03EC1" w:rsidRPr="00192045">
        <w:t xml:space="preserve"> to placebo in patients aged 4 years to less than 17 years </w:t>
      </w:r>
      <w:r w:rsidRPr="00192045">
        <w:t xml:space="preserve">provided more robust evidence on the effectiveness and safety of </w:t>
      </w:r>
      <w:proofErr w:type="spellStart"/>
      <w:r w:rsidRPr="00192045">
        <w:t>lacosamide</w:t>
      </w:r>
      <w:proofErr w:type="spellEnd"/>
      <w:r w:rsidRPr="00192045">
        <w:t xml:space="preserve"> in the proposed population than the observational studies and pharmacokinetic studies (paragraph 6.3</w:t>
      </w:r>
      <w:r w:rsidR="007A66CE" w:rsidRPr="00192045">
        <w:t xml:space="preserve">, </w:t>
      </w:r>
      <w:proofErr w:type="spellStart"/>
      <w:r w:rsidR="007A66CE" w:rsidRPr="00192045">
        <w:t>lacosamide</w:t>
      </w:r>
      <w:proofErr w:type="spellEnd"/>
      <w:r w:rsidR="007A66CE" w:rsidRPr="00192045">
        <w:t xml:space="preserve"> PSD,</w:t>
      </w:r>
      <w:r w:rsidRPr="00192045">
        <w:t xml:space="preserve"> November 2018</w:t>
      </w:r>
      <w:r w:rsidR="0003436D" w:rsidRPr="00192045">
        <w:t xml:space="preserve"> PBAC Meeting</w:t>
      </w:r>
      <w:r w:rsidRPr="00192045">
        <w:t>).</w:t>
      </w:r>
    </w:p>
    <w:p w:rsidR="008923F7" w:rsidRPr="00192045" w:rsidRDefault="008923F7" w:rsidP="001C54C3">
      <w:pPr>
        <w:pStyle w:val="BodyText"/>
        <w:ind w:firstLine="709"/>
        <w:rPr>
          <w:i/>
        </w:rPr>
      </w:pPr>
      <w:r w:rsidRPr="00192045">
        <w:rPr>
          <w:i/>
        </w:rPr>
        <w:t>For more detail on PBAC’s view, see section 7 PBAC outcome.</w:t>
      </w:r>
    </w:p>
    <w:p w:rsidR="00B50DB8" w:rsidRPr="00192045" w:rsidRDefault="00203181" w:rsidP="00B46946">
      <w:pPr>
        <w:pStyle w:val="Heading1"/>
      </w:pPr>
      <w:bookmarkStart w:id="7" w:name="_Toc19712690"/>
      <w:r w:rsidRPr="00192045">
        <w:t xml:space="preserve">Population and </w:t>
      </w:r>
      <w:r w:rsidR="008E0D3C" w:rsidRPr="00192045">
        <w:t>d</w:t>
      </w:r>
      <w:r w:rsidRPr="00192045">
        <w:t>isease</w:t>
      </w:r>
      <w:bookmarkEnd w:id="7"/>
    </w:p>
    <w:p w:rsidR="001128AC" w:rsidRPr="00192045" w:rsidRDefault="001128AC" w:rsidP="003104E1">
      <w:pPr>
        <w:pStyle w:val="numberedbulletstyle"/>
      </w:pPr>
      <w:r w:rsidRPr="00192045">
        <w:t xml:space="preserve">Epilepsy is a neurological condition characterised by recurrent seizures. Partial onset seizures start in one region of the brain but may spread to other regions of the brain. Partial onset seizures are referred to as focal onset seizures using the 2017 International League </w:t>
      </w:r>
      <w:proofErr w:type="gramStart"/>
      <w:r w:rsidRPr="00192045">
        <w:t>Against</w:t>
      </w:r>
      <w:proofErr w:type="gramEnd"/>
      <w:r w:rsidRPr="00192045">
        <w:t xml:space="preserve"> Epilepsy classification of seizure types. However, the term </w:t>
      </w:r>
      <w:r w:rsidR="00F1729E" w:rsidRPr="00192045">
        <w:t>‘</w:t>
      </w:r>
      <w:r w:rsidRPr="00192045">
        <w:t>partial onset seizures</w:t>
      </w:r>
      <w:r w:rsidR="00F1729E" w:rsidRPr="00192045">
        <w:t>’</w:t>
      </w:r>
      <w:r w:rsidRPr="00192045">
        <w:t xml:space="preserve"> </w:t>
      </w:r>
      <w:r w:rsidR="001C54C3" w:rsidRPr="00192045">
        <w:t xml:space="preserve">has been </w:t>
      </w:r>
      <w:r w:rsidRPr="00192045">
        <w:t xml:space="preserve">used </w:t>
      </w:r>
      <w:r w:rsidR="001C54C3" w:rsidRPr="00192045">
        <w:t xml:space="preserve">in the PBAC minutes </w:t>
      </w:r>
      <w:r w:rsidRPr="00192045">
        <w:t>for consistency with the TGA indication</w:t>
      </w:r>
      <w:r w:rsidR="00167666">
        <w:t xml:space="preserve"> and existing PBS restrictions.</w:t>
      </w:r>
    </w:p>
    <w:p w:rsidR="001128AC" w:rsidRPr="00192045" w:rsidRDefault="001128AC" w:rsidP="003104E1">
      <w:pPr>
        <w:pStyle w:val="numberedbulletstyle"/>
      </w:pPr>
      <w:r w:rsidRPr="00192045">
        <w:t>People with epilepsy are at a higher risk of accidents and life</w:t>
      </w:r>
      <w:r w:rsidR="007D0DD6" w:rsidRPr="00192045">
        <w:noBreakHyphen/>
      </w:r>
      <w:r w:rsidRPr="00192045">
        <w:t>threatening events due to loss of consciousness and falls during seizures, irreversible brain damage, and status epilepticus (prolonged seizures). Children with epilepsy also have a higher risk of death.</w:t>
      </w:r>
      <w:r w:rsidR="00E36195" w:rsidRPr="00192045">
        <w:t xml:space="preserve"> </w:t>
      </w:r>
      <w:r w:rsidR="00A75DFC" w:rsidRPr="00192045">
        <w:t xml:space="preserve">The prevalence of epilepsy increases with age as children develop epilepsy over the course of childhood (Hollingsworth and </w:t>
      </w:r>
      <w:proofErr w:type="spellStart"/>
      <w:r w:rsidR="00A75DFC" w:rsidRPr="00192045">
        <w:t>Eadie</w:t>
      </w:r>
      <w:proofErr w:type="spellEnd"/>
      <w:r w:rsidR="00A75DFC" w:rsidRPr="00192045">
        <w:t>, 2010).</w:t>
      </w:r>
    </w:p>
    <w:p w:rsidR="00E55BB5" w:rsidRPr="00192045" w:rsidRDefault="001128AC" w:rsidP="003104E1">
      <w:pPr>
        <w:pStyle w:val="numberedbulletstyle"/>
      </w:pPr>
      <w:r w:rsidRPr="00192045">
        <w:t>AEDs are used to control seizures in patients with epilepsy. Patients typically start treatment with one AED (monotherapy). Patients may switch to another AED if the first AED does not provide adequate seizure control. If patients have tried several AEDs as monotherapy without good seizure control, two AEDs may be used together as adjunctive treatment. The stepwise approach to treatment in order to obtain seizure control is the same for adults and for children.</w:t>
      </w:r>
    </w:p>
    <w:p w:rsidR="008923F7" w:rsidRPr="00192045" w:rsidRDefault="008923F7" w:rsidP="001C54C3">
      <w:pPr>
        <w:pStyle w:val="BodyText"/>
        <w:ind w:firstLine="709"/>
        <w:rPr>
          <w:i/>
        </w:rPr>
      </w:pPr>
      <w:r w:rsidRPr="00192045">
        <w:rPr>
          <w:i/>
        </w:rPr>
        <w:t>For more detail on PBAC’s view, see section 7 PBAC outcome.</w:t>
      </w:r>
    </w:p>
    <w:p w:rsidR="00B50DB8" w:rsidRPr="00192045" w:rsidRDefault="00B50DB8" w:rsidP="00B46946">
      <w:pPr>
        <w:pStyle w:val="Heading1"/>
      </w:pPr>
      <w:bookmarkStart w:id="8" w:name="_Toc19712691"/>
      <w:r w:rsidRPr="00192045">
        <w:lastRenderedPageBreak/>
        <w:t>Comparator</w:t>
      </w:r>
      <w:bookmarkEnd w:id="8"/>
    </w:p>
    <w:p w:rsidR="001128AC" w:rsidRPr="00192045" w:rsidRDefault="001128AC" w:rsidP="003104E1">
      <w:pPr>
        <w:pStyle w:val="numberedbulletstyle"/>
      </w:pPr>
      <w:r w:rsidRPr="00192045">
        <w:t xml:space="preserve">The submission nominated </w:t>
      </w:r>
      <w:proofErr w:type="spellStart"/>
      <w:r w:rsidRPr="00192045">
        <w:t>lacosamide</w:t>
      </w:r>
      <w:proofErr w:type="spellEnd"/>
      <w:r w:rsidRPr="00192045">
        <w:t xml:space="preserve"> as the main comparator. This was appropriate. At its November 2017 consideration of </w:t>
      </w:r>
      <w:proofErr w:type="spellStart"/>
      <w:r w:rsidRPr="00192045">
        <w:t>brivaracetam</w:t>
      </w:r>
      <w:proofErr w:type="spellEnd"/>
      <w:r w:rsidRPr="00192045">
        <w:t xml:space="preserve"> for patients aged 16 years and older, the PBAC </w:t>
      </w:r>
      <w:r w:rsidR="00F1729E" w:rsidRPr="00192045">
        <w:t>’</w:t>
      </w:r>
      <w:r w:rsidRPr="00192045">
        <w:t xml:space="preserve">accepted </w:t>
      </w:r>
      <w:proofErr w:type="spellStart"/>
      <w:r w:rsidRPr="00192045">
        <w:t>lacosamide</w:t>
      </w:r>
      <w:proofErr w:type="spellEnd"/>
      <w:r w:rsidRPr="00192045">
        <w:t xml:space="preserve"> as the appropriate comparator</w:t>
      </w:r>
      <w:r w:rsidR="00F1729E" w:rsidRPr="00192045">
        <w:t>’</w:t>
      </w:r>
      <w:r w:rsidRPr="00192045">
        <w:t xml:space="preserve"> (paragraph 7.5, </w:t>
      </w:r>
      <w:proofErr w:type="spellStart"/>
      <w:r w:rsidR="00633A84" w:rsidRPr="00192045">
        <w:t>brivaracetam</w:t>
      </w:r>
      <w:proofErr w:type="spellEnd"/>
      <w:r w:rsidR="00633A84" w:rsidRPr="00192045">
        <w:t xml:space="preserve"> PSD, </w:t>
      </w:r>
      <w:r w:rsidRPr="00192045">
        <w:t>November 2017</w:t>
      </w:r>
      <w:r w:rsidR="0003436D" w:rsidRPr="00192045">
        <w:t xml:space="preserve"> PBAC Meeting</w:t>
      </w:r>
      <w:r w:rsidR="00167666">
        <w:t>).</w:t>
      </w:r>
    </w:p>
    <w:p w:rsidR="00B60939" w:rsidRPr="00192045" w:rsidRDefault="001128AC" w:rsidP="003104E1">
      <w:pPr>
        <w:pStyle w:val="numberedbulletstyle"/>
      </w:pPr>
      <w:r w:rsidRPr="00192045">
        <w:t xml:space="preserve">The submission considered that </w:t>
      </w:r>
      <w:proofErr w:type="spellStart"/>
      <w:r w:rsidRPr="00192045">
        <w:t>p</w:t>
      </w:r>
      <w:r w:rsidR="0013628F" w:rsidRPr="00192045">
        <w:t>erampanel</w:t>
      </w:r>
      <w:proofErr w:type="spellEnd"/>
      <w:r w:rsidRPr="00192045">
        <w:t xml:space="preserve"> </w:t>
      </w:r>
      <w:r w:rsidR="0013628F" w:rsidRPr="00192045">
        <w:t>is not a comparator given it</w:t>
      </w:r>
      <w:r w:rsidRPr="00192045">
        <w:t xml:space="preserve"> is TGA registered for use in patients 12 years and older.</w:t>
      </w:r>
      <w:r w:rsidR="0013628F" w:rsidRPr="00192045">
        <w:t xml:space="preserve"> The evaluation noted </w:t>
      </w:r>
      <w:proofErr w:type="spellStart"/>
      <w:r w:rsidR="0013628F" w:rsidRPr="00192045">
        <w:t>perampanel</w:t>
      </w:r>
      <w:proofErr w:type="spellEnd"/>
      <w:r w:rsidR="0013628F" w:rsidRPr="00192045">
        <w:t xml:space="preserve"> has a similar restriction to the proposed </w:t>
      </w:r>
      <w:proofErr w:type="spellStart"/>
      <w:r w:rsidR="0013628F" w:rsidRPr="00192045">
        <w:t>brivaracetam</w:t>
      </w:r>
      <w:proofErr w:type="spellEnd"/>
      <w:r w:rsidR="0013628F" w:rsidRPr="00192045">
        <w:t xml:space="preserve"> restriction, i.e. it is silent on age and does not require continuing therapy to be in combination with two or more anti-epileptic drugs.</w:t>
      </w:r>
      <w:r w:rsidRPr="00192045">
        <w:t xml:space="preserve"> At its November 2018 consideration of </w:t>
      </w:r>
      <w:proofErr w:type="spellStart"/>
      <w:r w:rsidRPr="00192045">
        <w:t>lacosamide</w:t>
      </w:r>
      <w:proofErr w:type="spellEnd"/>
      <w:r w:rsidRPr="00192045">
        <w:t xml:space="preserve"> for the same population, </w:t>
      </w:r>
      <w:r w:rsidR="00931A67">
        <w:t>t</w:t>
      </w:r>
      <w:r w:rsidRPr="00192045">
        <w:t xml:space="preserve">he ESC agreed that </w:t>
      </w:r>
      <w:proofErr w:type="spellStart"/>
      <w:r w:rsidRPr="00192045">
        <w:t>perampanel</w:t>
      </w:r>
      <w:proofErr w:type="spellEnd"/>
      <w:r w:rsidRPr="00192045">
        <w:t xml:space="preserve"> may be an appropriate comparator for the proposed population aged 12 years and older despite the lack of comparative data (paragraph 5.2, </w:t>
      </w:r>
      <w:proofErr w:type="spellStart"/>
      <w:r w:rsidR="00633A84" w:rsidRPr="00192045">
        <w:t>lacosamide</w:t>
      </w:r>
      <w:proofErr w:type="spellEnd"/>
      <w:r w:rsidR="00633A84" w:rsidRPr="00192045">
        <w:t xml:space="preserve"> PSD, </w:t>
      </w:r>
      <w:r w:rsidRPr="00192045">
        <w:t>November 2018</w:t>
      </w:r>
      <w:r w:rsidR="0003436D" w:rsidRPr="00192045">
        <w:t xml:space="preserve"> PBAC Meeting</w:t>
      </w:r>
      <w:r w:rsidRPr="00192045">
        <w:t xml:space="preserve">). </w:t>
      </w:r>
      <w:bookmarkStart w:id="9" w:name="_Hlk16760901"/>
      <w:r w:rsidR="00495B5F" w:rsidRPr="00192045">
        <w:t xml:space="preserve">The evaluation considered </w:t>
      </w:r>
      <w:proofErr w:type="spellStart"/>
      <w:r w:rsidR="00495B5F" w:rsidRPr="00192045">
        <w:t>p</w:t>
      </w:r>
      <w:r w:rsidR="007D0DD6" w:rsidRPr="00192045">
        <w:t>erampanel</w:t>
      </w:r>
      <w:proofErr w:type="spellEnd"/>
      <w:r w:rsidR="007D0DD6" w:rsidRPr="00192045">
        <w:t xml:space="preserve"> </w:t>
      </w:r>
      <w:r w:rsidR="00495B5F" w:rsidRPr="00192045">
        <w:t xml:space="preserve">may also be a </w:t>
      </w:r>
      <w:r w:rsidR="007D0DD6" w:rsidRPr="00192045">
        <w:t>comparator for the sub-population aged 12 </w:t>
      </w:r>
      <w:r w:rsidR="007D0DD6" w:rsidRPr="00192045">
        <w:noBreakHyphen/>
        <w:t> 15 years.</w:t>
      </w:r>
      <w:bookmarkEnd w:id="9"/>
    </w:p>
    <w:p w:rsidR="008923F7" w:rsidRPr="00192045" w:rsidRDefault="008923F7" w:rsidP="00516E03">
      <w:pPr>
        <w:pStyle w:val="BodyText"/>
        <w:ind w:firstLine="709"/>
        <w:rPr>
          <w:i/>
        </w:rPr>
      </w:pPr>
      <w:r w:rsidRPr="00192045">
        <w:rPr>
          <w:i/>
        </w:rPr>
        <w:t>For more detail on PBAC’s view, see section 7 PBAC outcome.</w:t>
      </w:r>
    </w:p>
    <w:p w:rsidR="00B50DB8" w:rsidRPr="00192045" w:rsidRDefault="00BD6CF3" w:rsidP="00B46946">
      <w:pPr>
        <w:pStyle w:val="Heading1"/>
      </w:pPr>
      <w:bookmarkStart w:id="10" w:name="_Toc19712692"/>
      <w:r w:rsidRPr="00192045">
        <w:t>C</w:t>
      </w:r>
      <w:r w:rsidR="00B50DB8" w:rsidRPr="00192045">
        <w:t>onsideration of the evidence</w:t>
      </w:r>
      <w:bookmarkEnd w:id="10"/>
    </w:p>
    <w:p w:rsidR="00380BC0" w:rsidRPr="00192045" w:rsidRDefault="00380BC0" w:rsidP="00BD4EC8">
      <w:pPr>
        <w:pStyle w:val="Heading2"/>
      </w:pPr>
      <w:bookmarkStart w:id="11" w:name="_Toc19712693"/>
      <w:r w:rsidRPr="00192045">
        <w:t>Sponsor hearing</w:t>
      </w:r>
    </w:p>
    <w:p w:rsidR="00380BC0" w:rsidRPr="00192045" w:rsidRDefault="00380BC0" w:rsidP="00380BC0">
      <w:pPr>
        <w:numPr>
          <w:ilvl w:val="1"/>
          <w:numId w:val="3"/>
        </w:numPr>
        <w:spacing w:after="120"/>
        <w:rPr>
          <w:rFonts w:asciiTheme="minorHAnsi" w:hAnsiTheme="minorHAnsi"/>
          <w:bCs/>
        </w:rPr>
      </w:pPr>
      <w:r w:rsidRPr="00192045">
        <w:rPr>
          <w:rFonts w:asciiTheme="minorHAnsi" w:hAnsiTheme="minorHAnsi"/>
          <w:bCs/>
        </w:rPr>
        <w:t>There was no hearing for this item.</w:t>
      </w:r>
    </w:p>
    <w:p w:rsidR="00380BC0" w:rsidRPr="00192045" w:rsidRDefault="00380BC0" w:rsidP="00BD4EC8">
      <w:pPr>
        <w:pStyle w:val="Heading2"/>
      </w:pPr>
      <w:r w:rsidRPr="00192045">
        <w:t>Consumer comments</w:t>
      </w:r>
    </w:p>
    <w:p w:rsidR="00380BC0" w:rsidRPr="00192045" w:rsidRDefault="00380BC0" w:rsidP="007E0D80">
      <w:pPr>
        <w:pStyle w:val="numberedbulletstyle"/>
      </w:pPr>
      <w:r w:rsidRPr="00192045">
        <w:t xml:space="preserve">The PBAC noted and welcomed the input from </w:t>
      </w:r>
      <w:r w:rsidR="007E0D80" w:rsidRPr="00192045">
        <w:t xml:space="preserve">the </w:t>
      </w:r>
      <w:r w:rsidR="007E0D80" w:rsidRPr="00192045">
        <w:rPr>
          <w:rFonts w:asciiTheme="minorHAnsi" w:hAnsiTheme="minorHAnsi"/>
          <w:bCs/>
        </w:rPr>
        <w:t>National Paediatric Medicines Forum</w:t>
      </w:r>
      <w:r w:rsidR="00BD4EC8" w:rsidRPr="00192045">
        <w:rPr>
          <w:rFonts w:asciiTheme="minorHAnsi" w:hAnsiTheme="minorHAnsi"/>
          <w:bCs/>
        </w:rPr>
        <w:t xml:space="preserve"> (NPMF)</w:t>
      </w:r>
      <w:r w:rsidRPr="00192045">
        <w:t xml:space="preserve"> via the Consumer Comments facility on the PBS website. The comments </w:t>
      </w:r>
      <w:r w:rsidR="007E0D80" w:rsidRPr="00192045">
        <w:t xml:space="preserve">highlighted the benefits </w:t>
      </w:r>
      <w:r w:rsidR="00BD4EC8" w:rsidRPr="00192045">
        <w:t>that</w:t>
      </w:r>
      <w:r w:rsidR="007E0D80" w:rsidRPr="00192045">
        <w:t xml:space="preserve"> further treatment options </w:t>
      </w:r>
      <w:r w:rsidR="00BD4EC8" w:rsidRPr="00192045">
        <w:t>would bring to paediatric patients with epilepsy, i</w:t>
      </w:r>
      <w:r w:rsidRPr="00192045">
        <w:t xml:space="preserve">ncluding </w:t>
      </w:r>
      <w:r w:rsidR="00BD4EC8" w:rsidRPr="00192045">
        <w:t>improved seizure control and compliance leading to improved school and social activities, reduced burden on carers, and reduced presentations to hospital and GPs.</w:t>
      </w:r>
    </w:p>
    <w:p w:rsidR="00B60939" w:rsidRPr="00192045" w:rsidRDefault="00B60939" w:rsidP="00500B84">
      <w:pPr>
        <w:pStyle w:val="Heading2"/>
        <w:widowControl/>
      </w:pPr>
      <w:r w:rsidRPr="00192045">
        <w:t>Clinical trials</w:t>
      </w:r>
      <w:bookmarkEnd w:id="11"/>
    </w:p>
    <w:p w:rsidR="003E58F5" w:rsidRPr="00192045" w:rsidRDefault="003E58F5" w:rsidP="003104E1">
      <w:pPr>
        <w:pStyle w:val="numberedbulletstyle"/>
      </w:pPr>
      <w:r w:rsidRPr="00192045">
        <w:t>The submission presented a clinical evaluation based on an approach</w:t>
      </w:r>
      <w:r w:rsidR="00BE3423" w:rsidRPr="00192045">
        <w:t xml:space="preserve"> </w:t>
      </w:r>
      <w:r w:rsidR="009567FB" w:rsidRPr="00192045">
        <w:t xml:space="preserve">accepted by regulatory agencies </w:t>
      </w:r>
      <w:r w:rsidR="00BE3423" w:rsidRPr="00192045">
        <w:t>that</w:t>
      </w:r>
      <w:r w:rsidRPr="00192045">
        <w:t>:</w:t>
      </w:r>
    </w:p>
    <w:p w:rsidR="00BE3423" w:rsidRPr="00192045" w:rsidRDefault="009567FB" w:rsidP="00500B84">
      <w:pPr>
        <w:pStyle w:val="ListParagraph"/>
        <w:widowControl/>
        <w:numPr>
          <w:ilvl w:val="0"/>
          <w:numId w:val="28"/>
        </w:numPr>
      </w:pPr>
      <w:r w:rsidRPr="00192045">
        <w:t>t</w:t>
      </w:r>
      <w:r w:rsidR="00BE3423" w:rsidRPr="00192045">
        <w:t xml:space="preserve">he effectiveness of </w:t>
      </w:r>
      <w:proofErr w:type="spellStart"/>
      <w:r w:rsidR="00BE3423" w:rsidRPr="00192045">
        <w:t>brivaracetam</w:t>
      </w:r>
      <w:proofErr w:type="spellEnd"/>
      <w:r w:rsidR="00BE3423" w:rsidRPr="00192045">
        <w:t xml:space="preserve"> as an adjunctive treatment for partial onset seizures in adults has been demonstrated;</w:t>
      </w:r>
    </w:p>
    <w:p w:rsidR="003E58F5" w:rsidRPr="00192045" w:rsidRDefault="009567FB" w:rsidP="00500B84">
      <w:pPr>
        <w:pStyle w:val="ListParagraph"/>
        <w:widowControl/>
        <w:numPr>
          <w:ilvl w:val="0"/>
          <w:numId w:val="28"/>
        </w:numPr>
      </w:pPr>
      <w:r w:rsidRPr="00192045">
        <w:t>t</w:t>
      </w:r>
      <w:r w:rsidR="003E58F5" w:rsidRPr="00192045">
        <w:t xml:space="preserve">he results of efficacy trials performed in adults with partial onset epilepsy can be extrapolated to paediatric patients aged 4 years and older; </w:t>
      </w:r>
      <w:r w:rsidR="00A66667" w:rsidRPr="00192045">
        <w:t xml:space="preserve">and </w:t>
      </w:r>
    </w:p>
    <w:p w:rsidR="004E5C7B" w:rsidRPr="00192045" w:rsidRDefault="009567FB" w:rsidP="00500B84">
      <w:pPr>
        <w:pStyle w:val="ListParagraph"/>
        <w:widowControl/>
        <w:numPr>
          <w:ilvl w:val="0"/>
          <w:numId w:val="28"/>
        </w:numPr>
      </w:pPr>
      <w:proofErr w:type="gramStart"/>
      <w:r w:rsidRPr="00192045">
        <w:t>s</w:t>
      </w:r>
      <w:r w:rsidR="003E58F5" w:rsidRPr="00192045">
        <w:t>afety</w:t>
      </w:r>
      <w:proofErr w:type="gramEnd"/>
      <w:r w:rsidR="003E58F5" w:rsidRPr="00192045">
        <w:t xml:space="preserve"> studies of </w:t>
      </w:r>
      <w:proofErr w:type="spellStart"/>
      <w:r w:rsidR="003E58F5" w:rsidRPr="00192045">
        <w:t>brivaracetam</w:t>
      </w:r>
      <w:proofErr w:type="spellEnd"/>
      <w:r w:rsidR="003E58F5" w:rsidRPr="00192045">
        <w:t xml:space="preserve"> demonstrate that the safety of </w:t>
      </w:r>
      <w:proofErr w:type="spellStart"/>
      <w:r w:rsidR="003E58F5" w:rsidRPr="00192045">
        <w:t>brivaracetam</w:t>
      </w:r>
      <w:proofErr w:type="spellEnd"/>
      <w:r w:rsidR="003E58F5" w:rsidRPr="00192045">
        <w:t xml:space="preserve"> </w:t>
      </w:r>
      <w:r w:rsidR="003A59E8" w:rsidRPr="00192045">
        <w:t xml:space="preserve">in </w:t>
      </w:r>
      <w:r w:rsidR="003E58F5" w:rsidRPr="00192045">
        <w:t xml:space="preserve">paediatric patients was consistent with studies in adults. </w:t>
      </w:r>
    </w:p>
    <w:p w:rsidR="003E58F5" w:rsidRPr="00192045" w:rsidRDefault="003E58F5" w:rsidP="00500B84">
      <w:pPr>
        <w:widowControl/>
        <w:ind w:left="720"/>
      </w:pPr>
      <w:r w:rsidRPr="00192045">
        <w:lastRenderedPageBreak/>
        <w:t xml:space="preserve">The submission did not consider comparative </w:t>
      </w:r>
      <w:r w:rsidR="004E5C7B" w:rsidRPr="00192045">
        <w:t xml:space="preserve">effectiveness and </w:t>
      </w:r>
      <w:r w:rsidRPr="00192045">
        <w:t xml:space="preserve">safety with </w:t>
      </w:r>
      <w:proofErr w:type="spellStart"/>
      <w:r w:rsidRPr="00192045">
        <w:t>lacosamide</w:t>
      </w:r>
      <w:proofErr w:type="spellEnd"/>
      <w:r w:rsidRPr="00192045">
        <w:t xml:space="preserve"> in paediatric patients.</w:t>
      </w:r>
    </w:p>
    <w:p w:rsidR="00D36DE1" w:rsidRPr="00192045" w:rsidRDefault="00D36DE1" w:rsidP="00500B84">
      <w:pPr>
        <w:widowControl/>
        <w:ind w:left="720"/>
      </w:pPr>
    </w:p>
    <w:p w:rsidR="00754E2E" w:rsidRPr="00192045" w:rsidRDefault="00091DC4" w:rsidP="00E2012A">
      <w:pPr>
        <w:pStyle w:val="numberedbulletstyle"/>
      </w:pPr>
      <w:r w:rsidRPr="00192045">
        <w:t xml:space="preserve">Table </w:t>
      </w:r>
      <w:r w:rsidR="00C36BBC" w:rsidRPr="00192045">
        <w:t>2</w:t>
      </w:r>
      <w:r w:rsidRPr="00192045">
        <w:t xml:space="preserve"> </w:t>
      </w:r>
      <w:r w:rsidR="00754E2E" w:rsidRPr="00192045">
        <w:t>presents an overview of the evidence presented in the submission, including:</w:t>
      </w:r>
    </w:p>
    <w:p w:rsidR="00754E2E" w:rsidRPr="00192045" w:rsidRDefault="00754E2E" w:rsidP="00500B84">
      <w:pPr>
        <w:pStyle w:val="ListParagraph"/>
        <w:widowControl/>
        <w:numPr>
          <w:ilvl w:val="0"/>
          <w:numId w:val="29"/>
        </w:numPr>
      </w:pPr>
      <w:proofErr w:type="gramStart"/>
      <w:r w:rsidRPr="00192045">
        <w:t>three</w:t>
      </w:r>
      <w:proofErr w:type="gramEnd"/>
      <w:r w:rsidRPr="00192045">
        <w:t xml:space="preserve"> single-arm studies</w:t>
      </w:r>
      <w:r w:rsidR="003A59E8" w:rsidRPr="00192045">
        <w:t xml:space="preserve"> (N01266, N01263, Schubert-</w:t>
      </w:r>
      <w:proofErr w:type="spellStart"/>
      <w:r w:rsidR="003A59E8" w:rsidRPr="00192045">
        <w:t>Bast</w:t>
      </w:r>
      <w:proofErr w:type="spellEnd"/>
      <w:r w:rsidR="003A59E8" w:rsidRPr="00192045">
        <w:t xml:space="preserve"> (2018))</w:t>
      </w:r>
      <w:r w:rsidRPr="00192045">
        <w:t xml:space="preserve"> of </w:t>
      </w:r>
      <w:proofErr w:type="spellStart"/>
      <w:r w:rsidRPr="00192045">
        <w:t>brivaracetam</w:t>
      </w:r>
      <w:proofErr w:type="spellEnd"/>
      <w:r w:rsidRPr="00192045">
        <w:t xml:space="preserve"> in paediatric patients to support the safety of </w:t>
      </w:r>
      <w:proofErr w:type="spellStart"/>
      <w:r w:rsidRPr="00192045">
        <w:t>brivaracetam</w:t>
      </w:r>
      <w:proofErr w:type="spellEnd"/>
      <w:r w:rsidRPr="00192045">
        <w:t xml:space="preserve"> in the paediatric population. Two </w:t>
      </w:r>
      <w:r w:rsidR="003A59E8" w:rsidRPr="00192045">
        <w:t xml:space="preserve">of these </w:t>
      </w:r>
      <w:r w:rsidRPr="00192045">
        <w:t>studies (N01263 and Schubert-</w:t>
      </w:r>
      <w:proofErr w:type="spellStart"/>
      <w:r w:rsidRPr="00192045">
        <w:t>Bast</w:t>
      </w:r>
      <w:proofErr w:type="spellEnd"/>
      <w:r w:rsidRPr="00192045">
        <w:t xml:space="preserve"> 2018) also included effectiveness outcomes; </w:t>
      </w:r>
    </w:p>
    <w:p w:rsidR="00754E2E" w:rsidRPr="00192045" w:rsidRDefault="00754E2E" w:rsidP="00500B84">
      <w:pPr>
        <w:pStyle w:val="ListParagraph"/>
        <w:widowControl/>
        <w:numPr>
          <w:ilvl w:val="0"/>
          <w:numId w:val="29"/>
        </w:numPr>
      </w:pPr>
      <w:proofErr w:type="gramStart"/>
      <w:r w:rsidRPr="00192045">
        <w:t>indirect</w:t>
      </w:r>
      <w:proofErr w:type="gramEnd"/>
      <w:r w:rsidRPr="00192045">
        <w:t xml:space="preserve"> treatment comparisons that compared </w:t>
      </w:r>
      <w:r w:rsidR="00703E85" w:rsidRPr="00192045">
        <w:t xml:space="preserve">three </w:t>
      </w:r>
      <w:proofErr w:type="spellStart"/>
      <w:r w:rsidRPr="00192045">
        <w:t>brivaracetam</w:t>
      </w:r>
      <w:proofErr w:type="spellEnd"/>
      <w:r w:rsidR="00703E85" w:rsidRPr="00192045">
        <w:t xml:space="preserve"> RCTs</w:t>
      </w:r>
      <w:r w:rsidRPr="00192045">
        <w:t xml:space="preserve"> with </w:t>
      </w:r>
      <w:r w:rsidR="00703E85" w:rsidRPr="00192045">
        <w:t xml:space="preserve">three </w:t>
      </w:r>
      <w:proofErr w:type="spellStart"/>
      <w:r w:rsidRPr="00192045">
        <w:t>lacosamide</w:t>
      </w:r>
      <w:proofErr w:type="spellEnd"/>
      <w:r w:rsidR="00703E85" w:rsidRPr="00192045">
        <w:t xml:space="preserve"> RCTs</w:t>
      </w:r>
      <w:r w:rsidRPr="00192045">
        <w:t xml:space="preserve"> in adults</w:t>
      </w:r>
      <w:r w:rsidR="00703E85" w:rsidRPr="00192045">
        <w:t xml:space="preserve"> (using placebo as the common arm)</w:t>
      </w:r>
      <w:r w:rsidRPr="00192045">
        <w:t xml:space="preserve"> which the submission considered could be extrapolated to the paediatric population aged 4 - 15 years. These were considered by the PBAC at its previous considerations of </w:t>
      </w:r>
      <w:proofErr w:type="spellStart"/>
      <w:r w:rsidRPr="00192045">
        <w:t>brivaracetam</w:t>
      </w:r>
      <w:proofErr w:type="spellEnd"/>
      <w:r w:rsidRPr="00192045">
        <w:t xml:space="preserve"> for the population aged 16 years and older (July 2016, March 2017, November 2017</w:t>
      </w:r>
      <w:r w:rsidR="0003436D" w:rsidRPr="00192045">
        <w:t xml:space="preserve"> PBAC Meeting</w:t>
      </w:r>
      <w:r w:rsidRPr="00192045">
        <w:t>)</w:t>
      </w:r>
      <w:r w:rsidR="00F53B5A" w:rsidRPr="00192045">
        <w:t>; and</w:t>
      </w:r>
      <w:r w:rsidRPr="00192045">
        <w:t xml:space="preserve"> </w:t>
      </w:r>
    </w:p>
    <w:p w:rsidR="00754E2E" w:rsidRPr="00192045" w:rsidRDefault="00703E85" w:rsidP="00500B84">
      <w:pPr>
        <w:pStyle w:val="ListParagraph"/>
        <w:widowControl/>
        <w:numPr>
          <w:ilvl w:val="0"/>
          <w:numId w:val="29"/>
        </w:numPr>
      </w:pPr>
      <w:proofErr w:type="gramStart"/>
      <w:r w:rsidRPr="00192045">
        <w:t>two</w:t>
      </w:r>
      <w:proofErr w:type="gramEnd"/>
      <w:r w:rsidRPr="00192045">
        <w:t xml:space="preserve"> </w:t>
      </w:r>
      <w:r w:rsidR="00754E2E" w:rsidRPr="00192045">
        <w:t xml:space="preserve">pharmacokinetic studies </w:t>
      </w:r>
      <w:r w:rsidRPr="00192045">
        <w:t xml:space="preserve">(CL0187 and CL0258) </w:t>
      </w:r>
      <w:r w:rsidR="00754E2E" w:rsidRPr="00192045">
        <w:t xml:space="preserve">to support the extrapolation of adult effectiveness outcomes to the paediatric population. These were assessed by the TGA in its consideration to extend the </w:t>
      </w:r>
      <w:proofErr w:type="spellStart"/>
      <w:r w:rsidR="00754E2E" w:rsidRPr="00192045">
        <w:t>brivaracetam</w:t>
      </w:r>
      <w:proofErr w:type="spellEnd"/>
      <w:r w:rsidR="00754E2E" w:rsidRPr="00192045">
        <w:t xml:space="preserve"> indication to include children</w:t>
      </w:r>
      <w:r w:rsidR="003A59E8" w:rsidRPr="00192045">
        <w:t xml:space="preserve"> aged</w:t>
      </w:r>
      <w:r w:rsidR="00754E2E" w:rsidRPr="00192045">
        <w:t xml:space="preserve"> 4 years and older.</w:t>
      </w:r>
    </w:p>
    <w:p w:rsidR="00091DC4" w:rsidRPr="00192045" w:rsidRDefault="00C36BBC" w:rsidP="009B7399">
      <w:pPr>
        <w:pStyle w:val="ListParagraph"/>
        <w:keepNext/>
        <w:widowControl/>
        <w:spacing w:after="0"/>
        <w:ind w:left="0"/>
        <w:rPr>
          <w:rStyle w:val="CommentReference"/>
        </w:rPr>
      </w:pPr>
      <w:r w:rsidRPr="00192045">
        <w:rPr>
          <w:rStyle w:val="CommentReference"/>
        </w:rPr>
        <w:t>Table 2</w:t>
      </w:r>
      <w:r w:rsidR="00091DC4" w:rsidRPr="00192045">
        <w:rPr>
          <w:rStyle w:val="CommentReference"/>
        </w:rPr>
        <w:t xml:space="preserve">: Overview of evidence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1"/>
        <w:gridCol w:w="1809"/>
        <w:gridCol w:w="2371"/>
        <w:gridCol w:w="1277"/>
        <w:gridCol w:w="1042"/>
        <w:gridCol w:w="1377"/>
      </w:tblGrid>
      <w:tr w:rsidR="00091DC4" w:rsidRPr="00192045" w:rsidTr="00DE3472">
        <w:trPr>
          <w:trHeight w:val="450"/>
        </w:trPr>
        <w:tc>
          <w:tcPr>
            <w:tcW w:w="0" w:type="auto"/>
            <w:shd w:val="clear" w:color="auto" w:fill="auto"/>
            <w:vAlign w:val="center"/>
          </w:tcPr>
          <w:p w:rsidR="00091DC4" w:rsidRPr="00192045" w:rsidRDefault="00091DC4" w:rsidP="009B7399">
            <w:pPr>
              <w:pStyle w:val="Tabletext"/>
              <w:keepNext/>
              <w:rPr>
                <w:b/>
              </w:rPr>
            </w:pPr>
            <w:r w:rsidRPr="00192045">
              <w:rPr>
                <w:b/>
              </w:rPr>
              <w:t>Study</w:t>
            </w:r>
          </w:p>
        </w:tc>
        <w:tc>
          <w:tcPr>
            <w:tcW w:w="0" w:type="auto"/>
            <w:shd w:val="clear" w:color="auto" w:fill="auto"/>
            <w:vAlign w:val="center"/>
          </w:tcPr>
          <w:p w:rsidR="00091DC4" w:rsidRPr="00192045" w:rsidRDefault="00091DC4" w:rsidP="009B7399">
            <w:pPr>
              <w:pStyle w:val="Tabletext"/>
              <w:keepNext/>
              <w:jc w:val="center"/>
              <w:rPr>
                <w:b/>
              </w:rPr>
            </w:pPr>
            <w:r w:rsidRPr="00192045">
              <w:rPr>
                <w:b/>
              </w:rPr>
              <w:t>Design/ duration</w:t>
            </w:r>
          </w:p>
        </w:tc>
        <w:tc>
          <w:tcPr>
            <w:tcW w:w="0" w:type="auto"/>
            <w:shd w:val="clear" w:color="auto" w:fill="auto"/>
            <w:vAlign w:val="center"/>
          </w:tcPr>
          <w:p w:rsidR="00091DC4" w:rsidRPr="00192045" w:rsidRDefault="00091DC4" w:rsidP="009B7399">
            <w:pPr>
              <w:pStyle w:val="Tabletext"/>
              <w:keepNext/>
              <w:jc w:val="center"/>
              <w:rPr>
                <w:b/>
              </w:rPr>
            </w:pPr>
            <w:r w:rsidRPr="00192045">
              <w:rPr>
                <w:b/>
              </w:rPr>
              <w:t>Patient population</w:t>
            </w:r>
          </w:p>
        </w:tc>
        <w:tc>
          <w:tcPr>
            <w:tcW w:w="0" w:type="auto"/>
            <w:shd w:val="clear" w:color="auto" w:fill="auto"/>
            <w:vAlign w:val="center"/>
          </w:tcPr>
          <w:p w:rsidR="00091DC4" w:rsidRPr="00192045" w:rsidRDefault="00091DC4" w:rsidP="009B7399">
            <w:pPr>
              <w:pStyle w:val="Tabletext"/>
              <w:keepNext/>
              <w:jc w:val="center"/>
              <w:rPr>
                <w:b/>
              </w:rPr>
            </w:pPr>
            <w:r w:rsidRPr="00192045">
              <w:rPr>
                <w:b/>
              </w:rPr>
              <w:t>Previously seen by PBAC</w:t>
            </w:r>
          </w:p>
        </w:tc>
        <w:tc>
          <w:tcPr>
            <w:tcW w:w="0" w:type="auto"/>
            <w:shd w:val="clear" w:color="auto" w:fill="auto"/>
            <w:vAlign w:val="center"/>
          </w:tcPr>
          <w:p w:rsidR="00091DC4" w:rsidRPr="00192045" w:rsidRDefault="00091DC4" w:rsidP="009B7399">
            <w:pPr>
              <w:pStyle w:val="Tabletext"/>
              <w:keepNext/>
              <w:jc w:val="center"/>
              <w:rPr>
                <w:b/>
              </w:rPr>
            </w:pPr>
            <w:r w:rsidRPr="00192045">
              <w:rPr>
                <w:b/>
              </w:rPr>
              <w:t>Evaluated by TGA</w:t>
            </w:r>
          </w:p>
        </w:tc>
        <w:tc>
          <w:tcPr>
            <w:tcW w:w="0" w:type="auto"/>
            <w:shd w:val="clear" w:color="auto" w:fill="auto"/>
            <w:vAlign w:val="center"/>
          </w:tcPr>
          <w:p w:rsidR="00091DC4" w:rsidRPr="00192045" w:rsidRDefault="002A0FAF" w:rsidP="009B7399">
            <w:pPr>
              <w:pStyle w:val="Tabletext"/>
              <w:keepNext/>
              <w:jc w:val="center"/>
              <w:rPr>
                <w:b/>
              </w:rPr>
            </w:pPr>
            <w:r w:rsidRPr="00192045">
              <w:rPr>
                <w:b/>
              </w:rPr>
              <w:t>Presented in commentary</w:t>
            </w:r>
          </w:p>
        </w:tc>
      </w:tr>
      <w:tr w:rsidR="00091DC4" w:rsidRPr="00192045" w:rsidTr="00D06024">
        <w:trPr>
          <w:trHeight w:val="232"/>
        </w:trPr>
        <w:tc>
          <w:tcPr>
            <w:tcW w:w="0" w:type="auto"/>
            <w:gridSpan w:val="6"/>
            <w:shd w:val="clear" w:color="auto" w:fill="auto"/>
            <w:vAlign w:val="center"/>
          </w:tcPr>
          <w:p w:rsidR="00091DC4" w:rsidRPr="00192045" w:rsidRDefault="00091DC4" w:rsidP="009B7399">
            <w:pPr>
              <w:pStyle w:val="Tabletext"/>
              <w:keepNext/>
            </w:pPr>
            <w:r w:rsidRPr="00192045">
              <w:rPr>
                <w:b/>
              </w:rPr>
              <w:t xml:space="preserve">Paediatric </w:t>
            </w:r>
            <w:proofErr w:type="spellStart"/>
            <w:r w:rsidRPr="00192045">
              <w:rPr>
                <w:b/>
              </w:rPr>
              <w:t>brivaracetam</w:t>
            </w:r>
            <w:proofErr w:type="spellEnd"/>
            <w:r w:rsidRPr="00192045">
              <w:rPr>
                <w:b/>
              </w:rPr>
              <w:t xml:space="preserve"> studies</w:t>
            </w:r>
          </w:p>
        </w:tc>
      </w:tr>
      <w:tr w:rsidR="00091DC4" w:rsidRPr="00192045" w:rsidTr="00DE3472">
        <w:trPr>
          <w:trHeight w:val="670"/>
        </w:trPr>
        <w:tc>
          <w:tcPr>
            <w:tcW w:w="0" w:type="auto"/>
            <w:shd w:val="clear" w:color="auto" w:fill="auto"/>
            <w:vAlign w:val="center"/>
          </w:tcPr>
          <w:p w:rsidR="00091DC4" w:rsidRPr="00192045" w:rsidRDefault="00091DC4" w:rsidP="009B7399">
            <w:pPr>
              <w:pStyle w:val="Tabletext"/>
              <w:keepNext/>
            </w:pPr>
            <w:r w:rsidRPr="00192045">
              <w:t xml:space="preserve">N01266 </w:t>
            </w:r>
          </w:p>
        </w:tc>
        <w:tc>
          <w:tcPr>
            <w:tcW w:w="0" w:type="auto"/>
            <w:shd w:val="clear" w:color="auto" w:fill="auto"/>
            <w:vAlign w:val="center"/>
          </w:tcPr>
          <w:p w:rsidR="00091DC4" w:rsidRPr="00192045" w:rsidRDefault="00091DC4" w:rsidP="009B7399">
            <w:pPr>
              <w:pStyle w:val="Tabletext"/>
              <w:keepNext/>
              <w:jc w:val="center"/>
            </w:pPr>
            <w:r w:rsidRPr="00192045">
              <w:t>Single-arm, OL, MC</w:t>
            </w:r>
          </w:p>
          <w:p w:rsidR="00091DC4" w:rsidRPr="00192045" w:rsidRDefault="00091DC4" w:rsidP="009B7399">
            <w:pPr>
              <w:pStyle w:val="Tabletext"/>
              <w:keepNext/>
              <w:jc w:val="center"/>
            </w:pPr>
            <w:r w:rsidRPr="00192045">
              <w:t xml:space="preserve">23 days </w:t>
            </w:r>
            <w:r w:rsidRPr="00192045">
              <w:br/>
              <w:t>(mean duration)</w:t>
            </w:r>
          </w:p>
        </w:tc>
        <w:tc>
          <w:tcPr>
            <w:tcW w:w="0" w:type="auto"/>
            <w:shd w:val="clear" w:color="auto" w:fill="auto"/>
            <w:vAlign w:val="center"/>
          </w:tcPr>
          <w:p w:rsidR="00091DC4" w:rsidRPr="00192045" w:rsidRDefault="00091DC4" w:rsidP="009B7399">
            <w:pPr>
              <w:pStyle w:val="Tabletext"/>
              <w:keepNext/>
              <w:jc w:val="center"/>
            </w:pPr>
            <w:r w:rsidRPr="00192045">
              <w:t xml:space="preserve">Children with </w:t>
            </w:r>
            <w:r w:rsidR="003C69C5" w:rsidRPr="00192045">
              <w:t>intractable</w:t>
            </w:r>
            <w:r w:rsidRPr="00192045">
              <w:t xml:space="preserve"> POS/generalised epileptic seizures</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E3472">
        <w:trPr>
          <w:trHeight w:val="683"/>
        </w:trPr>
        <w:tc>
          <w:tcPr>
            <w:tcW w:w="0" w:type="auto"/>
            <w:shd w:val="clear" w:color="auto" w:fill="auto"/>
            <w:vAlign w:val="center"/>
          </w:tcPr>
          <w:p w:rsidR="00091DC4" w:rsidRPr="00192045" w:rsidRDefault="00091DC4" w:rsidP="009B7399">
            <w:pPr>
              <w:pStyle w:val="Tabletext"/>
              <w:keepNext/>
            </w:pPr>
            <w:r w:rsidRPr="00192045">
              <w:t xml:space="preserve">N01263 </w:t>
            </w:r>
          </w:p>
        </w:tc>
        <w:tc>
          <w:tcPr>
            <w:tcW w:w="0" w:type="auto"/>
            <w:shd w:val="clear" w:color="auto" w:fill="auto"/>
            <w:vAlign w:val="center"/>
          </w:tcPr>
          <w:p w:rsidR="00091DC4" w:rsidRPr="00192045" w:rsidRDefault="00091DC4" w:rsidP="009B7399">
            <w:pPr>
              <w:pStyle w:val="Tabletext"/>
              <w:keepNext/>
              <w:jc w:val="center"/>
            </w:pPr>
            <w:r w:rsidRPr="00192045">
              <w:t>Single-arm, OL, MC</w:t>
            </w:r>
          </w:p>
          <w:p w:rsidR="00091DC4" w:rsidRPr="00192045" w:rsidRDefault="00091DC4" w:rsidP="009B7399">
            <w:pPr>
              <w:pStyle w:val="Tabletext"/>
              <w:keepNext/>
              <w:jc w:val="center"/>
            </w:pPr>
            <w:r w:rsidRPr="00192045">
              <w:t xml:space="preserve">23 months </w:t>
            </w:r>
            <w:r w:rsidRPr="00192045">
              <w:br/>
              <w:t>(mean duration)</w:t>
            </w:r>
          </w:p>
        </w:tc>
        <w:tc>
          <w:tcPr>
            <w:tcW w:w="0" w:type="auto"/>
            <w:shd w:val="clear" w:color="auto" w:fill="auto"/>
            <w:vAlign w:val="center"/>
          </w:tcPr>
          <w:p w:rsidR="00091DC4" w:rsidRPr="00192045" w:rsidRDefault="00091DC4" w:rsidP="009B7399">
            <w:pPr>
              <w:pStyle w:val="Tabletext"/>
              <w:keepNext/>
              <w:jc w:val="center"/>
            </w:pPr>
            <w:r w:rsidRPr="00192045">
              <w:t xml:space="preserve">Children with </w:t>
            </w:r>
            <w:r w:rsidR="003C69C5" w:rsidRPr="00192045">
              <w:t>intractable</w:t>
            </w:r>
            <w:r w:rsidRPr="00192045">
              <w:t xml:space="preserve"> POS/generalised epileptic syndrome</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E3472">
        <w:trPr>
          <w:trHeight w:val="450"/>
        </w:trPr>
        <w:tc>
          <w:tcPr>
            <w:tcW w:w="0" w:type="auto"/>
            <w:shd w:val="clear" w:color="auto" w:fill="auto"/>
            <w:vAlign w:val="center"/>
          </w:tcPr>
          <w:p w:rsidR="00091DC4" w:rsidRPr="00192045" w:rsidRDefault="00091DC4" w:rsidP="009B7399">
            <w:pPr>
              <w:pStyle w:val="Tabletext"/>
              <w:keepNext/>
            </w:pPr>
            <w:r w:rsidRPr="00192045">
              <w:t>Schubert-</w:t>
            </w:r>
            <w:proofErr w:type="spellStart"/>
            <w:r w:rsidRPr="00192045">
              <w:t>Bast</w:t>
            </w:r>
            <w:proofErr w:type="spellEnd"/>
            <w:r w:rsidRPr="00192045">
              <w:t xml:space="preserve"> (2018) </w:t>
            </w:r>
          </w:p>
        </w:tc>
        <w:tc>
          <w:tcPr>
            <w:tcW w:w="0" w:type="auto"/>
            <w:shd w:val="clear" w:color="auto" w:fill="auto"/>
            <w:vAlign w:val="center"/>
          </w:tcPr>
          <w:p w:rsidR="00091DC4" w:rsidRPr="00192045" w:rsidRDefault="00091DC4" w:rsidP="009B7399">
            <w:pPr>
              <w:pStyle w:val="Tabletext"/>
              <w:keepNext/>
              <w:jc w:val="center"/>
            </w:pPr>
            <w:r w:rsidRPr="00192045">
              <w:t>Single-arm, retro, OL, MC</w:t>
            </w:r>
          </w:p>
        </w:tc>
        <w:tc>
          <w:tcPr>
            <w:tcW w:w="0" w:type="auto"/>
            <w:shd w:val="clear" w:color="auto" w:fill="auto"/>
            <w:vAlign w:val="center"/>
          </w:tcPr>
          <w:p w:rsidR="00091DC4" w:rsidRPr="00192045" w:rsidRDefault="00091DC4" w:rsidP="009B7399">
            <w:pPr>
              <w:pStyle w:val="Tabletext"/>
              <w:keepNext/>
              <w:jc w:val="center"/>
            </w:pPr>
            <w:r w:rsidRPr="00192045">
              <w:t>Children with BRV treatment for POS</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06024">
        <w:trPr>
          <w:trHeight w:val="232"/>
        </w:trPr>
        <w:tc>
          <w:tcPr>
            <w:tcW w:w="0" w:type="auto"/>
            <w:gridSpan w:val="6"/>
            <w:shd w:val="clear" w:color="auto" w:fill="auto"/>
            <w:vAlign w:val="center"/>
          </w:tcPr>
          <w:p w:rsidR="00091DC4" w:rsidRPr="00192045" w:rsidRDefault="00091DC4" w:rsidP="009B7399">
            <w:pPr>
              <w:pStyle w:val="Tabletext"/>
              <w:keepNext/>
            </w:pPr>
            <w:r w:rsidRPr="00192045">
              <w:rPr>
                <w:b/>
              </w:rPr>
              <w:t>Pharmacokinetic studies</w:t>
            </w:r>
          </w:p>
        </w:tc>
      </w:tr>
      <w:tr w:rsidR="00091DC4" w:rsidRPr="00192045" w:rsidTr="00DE3472">
        <w:trPr>
          <w:trHeight w:val="219"/>
        </w:trPr>
        <w:tc>
          <w:tcPr>
            <w:tcW w:w="0" w:type="auto"/>
            <w:shd w:val="clear" w:color="auto" w:fill="auto"/>
            <w:vAlign w:val="center"/>
          </w:tcPr>
          <w:p w:rsidR="00091DC4" w:rsidRPr="00192045" w:rsidRDefault="00091DC4" w:rsidP="009B7399">
            <w:pPr>
              <w:pStyle w:val="Tabletext"/>
              <w:keepNext/>
            </w:pPr>
            <w:r w:rsidRPr="00192045">
              <w:t>CL0187</w:t>
            </w:r>
          </w:p>
        </w:tc>
        <w:tc>
          <w:tcPr>
            <w:tcW w:w="0" w:type="auto"/>
            <w:shd w:val="clear" w:color="auto" w:fill="auto"/>
            <w:vAlign w:val="center"/>
          </w:tcPr>
          <w:p w:rsidR="00091DC4" w:rsidRPr="00192045" w:rsidRDefault="00091DC4" w:rsidP="009B7399">
            <w:pPr>
              <w:pStyle w:val="Tabletext"/>
              <w:keepNext/>
              <w:jc w:val="center"/>
            </w:pPr>
            <w:r w:rsidRPr="00192045">
              <w:t>Population PK model</w:t>
            </w:r>
          </w:p>
        </w:tc>
        <w:tc>
          <w:tcPr>
            <w:tcW w:w="0" w:type="auto"/>
            <w:shd w:val="clear" w:color="auto" w:fill="auto"/>
            <w:vAlign w:val="center"/>
          </w:tcPr>
          <w:p w:rsidR="00091DC4" w:rsidRPr="00192045" w:rsidRDefault="00091DC4" w:rsidP="009B7399">
            <w:pPr>
              <w:pStyle w:val="Tabletext"/>
              <w:keepNext/>
              <w:jc w:val="center"/>
            </w:pPr>
            <w:r w:rsidRPr="00192045">
              <w:t xml:space="preserve">From N01263 </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E3472">
        <w:trPr>
          <w:trHeight w:val="463"/>
        </w:trPr>
        <w:tc>
          <w:tcPr>
            <w:tcW w:w="0" w:type="auto"/>
            <w:shd w:val="clear" w:color="auto" w:fill="auto"/>
            <w:vAlign w:val="center"/>
          </w:tcPr>
          <w:p w:rsidR="00091DC4" w:rsidRPr="00192045" w:rsidRDefault="00091DC4" w:rsidP="009B7399">
            <w:pPr>
              <w:pStyle w:val="Tabletext"/>
              <w:keepNext/>
            </w:pPr>
            <w:r w:rsidRPr="00192045">
              <w:t>CL0258</w:t>
            </w:r>
          </w:p>
        </w:tc>
        <w:tc>
          <w:tcPr>
            <w:tcW w:w="0" w:type="auto"/>
            <w:shd w:val="clear" w:color="auto" w:fill="auto"/>
            <w:vAlign w:val="center"/>
          </w:tcPr>
          <w:p w:rsidR="00091DC4" w:rsidRPr="00192045" w:rsidRDefault="00091DC4" w:rsidP="009B7399">
            <w:pPr>
              <w:pStyle w:val="Tabletext"/>
              <w:keepNext/>
              <w:jc w:val="center"/>
            </w:pPr>
            <w:r w:rsidRPr="00192045">
              <w:t>Paediatric exposure response model</w:t>
            </w:r>
          </w:p>
        </w:tc>
        <w:tc>
          <w:tcPr>
            <w:tcW w:w="0" w:type="auto"/>
            <w:shd w:val="clear" w:color="auto" w:fill="auto"/>
            <w:vAlign w:val="center"/>
          </w:tcPr>
          <w:p w:rsidR="00091DC4" w:rsidRPr="00192045" w:rsidRDefault="00091DC4" w:rsidP="009B7399">
            <w:pPr>
              <w:pStyle w:val="Tabletext"/>
              <w:keepNext/>
              <w:jc w:val="center"/>
            </w:pPr>
            <w:r w:rsidRPr="00192045">
              <w:t>LEV trial patients</w:t>
            </w:r>
          </w:p>
          <w:p w:rsidR="00091DC4" w:rsidRPr="00192045" w:rsidRDefault="00091DC4" w:rsidP="009B7399">
            <w:pPr>
              <w:pStyle w:val="Tabletext"/>
              <w:keepNext/>
              <w:jc w:val="center"/>
            </w:pPr>
            <w:r w:rsidRPr="00192045">
              <w:t>BRV trial patients</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06024">
        <w:trPr>
          <w:trHeight w:val="219"/>
        </w:trPr>
        <w:tc>
          <w:tcPr>
            <w:tcW w:w="0" w:type="auto"/>
            <w:gridSpan w:val="6"/>
            <w:tcBorders>
              <w:top w:val="single" w:sz="4" w:space="0" w:color="auto"/>
              <w:left w:val="single" w:sz="4" w:space="0" w:color="auto"/>
              <w:bottom w:val="single" w:sz="4" w:space="0" w:color="auto"/>
            </w:tcBorders>
            <w:shd w:val="clear" w:color="auto" w:fill="auto"/>
            <w:vAlign w:val="center"/>
          </w:tcPr>
          <w:p w:rsidR="00091DC4" w:rsidRPr="00192045" w:rsidRDefault="00091DC4" w:rsidP="009B7399">
            <w:pPr>
              <w:pStyle w:val="Tabletext"/>
              <w:keepNext/>
            </w:pPr>
            <w:proofErr w:type="spellStart"/>
            <w:r w:rsidRPr="00192045">
              <w:rPr>
                <w:b/>
              </w:rPr>
              <w:t>Brivaracetam</w:t>
            </w:r>
            <w:proofErr w:type="spellEnd"/>
            <w:r w:rsidRPr="00192045">
              <w:rPr>
                <w:b/>
              </w:rPr>
              <w:t xml:space="preserve"> vs. </w:t>
            </w:r>
            <w:proofErr w:type="spellStart"/>
            <w:r w:rsidRPr="00192045">
              <w:rPr>
                <w:b/>
              </w:rPr>
              <w:t>lacosamide</w:t>
            </w:r>
            <w:proofErr w:type="spellEnd"/>
            <w:r w:rsidRPr="00192045">
              <w:rPr>
                <w:b/>
              </w:rPr>
              <w:t xml:space="preserve"> in adults</w:t>
            </w:r>
          </w:p>
        </w:tc>
      </w:tr>
      <w:tr w:rsidR="00091DC4" w:rsidRPr="00192045" w:rsidTr="00DE3472">
        <w:trPr>
          <w:trHeight w:val="914"/>
        </w:trPr>
        <w:tc>
          <w:tcPr>
            <w:tcW w:w="0" w:type="auto"/>
            <w:tcBorders>
              <w:top w:val="single" w:sz="4" w:space="0" w:color="auto"/>
              <w:left w:val="single" w:sz="4" w:space="0" w:color="auto"/>
              <w:bottom w:val="single" w:sz="4" w:space="0" w:color="auto"/>
              <w:right w:val="single" w:sz="4" w:space="0" w:color="auto"/>
            </w:tcBorders>
            <w:vAlign w:val="center"/>
          </w:tcPr>
          <w:p w:rsidR="00703E85" w:rsidRPr="00192045" w:rsidRDefault="00091DC4" w:rsidP="009B7399">
            <w:pPr>
              <w:pStyle w:val="Tabletext"/>
              <w:keepNext/>
              <w:rPr>
                <w:szCs w:val="16"/>
              </w:rPr>
            </w:pPr>
            <w:r w:rsidRPr="00192045">
              <w:rPr>
                <w:szCs w:val="16"/>
              </w:rPr>
              <w:t>Indirect comparison</w:t>
            </w:r>
          </w:p>
        </w:tc>
        <w:tc>
          <w:tcPr>
            <w:tcW w:w="0" w:type="auto"/>
            <w:tcBorders>
              <w:top w:val="single" w:sz="4" w:space="0" w:color="auto"/>
              <w:left w:val="single" w:sz="4" w:space="0" w:color="auto"/>
              <w:bottom w:val="single" w:sz="4" w:space="0" w:color="auto"/>
              <w:right w:val="single" w:sz="4" w:space="0" w:color="auto"/>
            </w:tcBorders>
            <w:vAlign w:val="center"/>
          </w:tcPr>
          <w:p w:rsidR="004D53D3" w:rsidRPr="00192045" w:rsidRDefault="00091DC4" w:rsidP="009B7399">
            <w:pPr>
              <w:pStyle w:val="Tabletext"/>
              <w:keepNext/>
              <w:jc w:val="center"/>
            </w:pPr>
            <w:r w:rsidRPr="00192045">
              <w:t xml:space="preserve">3 BRV RCTs (1252,1253,1258) </w:t>
            </w:r>
          </w:p>
          <w:p w:rsidR="00005C96" w:rsidRPr="00192045" w:rsidRDefault="00091DC4" w:rsidP="009B7399">
            <w:pPr>
              <w:pStyle w:val="Tabletext"/>
              <w:keepNext/>
              <w:jc w:val="center"/>
              <w:rPr>
                <w:szCs w:val="16"/>
              </w:rPr>
            </w:pPr>
            <w:r w:rsidRPr="00192045">
              <w:t>3 LCM RCTs</w:t>
            </w:r>
            <w:r w:rsidR="00005C96" w:rsidRPr="00192045">
              <w:t xml:space="preserve"> </w:t>
            </w:r>
            <w:r w:rsidR="004D53D3" w:rsidRPr="00192045">
              <w:br/>
            </w:r>
            <w:r w:rsidR="00005C96" w:rsidRPr="00192045">
              <w:t>(</w:t>
            </w:r>
            <w:r w:rsidR="004D53D3" w:rsidRPr="00192045">
              <w:t>SP667, SP754, SP755)</w:t>
            </w:r>
            <w:r w:rsidRPr="00192045" w:rsidDel="00B34ECE">
              <w:rPr>
                <w:szCs w:val="16"/>
              </w:rPr>
              <w:t xml:space="preserve"> </w:t>
            </w:r>
          </w:p>
          <w:p w:rsidR="00091DC4" w:rsidRPr="00192045" w:rsidRDefault="00091DC4" w:rsidP="009B7399">
            <w:pPr>
              <w:pStyle w:val="Tabletext"/>
              <w:keepNext/>
              <w:jc w:val="center"/>
            </w:pPr>
            <w:r w:rsidRPr="00192045">
              <w:rPr>
                <w:szCs w:val="16"/>
              </w:rPr>
              <w:t>12-16 weeks</w:t>
            </w:r>
          </w:p>
        </w:tc>
        <w:tc>
          <w:tcPr>
            <w:tcW w:w="0" w:type="auto"/>
            <w:tcBorders>
              <w:top w:val="single" w:sz="4" w:space="0" w:color="auto"/>
              <w:left w:val="single" w:sz="4" w:space="0" w:color="auto"/>
              <w:bottom w:val="single" w:sz="4" w:space="0" w:color="auto"/>
              <w:right w:val="single" w:sz="4" w:space="0" w:color="auto"/>
            </w:tcBorders>
            <w:vAlign w:val="center"/>
          </w:tcPr>
          <w:p w:rsidR="00091DC4" w:rsidRPr="00192045" w:rsidRDefault="00091DC4" w:rsidP="009B7399">
            <w:pPr>
              <w:pStyle w:val="Tabletext"/>
              <w:keepNext/>
              <w:jc w:val="center"/>
            </w:pPr>
            <w:r w:rsidRPr="00192045">
              <w:rPr>
                <w:szCs w:val="16"/>
              </w:rPr>
              <w:t>Adults with intractable POS</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Yes</w:t>
            </w:r>
          </w:p>
        </w:tc>
      </w:tr>
      <w:tr w:rsidR="00091DC4" w:rsidRPr="00192045" w:rsidTr="00D06024">
        <w:trPr>
          <w:trHeight w:val="219"/>
        </w:trPr>
        <w:tc>
          <w:tcPr>
            <w:tcW w:w="0" w:type="auto"/>
            <w:gridSpan w:val="6"/>
            <w:shd w:val="clear" w:color="auto" w:fill="auto"/>
            <w:vAlign w:val="center"/>
          </w:tcPr>
          <w:p w:rsidR="00091DC4" w:rsidRPr="00192045" w:rsidRDefault="00091DC4" w:rsidP="009B7399">
            <w:pPr>
              <w:pStyle w:val="Tabletext"/>
              <w:keepNext/>
            </w:pPr>
            <w:proofErr w:type="spellStart"/>
            <w:r w:rsidRPr="00192045">
              <w:rPr>
                <w:b/>
              </w:rPr>
              <w:t>Lacosamide</w:t>
            </w:r>
            <w:proofErr w:type="spellEnd"/>
            <w:r w:rsidRPr="00192045">
              <w:rPr>
                <w:b/>
              </w:rPr>
              <w:t xml:space="preserve"> indirect treatment comparison (children vs. adults)</w:t>
            </w:r>
          </w:p>
        </w:tc>
      </w:tr>
      <w:tr w:rsidR="00091DC4" w:rsidRPr="00192045" w:rsidTr="00DE3472">
        <w:trPr>
          <w:trHeight w:val="450"/>
        </w:trPr>
        <w:tc>
          <w:tcPr>
            <w:tcW w:w="0" w:type="auto"/>
            <w:shd w:val="clear" w:color="auto" w:fill="auto"/>
            <w:vAlign w:val="center"/>
          </w:tcPr>
          <w:p w:rsidR="00091DC4" w:rsidRPr="00192045" w:rsidRDefault="00091DC4" w:rsidP="009B7399">
            <w:pPr>
              <w:pStyle w:val="Tabletext"/>
              <w:keepNext/>
            </w:pPr>
            <w:r w:rsidRPr="00192045">
              <w:t>Indirect comparison</w:t>
            </w:r>
          </w:p>
        </w:tc>
        <w:tc>
          <w:tcPr>
            <w:tcW w:w="0" w:type="auto"/>
            <w:shd w:val="clear" w:color="auto" w:fill="auto"/>
            <w:vAlign w:val="center"/>
          </w:tcPr>
          <w:p w:rsidR="00091DC4" w:rsidRPr="00192045" w:rsidRDefault="00091DC4" w:rsidP="009B7399">
            <w:pPr>
              <w:pStyle w:val="Tabletext"/>
              <w:keepNext/>
              <w:jc w:val="center"/>
            </w:pPr>
            <w:r w:rsidRPr="00192045">
              <w:t>1 paediatric LCM RCT</w:t>
            </w:r>
          </w:p>
          <w:p w:rsidR="00091DC4" w:rsidRPr="00192045" w:rsidRDefault="00091DC4" w:rsidP="009B7399">
            <w:pPr>
              <w:pStyle w:val="Tabletext"/>
              <w:keepNext/>
              <w:jc w:val="center"/>
            </w:pPr>
            <w:r w:rsidRPr="00192045">
              <w:t>3 adults LCM RCTs</w:t>
            </w:r>
          </w:p>
        </w:tc>
        <w:tc>
          <w:tcPr>
            <w:tcW w:w="0" w:type="auto"/>
            <w:shd w:val="clear" w:color="auto" w:fill="auto"/>
            <w:vAlign w:val="center"/>
          </w:tcPr>
          <w:p w:rsidR="00091DC4" w:rsidRPr="00192045" w:rsidRDefault="00091DC4" w:rsidP="009B7399">
            <w:pPr>
              <w:pStyle w:val="Tabletext"/>
              <w:keepNext/>
              <w:jc w:val="center"/>
            </w:pPr>
            <w:r w:rsidRPr="00192045">
              <w:t xml:space="preserve">Adults and children with </w:t>
            </w:r>
            <w:r w:rsidR="003C69C5" w:rsidRPr="00192045">
              <w:t>intractable</w:t>
            </w:r>
            <w:r w:rsidRPr="00192045">
              <w:t xml:space="preserve"> POS</w:t>
            </w:r>
          </w:p>
        </w:tc>
        <w:tc>
          <w:tcPr>
            <w:tcW w:w="0" w:type="auto"/>
            <w:shd w:val="clear" w:color="auto" w:fill="auto"/>
            <w:vAlign w:val="center"/>
          </w:tcPr>
          <w:p w:rsidR="00091DC4" w:rsidRPr="00192045" w:rsidRDefault="00091DC4" w:rsidP="009B7399">
            <w:pPr>
              <w:pStyle w:val="Tabletext"/>
              <w:keepNext/>
              <w:jc w:val="center"/>
            </w:pPr>
            <w:r w:rsidRPr="00192045">
              <w:t>Yes</w:t>
            </w:r>
          </w:p>
        </w:tc>
        <w:tc>
          <w:tcPr>
            <w:tcW w:w="0" w:type="auto"/>
            <w:shd w:val="clear" w:color="auto" w:fill="auto"/>
            <w:vAlign w:val="center"/>
          </w:tcPr>
          <w:p w:rsidR="00091DC4" w:rsidRPr="00192045" w:rsidRDefault="00091DC4" w:rsidP="009B7399">
            <w:pPr>
              <w:pStyle w:val="Tabletext"/>
              <w:keepNext/>
              <w:jc w:val="center"/>
            </w:pPr>
            <w:r w:rsidRPr="00192045">
              <w:t>No</w:t>
            </w:r>
          </w:p>
        </w:tc>
        <w:tc>
          <w:tcPr>
            <w:tcW w:w="0" w:type="auto"/>
            <w:shd w:val="clear" w:color="auto" w:fill="auto"/>
            <w:vAlign w:val="center"/>
          </w:tcPr>
          <w:p w:rsidR="00091DC4" w:rsidRPr="00192045" w:rsidRDefault="00091DC4" w:rsidP="009B7399">
            <w:pPr>
              <w:pStyle w:val="Tabletext"/>
              <w:keepNext/>
              <w:jc w:val="center"/>
            </w:pPr>
            <w:r w:rsidRPr="00192045">
              <w:t>No</w:t>
            </w:r>
          </w:p>
        </w:tc>
      </w:tr>
    </w:tbl>
    <w:p w:rsidR="00091DC4" w:rsidRPr="00192045" w:rsidRDefault="00091DC4" w:rsidP="00500B84">
      <w:pPr>
        <w:pStyle w:val="TableFooter"/>
        <w:widowControl/>
        <w:rPr>
          <w:rStyle w:val="CommentReference"/>
          <w:b w:val="0"/>
          <w:sz w:val="18"/>
          <w:szCs w:val="22"/>
        </w:rPr>
      </w:pPr>
      <w:r w:rsidRPr="00192045">
        <w:rPr>
          <w:rStyle w:val="CommentReference"/>
          <w:b w:val="0"/>
          <w:sz w:val="18"/>
          <w:szCs w:val="22"/>
        </w:rPr>
        <w:t xml:space="preserve">Source: </w:t>
      </w:r>
      <w:r w:rsidR="00F53B5A" w:rsidRPr="00192045">
        <w:rPr>
          <w:rStyle w:val="CommentReference"/>
          <w:b w:val="0"/>
          <w:sz w:val="18"/>
          <w:szCs w:val="22"/>
        </w:rPr>
        <w:t>Compiled</w:t>
      </w:r>
      <w:r w:rsidRPr="00192045">
        <w:rPr>
          <w:rStyle w:val="CommentReference"/>
          <w:b w:val="0"/>
          <w:sz w:val="18"/>
          <w:szCs w:val="22"/>
        </w:rPr>
        <w:t xml:space="preserve"> during the evaluation from Section 2.2 – Section 2.4, pp40-53; Section 2.5.2, pp59-62; Section 2.5.5, p77; Section 2.6.1, pp78-80; Table 2.12, p54; of the submission; Study N01263 CSR, Study N01266 CSR; Table 2, p9 July 2016 </w:t>
      </w:r>
      <w:proofErr w:type="spellStart"/>
      <w:r w:rsidRPr="00192045">
        <w:rPr>
          <w:rStyle w:val="CommentReference"/>
          <w:b w:val="0"/>
          <w:sz w:val="18"/>
          <w:szCs w:val="22"/>
        </w:rPr>
        <w:t>brivaracetam</w:t>
      </w:r>
      <w:proofErr w:type="spellEnd"/>
      <w:r w:rsidRPr="00192045">
        <w:rPr>
          <w:rStyle w:val="CommentReference"/>
          <w:b w:val="0"/>
          <w:sz w:val="18"/>
          <w:szCs w:val="22"/>
        </w:rPr>
        <w:t xml:space="preserve"> PBAC PSD</w:t>
      </w:r>
      <w:r w:rsidR="006C2498" w:rsidRPr="00192045">
        <w:rPr>
          <w:rStyle w:val="CommentReference"/>
          <w:b w:val="0"/>
          <w:sz w:val="18"/>
          <w:szCs w:val="22"/>
        </w:rPr>
        <w:t xml:space="preserve">; and assessed during the evaluation </w:t>
      </w:r>
    </w:p>
    <w:p w:rsidR="00091DC4" w:rsidRPr="00192045" w:rsidRDefault="007A66CE" w:rsidP="00500B84">
      <w:pPr>
        <w:pStyle w:val="TableFooter"/>
        <w:widowControl/>
        <w:rPr>
          <w:rStyle w:val="CommentReference"/>
          <w:b w:val="0"/>
          <w:sz w:val="18"/>
          <w:szCs w:val="22"/>
        </w:rPr>
      </w:pPr>
      <w:r w:rsidRPr="00192045">
        <w:rPr>
          <w:rStyle w:val="CommentReference"/>
          <w:b w:val="0"/>
          <w:sz w:val="18"/>
          <w:szCs w:val="22"/>
        </w:rPr>
        <w:lastRenderedPageBreak/>
        <w:t>AED = antiepileptic drug;</w:t>
      </w:r>
      <w:r w:rsidR="00091DC4" w:rsidRPr="00192045">
        <w:rPr>
          <w:rStyle w:val="CommentReference"/>
          <w:b w:val="0"/>
          <w:sz w:val="18"/>
          <w:szCs w:val="22"/>
        </w:rPr>
        <w:t xml:space="preserve"> BRV = </w:t>
      </w:r>
      <w:proofErr w:type="spellStart"/>
      <w:r w:rsidR="00091DC4" w:rsidRPr="00192045">
        <w:rPr>
          <w:rStyle w:val="CommentReference"/>
          <w:b w:val="0"/>
          <w:sz w:val="18"/>
          <w:szCs w:val="22"/>
        </w:rPr>
        <w:t>brivaracetam</w:t>
      </w:r>
      <w:proofErr w:type="spellEnd"/>
      <w:r w:rsidR="00091DC4" w:rsidRPr="00192045">
        <w:rPr>
          <w:rStyle w:val="CommentReference"/>
          <w:b w:val="0"/>
          <w:sz w:val="18"/>
          <w:szCs w:val="22"/>
        </w:rPr>
        <w:t xml:space="preserve">; DB = double-blind; LCM = </w:t>
      </w:r>
      <w:proofErr w:type="spellStart"/>
      <w:r w:rsidR="00091DC4" w:rsidRPr="00192045">
        <w:rPr>
          <w:rStyle w:val="CommentReference"/>
          <w:b w:val="0"/>
          <w:sz w:val="18"/>
          <w:szCs w:val="22"/>
        </w:rPr>
        <w:t>lacosamide</w:t>
      </w:r>
      <w:proofErr w:type="spellEnd"/>
      <w:r w:rsidR="00091DC4" w:rsidRPr="00192045">
        <w:rPr>
          <w:rStyle w:val="CommentReference"/>
          <w:b w:val="0"/>
          <w:sz w:val="18"/>
          <w:szCs w:val="22"/>
        </w:rPr>
        <w:t xml:space="preserve">; LEV = </w:t>
      </w:r>
      <w:proofErr w:type="spellStart"/>
      <w:r w:rsidR="00091DC4" w:rsidRPr="00192045">
        <w:rPr>
          <w:rStyle w:val="CommentReference"/>
          <w:b w:val="0"/>
          <w:sz w:val="18"/>
          <w:szCs w:val="22"/>
        </w:rPr>
        <w:t>levetiracetam</w:t>
      </w:r>
      <w:proofErr w:type="spellEnd"/>
      <w:r w:rsidR="00091DC4" w:rsidRPr="00192045">
        <w:rPr>
          <w:rStyle w:val="CommentReference"/>
          <w:b w:val="0"/>
          <w:sz w:val="18"/>
          <w:szCs w:val="22"/>
        </w:rPr>
        <w:t xml:space="preserve">; MC = multicentre; </w:t>
      </w:r>
      <w:r w:rsidR="00120446" w:rsidRPr="00192045">
        <w:rPr>
          <w:rStyle w:val="CommentReference"/>
          <w:b w:val="0"/>
          <w:sz w:val="18"/>
          <w:szCs w:val="22"/>
        </w:rPr>
        <w:t xml:space="preserve">N = number of patients; </w:t>
      </w:r>
      <w:r w:rsidR="00091DC4" w:rsidRPr="00192045">
        <w:rPr>
          <w:rStyle w:val="CommentReference"/>
          <w:b w:val="0"/>
          <w:sz w:val="18"/>
          <w:szCs w:val="22"/>
        </w:rPr>
        <w:t xml:space="preserve">OL = open label; </w:t>
      </w:r>
      <w:r w:rsidR="00F53B5A" w:rsidRPr="00192045">
        <w:rPr>
          <w:rStyle w:val="CommentReference"/>
          <w:b w:val="0"/>
          <w:sz w:val="18"/>
          <w:szCs w:val="22"/>
        </w:rPr>
        <w:t xml:space="preserve">PBAC = Pharmaceutical Benefits Advisory Committee; </w:t>
      </w:r>
      <w:r w:rsidR="00091DC4" w:rsidRPr="00192045">
        <w:rPr>
          <w:rStyle w:val="CommentReference"/>
          <w:b w:val="0"/>
          <w:sz w:val="18"/>
          <w:szCs w:val="22"/>
        </w:rPr>
        <w:t xml:space="preserve">PK = pharmacokinetic; </w:t>
      </w:r>
      <w:r w:rsidR="001278DB" w:rsidRPr="00192045">
        <w:rPr>
          <w:rStyle w:val="CommentReference"/>
          <w:b w:val="0"/>
          <w:sz w:val="18"/>
          <w:szCs w:val="22"/>
        </w:rPr>
        <w:t xml:space="preserve">POS = partial onset seizures; </w:t>
      </w:r>
      <w:r w:rsidR="00091DC4" w:rsidRPr="00192045">
        <w:rPr>
          <w:rStyle w:val="CommentReference"/>
          <w:b w:val="0"/>
          <w:sz w:val="18"/>
          <w:szCs w:val="22"/>
        </w:rPr>
        <w:t xml:space="preserve">PSD = public summary document; R = randomised; RCT = randomised controlled trial; retro = retrospective; TGA = Therapeutic Goods Administration; </w:t>
      </w:r>
      <w:proofErr w:type="spellStart"/>
      <w:r w:rsidR="00091DC4" w:rsidRPr="00192045">
        <w:rPr>
          <w:rStyle w:val="CommentReference"/>
          <w:b w:val="0"/>
          <w:sz w:val="18"/>
          <w:szCs w:val="22"/>
        </w:rPr>
        <w:t>yr</w:t>
      </w:r>
      <w:proofErr w:type="spellEnd"/>
      <w:r w:rsidR="00091DC4" w:rsidRPr="00192045">
        <w:rPr>
          <w:rStyle w:val="CommentReference"/>
          <w:b w:val="0"/>
          <w:sz w:val="18"/>
          <w:szCs w:val="22"/>
        </w:rPr>
        <w:t xml:space="preserve"> = year</w:t>
      </w:r>
    </w:p>
    <w:p w:rsidR="00091DC4" w:rsidRPr="00192045" w:rsidRDefault="00091DC4" w:rsidP="00500B84">
      <w:pPr>
        <w:widowControl/>
      </w:pPr>
    </w:p>
    <w:p w:rsidR="00334D47" w:rsidRPr="00192045" w:rsidRDefault="001128AC" w:rsidP="00E2012A">
      <w:pPr>
        <w:pStyle w:val="numberedbulletstyle"/>
      </w:pPr>
      <w:r w:rsidRPr="00192045">
        <w:t xml:space="preserve">The </w:t>
      </w:r>
      <w:r w:rsidR="00754E2E" w:rsidRPr="00192045">
        <w:t xml:space="preserve">details of the </w:t>
      </w:r>
      <w:r w:rsidRPr="00192045">
        <w:t xml:space="preserve">three </w:t>
      </w:r>
      <w:r w:rsidR="00091DC4" w:rsidRPr="00192045">
        <w:t xml:space="preserve">new </w:t>
      </w:r>
      <w:r w:rsidRPr="00192045">
        <w:t xml:space="preserve">single-arm studies of </w:t>
      </w:r>
      <w:proofErr w:type="spellStart"/>
      <w:r w:rsidRPr="00192045">
        <w:t>brivaracetam</w:t>
      </w:r>
      <w:proofErr w:type="spellEnd"/>
      <w:r w:rsidRPr="00192045">
        <w:t xml:space="preserve"> in paediatric patients</w:t>
      </w:r>
      <w:r w:rsidR="00091DC4" w:rsidRPr="00192045">
        <w:t xml:space="preserve"> presented in the submission</w:t>
      </w:r>
      <w:r w:rsidRPr="00192045">
        <w:t xml:space="preserve"> are provided in the table below. </w:t>
      </w:r>
      <w:r w:rsidR="00AC63F2" w:rsidRPr="00192045">
        <w:t xml:space="preserve">The details of the studies which have previously </w:t>
      </w:r>
      <w:r w:rsidR="00865597" w:rsidRPr="00192045">
        <w:t xml:space="preserve">been </w:t>
      </w:r>
      <w:r w:rsidR="00AC63F2" w:rsidRPr="00192045">
        <w:t>seen b</w:t>
      </w:r>
      <w:r w:rsidR="00A0047E" w:rsidRPr="00192045">
        <w:t>y PBAC and/or TGA are not included</w:t>
      </w:r>
      <w:r w:rsidR="002D08FB" w:rsidRPr="00192045">
        <w:t>.</w:t>
      </w:r>
      <w:r w:rsidR="0077636F" w:rsidRPr="00192045">
        <w:t xml:space="preserve"> </w:t>
      </w:r>
      <w:r w:rsidR="002D08FB" w:rsidRPr="00192045">
        <w:t>I</w:t>
      </w:r>
      <w:r w:rsidR="00AC63F2" w:rsidRPr="00192045">
        <w:t>nstead</w:t>
      </w:r>
      <w:r w:rsidR="002D08FB" w:rsidRPr="00192045">
        <w:t>,</w:t>
      </w:r>
      <w:r w:rsidR="00AC63F2" w:rsidRPr="00192045">
        <w:t xml:space="preserve"> the relevant considerations from the PBAC or TGA are summarised</w:t>
      </w:r>
      <w:r w:rsidR="0066787F" w:rsidRPr="00192045">
        <w:t xml:space="preserve"> herein</w:t>
      </w:r>
      <w:r w:rsidR="00AC63F2" w:rsidRPr="00192045">
        <w:t>.</w:t>
      </w:r>
      <w:r w:rsidRPr="00192045">
        <w:t xml:space="preserve"> </w:t>
      </w:r>
    </w:p>
    <w:p w:rsidR="00334D47" w:rsidRPr="00192045" w:rsidRDefault="00C36BBC" w:rsidP="00500B84">
      <w:pPr>
        <w:keepNext/>
        <w:widowControl/>
        <w:rPr>
          <w:rFonts w:ascii="Arial Narrow" w:hAnsi="Arial Narrow"/>
          <w:b/>
          <w:snapToGrid/>
          <w:sz w:val="20"/>
          <w:szCs w:val="16"/>
        </w:rPr>
      </w:pPr>
      <w:r w:rsidRPr="00192045">
        <w:rPr>
          <w:rStyle w:val="CommentReference"/>
        </w:rPr>
        <w:t>Table 3</w:t>
      </w:r>
      <w:r w:rsidR="00334D47" w:rsidRPr="00192045">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34D47" w:rsidRPr="00192045" w:rsidTr="004C4D18">
        <w:trPr>
          <w:tblHeader/>
        </w:trPr>
        <w:tc>
          <w:tcPr>
            <w:tcW w:w="796"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rPr>
                <w:b/>
              </w:rPr>
            </w:pPr>
            <w:r w:rsidRPr="00192045">
              <w:rPr>
                <w:b/>
              </w:rPr>
              <w:t>Trial ID</w:t>
            </w:r>
          </w:p>
        </w:tc>
        <w:tc>
          <w:tcPr>
            <w:tcW w:w="302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jc w:val="center"/>
              <w:rPr>
                <w:b/>
              </w:rPr>
            </w:pPr>
            <w:r w:rsidRPr="00192045">
              <w:rPr>
                <w:b/>
              </w:rPr>
              <w:t>Protocol title/ Publication title</w:t>
            </w:r>
          </w:p>
        </w:tc>
        <w:tc>
          <w:tcPr>
            <w:tcW w:w="117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jc w:val="center"/>
              <w:rPr>
                <w:b/>
              </w:rPr>
            </w:pPr>
            <w:r w:rsidRPr="00192045">
              <w:rPr>
                <w:b/>
              </w:rPr>
              <w:t>Publication citation</w:t>
            </w:r>
          </w:p>
        </w:tc>
      </w:tr>
      <w:tr w:rsidR="00334D47" w:rsidRPr="00192045" w:rsidTr="004C4D18">
        <w:tc>
          <w:tcPr>
            <w:tcW w:w="796" w:type="pct"/>
            <w:vMerge w:val="restar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NO1266</w:t>
            </w: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r w:rsidRPr="00192045">
              <w:rPr>
                <w:szCs w:val="18"/>
              </w:rPr>
              <w:t xml:space="preserve">Open-label Long-term Study of Adjunctive </w:t>
            </w:r>
            <w:proofErr w:type="spellStart"/>
            <w:r w:rsidRPr="00192045">
              <w:rPr>
                <w:szCs w:val="18"/>
              </w:rPr>
              <w:t>brivaracetam</w:t>
            </w:r>
            <w:proofErr w:type="spellEnd"/>
            <w:r w:rsidRPr="00192045">
              <w:rPr>
                <w:szCs w:val="18"/>
              </w:rPr>
              <w:t xml:space="preserve"> in Paediatric Subjects With Epilepsy</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CSR March 2017</w:t>
            </w:r>
          </w:p>
        </w:tc>
      </w:tr>
      <w:tr w:rsidR="00334D47" w:rsidRPr="00192045" w:rsidTr="004C4D18">
        <w:tc>
          <w:tcPr>
            <w:tcW w:w="0" w:type="auto"/>
            <w:vMerge/>
            <w:tcBorders>
              <w:top w:val="single" w:sz="4" w:space="0" w:color="auto"/>
              <w:left w:val="single" w:sz="4" w:space="0" w:color="auto"/>
              <w:bottom w:val="nil"/>
              <w:right w:val="single" w:sz="4" w:space="0" w:color="auto"/>
            </w:tcBorders>
            <w:vAlign w:val="center"/>
            <w:hideMark/>
          </w:tcPr>
          <w:p w:rsidR="00334D47" w:rsidRPr="00192045" w:rsidRDefault="00334D47" w:rsidP="00500B84">
            <w:pPr>
              <w:keepNext/>
              <w:widowControl/>
              <w:jc w:val="left"/>
              <w:rPr>
                <w:rFonts w:ascii="Arial Narrow" w:hAnsi="Arial Narrow" w:cs="Times New Roman"/>
                <w:sz w:val="20"/>
              </w:rPr>
            </w:pP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proofErr w:type="spellStart"/>
            <w:r w:rsidRPr="00192045">
              <w:rPr>
                <w:szCs w:val="18"/>
              </w:rPr>
              <w:t>Badalamenti</w:t>
            </w:r>
            <w:proofErr w:type="spellEnd"/>
            <w:r w:rsidRPr="00192045">
              <w:rPr>
                <w:szCs w:val="18"/>
              </w:rPr>
              <w:t xml:space="preserve"> V, </w:t>
            </w:r>
            <w:proofErr w:type="spellStart"/>
            <w:r w:rsidRPr="00192045">
              <w:rPr>
                <w:szCs w:val="18"/>
              </w:rPr>
              <w:t>Gasalla</w:t>
            </w:r>
            <w:proofErr w:type="spellEnd"/>
            <w:r w:rsidRPr="00192045">
              <w:rPr>
                <w:szCs w:val="18"/>
              </w:rPr>
              <w:t xml:space="preserve"> T, Dilley D, </w:t>
            </w:r>
            <w:r w:rsidR="006C2498" w:rsidRPr="00192045">
              <w:rPr>
                <w:szCs w:val="18"/>
              </w:rPr>
              <w:t>et al.</w:t>
            </w:r>
            <w:r w:rsidRPr="00192045">
              <w:rPr>
                <w:szCs w:val="18"/>
              </w:rPr>
              <w:t xml:space="preserve"> Interim safety and tolerability analysis from an open-label, long-term study of adjunctive </w:t>
            </w:r>
            <w:proofErr w:type="spellStart"/>
            <w:r w:rsidRPr="00192045">
              <w:rPr>
                <w:szCs w:val="18"/>
              </w:rPr>
              <w:t>brivaracetam</w:t>
            </w:r>
            <w:proofErr w:type="spellEnd"/>
            <w:r w:rsidRPr="00192045">
              <w:rPr>
                <w:szCs w:val="18"/>
              </w:rPr>
              <w:t xml:space="preserve"> in paediatric patients with epilepsy.</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46th Annual Meeting of the Child Neurology Society. 2017; 82 (Supplement 21): S278-S279.</w:t>
            </w:r>
          </w:p>
        </w:tc>
      </w:tr>
      <w:tr w:rsidR="00334D47" w:rsidRPr="00192045" w:rsidTr="004C4D18">
        <w:tc>
          <w:tcPr>
            <w:tcW w:w="0" w:type="auto"/>
            <w:vMerge/>
            <w:tcBorders>
              <w:top w:val="single" w:sz="4" w:space="0" w:color="auto"/>
              <w:left w:val="single" w:sz="4" w:space="0" w:color="auto"/>
              <w:bottom w:val="nil"/>
              <w:right w:val="single" w:sz="4" w:space="0" w:color="auto"/>
            </w:tcBorders>
            <w:vAlign w:val="center"/>
            <w:hideMark/>
          </w:tcPr>
          <w:p w:rsidR="00334D47" w:rsidRPr="00192045" w:rsidRDefault="00334D47" w:rsidP="00500B84">
            <w:pPr>
              <w:keepNext/>
              <w:widowControl/>
              <w:jc w:val="left"/>
              <w:rPr>
                <w:rFonts w:ascii="Arial Narrow" w:hAnsi="Arial Narrow" w:cs="Times New Roman"/>
                <w:sz w:val="20"/>
              </w:rPr>
            </w:pP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r w:rsidRPr="00192045">
              <w:rPr>
                <w:szCs w:val="18"/>
              </w:rPr>
              <w:t xml:space="preserve">Liu E, </w:t>
            </w:r>
            <w:proofErr w:type="spellStart"/>
            <w:r w:rsidRPr="00192045">
              <w:rPr>
                <w:szCs w:val="18"/>
              </w:rPr>
              <w:t>Hepner</w:t>
            </w:r>
            <w:proofErr w:type="spellEnd"/>
            <w:r w:rsidRPr="00192045">
              <w:rPr>
                <w:szCs w:val="18"/>
              </w:rPr>
              <w:t xml:space="preserve"> A, Dilley D, </w:t>
            </w:r>
            <w:r w:rsidR="006C2498" w:rsidRPr="00192045">
              <w:rPr>
                <w:szCs w:val="18"/>
              </w:rPr>
              <w:t>et al.</w:t>
            </w:r>
            <w:r w:rsidRPr="00192045">
              <w:rPr>
                <w:szCs w:val="18"/>
              </w:rPr>
              <w:t xml:space="preserve"> Safety and tolerability of adjunctive </w:t>
            </w:r>
            <w:proofErr w:type="spellStart"/>
            <w:r w:rsidRPr="00192045">
              <w:rPr>
                <w:szCs w:val="18"/>
              </w:rPr>
              <w:t>brivaracetam</w:t>
            </w:r>
            <w:proofErr w:type="spellEnd"/>
            <w:r w:rsidRPr="00192045">
              <w:rPr>
                <w:szCs w:val="18"/>
              </w:rPr>
              <w:t xml:space="preserve"> administered as oral solution in paediatric patients aged &gt;1 month to 16 years with epilepsy.</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2013 Annual Meeting of the American Epilepsy Society</w:t>
            </w:r>
          </w:p>
        </w:tc>
      </w:tr>
      <w:tr w:rsidR="00334D47" w:rsidRPr="00192045" w:rsidTr="004C4D18">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pPr>
            <w:r w:rsidRPr="00192045">
              <w:t>N01263</w:t>
            </w: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r w:rsidRPr="00192045">
              <w:rPr>
                <w:szCs w:val="18"/>
              </w:rPr>
              <w:t xml:space="preserve">Open-label, Pharmacokinetic, Safety and Efficacy Study of Adjunctive </w:t>
            </w:r>
            <w:proofErr w:type="spellStart"/>
            <w:r w:rsidRPr="00192045">
              <w:rPr>
                <w:szCs w:val="18"/>
              </w:rPr>
              <w:t>brivaracetam</w:t>
            </w:r>
            <w:proofErr w:type="spellEnd"/>
            <w:r w:rsidRPr="00192045">
              <w:rPr>
                <w:szCs w:val="18"/>
              </w:rPr>
              <w:t xml:space="preserve"> in Children With Epilepsy</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CSR August 2013</w:t>
            </w:r>
          </w:p>
        </w:tc>
      </w:tr>
      <w:tr w:rsidR="00334D47" w:rsidRPr="00192045" w:rsidTr="004C4D18">
        <w:tc>
          <w:tcPr>
            <w:tcW w:w="0" w:type="auto"/>
            <w:vMerge/>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keepNext/>
              <w:widowControl/>
              <w:jc w:val="left"/>
              <w:rPr>
                <w:rFonts w:ascii="Arial Narrow" w:hAnsi="Arial Narrow" w:cs="Times New Roman"/>
                <w:sz w:val="20"/>
              </w:rPr>
            </w:pP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proofErr w:type="spellStart"/>
            <w:r w:rsidRPr="00192045">
              <w:rPr>
                <w:szCs w:val="18"/>
              </w:rPr>
              <w:t>Schoemaker</w:t>
            </w:r>
            <w:proofErr w:type="spellEnd"/>
            <w:r w:rsidRPr="00192045">
              <w:rPr>
                <w:szCs w:val="18"/>
              </w:rPr>
              <w:t xml:space="preserve"> R, Wade JR, </w:t>
            </w:r>
            <w:proofErr w:type="spellStart"/>
            <w:r w:rsidRPr="00192045">
              <w:rPr>
                <w:szCs w:val="18"/>
              </w:rPr>
              <w:t>Stockis</w:t>
            </w:r>
            <w:proofErr w:type="spellEnd"/>
            <w:r w:rsidRPr="00192045">
              <w:rPr>
                <w:szCs w:val="18"/>
              </w:rPr>
              <w:t xml:space="preserve"> A. </w:t>
            </w:r>
            <w:proofErr w:type="spellStart"/>
            <w:r w:rsidRPr="00192045">
              <w:rPr>
                <w:szCs w:val="18"/>
              </w:rPr>
              <w:t>Brivaracetam</w:t>
            </w:r>
            <w:proofErr w:type="spellEnd"/>
            <w:r w:rsidRPr="00192045">
              <w:rPr>
                <w:szCs w:val="18"/>
              </w:rPr>
              <w:t xml:space="preserve"> population pharmacokinetics in children with epilepsy aged 1 month to 16 years.</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proofErr w:type="spellStart"/>
            <w:r w:rsidRPr="00192045">
              <w:t>Eur</w:t>
            </w:r>
            <w:proofErr w:type="spellEnd"/>
            <w:r w:rsidRPr="00192045">
              <w:t xml:space="preserve"> J </w:t>
            </w:r>
            <w:proofErr w:type="spellStart"/>
            <w:r w:rsidRPr="00192045">
              <w:t>Clin</w:t>
            </w:r>
            <w:proofErr w:type="spellEnd"/>
            <w:r w:rsidRPr="00192045">
              <w:t xml:space="preserve"> </w:t>
            </w:r>
            <w:proofErr w:type="spellStart"/>
            <w:r w:rsidRPr="00192045">
              <w:t>Pharmacol</w:t>
            </w:r>
            <w:proofErr w:type="spellEnd"/>
            <w:r w:rsidRPr="00192045">
              <w:t xml:space="preserve"> 2017 73:727–733</w:t>
            </w:r>
          </w:p>
        </w:tc>
      </w:tr>
      <w:tr w:rsidR="00334D47" w:rsidRPr="00192045" w:rsidTr="004C4D18">
        <w:tc>
          <w:tcPr>
            <w:tcW w:w="0" w:type="auto"/>
            <w:vMerge/>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keepNext/>
              <w:widowControl/>
              <w:jc w:val="left"/>
              <w:rPr>
                <w:rFonts w:ascii="Arial Narrow" w:hAnsi="Arial Narrow" w:cs="Times New Roman"/>
                <w:sz w:val="20"/>
              </w:rPr>
            </w:pPr>
          </w:p>
        </w:tc>
        <w:tc>
          <w:tcPr>
            <w:tcW w:w="302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rPr>
                <w:szCs w:val="18"/>
              </w:rPr>
            </w:pPr>
            <w:proofErr w:type="spellStart"/>
            <w:r w:rsidRPr="00192045">
              <w:rPr>
                <w:szCs w:val="18"/>
              </w:rPr>
              <w:t>Schoemaker</w:t>
            </w:r>
            <w:proofErr w:type="spellEnd"/>
            <w:r w:rsidRPr="00192045">
              <w:rPr>
                <w:szCs w:val="18"/>
              </w:rPr>
              <w:t xml:space="preserve"> R, Wade JR, </w:t>
            </w:r>
            <w:proofErr w:type="spellStart"/>
            <w:r w:rsidRPr="00192045">
              <w:rPr>
                <w:szCs w:val="18"/>
              </w:rPr>
              <w:t>Stockis</w:t>
            </w:r>
            <w:proofErr w:type="spellEnd"/>
            <w:r w:rsidRPr="00192045">
              <w:rPr>
                <w:szCs w:val="18"/>
              </w:rPr>
              <w:t xml:space="preserve"> A, Extrapolation of a </w:t>
            </w:r>
            <w:proofErr w:type="spellStart"/>
            <w:r w:rsidRPr="00192045">
              <w:rPr>
                <w:szCs w:val="18"/>
              </w:rPr>
              <w:t>brivaracetam</w:t>
            </w:r>
            <w:proofErr w:type="spellEnd"/>
            <w:r w:rsidRPr="00192045">
              <w:rPr>
                <w:szCs w:val="18"/>
              </w:rPr>
              <w:t xml:space="preserve"> Exposure-Response Model from Adults to Children with Focal Seizures.</w:t>
            </w:r>
          </w:p>
        </w:tc>
        <w:tc>
          <w:tcPr>
            <w:tcW w:w="117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keepNext/>
            </w:pPr>
            <w:r w:rsidRPr="00192045">
              <w:t>Clinical Pharmacokinetics 2018; 57 (7):843-854.</w:t>
            </w:r>
          </w:p>
        </w:tc>
      </w:tr>
      <w:tr w:rsidR="00334D47" w:rsidRPr="00192045" w:rsidTr="004C4D18">
        <w:tc>
          <w:tcPr>
            <w:tcW w:w="796" w:type="pct"/>
            <w:vMerge w:val="restart"/>
            <w:tcBorders>
              <w:top w:val="single" w:sz="4" w:space="0" w:color="auto"/>
              <w:left w:val="single" w:sz="4" w:space="0" w:color="auto"/>
              <w:right w:val="single" w:sz="4" w:space="0" w:color="auto"/>
            </w:tcBorders>
            <w:vAlign w:val="center"/>
            <w:hideMark/>
          </w:tcPr>
          <w:p w:rsidR="00334D47" w:rsidRPr="00192045" w:rsidRDefault="00334D47" w:rsidP="00500B84">
            <w:pPr>
              <w:pStyle w:val="Tabletext"/>
              <w:keepNext/>
            </w:pPr>
            <w:r w:rsidRPr="00192045">
              <w:t>Schubert-</w:t>
            </w:r>
            <w:proofErr w:type="spellStart"/>
            <w:r w:rsidRPr="00192045">
              <w:t>Bast</w:t>
            </w:r>
            <w:proofErr w:type="spellEnd"/>
            <w:r w:rsidRPr="00192045">
              <w:t>, 2018</w:t>
            </w:r>
          </w:p>
        </w:tc>
        <w:tc>
          <w:tcPr>
            <w:tcW w:w="302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rPr>
                <w:szCs w:val="18"/>
              </w:rPr>
            </w:pPr>
            <w:r w:rsidRPr="00192045">
              <w:rPr>
                <w:szCs w:val="18"/>
              </w:rPr>
              <w:t>Schubert-</w:t>
            </w:r>
            <w:proofErr w:type="spellStart"/>
            <w:r w:rsidRPr="00192045">
              <w:rPr>
                <w:szCs w:val="18"/>
              </w:rPr>
              <w:t>Bast</w:t>
            </w:r>
            <w:proofErr w:type="spellEnd"/>
            <w:r w:rsidRPr="00192045">
              <w:rPr>
                <w:szCs w:val="18"/>
              </w:rPr>
              <w:t xml:space="preserve"> S, Willems LM, </w:t>
            </w:r>
            <w:proofErr w:type="spellStart"/>
            <w:r w:rsidRPr="00192045">
              <w:rPr>
                <w:szCs w:val="18"/>
              </w:rPr>
              <w:t>Kurlemann</w:t>
            </w:r>
            <w:proofErr w:type="spellEnd"/>
            <w:r w:rsidRPr="00192045">
              <w:rPr>
                <w:szCs w:val="18"/>
              </w:rPr>
              <w:t xml:space="preserve"> G., </w:t>
            </w:r>
            <w:r w:rsidR="006C2498" w:rsidRPr="00192045">
              <w:rPr>
                <w:szCs w:val="18"/>
              </w:rPr>
              <w:t>et al.</w:t>
            </w:r>
            <w:r w:rsidRPr="00192045">
              <w:rPr>
                <w:szCs w:val="18"/>
              </w:rPr>
              <w:t xml:space="preserve"> </w:t>
            </w:r>
            <w:proofErr w:type="spellStart"/>
            <w:r w:rsidRPr="00192045">
              <w:rPr>
                <w:szCs w:val="18"/>
              </w:rPr>
              <w:t>Postmarketing</w:t>
            </w:r>
            <w:proofErr w:type="spellEnd"/>
            <w:r w:rsidRPr="00192045">
              <w:rPr>
                <w:szCs w:val="18"/>
              </w:rPr>
              <w:t xml:space="preserve"> experience with </w:t>
            </w:r>
            <w:proofErr w:type="spellStart"/>
            <w:r w:rsidRPr="00192045">
              <w:rPr>
                <w:szCs w:val="18"/>
              </w:rPr>
              <w:t>brivaracetam</w:t>
            </w:r>
            <w:proofErr w:type="spellEnd"/>
            <w:r w:rsidRPr="00192045">
              <w:rPr>
                <w:szCs w:val="18"/>
              </w:rPr>
              <w:t xml:space="preserve"> in the treatment of focal epilepsy in children and adolescents.</w:t>
            </w:r>
          </w:p>
        </w:tc>
        <w:tc>
          <w:tcPr>
            <w:tcW w:w="1177" w:type="pct"/>
            <w:tcBorders>
              <w:top w:val="single" w:sz="4" w:space="0" w:color="auto"/>
              <w:left w:val="single" w:sz="4" w:space="0" w:color="auto"/>
              <w:bottom w:val="nil"/>
              <w:right w:val="single" w:sz="4" w:space="0" w:color="auto"/>
            </w:tcBorders>
            <w:vAlign w:val="center"/>
            <w:hideMark/>
          </w:tcPr>
          <w:p w:rsidR="00334D47" w:rsidRPr="00192045" w:rsidRDefault="00334D47" w:rsidP="00500B84">
            <w:pPr>
              <w:pStyle w:val="Tabletext"/>
              <w:keepNext/>
            </w:pPr>
            <w:r w:rsidRPr="00192045">
              <w:t xml:space="preserve">Epilepsy and </w:t>
            </w:r>
            <w:proofErr w:type="spellStart"/>
            <w:r w:rsidRPr="00192045">
              <w:t>Behavior</w:t>
            </w:r>
            <w:proofErr w:type="spellEnd"/>
            <w:r w:rsidRPr="00192045">
              <w:t xml:space="preserve"> 2018; 89:89-93.</w:t>
            </w:r>
          </w:p>
        </w:tc>
      </w:tr>
      <w:tr w:rsidR="00334D47" w:rsidRPr="00192045" w:rsidTr="004C4D18">
        <w:tc>
          <w:tcPr>
            <w:tcW w:w="796" w:type="pct"/>
            <w:vMerge/>
            <w:tcBorders>
              <w:left w:val="single" w:sz="4" w:space="0" w:color="auto"/>
              <w:right w:val="single" w:sz="4" w:space="0" w:color="auto"/>
            </w:tcBorders>
            <w:vAlign w:val="center"/>
            <w:hideMark/>
          </w:tcPr>
          <w:p w:rsidR="00334D47" w:rsidRPr="00192045" w:rsidRDefault="00334D47" w:rsidP="00500B84">
            <w:pPr>
              <w:pStyle w:val="Tabletext"/>
            </w:pPr>
          </w:p>
        </w:tc>
        <w:tc>
          <w:tcPr>
            <w:tcW w:w="302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rPr>
                <w:szCs w:val="18"/>
              </w:rPr>
            </w:pPr>
            <w:proofErr w:type="spellStart"/>
            <w:r w:rsidRPr="00192045">
              <w:rPr>
                <w:szCs w:val="18"/>
              </w:rPr>
              <w:t>Steinig</w:t>
            </w:r>
            <w:proofErr w:type="spellEnd"/>
            <w:r w:rsidRPr="00192045">
              <w:rPr>
                <w:szCs w:val="18"/>
              </w:rPr>
              <w:t xml:space="preserve"> I, von </w:t>
            </w:r>
            <w:proofErr w:type="spellStart"/>
            <w:r w:rsidRPr="00192045">
              <w:rPr>
                <w:szCs w:val="18"/>
              </w:rPr>
              <w:t>Podewils</w:t>
            </w:r>
            <w:proofErr w:type="spellEnd"/>
            <w:r w:rsidRPr="00192045">
              <w:rPr>
                <w:szCs w:val="18"/>
              </w:rPr>
              <w:t xml:space="preserve"> F, </w:t>
            </w:r>
            <w:proofErr w:type="spellStart"/>
            <w:r w:rsidRPr="00192045">
              <w:rPr>
                <w:szCs w:val="18"/>
              </w:rPr>
              <w:t>Möddel</w:t>
            </w:r>
            <w:proofErr w:type="spellEnd"/>
            <w:r w:rsidRPr="00192045">
              <w:rPr>
                <w:szCs w:val="18"/>
              </w:rPr>
              <w:t xml:space="preserve"> G, </w:t>
            </w:r>
            <w:r w:rsidR="006C2498" w:rsidRPr="00192045">
              <w:rPr>
                <w:szCs w:val="18"/>
              </w:rPr>
              <w:t>et al.</w:t>
            </w:r>
            <w:r w:rsidRPr="00192045">
              <w:rPr>
                <w:szCs w:val="18"/>
              </w:rPr>
              <w:t xml:space="preserve"> </w:t>
            </w:r>
            <w:proofErr w:type="spellStart"/>
            <w:r w:rsidRPr="00192045">
              <w:rPr>
                <w:szCs w:val="18"/>
              </w:rPr>
              <w:t>Postmarketing</w:t>
            </w:r>
            <w:proofErr w:type="spellEnd"/>
            <w:r w:rsidRPr="00192045">
              <w:rPr>
                <w:szCs w:val="18"/>
              </w:rPr>
              <w:t xml:space="preserve"> experience with </w:t>
            </w:r>
            <w:proofErr w:type="spellStart"/>
            <w:r w:rsidRPr="00192045">
              <w:rPr>
                <w:szCs w:val="18"/>
              </w:rPr>
              <w:t>brivaracetam</w:t>
            </w:r>
            <w:proofErr w:type="spellEnd"/>
            <w:r w:rsidRPr="00192045">
              <w:rPr>
                <w:szCs w:val="18"/>
              </w:rPr>
              <w:t xml:space="preserve"> in the treatment of epilepsies: A multicentre cohort study from Germany.</w:t>
            </w:r>
          </w:p>
        </w:tc>
        <w:tc>
          <w:tcPr>
            <w:tcW w:w="117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pPr>
            <w:proofErr w:type="spellStart"/>
            <w:r w:rsidRPr="00192045">
              <w:t>Epilepsia</w:t>
            </w:r>
            <w:proofErr w:type="spellEnd"/>
            <w:r w:rsidRPr="00192045">
              <w:t xml:space="preserve"> 2017; 58(7):1208-1216.</w:t>
            </w:r>
          </w:p>
        </w:tc>
      </w:tr>
      <w:tr w:rsidR="00334D47" w:rsidRPr="00192045" w:rsidTr="004C4D18">
        <w:tc>
          <w:tcPr>
            <w:tcW w:w="0" w:type="auto"/>
            <w:vMerge/>
            <w:tcBorders>
              <w:left w:val="single" w:sz="4" w:space="0" w:color="auto"/>
              <w:bottom w:val="single" w:sz="4" w:space="0" w:color="auto"/>
              <w:right w:val="single" w:sz="4" w:space="0" w:color="auto"/>
            </w:tcBorders>
            <w:vAlign w:val="center"/>
            <w:hideMark/>
          </w:tcPr>
          <w:p w:rsidR="00334D47" w:rsidRPr="00192045" w:rsidRDefault="00334D47" w:rsidP="00500B84">
            <w:pPr>
              <w:widowControl/>
              <w:jc w:val="left"/>
              <w:rPr>
                <w:rFonts w:ascii="Arial Narrow" w:hAnsi="Arial Narrow" w:cs="Times New Roman"/>
                <w:sz w:val="20"/>
              </w:rPr>
            </w:pPr>
          </w:p>
        </w:tc>
        <w:tc>
          <w:tcPr>
            <w:tcW w:w="302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rPr>
                <w:szCs w:val="18"/>
              </w:rPr>
            </w:pPr>
            <w:proofErr w:type="spellStart"/>
            <w:r w:rsidRPr="00192045">
              <w:rPr>
                <w:szCs w:val="18"/>
              </w:rPr>
              <w:t>Strzelczyk</w:t>
            </w:r>
            <w:proofErr w:type="spellEnd"/>
            <w:r w:rsidRPr="00192045">
              <w:rPr>
                <w:szCs w:val="18"/>
              </w:rPr>
              <w:t xml:space="preserve"> A, </w:t>
            </w:r>
            <w:proofErr w:type="spellStart"/>
            <w:r w:rsidRPr="00192045">
              <w:rPr>
                <w:szCs w:val="18"/>
              </w:rPr>
              <w:t>Steinig</w:t>
            </w:r>
            <w:proofErr w:type="spellEnd"/>
            <w:r w:rsidRPr="00192045">
              <w:rPr>
                <w:szCs w:val="18"/>
              </w:rPr>
              <w:t xml:space="preserve"> I, Von </w:t>
            </w:r>
            <w:proofErr w:type="spellStart"/>
            <w:r w:rsidRPr="00192045">
              <w:rPr>
                <w:szCs w:val="18"/>
              </w:rPr>
              <w:t>Podewils</w:t>
            </w:r>
            <w:proofErr w:type="spellEnd"/>
            <w:r w:rsidRPr="00192045">
              <w:rPr>
                <w:szCs w:val="18"/>
              </w:rPr>
              <w:t xml:space="preserve"> F, </w:t>
            </w:r>
            <w:r w:rsidR="006C2498" w:rsidRPr="00192045">
              <w:rPr>
                <w:szCs w:val="18"/>
              </w:rPr>
              <w:t>et al.</w:t>
            </w:r>
            <w:r w:rsidRPr="00192045">
              <w:rPr>
                <w:szCs w:val="18"/>
              </w:rPr>
              <w:t xml:space="preserve"> </w:t>
            </w:r>
            <w:proofErr w:type="spellStart"/>
            <w:r w:rsidRPr="00192045">
              <w:rPr>
                <w:szCs w:val="18"/>
              </w:rPr>
              <w:t>Postmarketing</w:t>
            </w:r>
            <w:proofErr w:type="spellEnd"/>
            <w:r w:rsidRPr="00192045">
              <w:rPr>
                <w:szCs w:val="18"/>
              </w:rPr>
              <w:t xml:space="preserve"> experience with </w:t>
            </w:r>
            <w:proofErr w:type="spellStart"/>
            <w:r w:rsidRPr="00192045">
              <w:rPr>
                <w:szCs w:val="18"/>
              </w:rPr>
              <w:t>brivaracetam</w:t>
            </w:r>
            <w:proofErr w:type="spellEnd"/>
            <w:r w:rsidRPr="00192045">
              <w:rPr>
                <w:szCs w:val="18"/>
              </w:rPr>
              <w:t xml:space="preserve"> in the treatment of epilepsies: A multicentre cohort study from Germany.</w:t>
            </w:r>
          </w:p>
        </w:tc>
        <w:tc>
          <w:tcPr>
            <w:tcW w:w="1177" w:type="pct"/>
            <w:tcBorders>
              <w:top w:val="single" w:sz="4" w:space="0" w:color="auto"/>
              <w:left w:val="single" w:sz="4" w:space="0" w:color="auto"/>
              <w:bottom w:val="single" w:sz="4" w:space="0" w:color="auto"/>
              <w:right w:val="single" w:sz="4" w:space="0" w:color="auto"/>
            </w:tcBorders>
            <w:vAlign w:val="center"/>
            <w:hideMark/>
          </w:tcPr>
          <w:p w:rsidR="00334D47" w:rsidRPr="00192045" w:rsidRDefault="00334D47" w:rsidP="00500B84">
            <w:pPr>
              <w:pStyle w:val="Tabletext"/>
            </w:pPr>
            <w:r w:rsidRPr="00192045">
              <w:t xml:space="preserve">32nd International Epilepsy Congress. </w:t>
            </w:r>
            <w:proofErr w:type="spellStart"/>
            <w:r w:rsidRPr="00192045">
              <w:t>Epilepsia</w:t>
            </w:r>
            <w:proofErr w:type="spellEnd"/>
            <w:r w:rsidRPr="00192045">
              <w:t xml:space="preserve"> 2017; (Supplement 5):S160</w:t>
            </w:r>
          </w:p>
        </w:tc>
      </w:tr>
    </w:tbl>
    <w:p w:rsidR="00334D47" w:rsidRPr="00192045" w:rsidRDefault="00334D47" w:rsidP="00500B84">
      <w:pPr>
        <w:pStyle w:val="TableFooter"/>
        <w:widowControl/>
      </w:pPr>
      <w:r w:rsidRPr="00192045">
        <w:t>Source: Table 2.4, pp42-43 of the submission</w:t>
      </w:r>
    </w:p>
    <w:p w:rsidR="00334D47" w:rsidRPr="00192045" w:rsidRDefault="00334D47" w:rsidP="00500B84">
      <w:pPr>
        <w:pStyle w:val="TableFooter"/>
        <w:widowControl/>
      </w:pPr>
      <w:r w:rsidRPr="00192045">
        <w:t xml:space="preserve">CSR = clinical study report </w:t>
      </w:r>
    </w:p>
    <w:p w:rsidR="00334D47" w:rsidRPr="00192045" w:rsidRDefault="00334D47" w:rsidP="00500B84">
      <w:pPr>
        <w:widowControl/>
      </w:pPr>
    </w:p>
    <w:p w:rsidR="00334D47" w:rsidRPr="00192045" w:rsidRDefault="00334D47" w:rsidP="00E2012A">
      <w:pPr>
        <w:pStyle w:val="numberedbulletstyle"/>
      </w:pPr>
      <w:r w:rsidRPr="00192045">
        <w:t xml:space="preserve">The key features of the new paediatric </w:t>
      </w:r>
      <w:proofErr w:type="spellStart"/>
      <w:r w:rsidRPr="00192045">
        <w:t>brivaracetam</w:t>
      </w:r>
      <w:proofErr w:type="spellEnd"/>
      <w:r w:rsidRPr="00192045">
        <w:t xml:space="preserve"> studies presented in the submissi</w:t>
      </w:r>
      <w:r w:rsidR="00C36BBC" w:rsidRPr="00192045">
        <w:t>on are summarised in the Table 4</w:t>
      </w:r>
      <w:r w:rsidRPr="00192045">
        <w:t>.</w:t>
      </w:r>
    </w:p>
    <w:p w:rsidR="001128AC" w:rsidRPr="00192045" w:rsidRDefault="00C36BBC" w:rsidP="00162AB1">
      <w:pPr>
        <w:keepNext/>
        <w:keepLines/>
        <w:widowControl/>
        <w:rPr>
          <w:rStyle w:val="CommentReference"/>
          <w:szCs w:val="22"/>
        </w:rPr>
      </w:pPr>
      <w:r w:rsidRPr="00192045">
        <w:rPr>
          <w:rStyle w:val="CommentReference"/>
          <w:szCs w:val="22"/>
        </w:rPr>
        <w:lastRenderedPageBreak/>
        <w:t>Table 4</w:t>
      </w:r>
      <w:r w:rsidR="001128AC" w:rsidRPr="00192045">
        <w:rPr>
          <w:rStyle w:val="CommentReference"/>
          <w:szCs w:val="22"/>
        </w:rPr>
        <w:t xml:space="preserve">: </w:t>
      </w:r>
      <w:r w:rsidR="00754E2E" w:rsidRPr="00192045">
        <w:rPr>
          <w:rStyle w:val="CommentReference"/>
          <w:szCs w:val="22"/>
        </w:rPr>
        <w:t xml:space="preserve">Key features </w:t>
      </w:r>
      <w:r w:rsidR="001128AC" w:rsidRPr="00192045">
        <w:rPr>
          <w:rStyle w:val="CommentReference"/>
          <w:szCs w:val="22"/>
        </w:rPr>
        <w:t xml:space="preserve">of </w:t>
      </w:r>
      <w:r w:rsidR="00754E2E" w:rsidRPr="00192045">
        <w:rPr>
          <w:rStyle w:val="CommentReference"/>
          <w:szCs w:val="22"/>
        </w:rPr>
        <w:t xml:space="preserve">new </w:t>
      </w:r>
      <w:r w:rsidR="002D14E8" w:rsidRPr="00192045">
        <w:rPr>
          <w:rStyle w:val="CommentReference"/>
          <w:szCs w:val="22"/>
        </w:rPr>
        <w:t xml:space="preserve">paediatric </w:t>
      </w:r>
      <w:proofErr w:type="spellStart"/>
      <w:r w:rsidR="002D14E8" w:rsidRPr="00192045">
        <w:rPr>
          <w:rStyle w:val="CommentReference"/>
          <w:szCs w:val="22"/>
        </w:rPr>
        <w:t>brivaracetam</w:t>
      </w:r>
      <w:proofErr w:type="spellEnd"/>
      <w:r w:rsidR="002D14E8" w:rsidRPr="00192045">
        <w:rPr>
          <w:rStyle w:val="CommentReference"/>
          <w:szCs w:val="22"/>
        </w:rPr>
        <w:t xml:space="preserve"> studies</w:t>
      </w:r>
      <w:r w:rsidR="001128AC" w:rsidRPr="00192045">
        <w:rPr>
          <w:rStyle w:val="CommentReference"/>
          <w:szCs w:val="22"/>
        </w:rPr>
        <w:t xml:space="preserve"> presented in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426"/>
        <w:gridCol w:w="1984"/>
        <w:gridCol w:w="741"/>
        <w:gridCol w:w="1850"/>
        <w:gridCol w:w="1625"/>
        <w:gridCol w:w="977"/>
      </w:tblGrid>
      <w:tr w:rsidR="00754E2E" w:rsidRPr="00192045" w:rsidTr="00754E2E">
        <w:tc>
          <w:tcPr>
            <w:tcW w:w="784" w:type="pct"/>
            <w:shd w:val="clear" w:color="auto" w:fill="auto"/>
            <w:vAlign w:val="center"/>
          </w:tcPr>
          <w:p w:rsidR="00754E2E" w:rsidRPr="00192045" w:rsidRDefault="00754E2E" w:rsidP="00162AB1">
            <w:pPr>
              <w:pStyle w:val="Tabletext"/>
              <w:keepNext/>
              <w:keepLines/>
              <w:rPr>
                <w:b/>
              </w:rPr>
            </w:pPr>
            <w:r w:rsidRPr="00192045">
              <w:rPr>
                <w:b/>
              </w:rPr>
              <w:t>Trial</w:t>
            </w:r>
          </w:p>
        </w:tc>
        <w:tc>
          <w:tcPr>
            <w:tcW w:w="236" w:type="pct"/>
            <w:shd w:val="clear" w:color="auto" w:fill="auto"/>
            <w:vAlign w:val="center"/>
          </w:tcPr>
          <w:p w:rsidR="00754E2E" w:rsidRPr="00192045" w:rsidRDefault="00754E2E" w:rsidP="00162AB1">
            <w:pPr>
              <w:pStyle w:val="Tabletext"/>
              <w:keepNext/>
              <w:keepLines/>
              <w:jc w:val="center"/>
              <w:rPr>
                <w:b/>
              </w:rPr>
            </w:pPr>
            <w:r w:rsidRPr="00192045">
              <w:rPr>
                <w:b/>
              </w:rPr>
              <w:t>N</w:t>
            </w:r>
          </w:p>
        </w:tc>
        <w:tc>
          <w:tcPr>
            <w:tcW w:w="1100" w:type="pct"/>
            <w:shd w:val="clear" w:color="auto" w:fill="auto"/>
            <w:vAlign w:val="center"/>
          </w:tcPr>
          <w:p w:rsidR="00754E2E" w:rsidRPr="00192045" w:rsidRDefault="00754E2E" w:rsidP="00162AB1">
            <w:pPr>
              <w:pStyle w:val="Tabletext"/>
              <w:keepNext/>
              <w:keepLines/>
              <w:jc w:val="center"/>
              <w:rPr>
                <w:b/>
              </w:rPr>
            </w:pPr>
            <w:r w:rsidRPr="00192045">
              <w:rPr>
                <w:b/>
              </w:rPr>
              <w:t>Design/ duration</w:t>
            </w:r>
          </w:p>
        </w:tc>
        <w:tc>
          <w:tcPr>
            <w:tcW w:w="411" w:type="pct"/>
            <w:shd w:val="clear" w:color="auto" w:fill="auto"/>
            <w:vAlign w:val="center"/>
          </w:tcPr>
          <w:p w:rsidR="00754E2E" w:rsidRPr="00192045" w:rsidRDefault="00754E2E" w:rsidP="00162AB1">
            <w:pPr>
              <w:pStyle w:val="Tabletext"/>
              <w:keepNext/>
              <w:keepLines/>
              <w:jc w:val="center"/>
              <w:rPr>
                <w:b/>
              </w:rPr>
            </w:pPr>
            <w:r w:rsidRPr="00192045">
              <w:rPr>
                <w:b/>
              </w:rPr>
              <w:t>Risk of bias</w:t>
            </w:r>
          </w:p>
        </w:tc>
        <w:tc>
          <w:tcPr>
            <w:tcW w:w="1026" w:type="pct"/>
            <w:shd w:val="clear" w:color="auto" w:fill="auto"/>
            <w:vAlign w:val="center"/>
          </w:tcPr>
          <w:p w:rsidR="00754E2E" w:rsidRPr="00192045" w:rsidRDefault="00754E2E" w:rsidP="00162AB1">
            <w:pPr>
              <w:pStyle w:val="Tabletext"/>
              <w:keepNext/>
              <w:keepLines/>
              <w:jc w:val="center"/>
              <w:rPr>
                <w:b/>
              </w:rPr>
            </w:pPr>
            <w:r w:rsidRPr="00192045">
              <w:rPr>
                <w:b/>
              </w:rPr>
              <w:t>Patient population</w:t>
            </w:r>
          </w:p>
        </w:tc>
        <w:tc>
          <w:tcPr>
            <w:tcW w:w="901" w:type="pct"/>
            <w:shd w:val="clear" w:color="auto" w:fill="auto"/>
            <w:vAlign w:val="center"/>
          </w:tcPr>
          <w:p w:rsidR="00754E2E" w:rsidRPr="00192045" w:rsidRDefault="00754E2E" w:rsidP="00162AB1">
            <w:pPr>
              <w:pStyle w:val="Tabletext"/>
              <w:keepNext/>
              <w:keepLines/>
              <w:jc w:val="center"/>
              <w:rPr>
                <w:b/>
              </w:rPr>
            </w:pPr>
            <w:r w:rsidRPr="00192045">
              <w:rPr>
                <w:b/>
              </w:rPr>
              <w:t>Outcome(s)</w:t>
            </w:r>
          </w:p>
        </w:tc>
        <w:tc>
          <w:tcPr>
            <w:tcW w:w="542" w:type="pct"/>
            <w:shd w:val="clear" w:color="auto" w:fill="auto"/>
            <w:vAlign w:val="center"/>
          </w:tcPr>
          <w:p w:rsidR="00754E2E" w:rsidRPr="00192045" w:rsidRDefault="00754E2E" w:rsidP="00162AB1">
            <w:pPr>
              <w:pStyle w:val="Tabletext"/>
              <w:keepNext/>
              <w:keepLines/>
              <w:jc w:val="center"/>
              <w:rPr>
                <w:b/>
              </w:rPr>
            </w:pPr>
            <w:r w:rsidRPr="00192045">
              <w:rPr>
                <w:b/>
              </w:rPr>
              <w:t>Use in economic evaluation</w:t>
            </w:r>
          </w:p>
        </w:tc>
      </w:tr>
      <w:tr w:rsidR="00754E2E" w:rsidRPr="00192045" w:rsidTr="00754E2E">
        <w:tc>
          <w:tcPr>
            <w:tcW w:w="784" w:type="pct"/>
            <w:shd w:val="clear" w:color="auto" w:fill="auto"/>
            <w:vAlign w:val="center"/>
          </w:tcPr>
          <w:p w:rsidR="00754E2E" w:rsidRPr="00192045" w:rsidRDefault="00754E2E" w:rsidP="00162AB1">
            <w:pPr>
              <w:pStyle w:val="Tabletext"/>
              <w:keepNext/>
              <w:keepLines/>
            </w:pPr>
            <w:r w:rsidRPr="00192045">
              <w:t>N01266</w:t>
            </w:r>
          </w:p>
        </w:tc>
        <w:tc>
          <w:tcPr>
            <w:tcW w:w="236" w:type="pct"/>
            <w:shd w:val="clear" w:color="auto" w:fill="auto"/>
            <w:vAlign w:val="center"/>
          </w:tcPr>
          <w:p w:rsidR="00754E2E" w:rsidRPr="00192045" w:rsidRDefault="00754E2E" w:rsidP="00162AB1">
            <w:pPr>
              <w:pStyle w:val="Tabletext"/>
              <w:keepNext/>
              <w:keepLines/>
              <w:jc w:val="center"/>
            </w:pPr>
            <w:r w:rsidRPr="00192045">
              <w:t>206</w:t>
            </w:r>
          </w:p>
        </w:tc>
        <w:tc>
          <w:tcPr>
            <w:tcW w:w="1100" w:type="pct"/>
            <w:shd w:val="clear" w:color="auto" w:fill="auto"/>
            <w:vAlign w:val="center"/>
          </w:tcPr>
          <w:p w:rsidR="00754E2E" w:rsidRPr="00192045" w:rsidRDefault="00754E2E" w:rsidP="00162AB1">
            <w:pPr>
              <w:pStyle w:val="Tabletext"/>
              <w:keepNext/>
              <w:keepLines/>
              <w:jc w:val="center"/>
            </w:pPr>
            <w:r w:rsidRPr="00192045">
              <w:t>Single-arm, OL, MC</w:t>
            </w:r>
          </w:p>
          <w:p w:rsidR="00754E2E" w:rsidRPr="00192045" w:rsidRDefault="00754E2E" w:rsidP="00162AB1">
            <w:pPr>
              <w:pStyle w:val="Tabletext"/>
              <w:keepNext/>
              <w:keepLines/>
              <w:jc w:val="center"/>
            </w:pPr>
            <w:r w:rsidRPr="00192045">
              <w:t>23 days</w:t>
            </w:r>
            <w:r w:rsidRPr="00192045">
              <w:br/>
              <w:t>(mean duration)</w:t>
            </w:r>
          </w:p>
        </w:tc>
        <w:tc>
          <w:tcPr>
            <w:tcW w:w="411" w:type="pct"/>
            <w:shd w:val="clear" w:color="auto" w:fill="auto"/>
            <w:vAlign w:val="center"/>
          </w:tcPr>
          <w:p w:rsidR="00754E2E" w:rsidRPr="00192045" w:rsidRDefault="00754E2E" w:rsidP="00162AB1">
            <w:pPr>
              <w:pStyle w:val="Tabletext"/>
              <w:keepNext/>
              <w:keepLines/>
              <w:jc w:val="center"/>
            </w:pPr>
            <w:r w:rsidRPr="00192045">
              <w:t>High</w:t>
            </w:r>
          </w:p>
        </w:tc>
        <w:tc>
          <w:tcPr>
            <w:tcW w:w="1026" w:type="pct"/>
            <w:shd w:val="clear" w:color="auto" w:fill="auto"/>
            <w:vAlign w:val="center"/>
          </w:tcPr>
          <w:p w:rsidR="00754E2E" w:rsidRPr="00192045" w:rsidRDefault="00754E2E" w:rsidP="00162AB1">
            <w:pPr>
              <w:pStyle w:val="Tabletext"/>
              <w:keepNext/>
              <w:keepLines/>
              <w:jc w:val="center"/>
            </w:pPr>
            <w:r w:rsidRPr="00192045">
              <w:t xml:space="preserve">≤ 1 </w:t>
            </w:r>
            <w:proofErr w:type="spellStart"/>
            <w:r w:rsidRPr="00192045">
              <w:t>yrs</w:t>
            </w:r>
            <w:proofErr w:type="spellEnd"/>
            <w:r w:rsidRPr="00192045">
              <w:t xml:space="preserve"> to &lt;</w:t>
            </w:r>
            <w:r w:rsidR="006C2498" w:rsidRPr="00192045">
              <w:t xml:space="preserve"> </w:t>
            </w:r>
            <w:r w:rsidRPr="00192045">
              <w:t xml:space="preserve">17 </w:t>
            </w:r>
            <w:proofErr w:type="spellStart"/>
            <w:r w:rsidRPr="00192045">
              <w:t>yrs</w:t>
            </w:r>
            <w:proofErr w:type="spellEnd"/>
            <w:r w:rsidRPr="00192045">
              <w:rPr>
                <w:vertAlign w:val="superscript"/>
              </w:rPr>
              <w:t xml:space="preserve"> a</w:t>
            </w:r>
          </w:p>
          <w:p w:rsidR="00754E2E" w:rsidRPr="00192045" w:rsidRDefault="003C69C5" w:rsidP="00162AB1">
            <w:pPr>
              <w:pStyle w:val="Tabletext"/>
              <w:keepNext/>
              <w:keepLines/>
              <w:jc w:val="center"/>
              <w:rPr>
                <w:vertAlign w:val="superscript"/>
              </w:rPr>
            </w:pPr>
            <w:r w:rsidRPr="00192045">
              <w:t>Intractable</w:t>
            </w:r>
            <w:r w:rsidR="00754E2E" w:rsidRPr="00192045">
              <w:t xml:space="preserve"> POS </w:t>
            </w:r>
            <w:r w:rsidR="00754E2E" w:rsidRPr="00192045">
              <w:rPr>
                <w:vertAlign w:val="superscript"/>
              </w:rPr>
              <w:t xml:space="preserve">b </w:t>
            </w:r>
            <w:r w:rsidR="00120446" w:rsidRPr="00192045">
              <w:t>or generalized seizures</w:t>
            </w:r>
          </w:p>
          <w:p w:rsidR="00754E2E" w:rsidRPr="00192045" w:rsidRDefault="00754E2E" w:rsidP="00162AB1">
            <w:pPr>
              <w:pStyle w:val="Tabletext"/>
              <w:keepNext/>
              <w:keepLines/>
              <w:jc w:val="center"/>
            </w:pPr>
            <w:r w:rsidRPr="00192045">
              <w:t>Using ≥ 1 AED</w:t>
            </w:r>
          </w:p>
        </w:tc>
        <w:tc>
          <w:tcPr>
            <w:tcW w:w="901" w:type="pct"/>
            <w:shd w:val="clear" w:color="auto" w:fill="auto"/>
            <w:vAlign w:val="center"/>
          </w:tcPr>
          <w:p w:rsidR="00754E2E" w:rsidRPr="00192045" w:rsidRDefault="00754E2E" w:rsidP="00162AB1">
            <w:pPr>
              <w:pStyle w:val="Tabletext"/>
              <w:keepNext/>
              <w:keepLines/>
              <w:jc w:val="center"/>
              <w:rPr>
                <w:vertAlign w:val="superscript"/>
              </w:rPr>
            </w:pPr>
            <w:r w:rsidRPr="00192045">
              <w:t xml:space="preserve">Safety </w:t>
            </w:r>
          </w:p>
        </w:tc>
        <w:tc>
          <w:tcPr>
            <w:tcW w:w="542" w:type="pct"/>
            <w:shd w:val="clear" w:color="auto" w:fill="auto"/>
            <w:vAlign w:val="center"/>
          </w:tcPr>
          <w:p w:rsidR="00754E2E" w:rsidRPr="00192045" w:rsidRDefault="00754E2E" w:rsidP="00162AB1">
            <w:pPr>
              <w:pStyle w:val="Tabletext"/>
              <w:keepNext/>
              <w:keepLines/>
              <w:jc w:val="center"/>
            </w:pPr>
            <w:r w:rsidRPr="00192045">
              <w:t>No</w:t>
            </w:r>
          </w:p>
        </w:tc>
      </w:tr>
      <w:tr w:rsidR="00754E2E" w:rsidRPr="00192045" w:rsidTr="00754E2E">
        <w:tc>
          <w:tcPr>
            <w:tcW w:w="784" w:type="pct"/>
            <w:shd w:val="clear" w:color="auto" w:fill="auto"/>
            <w:vAlign w:val="center"/>
          </w:tcPr>
          <w:p w:rsidR="00754E2E" w:rsidRPr="00192045" w:rsidRDefault="00754E2E" w:rsidP="00162AB1">
            <w:pPr>
              <w:pStyle w:val="Tabletext"/>
              <w:keepNext/>
              <w:keepLines/>
            </w:pPr>
            <w:r w:rsidRPr="00192045">
              <w:t xml:space="preserve">N01263 </w:t>
            </w:r>
          </w:p>
        </w:tc>
        <w:tc>
          <w:tcPr>
            <w:tcW w:w="236" w:type="pct"/>
            <w:shd w:val="clear" w:color="auto" w:fill="auto"/>
            <w:vAlign w:val="center"/>
          </w:tcPr>
          <w:p w:rsidR="00754E2E" w:rsidRPr="00192045" w:rsidRDefault="00754E2E" w:rsidP="00162AB1">
            <w:pPr>
              <w:pStyle w:val="Tabletext"/>
              <w:keepNext/>
              <w:keepLines/>
              <w:jc w:val="center"/>
            </w:pPr>
            <w:r w:rsidRPr="00192045">
              <w:t>100</w:t>
            </w:r>
          </w:p>
        </w:tc>
        <w:tc>
          <w:tcPr>
            <w:tcW w:w="1100" w:type="pct"/>
            <w:shd w:val="clear" w:color="auto" w:fill="auto"/>
            <w:vAlign w:val="center"/>
          </w:tcPr>
          <w:p w:rsidR="00754E2E" w:rsidRPr="00192045" w:rsidRDefault="00754E2E" w:rsidP="00162AB1">
            <w:pPr>
              <w:pStyle w:val="Tabletext"/>
              <w:keepNext/>
              <w:keepLines/>
              <w:jc w:val="center"/>
            </w:pPr>
            <w:r w:rsidRPr="00192045">
              <w:t>Single-arm, OL, MC</w:t>
            </w:r>
          </w:p>
          <w:p w:rsidR="00754E2E" w:rsidRPr="00192045" w:rsidRDefault="00754E2E" w:rsidP="00162AB1">
            <w:pPr>
              <w:pStyle w:val="Tabletext"/>
              <w:keepNext/>
              <w:keepLines/>
              <w:jc w:val="center"/>
            </w:pPr>
            <w:r w:rsidRPr="00192045">
              <w:t xml:space="preserve">23 months </w:t>
            </w:r>
            <w:r w:rsidRPr="00192045">
              <w:br/>
              <w:t>(mean duration)</w:t>
            </w:r>
          </w:p>
        </w:tc>
        <w:tc>
          <w:tcPr>
            <w:tcW w:w="411" w:type="pct"/>
            <w:shd w:val="clear" w:color="auto" w:fill="auto"/>
            <w:vAlign w:val="center"/>
          </w:tcPr>
          <w:p w:rsidR="00754E2E" w:rsidRPr="00192045" w:rsidRDefault="00754E2E" w:rsidP="00162AB1">
            <w:pPr>
              <w:pStyle w:val="Tabletext"/>
              <w:keepNext/>
              <w:keepLines/>
              <w:jc w:val="center"/>
            </w:pPr>
            <w:r w:rsidRPr="00192045">
              <w:t>High</w:t>
            </w:r>
          </w:p>
        </w:tc>
        <w:tc>
          <w:tcPr>
            <w:tcW w:w="1026" w:type="pct"/>
            <w:shd w:val="clear" w:color="auto" w:fill="auto"/>
            <w:vAlign w:val="center"/>
          </w:tcPr>
          <w:p w:rsidR="00754E2E" w:rsidRPr="00192045" w:rsidRDefault="00754E2E" w:rsidP="00162AB1">
            <w:pPr>
              <w:pStyle w:val="Tabletext"/>
              <w:keepNext/>
              <w:keepLines/>
              <w:jc w:val="center"/>
            </w:pPr>
            <w:r w:rsidRPr="00192045">
              <w:t>≥</w:t>
            </w:r>
            <w:r w:rsidR="00210A5B" w:rsidRPr="00192045">
              <w:t xml:space="preserve"> </w:t>
            </w:r>
            <w:r w:rsidRPr="00192045">
              <w:t>1 month to &lt;</w:t>
            </w:r>
            <w:r w:rsidR="00210A5B" w:rsidRPr="00192045">
              <w:t xml:space="preserve"> </w:t>
            </w:r>
            <w:r w:rsidRPr="00192045">
              <w:t xml:space="preserve">16 </w:t>
            </w:r>
            <w:proofErr w:type="spellStart"/>
            <w:r w:rsidRPr="00192045">
              <w:t>yrs</w:t>
            </w:r>
            <w:proofErr w:type="spellEnd"/>
          </w:p>
          <w:p w:rsidR="00754E2E" w:rsidRPr="00192045" w:rsidRDefault="00754E2E" w:rsidP="00162AB1">
            <w:pPr>
              <w:pStyle w:val="Tabletext"/>
              <w:keepNext/>
              <w:keepLines/>
              <w:jc w:val="center"/>
            </w:pPr>
            <w:r w:rsidRPr="00192045">
              <w:t>partial or generalized epileptic syndrome</w:t>
            </w:r>
          </w:p>
          <w:p w:rsidR="00754E2E" w:rsidRPr="00192045" w:rsidRDefault="00754E2E" w:rsidP="00162AB1">
            <w:pPr>
              <w:pStyle w:val="Tabletext"/>
              <w:keepNext/>
              <w:keepLines/>
              <w:jc w:val="center"/>
            </w:pPr>
            <w:r w:rsidRPr="00192045">
              <w:t>1-2 AEDs</w:t>
            </w:r>
          </w:p>
        </w:tc>
        <w:tc>
          <w:tcPr>
            <w:tcW w:w="901" w:type="pct"/>
            <w:shd w:val="clear" w:color="auto" w:fill="auto"/>
            <w:vAlign w:val="center"/>
          </w:tcPr>
          <w:p w:rsidR="00754E2E" w:rsidRPr="00192045" w:rsidRDefault="00754E2E" w:rsidP="00162AB1">
            <w:pPr>
              <w:pStyle w:val="Tabletext"/>
              <w:keepNext/>
              <w:keepLines/>
              <w:jc w:val="center"/>
            </w:pPr>
            <w:r w:rsidRPr="00192045">
              <w:t>Seizure freedom</w:t>
            </w:r>
          </w:p>
          <w:p w:rsidR="00754E2E" w:rsidRPr="00192045" w:rsidRDefault="00754E2E" w:rsidP="00162AB1">
            <w:pPr>
              <w:pStyle w:val="Tabletext"/>
              <w:keepNext/>
              <w:keepLines/>
              <w:jc w:val="center"/>
            </w:pPr>
            <w:r w:rsidRPr="00192045">
              <w:t>∆ seizure days</w:t>
            </w:r>
            <w:r w:rsidRPr="00192045">
              <w:br/>
              <w:t>(per 28-day period)</w:t>
            </w:r>
          </w:p>
          <w:p w:rsidR="00754E2E" w:rsidRPr="00192045" w:rsidRDefault="00754E2E" w:rsidP="00162AB1">
            <w:pPr>
              <w:pStyle w:val="Tabletext"/>
              <w:keepNext/>
              <w:keepLines/>
              <w:jc w:val="center"/>
              <w:rPr>
                <w:vertAlign w:val="superscript"/>
              </w:rPr>
            </w:pPr>
            <w:r w:rsidRPr="00192045">
              <w:t>Safety</w:t>
            </w:r>
          </w:p>
        </w:tc>
        <w:tc>
          <w:tcPr>
            <w:tcW w:w="542" w:type="pct"/>
            <w:shd w:val="clear" w:color="auto" w:fill="auto"/>
            <w:vAlign w:val="center"/>
          </w:tcPr>
          <w:p w:rsidR="00754E2E" w:rsidRPr="00192045" w:rsidRDefault="00754E2E" w:rsidP="00162AB1">
            <w:pPr>
              <w:pStyle w:val="Tabletext"/>
              <w:keepNext/>
              <w:keepLines/>
              <w:jc w:val="center"/>
            </w:pPr>
            <w:r w:rsidRPr="00192045">
              <w:t>No</w:t>
            </w:r>
          </w:p>
        </w:tc>
      </w:tr>
      <w:tr w:rsidR="00754E2E" w:rsidRPr="00192045" w:rsidTr="00754E2E">
        <w:tc>
          <w:tcPr>
            <w:tcW w:w="784" w:type="pct"/>
            <w:shd w:val="clear" w:color="auto" w:fill="auto"/>
            <w:vAlign w:val="center"/>
          </w:tcPr>
          <w:p w:rsidR="00754E2E" w:rsidRPr="00192045" w:rsidRDefault="00754E2E" w:rsidP="00162AB1">
            <w:pPr>
              <w:pStyle w:val="Tabletext"/>
              <w:keepNext/>
              <w:keepLines/>
            </w:pPr>
            <w:r w:rsidRPr="00192045">
              <w:t>Schubert-</w:t>
            </w:r>
            <w:proofErr w:type="spellStart"/>
            <w:r w:rsidRPr="00192045">
              <w:t>Bast</w:t>
            </w:r>
            <w:proofErr w:type="spellEnd"/>
            <w:r w:rsidRPr="00192045">
              <w:t xml:space="preserve"> (2018) </w:t>
            </w:r>
          </w:p>
        </w:tc>
        <w:tc>
          <w:tcPr>
            <w:tcW w:w="236" w:type="pct"/>
            <w:shd w:val="clear" w:color="auto" w:fill="auto"/>
            <w:vAlign w:val="center"/>
          </w:tcPr>
          <w:p w:rsidR="00754E2E" w:rsidRPr="00192045" w:rsidRDefault="00754E2E" w:rsidP="00162AB1">
            <w:pPr>
              <w:pStyle w:val="Tabletext"/>
              <w:keepNext/>
              <w:keepLines/>
              <w:jc w:val="center"/>
            </w:pPr>
            <w:r w:rsidRPr="00192045">
              <w:t>34</w:t>
            </w:r>
          </w:p>
        </w:tc>
        <w:tc>
          <w:tcPr>
            <w:tcW w:w="1100" w:type="pct"/>
            <w:shd w:val="clear" w:color="auto" w:fill="auto"/>
            <w:vAlign w:val="center"/>
          </w:tcPr>
          <w:p w:rsidR="00754E2E" w:rsidRPr="00192045" w:rsidRDefault="00754E2E" w:rsidP="00162AB1">
            <w:pPr>
              <w:pStyle w:val="Tabletext"/>
              <w:keepNext/>
              <w:keepLines/>
              <w:jc w:val="center"/>
            </w:pPr>
            <w:r w:rsidRPr="00192045">
              <w:t>Single-arm, retro, OL, MC</w:t>
            </w:r>
          </w:p>
        </w:tc>
        <w:tc>
          <w:tcPr>
            <w:tcW w:w="411" w:type="pct"/>
            <w:shd w:val="clear" w:color="auto" w:fill="auto"/>
            <w:vAlign w:val="center"/>
          </w:tcPr>
          <w:p w:rsidR="00754E2E" w:rsidRPr="00192045" w:rsidRDefault="00754E2E" w:rsidP="00162AB1">
            <w:pPr>
              <w:pStyle w:val="Tabletext"/>
              <w:keepNext/>
              <w:keepLines/>
              <w:jc w:val="center"/>
            </w:pPr>
            <w:r w:rsidRPr="00192045">
              <w:t>High</w:t>
            </w:r>
          </w:p>
        </w:tc>
        <w:tc>
          <w:tcPr>
            <w:tcW w:w="1026" w:type="pct"/>
            <w:shd w:val="clear" w:color="auto" w:fill="auto"/>
            <w:vAlign w:val="center"/>
          </w:tcPr>
          <w:p w:rsidR="00754E2E" w:rsidRPr="00192045" w:rsidRDefault="00754E2E" w:rsidP="00162AB1">
            <w:pPr>
              <w:pStyle w:val="Tabletext"/>
              <w:keepNext/>
              <w:keepLines/>
              <w:jc w:val="center"/>
            </w:pPr>
            <w:r w:rsidRPr="00192045">
              <w:t xml:space="preserve">≤ 17 </w:t>
            </w:r>
            <w:proofErr w:type="spellStart"/>
            <w:r w:rsidRPr="00192045">
              <w:t>yrs</w:t>
            </w:r>
            <w:proofErr w:type="spellEnd"/>
          </w:p>
          <w:p w:rsidR="00754E2E" w:rsidRPr="00192045" w:rsidRDefault="00754E2E" w:rsidP="00162AB1">
            <w:pPr>
              <w:pStyle w:val="Tabletext"/>
              <w:keepNext/>
              <w:keepLines/>
              <w:jc w:val="center"/>
            </w:pPr>
            <w:r w:rsidRPr="00192045">
              <w:t>BRV treatment for POS</w:t>
            </w:r>
          </w:p>
        </w:tc>
        <w:tc>
          <w:tcPr>
            <w:tcW w:w="901" w:type="pct"/>
            <w:shd w:val="clear" w:color="auto" w:fill="auto"/>
            <w:vAlign w:val="center"/>
          </w:tcPr>
          <w:p w:rsidR="00754E2E" w:rsidRPr="00192045" w:rsidRDefault="00754E2E" w:rsidP="00162AB1">
            <w:pPr>
              <w:pStyle w:val="Tabletext"/>
              <w:keepNext/>
              <w:keepLines/>
              <w:jc w:val="center"/>
            </w:pPr>
            <w:r w:rsidRPr="00192045">
              <w:t xml:space="preserve">Seizure reduction, </w:t>
            </w:r>
            <w:r w:rsidR="006C2498" w:rsidRPr="00192045">
              <w:t>S</w:t>
            </w:r>
            <w:r w:rsidRPr="00192045">
              <w:t xml:space="preserve">eizure freedom </w:t>
            </w:r>
            <w:r w:rsidR="006C2498" w:rsidRPr="00192045">
              <w:t>T</w:t>
            </w:r>
            <w:r w:rsidRPr="00192045">
              <w:t xml:space="preserve">reatment retention, </w:t>
            </w:r>
          </w:p>
          <w:p w:rsidR="00754E2E" w:rsidRPr="00192045" w:rsidRDefault="006C2498" w:rsidP="00162AB1">
            <w:pPr>
              <w:pStyle w:val="Tabletext"/>
              <w:keepNext/>
              <w:keepLines/>
              <w:jc w:val="center"/>
            </w:pPr>
            <w:r w:rsidRPr="00192045">
              <w:t>S</w:t>
            </w:r>
            <w:r w:rsidR="00754E2E" w:rsidRPr="00192045">
              <w:t>afety</w:t>
            </w:r>
          </w:p>
        </w:tc>
        <w:tc>
          <w:tcPr>
            <w:tcW w:w="542" w:type="pct"/>
            <w:shd w:val="clear" w:color="auto" w:fill="auto"/>
            <w:vAlign w:val="center"/>
          </w:tcPr>
          <w:p w:rsidR="00754E2E" w:rsidRPr="00192045" w:rsidRDefault="00754E2E" w:rsidP="00162AB1">
            <w:pPr>
              <w:pStyle w:val="Tabletext"/>
              <w:keepNext/>
              <w:keepLines/>
              <w:jc w:val="center"/>
            </w:pPr>
            <w:r w:rsidRPr="00192045">
              <w:t>No</w:t>
            </w:r>
          </w:p>
        </w:tc>
      </w:tr>
    </w:tbl>
    <w:p w:rsidR="00754E2E" w:rsidRPr="00192045" w:rsidRDefault="00754E2E" w:rsidP="00162AB1">
      <w:pPr>
        <w:pStyle w:val="TableFooter"/>
        <w:keepNext/>
        <w:keepLines/>
        <w:widowControl/>
        <w:rPr>
          <w:rStyle w:val="CommentReference"/>
          <w:b w:val="0"/>
          <w:sz w:val="18"/>
          <w:szCs w:val="22"/>
        </w:rPr>
      </w:pPr>
      <w:r w:rsidRPr="00192045">
        <w:rPr>
          <w:rStyle w:val="CommentReference"/>
          <w:b w:val="0"/>
          <w:sz w:val="18"/>
          <w:szCs w:val="22"/>
        </w:rPr>
        <w:t xml:space="preserve">Source: </w:t>
      </w:r>
      <w:r w:rsidR="00F53B5A" w:rsidRPr="00192045">
        <w:rPr>
          <w:rStyle w:val="CommentReference"/>
          <w:b w:val="0"/>
          <w:sz w:val="18"/>
          <w:szCs w:val="22"/>
        </w:rPr>
        <w:t>Compiled</w:t>
      </w:r>
      <w:r w:rsidRPr="00192045">
        <w:rPr>
          <w:rStyle w:val="CommentReference"/>
          <w:b w:val="0"/>
          <w:sz w:val="18"/>
          <w:szCs w:val="22"/>
        </w:rPr>
        <w:t xml:space="preserve"> during the evaluation from Section 2.2 – Section 2.4, pp40-53; Section 2.5.2, pp59-62; Section 2.5.5, p77; Section 2.6.1, pp78-80; Table 2.12, p54; of the submission; Study N01263 CSR, Study N01266 CSR</w:t>
      </w:r>
    </w:p>
    <w:p w:rsidR="00754E2E" w:rsidRPr="00192045" w:rsidRDefault="007A66CE" w:rsidP="00162AB1">
      <w:pPr>
        <w:pStyle w:val="TableFooter"/>
        <w:keepNext/>
        <w:keepLines/>
        <w:widowControl/>
        <w:rPr>
          <w:rStyle w:val="CommentReference"/>
          <w:b w:val="0"/>
          <w:sz w:val="18"/>
          <w:szCs w:val="22"/>
        </w:rPr>
      </w:pPr>
      <w:r w:rsidRPr="00192045">
        <w:rPr>
          <w:rStyle w:val="CommentReference"/>
          <w:b w:val="0"/>
          <w:sz w:val="18"/>
          <w:szCs w:val="22"/>
        </w:rPr>
        <w:t>AED = antiepileptic drug;</w:t>
      </w:r>
      <w:r w:rsidR="00754E2E" w:rsidRPr="00192045">
        <w:rPr>
          <w:rStyle w:val="CommentReference"/>
          <w:b w:val="0"/>
          <w:sz w:val="18"/>
          <w:szCs w:val="22"/>
        </w:rPr>
        <w:t xml:space="preserve"> BRV = </w:t>
      </w:r>
      <w:proofErr w:type="spellStart"/>
      <w:r w:rsidR="00754E2E" w:rsidRPr="00192045">
        <w:rPr>
          <w:rStyle w:val="CommentReference"/>
          <w:b w:val="0"/>
          <w:sz w:val="18"/>
          <w:szCs w:val="22"/>
        </w:rPr>
        <w:t>brivaracetam</w:t>
      </w:r>
      <w:proofErr w:type="spellEnd"/>
      <w:r w:rsidR="00754E2E" w:rsidRPr="00192045">
        <w:rPr>
          <w:rStyle w:val="CommentReference"/>
          <w:b w:val="0"/>
          <w:sz w:val="18"/>
          <w:szCs w:val="22"/>
        </w:rPr>
        <w:t xml:space="preserve">; </w:t>
      </w:r>
      <w:r w:rsidR="006C2498" w:rsidRPr="00192045">
        <w:rPr>
          <w:rStyle w:val="CommentReference"/>
          <w:b w:val="0"/>
          <w:sz w:val="18"/>
          <w:szCs w:val="22"/>
        </w:rPr>
        <w:t xml:space="preserve">CSR = clinical study report; </w:t>
      </w:r>
      <w:r w:rsidR="00754E2E" w:rsidRPr="00192045">
        <w:rPr>
          <w:rStyle w:val="CommentReference"/>
          <w:b w:val="0"/>
          <w:sz w:val="18"/>
          <w:szCs w:val="22"/>
        </w:rPr>
        <w:t xml:space="preserve">MC = multicentre; OL = open label; POS = partial onset seizures; retro = retrospective; </w:t>
      </w:r>
      <w:proofErr w:type="spellStart"/>
      <w:r w:rsidR="00754E2E" w:rsidRPr="00192045">
        <w:rPr>
          <w:rStyle w:val="CommentReference"/>
          <w:b w:val="0"/>
          <w:sz w:val="18"/>
          <w:szCs w:val="22"/>
        </w:rPr>
        <w:t>yr</w:t>
      </w:r>
      <w:proofErr w:type="spellEnd"/>
      <w:r w:rsidR="00754E2E" w:rsidRPr="00192045">
        <w:rPr>
          <w:rStyle w:val="CommentReference"/>
          <w:b w:val="0"/>
          <w:sz w:val="18"/>
          <w:szCs w:val="22"/>
        </w:rPr>
        <w:t xml:space="preserve"> = year</w:t>
      </w:r>
      <w:r w:rsidR="00120446" w:rsidRPr="00192045">
        <w:rPr>
          <w:rStyle w:val="CommentReference"/>
          <w:b w:val="0"/>
          <w:sz w:val="18"/>
          <w:szCs w:val="22"/>
        </w:rPr>
        <w:t xml:space="preserve">; Δ = change in </w:t>
      </w:r>
    </w:p>
    <w:p w:rsidR="00754E2E" w:rsidRPr="00192045" w:rsidRDefault="00754E2E" w:rsidP="00162AB1">
      <w:pPr>
        <w:pStyle w:val="TableFooter"/>
        <w:keepNext/>
        <w:keepLines/>
        <w:widowControl/>
      </w:pPr>
      <w:proofErr w:type="gramStart"/>
      <w:r w:rsidRPr="00192045">
        <w:rPr>
          <w:vertAlign w:val="superscript"/>
        </w:rPr>
        <w:t>a</w:t>
      </w:r>
      <w:proofErr w:type="gramEnd"/>
      <w:r w:rsidRPr="00192045">
        <w:t xml:space="preserve"> Study N01266 enrolled patients from N01263. Study N01266 only recruited patients with POS aged ≥ 4 </w:t>
      </w:r>
      <w:proofErr w:type="spellStart"/>
      <w:r w:rsidRPr="00192045">
        <w:t>yrs</w:t>
      </w:r>
      <w:proofErr w:type="spellEnd"/>
      <w:r w:rsidRPr="00192045">
        <w:t xml:space="preserve"> &lt; 17 years. Study N01263 included participants with generalised seizures and those less than 4 yrs. 85% of study N01266 participants had POS and 23% had generalized seizures. </w:t>
      </w:r>
    </w:p>
    <w:p w:rsidR="001128AC" w:rsidRPr="00192045" w:rsidRDefault="00754E2E" w:rsidP="00162AB1">
      <w:pPr>
        <w:pStyle w:val="TableFooter"/>
        <w:keepNext/>
        <w:keepLines/>
        <w:widowControl/>
      </w:pPr>
      <w:proofErr w:type="gramStart"/>
      <w:r w:rsidRPr="00192045">
        <w:rPr>
          <w:vertAlign w:val="superscript"/>
        </w:rPr>
        <w:t>b</w:t>
      </w:r>
      <w:proofErr w:type="gramEnd"/>
      <w:r w:rsidRPr="00192045">
        <w:t xml:space="preserve"> After treatment with at least one AED</w:t>
      </w:r>
    </w:p>
    <w:p w:rsidR="00754E2E" w:rsidRPr="00192045" w:rsidRDefault="00754E2E" w:rsidP="00500B84">
      <w:pPr>
        <w:widowControl/>
      </w:pPr>
    </w:p>
    <w:p w:rsidR="004E5C7B" w:rsidRPr="00192045" w:rsidRDefault="004E5C7B" w:rsidP="00E2012A">
      <w:pPr>
        <w:pStyle w:val="numberedbulletstyle"/>
      </w:pPr>
      <w:r w:rsidRPr="00192045">
        <w:t xml:space="preserve">The three studies were considered to have a high risk of bias </w:t>
      </w:r>
      <w:r w:rsidR="00A06E63" w:rsidRPr="00192045">
        <w:t>because the studies were single</w:t>
      </w:r>
      <w:r w:rsidR="00A06E63" w:rsidRPr="00192045">
        <w:noBreakHyphen/>
      </w:r>
      <w:r w:rsidRPr="00192045">
        <w:t>arm studies (mostly before</w:t>
      </w:r>
      <w:r w:rsidRPr="00192045">
        <w:noBreakHyphen/>
        <w:t>and</w:t>
      </w:r>
      <w:r w:rsidRPr="00192045">
        <w:noBreakHyphen/>
        <w:t xml:space="preserve">after study design) that assessed safety and seizure frequency outcomes compared with baseline. There </w:t>
      </w:r>
      <w:r w:rsidR="00120446" w:rsidRPr="00192045">
        <w:t xml:space="preserve">was </w:t>
      </w:r>
      <w:r w:rsidRPr="00192045">
        <w:t xml:space="preserve">potential for placebo </w:t>
      </w:r>
      <w:r w:rsidR="00120446" w:rsidRPr="00192045">
        <w:t>responses (</w:t>
      </w:r>
      <w:r w:rsidR="00A06E63" w:rsidRPr="00192045">
        <w:t xml:space="preserve">response </w:t>
      </w:r>
      <w:r w:rsidR="00120446" w:rsidRPr="00192045">
        <w:t>due</w:t>
      </w:r>
      <w:r w:rsidR="00A06E63" w:rsidRPr="00192045">
        <w:t xml:space="preserve"> </w:t>
      </w:r>
      <w:r w:rsidR="00F84810" w:rsidRPr="00192045">
        <w:t xml:space="preserve">to </w:t>
      </w:r>
      <w:r w:rsidR="00A06E63" w:rsidRPr="00192045">
        <w:t>expectation the drug may be beneficial)</w:t>
      </w:r>
      <w:r w:rsidRPr="00192045">
        <w:t>, selection</w:t>
      </w:r>
      <w:r w:rsidR="00A06E63" w:rsidRPr="00192045">
        <w:t xml:space="preserve"> bias,</w:t>
      </w:r>
      <w:r w:rsidRPr="00192045">
        <w:t xml:space="preserve"> and detection biases.</w:t>
      </w:r>
    </w:p>
    <w:p w:rsidR="001128AC" w:rsidRPr="00192045" w:rsidRDefault="00F84810" w:rsidP="00E2012A">
      <w:pPr>
        <w:pStyle w:val="numberedbulletstyle"/>
      </w:pPr>
      <w:r w:rsidRPr="00192045">
        <w:t>T</w:t>
      </w:r>
      <w:r w:rsidR="00222A19" w:rsidRPr="00192045">
        <w:t>he evaluation</w:t>
      </w:r>
      <w:r w:rsidRPr="00192045">
        <w:t xml:space="preserve"> presented </w:t>
      </w:r>
      <w:r w:rsidR="001128AC" w:rsidRPr="00192045">
        <w:t xml:space="preserve">a naïve comparison </w:t>
      </w:r>
      <w:r w:rsidR="00EA0FD1" w:rsidRPr="00192045">
        <w:t>of</w:t>
      </w:r>
      <w:r w:rsidR="001128AC" w:rsidRPr="00192045">
        <w:t xml:space="preserve"> </w:t>
      </w:r>
      <w:proofErr w:type="spellStart"/>
      <w:r w:rsidR="001128AC" w:rsidRPr="00192045">
        <w:t>brivaracetam</w:t>
      </w:r>
      <w:proofErr w:type="spellEnd"/>
      <w:r w:rsidR="001128AC" w:rsidRPr="00192045">
        <w:t xml:space="preserve"> with </w:t>
      </w:r>
      <w:proofErr w:type="spellStart"/>
      <w:r w:rsidR="001128AC" w:rsidRPr="00192045">
        <w:t>lacosamide</w:t>
      </w:r>
      <w:proofErr w:type="spellEnd"/>
      <w:r w:rsidR="001128AC" w:rsidRPr="00192045">
        <w:t xml:space="preserve"> in the paediatric population using data from SP0969, the </w:t>
      </w:r>
      <w:proofErr w:type="spellStart"/>
      <w:r w:rsidR="001128AC" w:rsidRPr="00192045">
        <w:t>lacosamide</w:t>
      </w:r>
      <w:proofErr w:type="spellEnd"/>
      <w:r w:rsidR="001128AC" w:rsidRPr="00192045">
        <w:t xml:space="preserve"> randomised trial considered by the PBAC at its November 2018 consideration. </w:t>
      </w:r>
    </w:p>
    <w:p w:rsidR="00B60939" w:rsidRPr="00192045" w:rsidRDefault="00B60939" w:rsidP="00500B84">
      <w:pPr>
        <w:pStyle w:val="Heading2"/>
        <w:widowControl/>
      </w:pPr>
      <w:bookmarkStart w:id="12" w:name="_Toc19712694"/>
      <w:r w:rsidRPr="00192045">
        <w:t>Comparative effectiveness</w:t>
      </w:r>
      <w:bookmarkEnd w:id="12"/>
    </w:p>
    <w:p w:rsidR="001128AC" w:rsidRPr="00192045" w:rsidRDefault="00C36BBC" w:rsidP="00E2012A">
      <w:pPr>
        <w:pStyle w:val="numberedbulletstyle"/>
      </w:pPr>
      <w:r w:rsidRPr="00192045">
        <w:t>Table 5</w:t>
      </w:r>
      <w:r w:rsidR="001128AC" w:rsidRPr="00192045">
        <w:t xml:space="preserve"> presents the results of the seizure reduction outcomes from the paediatric </w:t>
      </w:r>
      <w:proofErr w:type="spellStart"/>
      <w:r w:rsidR="001128AC" w:rsidRPr="00192045">
        <w:t>brivaracetam</w:t>
      </w:r>
      <w:proofErr w:type="spellEnd"/>
      <w:r w:rsidR="001128AC" w:rsidRPr="00192045">
        <w:t xml:space="preserve"> studies and a naïve comparison with </w:t>
      </w:r>
      <w:proofErr w:type="spellStart"/>
      <w:r w:rsidR="0097402E" w:rsidRPr="00192045">
        <w:t>lacosamide</w:t>
      </w:r>
      <w:proofErr w:type="spellEnd"/>
      <w:r w:rsidR="0097402E" w:rsidRPr="00192045">
        <w:t xml:space="preserve"> using study SP0969. </w:t>
      </w:r>
      <w:r w:rsidR="001128AC" w:rsidRPr="00192045">
        <w:t xml:space="preserve">A 50% or greater reduction in seizure frequency (response rate) was the key effectiveness outcome considered by the PBAC in its previous considerations of </w:t>
      </w:r>
      <w:r w:rsidR="002D4437" w:rsidRPr="00192045">
        <w:t>AEDs</w:t>
      </w:r>
      <w:r w:rsidR="001128AC" w:rsidRPr="00192045">
        <w:t xml:space="preserve">. At the November 2009 </w:t>
      </w:r>
      <w:proofErr w:type="spellStart"/>
      <w:r w:rsidR="001128AC" w:rsidRPr="00192045">
        <w:t>lacosamide</w:t>
      </w:r>
      <w:proofErr w:type="spellEnd"/>
      <w:r w:rsidR="001128AC" w:rsidRPr="00192045">
        <w:t xml:space="preserve"> consideration, the PBAC considered </w:t>
      </w:r>
      <w:r w:rsidR="00F1729E" w:rsidRPr="00192045">
        <w:t>‘</w:t>
      </w:r>
      <w:r w:rsidR="001128AC" w:rsidRPr="00192045">
        <w:t>the outcome of 50% responder rate is dependent on a patient’s baseline seizure frequency and in a less severe population is of doubtful clinical relevance. However, although an outcome in epilepsy trials that is potentially more patient-relevant is the proportion of patients achieving a particular threshold such as the proportion of seizure-free patients, the PBAC recognised that in patients with intractable epilepsy, a 50% reduction in seizures was likely to be clinically important. Further, it would be unlikely for such patients to be seizure-free</w:t>
      </w:r>
      <w:r w:rsidR="00F1729E" w:rsidRPr="00192045">
        <w:t>’</w:t>
      </w:r>
      <w:r w:rsidR="001128AC" w:rsidRPr="00192045">
        <w:t xml:space="preserve"> (</w:t>
      </w:r>
      <w:r w:rsidR="00633A84" w:rsidRPr="00192045">
        <w:t xml:space="preserve">paragraph 12, </w:t>
      </w:r>
      <w:proofErr w:type="spellStart"/>
      <w:r w:rsidR="001128AC" w:rsidRPr="00192045">
        <w:t>lacosamide</w:t>
      </w:r>
      <w:proofErr w:type="spellEnd"/>
      <w:r w:rsidR="001128AC" w:rsidRPr="00192045">
        <w:t xml:space="preserve"> PSD, November 2009</w:t>
      </w:r>
      <w:r w:rsidR="0003436D" w:rsidRPr="00192045">
        <w:t xml:space="preserve"> PBAC Meeting</w:t>
      </w:r>
      <w:r w:rsidR="001128AC" w:rsidRPr="00192045">
        <w:t>).</w:t>
      </w:r>
    </w:p>
    <w:p w:rsidR="001128AC" w:rsidRPr="00192045" w:rsidRDefault="00C36BBC" w:rsidP="00500B84">
      <w:pPr>
        <w:keepNext/>
        <w:widowControl/>
        <w:rPr>
          <w:rStyle w:val="CommentReference"/>
        </w:rPr>
      </w:pPr>
      <w:r w:rsidRPr="00192045">
        <w:rPr>
          <w:rStyle w:val="CommentReference"/>
        </w:rPr>
        <w:lastRenderedPageBreak/>
        <w:t>Table 5</w:t>
      </w:r>
      <w:r w:rsidR="001128AC" w:rsidRPr="00192045">
        <w:rPr>
          <w:rStyle w:val="CommentReference"/>
        </w:rPr>
        <w:t xml:space="preserve">: Results of seizure response across the </w:t>
      </w:r>
      <w:r w:rsidR="00AB16BA" w:rsidRPr="00192045">
        <w:rPr>
          <w:rStyle w:val="CommentReference"/>
        </w:rPr>
        <w:t xml:space="preserve">paediatric </w:t>
      </w:r>
      <w:r w:rsidR="001128AC" w:rsidRPr="00192045">
        <w:rPr>
          <w:rStyle w:val="CommentReference"/>
        </w:rPr>
        <w:t xml:space="preserve">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273"/>
        <w:gridCol w:w="1277"/>
        <w:gridCol w:w="1277"/>
        <w:gridCol w:w="1935"/>
      </w:tblGrid>
      <w:tr w:rsidR="001128AC" w:rsidRPr="00192045" w:rsidTr="00822893">
        <w:trPr>
          <w:tblHeader/>
        </w:trPr>
        <w:tc>
          <w:tcPr>
            <w:tcW w:w="1805"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pPr>
            <w:r w:rsidRPr="00192045">
              <w:rPr>
                <w:b/>
              </w:rPr>
              <w:t xml:space="preserve">Study </w:t>
            </w:r>
          </w:p>
        </w:tc>
        <w:tc>
          <w:tcPr>
            <w:tcW w:w="706"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rPr>
                <w:b/>
              </w:rPr>
            </w:pPr>
            <w:proofErr w:type="spellStart"/>
            <w:r w:rsidRPr="00192045">
              <w:rPr>
                <w:b/>
              </w:rPr>
              <w:t>Brivaracetam</w:t>
            </w:r>
            <w:proofErr w:type="spellEnd"/>
            <w:r w:rsidRPr="00192045">
              <w:rPr>
                <w:b/>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rPr>
                <w:b/>
              </w:rPr>
            </w:pPr>
            <w:r w:rsidRPr="00192045">
              <w:rPr>
                <w:b/>
              </w:rPr>
              <w:t xml:space="preserve">Placebo </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rPr>
                <w:b/>
              </w:rPr>
            </w:pPr>
            <w:proofErr w:type="spellStart"/>
            <w:r w:rsidRPr="00192045">
              <w:rPr>
                <w:b/>
              </w:rPr>
              <w:t>Lacosamide</w:t>
            </w:r>
            <w:proofErr w:type="spellEnd"/>
            <w:r w:rsidRPr="00192045">
              <w:rPr>
                <w:b/>
              </w:rPr>
              <w:t xml:space="preserve"> </w:t>
            </w:r>
          </w:p>
        </w:tc>
        <w:tc>
          <w:tcPr>
            <w:tcW w:w="1072"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rPr>
                <w:b/>
              </w:rPr>
            </w:pPr>
            <w:r w:rsidRPr="00192045">
              <w:rPr>
                <w:b/>
              </w:rPr>
              <w:t>Relative risk (95% CI)</w:t>
            </w:r>
          </w:p>
        </w:tc>
      </w:tr>
      <w:tr w:rsidR="001128AC" w:rsidRPr="00192045" w:rsidTr="0082289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rPr>
                <w:b/>
                <w:vertAlign w:val="superscript"/>
              </w:rPr>
            </w:pPr>
            <w:r w:rsidRPr="00192045">
              <w:rPr>
                <w:b/>
              </w:rPr>
              <w:t xml:space="preserve">≥ 50% reduction in seizure-days </w:t>
            </w:r>
            <w:r w:rsidRPr="00192045">
              <w:rPr>
                <w:b/>
                <w:vertAlign w:val="superscript"/>
              </w:rPr>
              <w:t>a</w:t>
            </w:r>
          </w:p>
        </w:tc>
      </w:tr>
      <w:tr w:rsidR="001128AC" w:rsidRPr="00192045" w:rsidTr="00822893">
        <w:tc>
          <w:tcPr>
            <w:tcW w:w="1805"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pPr>
            <w:r w:rsidRPr="00192045">
              <w:t>N01263 (all patients)</w:t>
            </w:r>
          </w:p>
        </w:tc>
        <w:tc>
          <w:tcPr>
            <w:tcW w:w="706"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17/80 (21%)</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1072"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r>
      <w:tr w:rsidR="001128AC" w:rsidRPr="00192045" w:rsidTr="00822893">
        <w:tc>
          <w:tcPr>
            <w:tcW w:w="1805"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67666" w:rsidP="00500B84">
            <w:pPr>
              <w:pStyle w:val="Tabletext"/>
            </w:pPr>
            <w:r>
              <w:t xml:space="preserve">  </w:t>
            </w:r>
            <w:r w:rsidR="001128AC" w:rsidRPr="00192045">
              <w:t xml:space="preserve"> partial onset seizures</w:t>
            </w:r>
          </w:p>
        </w:tc>
        <w:tc>
          <w:tcPr>
            <w:tcW w:w="706"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11/35 (31%)</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1072"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r>
      <w:tr w:rsidR="001128AC" w:rsidRPr="00192045" w:rsidTr="00822893">
        <w:tc>
          <w:tcPr>
            <w:tcW w:w="1805"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67666" w:rsidP="00500B84">
            <w:pPr>
              <w:pStyle w:val="Tabletext"/>
            </w:pPr>
            <w:r>
              <w:t xml:space="preserve">  </w:t>
            </w:r>
            <w:r w:rsidR="001128AC" w:rsidRPr="00192045">
              <w:t xml:space="preserve"> other seizure types</w:t>
            </w:r>
          </w:p>
        </w:tc>
        <w:tc>
          <w:tcPr>
            <w:tcW w:w="706"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6/45 (13%)</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1072"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r>
      <w:tr w:rsidR="001128AC" w:rsidRPr="00192045" w:rsidTr="00810DC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rPr>
                <w:b/>
              </w:rPr>
            </w:pPr>
            <w:r w:rsidRPr="00192045">
              <w:rPr>
                <w:b/>
              </w:rPr>
              <w:t>≥ 50% reduction in seizure frequency</w:t>
            </w:r>
            <w:r w:rsidR="00A56384" w:rsidRPr="00192045">
              <w:rPr>
                <w:b/>
              </w:rPr>
              <w:t xml:space="preserve"> (response rate)</w:t>
            </w:r>
          </w:p>
        </w:tc>
      </w:tr>
      <w:tr w:rsidR="001128AC" w:rsidRPr="00192045" w:rsidTr="00810DCB">
        <w:tc>
          <w:tcPr>
            <w:tcW w:w="1805"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pPr>
            <w:r w:rsidRPr="00192045">
              <w:t>Schubert-</w:t>
            </w:r>
            <w:proofErr w:type="spellStart"/>
            <w:r w:rsidRPr="00192045">
              <w:t>Bast</w:t>
            </w:r>
            <w:proofErr w:type="spellEnd"/>
            <w:r w:rsidRPr="00192045">
              <w:t xml:space="preserve"> (2018) </w:t>
            </w:r>
          </w:p>
        </w:tc>
        <w:tc>
          <w:tcPr>
            <w:tcW w:w="706"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18/28 (64%)</w:t>
            </w:r>
          </w:p>
        </w:tc>
        <w:tc>
          <w:tcPr>
            <w:tcW w:w="708"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c>
          <w:tcPr>
            <w:tcW w:w="708" w:type="pct"/>
            <w:tcBorders>
              <w:top w:val="single" w:sz="4" w:space="0" w:color="auto"/>
              <w:left w:val="single" w:sz="4" w:space="0" w:color="auto"/>
              <w:bottom w:val="single" w:sz="4" w:space="0" w:color="auto"/>
              <w:right w:val="single" w:sz="4" w:space="0" w:color="auto"/>
            </w:tcBorders>
            <w:hideMark/>
          </w:tcPr>
          <w:p w:rsidR="001128AC" w:rsidRPr="00192045" w:rsidRDefault="001128AC" w:rsidP="00500B84">
            <w:pPr>
              <w:pStyle w:val="Tabletext"/>
              <w:jc w:val="center"/>
            </w:pPr>
            <w:r w:rsidRPr="00192045">
              <w:t>-</w:t>
            </w:r>
          </w:p>
        </w:tc>
        <w:tc>
          <w:tcPr>
            <w:tcW w:w="1072" w:type="pct"/>
            <w:tcBorders>
              <w:top w:val="single" w:sz="4" w:space="0" w:color="auto"/>
              <w:left w:val="single" w:sz="4" w:space="0" w:color="auto"/>
              <w:bottom w:val="single" w:sz="4" w:space="0" w:color="auto"/>
              <w:right w:val="single" w:sz="4" w:space="0" w:color="auto"/>
            </w:tcBorders>
            <w:vAlign w:val="center"/>
            <w:hideMark/>
          </w:tcPr>
          <w:p w:rsidR="001128AC" w:rsidRPr="00192045" w:rsidRDefault="001128AC" w:rsidP="00500B84">
            <w:pPr>
              <w:pStyle w:val="Tabletext"/>
              <w:jc w:val="center"/>
            </w:pPr>
            <w:r w:rsidRPr="00192045">
              <w:t>-</w:t>
            </w:r>
          </w:p>
        </w:tc>
      </w:tr>
      <w:tr w:rsidR="001128AC" w:rsidRPr="00192045" w:rsidTr="00810DCB">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8AC" w:rsidRPr="00192045" w:rsidRDefault="001128AC" w:rsidP="00500B84">
            <w:pPr>
              <w:pStyle w:val="Tabletext"/>
            </w:pPr>
            <w:r w:rsidRPr="00192045">
              <w:t>SP0969</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8AC" w:rsidRPr="00192045" w:rsidRDefault="001128AC" w:rsidP="00500B84">
            <w:pPr>
              <w:pStyle w:val="Tabletext"/>
              <w:jc w:val="center"/>
            </w:pPr>
            <w:r w:rsidRPr="00192045">
              <w:t>-</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8AC" w:rsidRPr="00192045" w:rsidRDefault="001128AC" w:rsidP="00500B84">
            <w:pPr>
              <w:pStyle w:val="Tabletext"/>
              <w:jc w:val="center"/>
            </w:pPr>
            <w:r w:rsidRPr="00192045">
              <w:t>56/168 (33%)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8AC" w:rsidRPr="00192045" w:rsidRDefault="001128AC" w:rsidP="00500B84">
            <w:pPr>
              <w:pStyle w:val="Tabletext"/>
              <w:jc w:val="center"/>
            </w:pPr>
            <w:r w:rsidRPr="00192045">
              <w:t>90/170 (53%)</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8AC" w:rsidRPr="00192045" w:rsidRDefault="001128AC" w:rsidP="00500B84">
            <w:pPr>
              <w:pStyle w:val="Tabletext"/>
              <w:jc w:val="center"/>
            </w:pPr>
            <w:r w:rsidRPr="00192045">
              <w:t>1.59 (1.23, 2.05)</w:t>
            </w:r>
          </w:p>
        </w:tc>
      </w:tr>
    </w:tbl>
    <w:p w:rsidR="001128AC" w:rsidRPr="00192045" w:rsidRDefault="001128AC" w:rsidP="00500B84">
      <w:pPr>
        <w:pStyle w:val="TableFooter"/>
        <w:widowControl/>
        <w:rPr>
          <w:sz w:val="20"/>
        </w:rPr>
      </w:pPr>
      <w:r w:rsidRPr="00192045">
        <w:t>Source: Table 2.29, p77, Table 2.31, p31 of the submission; Table 10-2, p139 of study N01263 CSR</w:t>
      </w:r>
    </w:p>
    <w:p w:rsidR="001128AC" w:rsidRPr="00192045" w:rsidRDefault="001128AC" w:rsidP="00500B84">
      <w:pPr>
        <w:pStyle w:val="TableFooter"/>
        <w:widowControl/>
        <w:rPr>
          <w:rFonts w:eastAsia="Calibri"/>
        </w:rPr>
      </w:pPr>
      <w:r w:rsidRPr="00192045">
        <w:rPr>
          <w:rFonts w:eastAsia="Calibri"/>
        </w:rPr>
        <w:t>CI = confidence interval</w:t>
      </w:r>
      <w:r w:rsidR="00210A5B" w:rsidRPr="00192045">
        <w:rPr>
          <w:rFonts w:eastAsia="Calibri"/>
        </w:rPr>
        <w:t xml:space="preserve">; CSR = clinical study report </w:t>
      </w:r>
    </w:p>
    <w:p w:rsidR="001128AC" w:rsidRPr="00192045" w:rsidRDefault="001128AC" w:rsidP="00500B84">
      <w:pPr>
        <w:pStyle w:val="TableFooter"/>
        <w:widowControl/>
        <w:rPr>
          <w:rFonts w:eastAsia="Calibri"/>
        </w:rPr>
      </w:pPr>
      <w:proofErr w:type="spellStart"/>
      <w:proofErr w:type="gramStart"/>
      <w:r w:rsidRPr="00192045">
        <w:rPr>
          <w:rFonts w:eastAsia="Calibri"/>
          <w:vertAlign w:val="superscript"/>
        </w:rPr>
        <w:t>a</w:t>
      </w:r>
      <w:proofErr w:type="spellEnd"/>
      <w:proofErr w:type="gramEnd"/>
      <w:r w:rsidRPr="00192045">
        <w:rPr>
          <w:rFonts w:eastAsia="Calibri"/>
        </w:rPr>
        <w:t xml:space="preserve"> Excluded patients who did not experience seizure duri</w:t>
      </w:r>
      <w:r w:rsidR="004D7863" w:rsidRPr="00192045">
        <w:rPr>
          <w:rFonts w:eastAsia="Calibri"/>
        </w:rPr>
        <w:t>ng the one-week baseline period</w:t>
      </w:r>
      <w:r w:rsidRPr="00192045">
        <w:rPr>
          <w:rFonts w:eastAsia="Calibri"/>
        </w:rPr>
        <w:t xml:space="preserve"> </w:t>
      </w:r>
    </w:p>
    <w:p w:rsidR="001128AC" w:rsidRPr="00192045" w:rsidRDefault="001128AC" w:rsidP="00500B84">
      <w:pPr>
        <w:widowControl/>
        <w:rPr>
          <w:color w:val="3366FF"/>
        </w:rPr>
      </w:pPr>
    </w:p>
    <w:p w:rsidR="001128AC" w:rsidRPr="00192045" w:rsidRDefault="00EF6848" w:rsidP="00E2012A">
      <w:pPr>
        <w:pStyle w:val="numberedbulletstyle"/>
      </w:pPr>
      <w:r w:rsidRPr="00192045">
        <w:rPr>
          <w:snapToGrid/>
          <w:lang w:eastAsia="en-AU"/>
        </w:rPr>
        <w:t xml:space="preserve">Different measures of seizure response were reported in the studies. </w:t>
      </w:r>
      <w:r w:rsidR="001128AC" w:rsidRPr="00192045">
        <w:rPr>
          <w:snapToGrid/>
          <w:lang w:eastAsia="en-AU"/>
        </w:rPr>
        <w:t xml:space="preserve">Study N01263 reported that 31% of patients with partial onset seizures experiencing a 50% or greater reduction in seizure-days. This outcome </w:t>
      </w:r>
      <w:r w:rsidR="00C85023" w:rsidRPr="00192045">
        <w:rPr>
          <w:snapToGrid/>
          <w:lang w:eastAsia="en-AU"/>
        </w:rPr>
        <w:t>may not be comparable</w:t>
      </w:r>
      <w:r w:rsidR="001128AC" w:rsidRPr="00192045">
        <w:rPr>
          <w:snapToGrid/>
          <w:lang w:eastAsia="en-AU"/>
        </w:rPr>
        <w:t xml:space="preserve"> with a 50% or greater reduction in seizure frequency because the baseline seizure frequency was not reported</w:t>
      </w:r>
      <w:r w:rsidR="00B9452C" w:rsidRPr="00192045">
        <w:rPr>
          <w:snapToGrid/>
          <w:lang w:eastAsia="en-AU"/>
        </w:rPr>
        <w:t>, and its impact on any comparison was not clear</w:t>
      </w:r>
      <w:r w:rsidR="001128AC" w:rsidRPr="00192045">
        <w:rPr>
          <w:snapToGrid/>
          <w:lang w:eastAsia="en-AU"/>
        </w:rPr>
        <w:t xml:space="preserve">. Despite this, the reduction in response detected in N01263 was substantially lower than 53% response rate </w:t>
      </w:r>
      <w:r w:rsidRPr="00192045">
        <w:rPr>
          <w:snapToGrid/>
          <w:lang w:eastAsia="en-AU"/>
        </w:rPr>
        <w:t>(</w:t>
      </w:r>
      <w:r w:rsidR="007F0529" w:rsidRPr="00192045">
        <w:t>a</w:t>
      </w:r>
      <w:r w:rsidRPr="00192045">
        <w:t xml:space="preserve"> 50%</w:t>
      </w:r>
      <w:r w:rsidR="007F0529" w:rsidRPr="00192045">
        <w:t xml:space="preserve"> or greater</w:t>
      </w:r>
      <w:r w:rsidRPr="00192045">
        <w:t xml:space="preserve"> reduction in seizure frequency)</w:t>
      </w:r>
      <w:r w:rsidRPr="00192045">
        <w:rPr>
          <w:snapToGrid/>
          <w:lang w:eastAsia="en-AU"/>
        </w:rPr>
        <w:t xml:space="preserve"> </w:t>
      </w:r>
      <w:r w:rsidR="001128AC" w:rsidRPr="00192045">
        <w:rPr>
          <w:snapToGrid/>
          <w:lang w:eastAsia="en-AU"/>
        </w:rPr>
        <w:t xml:space="preserve">for </w:t>
      </w:r>
      <w:proofErr w:type="spellStart"/>
      <w:r w:rsidR="001128AC" w:rsidRPr="00192045">
        <w:rPr>
          <w:snapToGrid/>
          <w:lang w:eastAsia="en-AU"/>
        </w:rPr>
        <w:t>lacosamide</w:t>
      </w:r>
      <w:proofErr w:type="spellEnd"/>
      <w:r w:rsidR="001128AC" w:rsidRPr="00192045">
        <w:rPr>
          <w:snapToGrid/>
          <w:lang w:eastAsia="en-AU"/>
        </w:rPr>
        <w:t xml:space="preserve"> in SP0969. </w:t>
      </w:r>
      <w:r w:rsidR="00C85023" w:rsidRPr="00192045">
        <w:rPr>
          <w:snapToGrid/>
          <w:lang w:eastAsia="en-AU"/>
        </w:rPr>
        <w:t>The naïve comparison</w:t>
      </w:r>
      <w:r w:rsidR="001128AC" w:rsidRPr="00192045">
        <w:rPr>
          <w:snapToGrid/>
          <w:lang w:eastAsia="en-AU"/>
        </w:rPr>
        <w:t xml:space="preserve"> was likely biased against </w:t>
      </w:r>
      <w:proofErr w:type="spellStart"/>
      <w:r w:rsidR="001128AC" w:rsidRPr="00192045">
        <w:rPr>
          <w:snapToGrid/>
          <w:lang w:eastAsia="en-AU"/>
        </w:rPr>
        <w:t>brivaracetam</w:t>
      </w:r>
      <w:proofErr w:type="spellEnd"/>
      <w:r w:rsidR="001128AC" w:rsidRPr="00192045">
        <w:rPr>
          <w:snapToGrid/>
          <w:lang w:eastAsia="en-AU"/>
        </w:rPr>
        <w:t xml:space="preserve"> because </w:t>
      </w:r>
      <w:proofErr w:type="spellStart"/>
      <w:r w:rsidR="001128AC" w:rsidRPr="00192045">
        <w:rPr>
          <w:snapToGrid/>
          <w:lang w:eastAsia="en-AU"/>
        </w:rPr>
        <w:t>brivaracetam</w:t>
      </w:r>
      <w:proofErr w:type="spellEnd"/>
      <w:r w:rsidR="001128AC" w:rsidRPr="00192045">
        <w:rPr>
          <w:snapToGrid/>
          <w:lang w:eastAsia="en-AU"/>
        </w:rPr>
        <w:t xml:space="preserve"> effectiveness was measured during a three-week period when </w:t>
      </w:r>
      <w:proofErr w:type="spellStart"/>
      <w:r w:rsidR="001128AC" w:rsidRPr="00192045">
        <w:rPr>
          <w:snapToGrid/>
          <w:lang w:eastAsia="en-AU"/>
        </w:rPr>
        <w:t>brivaracetam</w:t>
      </w:r>
      <w:proofErr w:type="spellEnd"/>
      <w:r w:rsidR="001128AC" w:rsidRPr="00192045">
        <w:rPr>
          <w:snapToGrid/>
          <w:lang w:eastAsia="en-AU"/>
        </w:rPr>
        <w:t xml:space="preserve"> was being titrated</w:t>
      </w:r>
      <w:r w:rsidR="00C85023" w:rsidRPr="00192045">
        <w:rPr>
          <w:snapToGrid/>
          <w:lang w:eastAsia="en-AU"/>
        </w:rPr>
        <w:t xml:space="preserve"> whereas </w:t>
      </w:r>
      <w:proofErr w:type="spellStart"/>
      <w:r w:rsidR="00C85023" w:rsidRPr="00192045">
        <w:rPr>
          <w:snapToGrid/>
          <w:lang w:eastAsia="en-AU"/>
        </w:rPr>
        <w:t>l</w:t>
      </w:r>
      <w:r w:rsidR="001128AC" w:rsidRPr="00192045">
        <w:rPr>
          <w:snapToGrid/>
          <w:lang w:eastAsia="en-AU"/>
        </w:rPr>
        <w:t>acosamide</w:t>
      </w:r>
      <w:proofErr w:type="spellEnd"/>
      <w:r w:rsidR="001128AC" w:rsidRPr="00192045">
        <w:rPr>
          <w:snapToGrid/>
          <w:lang w:eastAsia="en-AU"/>
        </w:rPr>
        <w:t xml:space="preserve"> effectiveness was measured after dose titration. </w:t>
      </w:r>
      <w:r w:rsidR="00C85023" w:rsidRPr="00192045">
        <w:rPr>
          <w:snapToGrid/>
          <w:lang w:eastAsia="en-AU"/>
        </w:rPr>
        <w:t>Additionally, there were differences in patients and disease characteristics between the studies.</w:t>
      </w:r>
    </w:p>
    <w:p w:rsidR="001128AC" w:rsidRPr="00192045" w:rsidRDefault="001128AC" w:rsidP="00E2012A">
      <w:pPr>
        <w:pStyle w:val="numberedbulletstyle"/>
      </w:pPr>
      <w:r w:rsidRPr="00192045">
        <w:t>Schubert-</w:t>
      </w:r>
      <w:proofErr w:type="spellStart"/>
      <w:r w:rsidRPr="00192045">
        <w:t>Bast</w:t>
      </w:r>
      <w:proofErr w:type="spellEnd"/>
      <w:r w:rsidRPr="00192045">
        <w:t xml:space="preserve"> (2018)</w:t>
      </w:r>
      <w:r w:rsidR="00A06E63" w:rsidRPr="00192045">
        <w:t>, the retrospective single</w:t>
      </w:r>
      <w:r w:rsidR="00A06E63" w:rsidRPr="00192045">
        <w:noBreakHyphen/>
      </w:r>
      <w:r w:rsidR="0011787E" w:rsidRPr="00192045">
        <w:t>arm study,</w:t>
      </w:r>
      <w:r w:rsidRPr="00192045">
        <w:t xml:space="preserve"> reported </w:t>
      </w:r>
      <w:r w:rsidR="00A56384" w:rsidRPr="00192045">
        <w:t xml:space="preserve">that </w:t>
      </w:r>
      <w:r w:rsidRPr="00192045">
        <w:t xml:space="preserve">64% of </w:t>
      </w:r>
      <w:proofErr w:type="spellStart"/>
      <w:r w:rsidRPr="00192045">
        <w:t>brivaracetam</w:t>
      </w:r>
      <w:proofErr w:type="spellEnd"/>
      <w:r w:rsidRPr="00192045">
        <w:t xml:space="preserve"> patients experienc</w:t>
      </w:r>
      <w:r w:rsidR="00A56384" w:rsidRPr="00192045">
        <w:t>ed</w:t>
      </w:r>
      <w:r w:rsidRPr="00192045">
        <w:t xml:space="preserve"> a 50% or greater reduction in seizure frequency</w:t>
      </w:r>
      <w:r w:rsidR="00A56384" w:rsidRPr="00192045">
        <w:t> (response)</w:t>
      </w:r>
      <w:r w:rsidRPr="00192045">
        <w:t xml:space="preserve"> after three months of </w:t>
      </w:r>
      <w:proofErr w:type="spellStart"/>
      <w:r w:rsidRPr="00192045">
        <w:t>brivaracetam</w:t>
      </w:r>
      <w:proofErr w:type="spellEnd"/>
      <w:r w:rsidRPr="00192045">
        <w:t xml:space="preserve"> treatment. This was </w:t>
      </w:r>
      <w:r w:rsidR="008901A6" w:rsidRPr="00192045">
        <w:t xml:space="preserve">higher than the </w:t>
      </w:r>
      <w:r w:rsidRPr="00192045">
        <w:t xml:space="preserve">53% </w:t>
      </w:r>
      <w:r w:rsidR="007F0529" w:rsidRPr="00192045">
        <w:t xml:space="preserve">response rate </w:t>
      </w:r>
      <w:r w:rsidRPr="00192045">
        <w:t>f</w:t>
      </w:r>
      <w:r w:rsidR="007F0529" w:rsidRPr="00192045">
        <w:t>or</w:t>
      </w:r>
      <w:r w:rsidRPr="00192045">
        <w:t xml:space="preserve"> </w:t>
      </w:r>
      <w:proofErr w:type="spellStart"/>
      <w:r w:rsidRPr="00192045">
        <w:t>lacosamide</w:t>
      </w:r>
      <w:proofErr w:type="spellEnd"/>
      <w:r w:rsidRPr="00192045">
        <w:t xml:space="preserve"> patients reported in SP0969. The results from the naïve comparison </w:t>
      </w:r>
      <w:r w:rsidR="00C85023" w:rsidRPr="00192045">
        <w:t xml:space="preserve">may not be fully comparable and </w:t>
      </w:r>
      <w:r w:rsidRPr="00192045">
        <w:t>should be interpreted with caution given:</w:t>
      </w:r>
    </w:p>
    <w:p w:rsidR="001128AC" w:rsidRPr="00192045" w:rsidRDefault="00210A5B" w:rsidP="00500B84">
      <w:pPr>
        <w:pStyle w:val="ListParagraph"/>
        <w:widowControl/>
        <w:numPr>
          <w:ilvl w:val="0"/>
          <w:numId w:val="19"/>
        </w:numPr>
        <w:snapToGrid w:val="0"/>
        <w:ind w:left="1080"/>
        <w:rPr>
          <w:snapToGrid/>
        </w:rPr>
      </w:pPr>
      <w:r w:rsidRPr="00192045">
        <w:t>T</w:t>
      </w:r>
      <w:r w:rsidR="001128AC" w:rsidRPr="00192045">
        <w:t xml:space="preserve">he number of prior AEDs trialled may differ due to differences in how prior treatments were reported. Inadequate response </w:t>
      </w:r>
      <w:r w:rsidR="00931A67">
        <w:t>t</w:t>
      </w:r>
      <w:r w:rsidR="001128AC" w:rsidRPr="00192045">
        <w:t>o previously trialled AEDs may be a poor prognostic factor</w:t>
      </w:r>
      <w:r w:rsidR="008901A6" w:rsidRPr="00192045">
        <w:t xml:space="preserve"> for subsequent AED response</w:t>
      </w:r>
      <w:r w:rsidR="001128AC" w:rsidRPr="00192045">
        <w:t xml:space="preserve">; </w:t>
      </w:r>
    </w:p>
    <w:p w:rsidR="001128AC" w:rsidRPr="00192045" w:rsidRDefault="00210A5B" w:rsidP="00500B84">
      <w:pPr>
        <w:pStyle w:val="ListParagraph"/>
        <w:widowControl/>
        <w:numPr>
          <w:ilvl w:val="0"/>
          <w:numId w:val="19"/>
        </w:numPr>
        <w:snapToGrid w:val="0"/>
        <w:ind w:left="1080"/>
      </w:pPr>
      <w:r w:rsidRPr="00192045">
        <w:t>F</w:t>
      </w:r>
      <w:r w:rsidR="001128AC" w:rsidRPr="00192045">
        <w:t>ewer patients in Schubert-</w:t>
      </w:r>
      <w:proofErr w:type="spellStart"/>
      <w:r w:rsidR="001128AC" w:rsidRPr="00192045">
        <w:t>Bast</w:t>
      </w:r>
      <w:proofErr w:type="spellEnd"/>
      <w:r w:rsidR="001128AC" w:rsidRPr="00192045">
        <w:t xml:space="preserve"> (2018) had two or more other concurrent AEDs (46%) compared with SP0969 (83%). This may suggest patients in SP0969 have more severe disease; </w:t>
      </w:r>
    </w:p>
    <w:p w:rsidR="001128AC" w:rsidRPr="00192045" w:rsidRDefault="00210A5B" w:rsidP="00500B84">
      <w:pPr>
        <w:pStyle w:val="ListParagraph"/>
        <w:widowControl/>
        <w:numPr>
          <w:ilvl w:val="0"/>
          <w:numId w:val="19"/>
        </w:numPr>
        <w:snapToGrid w:val="0"/>
        <w:ind w:left="1080"/>
      </w:pPr>
      <w:r w:rsidRPr="00192045">
        <w:t>B</w:t>
      </w:r>
      <w:r w:rsidR="001128AC" w:rsidRPr="00192045">
        <w:t>iases in the before-and-after study design in Schubert-</w:t>
      </w:r>
      <w:proofErr w:type="spellStart"/>
      <w:r w:rsidR="001128AC" w:rsidRPr="00192045">
        <w:t>Bast</w:t>
      </w:r>
      <w:proofErr w:type="spellEnd"/>
      <w:r w:rsidR="001128AC" w:rsidRPr="00192045">
        <w:t xml:space="preserve"> (2018); and </w:t>
      </w:r>
    </w:p>
    <w:p w:rsidR="001128AC" w:rsidRPr="00192045" w:rsidRDefault="00210A5B" w:rsidP="00500B84">
      <w:pPr>
        <w:pStyle w:val="ListParagraph"/>
        <w:widowControl/>
        <w:numPr>
          <w:ilvl w:val="0"/>
          <w:numId w:val="19"/>
        </w:numPr>
        <w:snapToGrid w:val="0"/>
        <w:ind w:left="1080"/>
      </w:pPr>
      <w:r w:rsidRPr="00192045">
        <w:t>T</w:t>
      </w:r>
      <w:r w:rsidR="00C85023" w:rsidRPr="00192045">
        <w:t xml:space="preserve">he </w:t>
      </w:r>
      <w:r w:rsidR="001128AC" w:rsidRPr="00192045">
        <w:t xml:space="preserve">accuracy of seizure frequency </w:t>
      </w:r>
      <w:r w:rsidR="00F8169A" w:rsidRPr="00192045">
        <w:t>measurement</w:t>
      </w:r>
      <w:r w:rsidR="00E6705D" w:rsidRPr="00192045">
        <w:t>s</w:t>
      </w:r>
      <w:r w:rsidR="00F8169A" w:rsidRPr="00192045">
        <w:t xml:space="preserve"> </w:t>
      </w:r>
      <w:r w:rsidR="00E6705D" w:rsidRPr="00192045">
        <w:t>from</w:t>
      </w:r>
      <w:r w:rsidR="001128AC" w:rsidRPr="00192045">
        <w:t xml:space="preserve"> patients’ clinical records </w:t>
      </w:r>
      <w:r w:rsidR="00F8169A" w:rsidRPr="00192045">
        <w:t xml:space="preserve">used </w:t>
      </w:r>
      <w:r w:rsidR="001128AC" w:rsidRPr="00192045">
        <w:t>in Schubert-</w:t>
      </w:r>
      <w:proofErr w:type="spellStart"/>
      <w:r w:rsidR="001128AC" w:rsidRPr="00192045">
        <w:t>Bast</w:t>
      </w:r>
      <w:proofErr w:type="spellEnd"/>
      <w:r w:rsidR="001128AC" w:rsidRPr="00192045">
        <w:t xml:space="preserve"> (2018).</w:t>
      </w:r>
    </w:p>
    <w:p w:rsidR="00F87847" w:rsidRPr="00192045" w:rsidRDefault="00A2768A" w:rsidP="00E2012A">
      <w:pPr>
        <w:pStyle w:val="numberedbulletstyle"/>
        <w:rPr>
          <w:color w:val="3366FF"/>
        </w:rPr>
      </w:pPr>
      <w:r w:rsidRPr="00192045">
        <w:t>Results from t</w:t>
      </w:r>
      <w:r w:rsidR="000477DC" w:rsidRPr="00192045">
        <w:t>wo pharmacokinetic/</w:t>
      </w:r>
      <w:proofErr w:type="spellStart"/>
      <w:r w:rsidR="000477DC" w:rsidRPr="00192045">
        <w:t>pharmacodynamic</w:t>
      </w:r>
      <w:proofErr w:type="spellEnd"/>
      <w:r w:rsidR="00800A39" w:rsidRPr="00192045">
        <w:t xml:space="preserve"> (PK/PD)</w:t>
      </w:r>
      <w:r w:rsidR="000477DC" w:rsidRPr="00192045">
        <w:t xml:space="preserve"> studies which were evaluated by the TGA for registration of </w:t>
      </w:r>
      <w:proofErr w:type="spellStart"/>
      <w:r w:rsidR="000477DC" w:rsidRPr="00192045">
        <w:t>brivaracetam</w:t>
      </w:r>
      <w:proofErr w:type="spellEnd"/>
      <w:r w:rsidR="000477DC" w:rsidRPr="00192045">
        <w:t xml:space="preserve"> in children were presented</w:t>
      </w:r>
      <w:r w:rsidR="00F87847" w:rsidRPr="00192045">
        <w:t>:</w:t>
      </w:r>
    </w:p>
    <w:p w:rsidR="00F87847" w:rsidRPr="00192045" w:rsidRDefault="001128AC" w:rsidP="00500B84">
      <w:pPr>
        <w:pStyle w:val="ListParagraph"/>
        <w:widowControl/>
        <w:numPr>
          <w:ilvl w:val="0"/>
          <w:numId w:val="19"/>
        </w:numPr>
        <w:snapToGrid w:val="0"/>
        <w:ind w:left="1080"/>
        <w:rPr>
          <w:color w:val="3366FF"/>
        </w:rPr>
      </w:pPr>
      <w:r w:rsidRPr="00192045">
        <w:lastRenderedPageBreak/>
        <w:t>Study CL0187 was a pharmacokinetic modelling study. The TGA Clinical Evaluation Report (CER, second round) considered this study supported the use of weight</w:t>
      </w:r>
      <w:r w:rsidR="00A56384" w:rsidRPr="00192045">
        <w:noBreakHyphen/>
      </w:r>
      <w:r w:rsidRPr="00192045">
        <w:t xml:space="preserve">based dosing in paediatric patients to achieve equivalent </w:t>
      </w:r>
      <w:proofErr w:type="spellStart"/>
      <w:r w:rsidRPr="00192045">
        <w:t>brivaracetam</w:t>
      </w:r>
      <w:proofErr w:type="spellEnd"/>
      <w:r w:rsidRPr="00192045">
        <w:t xml:space="preserve"> exposure to adults</w:t>
      </w:r>
      <w:r w:rsidR="00F94FA1" w:rsidRPr="00192045">
        <w:t>;</w:t>
      </w:r>
      <w:r w:rsidRPr="00192045">
        <w:t xml:space="preserve"> </w:t>
      </w:r>
      <w:r w:rsidR="00F94FA1" w:rsidRPr="00192045">
        <w:t xml:space="preserve">and </w:t>
      </w:r>
    </w:p>
    <w:p w:rsidR="001128AC" w:rsidRPr="00192045" w:rsidRDefault="001128AC" w:rsidP="00500B84">
      <w:pPr>
        <w:pStyle w:val="ListParagraph"/>
        <w:widowControl/>
        <w:numPr>
          <w:ilvl w:val="0"/>
          <w:numId w:val="19"/>
        </w:numPr>
        <w:snapToGrid w:val="0"/>
        <w:ind w:left="1080"/>
        <w:rPr>
          <w:color w:val="3366FF"/>
        </w:rPr>
      </w:pPr>
      <w:r w:rsidRPr="00192045">
        <w:t>Study CL0258 was an exposure-response (pharmacokinetic-</w:t>
      </w:r>
      <w:r w:rsidR="00A56384" w:rsidRPr="00192045">
        <w:t>pharmacodynamics</w:t>
      </w:r>
      <w:r w:rsidRPr="00192045">
        <w:t>) model</w:t>
      </w:r>
      <w:r w:rsidR="00A56384" w:rsidRPr="00192045">
        <w:t>ling study</w:t>
      </w:r>
      <w:r w:rsidRPr="00192045">
        <w:t xml:space="preserve"> that aimed to predict </w:t>
      </w:r>
      <w:proofErr w:type="spellStart"/>
      <w:r w:rsidRPr="00192045">
        <w:t>brivaracetam</w:t>
      </w:r>
      <w:proofErr w:type="spellEnd"/>
      <w:r w:rsidRPr="00192045">
        <w:t xml:space="preserve"> effectiveness in paediatric patients using </w:t>
      </w:r>
      <w:proofErr w:type="spellStart"/>
      <w:r w:rsidRPr="00192045">
        <w:t>i</w:t>
      </w:r>
      <w:proofErr w:type="spellEnd"/>
      <w:r w:rsidRPr="00192045">
        <w:t xml:space="preserve">) an existing </w:t>
      </w:r>
      <w:proofErr w:type="spellStart"/>
      <w:r w:rsidRPr="00192045">
        <w:t>brivaracetam</w:t>
      </w:r>
      <w:proofErr w:type="spellEnd"/>
      <w:r w:rsidRPr="00192045">
        <w:t xml:space="preserve"> model for adults, and ii) a </w:t>
      </w:r>
      <w:proofErr w:type="spellStart"/>
      <w:r w:rsidRPr="00192045">
        <w:t>levetiracetam</w:t>
      </w:r>
      <w:proofErr w:type="spellEnd"/>
      <w:r w:rsidRPr="00192045">
        <w:t xml:space="preserve"> model for adult and paediatric patients</w:t>
      </w:r>
      <w:r w:rsidR="000477DC" w:rsidRPr="00192045">
        <w:t xml:space="preserve"> to obtain the scaling factor to be applied to the existing </w:t>
      </w:r>
      <w:proofErr w:type="spellStart"/>
      <w:r w:rsidR="000477DC" w:rsidRPr="00192045">
        <w:t>brivaracetam</w:t>
      </w:r>
      <w:proofErr w:type="spellEnd"/>
      <w:r w:rsidR="000477DC" w:rsidRPr="00192045">
        <w:t xml:space="preserve"> model, assuming similarity between </w:t>
      </w:r>
      <w:proofErr w:type="spellStart"/>
      <w:r w:rsidR="000477DC" w:rsidRPr="00192045">
        <w:t>brivaracetam</w:t>
      </w:r>
      <w:proofErr w:type="spellEnd"/>
      <w:r w:rsidR="000477DC" w:rsidRPr="00192045">
        <w:t xml:space="preserve"> and </w:t>
      </w:r>
      <w:proofErr w:type="spellStart"/>
      <w:r w:rsidR="000477DC" w:rsidRPr="00192045">
        <w:t>levetiracetam</w:t>
      </w:r>
      <w:proofErr w:type="spellEnd"/>
      <w:r w:rsidRPr="00192045">
        <w:t>. The TGA CER (second round, p</w:t>
      </w:r>
      <w:r w:rsidR="003B6102" w:rsidRPr="00192045">
        <w:t>18 and p37</w:t>
      </w:r>
      <w:r w:rsidRPr="00192045">
        <w:t xml:space="preserve">) raised concerns </w:t>
      </w:r>
      <w:r w:rsidR="003B6102" w:rsidRPr="00192045">
        <w:t xml:space="preserve">that the assumption of similarity between </w:t>
      </w:r>
      <w:proofErr w:type="spellStart"/>
      <w:r w:rsidR="003B6102" w:rsidRPr="00192045">
        <w:t>brivaracetam</w:t>
      </w:r>
      <w:proofErr w:type="spellEnd"/>
      <w:r w:rsidR="003B6102" w:rsidRPr="00192045">
        <w:t xml:space="preserve"> and </w:t>
      </w:r>
      <w:proofErr w:type="spellStart"/>
      <w:r w:rsidR="003B6102" w:rsidRPr="00192045">
        <w:t>levetiracetam</w:t>
      </w:r>
      <w:proofErr w:type="spellEnd"/>
      <w:r w:rsidR="003B6102" w:rsidRPr="00192045">
        <w:t xml:space="preserve"> was not well supported</w:t>
      </w:r>
      <w:r w:rsidRPr="00192045">
        <w:t>. It was unclear whether the findings were clinically validated.</w:t>
      </w:r>
    </w:p>
    <w:p w:rsidR="001128AC" w:rsidRPr="00192045" w:rsidRDefault="00C36BBC" w:rsidP="00E2012A">
      <w:pPr>
        <w:pStyle w:val="numberedbulletstyle"/>
        <w:rPr>
          <w:color w:val="3366FF"/>
        </w:rPr>
      </w:pPr>
      <w:r w:rsidRPr="00192045">
        <w:t>Table 6</w:t>
      </w:r>
      <w:r w:rsidR="001128AC" w:rsidRPr="00192045">
        <w:t xml:space="preserve"> presents the indirect treatment comparisons </w:t>
      </w:r>
      <w:r w:rsidR="00F94FA1" w:rsidRPr="00192045">
        <w:t xml:space="preserve">on the </w:t>
      </w:r>
      <w:r w:rsidR="001128AC" w:rsidRPr="00192045">
        <w:t xml:space="preserve">50% </w:t>
      </w:r>
      <w:r w:rsidR="00A56384" w:rsidRPr="00192045">
        <w:t xml:space="preserve">or greater </w:t>
      </w:r>
      <w:r w:rsidR="001128AC" w:rsidRPr="00192045">
        <w:t xml:space="preserve">reduction in seizure frequency in adults with partial onset epilepsy treated with </w:t>
      </w:r>
      <w:proofErr w:type="spellStart"/>
      <w:r w:rsidR="001128AC" w:rsidRPr="00192045">
        <w:t>brivaracetam</w:t>
      </w:r>
      <w:proofErr w:type="spellEnd"/>
      <w:r w:rsidR="001128AC" w:rsidRPr="00192045">
        <w:t xml:space="preserve"> or </w:t>
      </w:r>
      <w:proofErr w:type="spellStart"/>
      <w:r w:rsidR="001128AC" w:rsidRPr="00192045">
        <w:t>lacosamide</w:t>
      </w:r>
      <w:proofErr w:type="spellEnd"/>
      <w:r w:rsidR="001128AC" w:rsidRPr="00192045">
        <w:t xml:space="preserve">. This was considered by the PBAC </w:t>
      </w:r>
      <w:r w:rsidR="0045048E" w:rsidRPr="00192045">
        <w:t xml:space="preserve">in </w:t>
      </w:r>
      <w:r w:rsidR="001128AC" w:rsidRPr="00192045">
        <w:t xml:space="preserve">its </w:t>
      </w:r>
      <w:r w:rsidR="00F94FA1" w:rsidRPr="00192045">
        <w:t xml:space="preserve">previous </w:t>
      </w:r>
      <w:r w:rsidR="00167666">
        <w:t xml:space="preserve">considerations of </w:t>
      </w:r>
      <w:proofErr w:type="spellStart"/>
      <w:r w:rsidR="00167666">
        <w:t>brivaracetam</w:t>
      </w:r>
      <w:proofErr w:type="spellEnd"/>
      <w:r w:rsidR="00167666">
        <w:t>.</w:t>
      </w:r>
    </w:p>
    <w:p w:rsidR="001128AC" w:rsidRPr="00192045" w:rsidRDefault="001128AC" w:rsidP="00500B84">
      <w:pPr>
        <w:keepNext/>
        <w:widowControl/>
        <w:snapToGrid w:val="0"/>
        <w:contextualSpacing/>
        <w:rPr>
          <w:rFonts w:ascii="Arial Narrow" w:hAnsi="Arial Narrow"/>
          <w:b/>
          <w:snapToGrid/>
          <w:sz w:val="20"/>
          <w:szCs w:val="16"/>
        </w:rPr>
      </w:pPr>
      <w:r w:rsidRPr="00192045">
        <w:rPr>
          <w:rFonts w:ascii="Arial Narrow" w:hAnsi="Arial Narrow"/>
          <w:b/>
          <w:snapToGrid/>
          <w:sz w:val="20"/>
          <w:szCs w:val="16"/>
        </w:rPr>
        <w:t xml:space="preserve">Table </w:t>
      </w:r>
      <w:r w:rsidR="00C36BBC" w:rsidRPr="00192045">
        <w:rPr>
          <w:rFonts w:ascii="Arial Narrow" w:hAnsi="Arial Narrow"/>
          <w:b/>
          <w:snapToGrid/>
          <w:sz w:val="20"/>
          <w:szCs w:val="16"/>
        </w:rPr>
        <w:t>6</w:t>
      </w:r>
      <w:r w:rsidRPr="00192045">
        <w:rPr>
          <w:rFonts w:ascii="Arial Narrow" w:hAnsi="Arial Narrow"/>
          <w:b/>
          <w:snapToGrid/>
          <w:sz w:val="20"/>
          <w:szCs w:val="16"/>
        </w:rPr>
        <w:t xml:space="preserve">: 50% reduction in partial onset seizure frequency </w:t>
      </w:r>
      <w:r w:rsidR="00E3225C" w:rsidRPr="00192045">
        <w:rPr>
          <w:rFonts w:ascii="Arial Narrow" w:hAnsi="Arial Narrow"/>
          <w:b/>
          <w:snapToGrid/>
          <w:sz w:val="20"/>
          <w:szCs w:val="16"/>
        </w:rPr>
        <w:t xml:space="preserve">in adults </w:t>
      </w:r>
      <w:r w:rsidRPr="00192045">
        <w:rPr>
          <w:rFonts w:ascii="Arial Narrow" w:hAnsi="Arial Narrow"/>
          <w:b/>
          <w:snapToGrid/>
          <w:sz w:val="20"/>
          <w:szCs w:val="16"/>
        </w:rPr>
        <w:t xml:space="preserve">– indirect comparison of </w:t>
      </w:r>
      <w:proofErr w:type="spellStart"/>
      <w:r w:rsidRPr="00192045">
        <w:rPr>
          <w:rFonts w:ascii="Arial Narrow" w:hAnsi="Arial Narrow"/>
          <w:b/>
          <w:snapToGrid/>
          <w:sz w:val="20"/>
          <w:szCs w:val="16"/>
        </w:rPr>
        <w:t>brivaracetam</w:t>
      </w:r>
      <w:proofErr w:type="spellEnd"/>
      <w:r w:rsidRPr="00192045">
        <w:rPr>
          <w:rFonts w:ascii="Arial Narrow" w:hAnsi="Arial Narrow"/>
          <w:b/>
          <w:snapToGrid/>
          <w:sz w:val="20"/>
          <w:szCs w:val="16"/>
        </w:rPr>
        <w:t xml:space="preserve"> and </w:t>
      </w:r>
      <w:proofErr w:type="spellStart"/>
      <w:r w:rsidRPr="00192045">
        <w:rPr>
          <w:rFonts w:ascii="Arial Narrow" w:hAnsi="Arial Narrow"/>
          <w:b/>
          <w:snapToGrid/>
          <w:sz w:val="20"/>
          <w:szCs w:val="16"/>
        </w:rPr>
        <w:t>lacosamide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7"/>
        <w:gridCol w:w="1277"/>
        <w:gridCol w:w="1417"/>
        <w:gridCol w:w="1367"/>
      </w:tblGrid>
      <w:tr w:rsidR="001128AC" w:rsidRPr="00192045" w:rsidTr="00822893">
        <w:tc>
          <w:tcPr>
            <w:tcW w:w="1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28AC" w:rsidRPr="00192045" w:rsidRDefault="001128AC" w:rsidP="00500B84">
            <w:pPr>
              <w:keepNext/>
              <w:widowControl/>
              <w:jc w:val="left"/>
              <w:rPr>
                <w:rFonts w:ascii="Times New Roman" w:hAnsi="Times New Roman" w:cs="Times New Roman"/>
                <w:snapToGrid/>
                <w:szCs w:val="24"/>
                <w:lang w:eastAsia="en-AU"/>
              </w:rPr>
            </w:pP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834016" w:rsidP="00500B84">
            <w:pPr>
              <w:keepNext/>
              <w:widowControl/>
              <w:jc w:val="center"/>
              <w:rPr>
                <w:rFonts w:ascii="Arial Narrow" w:hAnsi="Arial Narrow" w:cs="Times New Roman"/>
                <w:b/>
                <w:snapToGrid/>
                <w:sz w:val="20"/>
                <w:szCs w:val="24"/>
                <w:lang w:eastAsia="en-AU"/>
              </w:rPr>
            </w:pPr>
            <w:proofErr w:type="spellStart"/>
            <w:r w:rsidRPr="00192045">
              <w:rPr>
                <w:rFonts w:ascii="Arial Narrow" w:hAnsi="Arial Narrow" w:cs="Times New Roman"/>
                <w:b/>
                <w:snapToGrid/>
                <w:sz w:val="20"/>
                <w:szCs w:val="24"/>
                <w:lang w:eastAsia="en-AU"/>
              </w:rPr>
              <w:t>Brivaracetam</w:t>
            </w:r>
            <w:proofErr w:type="spellEnd"/>
          </w:p>
          <w:p w:rsidR="001128AC" w:rsidRPr="00192045" w:rsidRDefault="001128AC" w:rsidP="00500B84">
            <w:pPr>
              <w:keepNext/>
              <w:widowControl/>
              <w:jc w:val="center"/>
              <w:rPr>
                <w:rFonts w:ascii="Arial Narrow" w:hAnsi="Arial Narrow" w:cs="Times New Roman"/>
                <w:snapToGrid/>
                <w:sz w:val="20"/>
                <w:szCs w:val="24"/>
                <w:lang w:eastAsia="en-AU"/>
              </w:rPr>
            </w:pPr>
            <w:proofErr w:type="gramStart"/>
            <w:r w:rsidRPr="00192045">
              <w:rPr>
                <w:rFonts w:ascii="Arial Narrow" w:hAnsi="Arial Narrow" w:cs="Times New Roman"/>
                <w:b/>
                <w:snapToGrid/>
                <w:sz w:val="20"/>
                <w:szCs w:val="24"/>
                <w:lang w:eastAsia="en-AU"/>
              </w:rPr>
              <w:t>n/N</w:t>
            </w:r>
            <w:proofErr w:type="gramEnd"/>
            <w:r w:rsidRPr="00192045">
              <w:rPr>
                <w:rFonts w:ascii="Arial Narrow" w:hAnsi="Arial Narrow" w:cs="Times New Roman"/>
                <w:b/>
                <w:snapToGrid/>
                <w:sz w:val="20"/>
                <w:szCs w:val="24"/>
                <w:lang w:eastAsia="en-AU"/>
              </w:rPr>
              <w:t xml:space="preserve"> (%)</w:t>
            </w:r>
          </w:p>
        </w:tc>
        <w:tc>
          <w:tcPr>
            <w:tcW w:w="7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834016" w:rsidP="00500B84">
            <w:pPr>
              <w:keepNext/>
              <w:widowControl/>
              <w:jc w:val="center"/>
              <w:rPr>
                <w:rFonts w:ascii="Arial Narrow" w:hAnsi="Arial Narrow" w:cs="Times New Roman"/>
                <w:b/>
                <w:snapToGrid/>
                <w:color w:val="000000"/>
                <w:sz w:val="20"/>
                <w:szCs w:val="18"/>
                <w:lang w:eastAsia="en-AU"/>
              </w:rPr>
            </w:pPr>
            <w:r w:rsidRPr="00192045">
              <w:rPr>
                <w:rFonts w:ascii="Arial Narrow" w:hAnsi="Arial Narrow" w:cs="Times New Roman"/>
                <w:b/>
                <w:snapToGrid/>
                <w:color w:val="000000"/>
                <w:sz w:val="20"/>
                <w:szCs w:val="18"/>
                <w:lang w:eastAsia="en-AU"/>
              </w:rPr>
              <w:t>Placebo</w:t>
            </w:r>
          </w:p>
          <w:p w:rsidR="001128AC" w:rsidRPr="00192045" w:rsidRDefault="001128AC" w:rsidP="00500B84">
            <w:pPr>
              <w:keepNext/>
              <w:widowControl/>
              <w:jc w:val="center"/>
              <w:rPr>
                <w:rFonts w:ascii="Arial Narrow" w:hAnsi="Arial Narrow" w:cs="Times New Roman"/>
                <w:snapToGrid/>
                <w:sz w:val="20"/>
                <w:szCs w:val="24"/>
                <w:lang w:eastAsia="en-AU"/>
              </w:rPr>
            </w:pPr>
            <w:proofErr w:type="gramStart"/>
            <w:r w:rsidRPr="00192045">
              <w:rPr>
                <w:rFonts w:ascii="Arial Narrow" w:hAnsi="Arial Narrow" w:cs="Times New Roman"/>
                <w:b/>
                <w:snapToGrid/>
                <w:sz w:val="20"/>
                <w:szCs w:val="24"/>
                <w:lang w:eastAsia="en-AU"/>
              </w:rPr>
              <w:t>n/N</w:t>
            </w:r>
            <w:proofErr w:type="gramEnd"/>
            <w:r w:rsidRPr="00192045">
              <w:rPr>
                <w:rFonts w:ascii="Arial Narrow" w:hAnsi="Arial Narrow" w:cs="Times New Roman"/>
                <w:b/>
                <w:snapToGrid/>
                <w:sz w:val="20"/>
                <w:szCs w:val="24"/>
                <w:lang w:eastAsia="en-AU"/>
              </w:rPr>
              <w:t xml:space="preserve"> (%)</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834016" w:rsidP="00500B84">
            <w:pPr>
              <w:keepNext/>
              <w:widowControl/>
              <w:jc w:val="center"/>
              <w:rPr>
                <w:rFonts w:ascii="Arial Narrow" w:hAnsi="Arial Narrow" w:cs="Times New Roman"/>
                <w:b/>
                <w:snapToGrid/>
                <w:sz w:val="20"/>
                <w:szCs w:val="24"/>
                <w:lang w:eastAsia="en-AU"/>
              </w:rPr>
            </w:pPr>
            <w:proofErr w:type="spellStart"/>
            <w:r w:rsidRPr="00192045">
              <w:rPr>
                <w:rFonts w:ascii="Arial Narrow" w:hAnsi="Arial Narrow" w:cs="Times New Roman"/>
                <w:b/>
                <w:snapToGrid/>
                <w:sz w:val="20"/>
                <w:szCs w:val="24"/>
                <w:lang w:eastAsia="en-AU"/>
              </w:rPr>
              <w:t>Lacosamide</w:t>
            </w:r>
            <w:proofErr w:type="spellEnd"/>
          </w:p>
          <w:p w:rsidR="001128AC" w:rsidRPr="00192045" w:rsidRDefault="001128AC" w:rsidP="00500B84">
            <w:pPr>
              <w:keepNext/>
              <w:widowControl/>
              <w:jc w:val="center"/>
              <w:rPr>
                <w:rFonts w:ascii="Arial Narrow" w:hAnsi="Arial Narrow" w:cs="Times New Roman"/>
                <w:snapToGrid/>
                <w:sz w:val="20"/>
                <w:szCs w:val="24"/>
                <w:lang w:eastAsia="en-AU"/>
              </w:rPr>
            </w:pPr>
            <w:proofErr w:type="gramStart"/>
            <w:r w:rsidRPr="00192045">
              <w:rPr>
                <w:rFonts w:ascii="Arial Narrow" w:hAnsi="Arial Narrow" w:cs="Times New Roman"/>
                <w:b/>
                <w:snapToGrid/>
                <w:sz w:val="20"/>
                <w:szCs w:val="24"/>
                <w:lang w:eastAsia="en-AU"/>
              </w:rPr>
              <w:t>n/N</w:t>
            </w:r>
            <w:proofErr w:type="gramEnd"/>
            <w:r w:rsidRPr="00192045">
              <w:rPr>
                <w:rFonts w:ascii="Arial Narrow" w:hAnsi="Arial Narrow" w:cs="Times New Roman"/>
                <w:b/>
                <w:snapToGrid/>
                <w:sz w:val="20"/>
                <w:szCs w:val="24"/>
                <w:lang w:eastAsia="en-AU"/>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b/>
                <w:snapToGrid/>
                <w:color w:val="000000"/>
                <w:sz w:val="20"/>
                <w:szCs w:val="18"/>
                <w:lang w:eastAsia="en-AU"/>
              </w:rPr>
              <w:t>RR (95% CI)</w:t>
            </w:r>
          </w:p>
        </w:tc>
      </w:tr>
      <w:tr w:rsidR="009E447E" w:rsidRPr="00192045" w:rsidTr="009E447E">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left"/>
              <w:rPr>
                <w:rFonts w:ascii="Arial Narrow" w:hAnsi="Arial Narrow" w:cs="Times New Roman"/>
                <w:b/>
                <w:snapToGrid/>
                <w:sz w:val="20"/>
                <w:szCs w:val="24"/>
                <w:lang w:eastAsia="en-AU"/>
              </w:rPr>
            </w:pPr>
            <w:r w:rsidRPr="00192045">
              <w:rPr>
                <w:rFonts w:ascii="Arial Narrow" w:hAnsi="Arial Narrow" w:cs="Times New Roman"/>
                <w:b/>
                <w:snapToGrid/>
                <w:color w:val="000000"/>
                <w:sz w:val="20"/>
                <w:szCs w:val="18"/>
                <w:lang w:eastAsia="en-AU"/>
              </w:rPr>
              <w:t>≥ 2 concomitant AEDs, 3+ previous AEDs (post hoc subgroup)</w:t>
            </w:r>
          </w:p>
        </w:tc>
      </w:tr>
      <w:tr w:rsidR="001128AC" w:rsidRPr="00192045" w:rsidTr="00822893">
        <w:tc>
          <w:tcPr>
            <w:tcW w:w="1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128AC" w:rsidRPr="00192045" w:rsidRDefault="001128AC" w:rsidP="00500B84">
            <w:pPr>
              <w:keepNext/>
              <w:widowControl/>
              <w:jc w:val="left"/>
              <w:rPr>
                <w:rFonts w:ascii="Arial Narrow" w:hAnsi="Arial Narrow" w:cs="Times New Roman"/>
                <w:snapToGrid/>
                <w:sz w:val="20"/>
                <w:szCs w:val="24"/>
                <w:lang w:eastAsia="en-AU"/>
              </w:rPr>
            </w:pPr>
            <w:proofErr w:type="spellStart"/>
            <w:r w:rsidRPr="00192045">
              <w:rPr>
                <w:rFonts w:ascii="Arial Narrow" w:hAnsi="Arial Narrow" w:cs="Times New Roman"/>
                <w:snapToGrid/>
                <w:sz w:val="20"/>
                <w:szCs w:val="24"/>
                <w:lang w:eastAsia="en-AU"/>
              </w:rPr>
              <w:t>Brivaracetam</w:t>
            </w:r>
            <w:proofErr w:type="spellEnd"/>
            <w:r w:rsidRPr="00192045">
              <w:rPr>
                <w:rFonts w:ascii="Arial Narrow" w:hAnsi="Arial Narrow" w:cs="Times New Roman"/>
                <w:snapToGrid/>
                <w:sz w:val="20"/>
                <w:szCs w:val="24"/>
                <w:lang w:eastAsia="en-AU"/>
              </w:rPr>
              <w:t xml:space="preserve"> trials </w:t>
            </w:r>
            <w:r w:rsidRPr="00192045">
              <w:rPr>
                <w:rFonts w:ascii="Arial Narrow" w:hAnsi="Arial Narrow" w:cs="Times New Roman"/>
                <w:snapToGrid/>
                <w:sz w:val="20"/>
                <w:szCs w:val="24"/>
                <w:vertAlign w:val="superscript"/>
                <w:lang w:eastAsia="en-AU"/>
              </w:rPr>
              <w:t>a</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highlight w:val="red"/>
                <w:lang w:eastAsia="en-AU"/>
              </w:rPr>
            </w:pPr>
            <w:r w:rsidRPr="00192045">
              <w:rPr>
                <w:rFonts w:ascii="Arial Narrow" w:hAnsi="Arial Narrow" w:cs="Times New Roman"/>
                <w:snapToGrid/>
                <w:sz w:val="20"/>
                <w:szCs w:val="24"/>
                <w:lang w:eastAsia="en-AU"/>
              </w:rPr>
              <w:t>117/362 (32.3%)</w:t>
            </w:r>
          </w:p>
        </w:tc>
        <w:tc>
          <w:tcPr>
            <w:tcW w:w="7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highlight w:val="red"/>
                <w:lang w:eastAsia="en-AU"/>
              </w:rPr>
            </w:pPr>
            <w:r w:rsidRPr="00192045">
              <w:rPr>
                <w:rFonts w:ascii="Arial Narrow" w:hAnsi="Arial Narrow" w:cs="Times New Roman"/>
                <w:snapToGrid/>
                <w:sz w:val="20"/>
                <w:szCs w:val="24"/>
                <w:lang w:eastAsia="en-AU"/>
              </w:rPr>
              <w:t>38/206 (18.4%)</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highlight w:val="red"/>
                <w:lang w:eastAsia="en-AU"/>
              </w:rPr>
            </w:pPr>
            <w:r w:rsidRPr="00192045">
              <w:rPr>
                <w:rFonts w:ascii="Arial Narrow" w:hAnsi="Arial Narrow" w:cs="Times New Roman"/>
                <w:snapToGrid/>
                <w:sz w:val="20"/>
                <w:szCs w:val="24"/>
                <w:lang w:eastAsia="en-AU"/>
              </w:rPr>
              <w:t>-</w:t>
            </w:r>
          </w:p>
        </w:tc>
        <w:tc>
          <w:tcPr>
            <w:tcW w:w="7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b/>
                <w:snapToGrid/>
                <w:sz w:val="20"/>
                <w:szCs w:val="24"/>
                <w:highlight w:val="red"/>
                <w:lang w:eastAsia="en-AU"/>
              </w:rPr>
            </w:pPr>
            <w:r w:rsidRPr="00192045">
              <w:rPr>
                <w:rFonts w:ascii="Arial Narrow" w:hAnsi="Arial Narrow" w:cs="Times New Roman"/>
                <w:b/>
                <w:snapToGrid/>
                <w:sz w:val="20"/>
                <w:szCs w:val="24"/>
                <w:lang w:eastAsia="en-AU"/>
              </w:rPr>
              <w:t>1.75 (1.3, 2.4)</w:t>
            </w:r>
          </w:p>
        </w:tc>
      </w:tr>
      <w:tr w:rsidR="001128AC" w:rsidRPr="00192045" w:rsidTr="00822893">
        <w:tc>
          <w:tcPr>
            <w:tcW w:w="1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128AC" w:rsidRPr="00192045" w:rsidRDefault="001128AC" w:rsidP="00500B84">
            <w:pPr>
              <w:keepNext/>
              <w:widowControl/>
              <w:jc w:val="left"/>
              <w:rPr>
                <w:rFonts w:ascii="Arial Narrow" w:hAnsi="Arial Narrow" w:cs="Times New Roman"/>
                <w:snapToGrid/>
                <w:sz w:val="20"/>
                <w:szCs w:val="24"/>
                <w:lang w:eastAsia="en-AU"/>
              </w:rPr>
            </w:pPr>
            <w:proofErr w:type="spellStart"/>
            <w:r w:rsidRPr="00192045">
              <w:rPr>
                <w:rFonts w:ascii="Arial Narrow" w:hAnsi="Arial Narrow" w:cs="Times New Roman"/>
                <w:snapToGrid/>
                <w:sz w:val="20"/>
                <w:szCs w:val="24"/>
                <w:lang w:eastAsia="en-AU"/>
              </w:rPr>
              <w:t>Lacosamide</w:t>
            </w:r>
            <w:proofErr w:type="spellEnd"/>
            <w:r w:rsidRPr="00192045">
              <w:rPr>
                <w:rFonts w:ascii="Arial Narrow" w:hAnsi="Arial Narrow" w:cs="Times New Roman"/>
                <w:snapToGrid/>
                <w:sz w:val="20"/>
                <w:szCs w:val="24"/>
                <w:lang w:eastAsia="en-AU"/>
              </w:rPr>
              <w:t xml:space="preserve"> trials </w:t>
            </w:r>
            <w:r w:rsidRPr="00192045">
              <w:rPr>
                <w:rFonts w:ascii="Arial Narrow" w:hAnsi="Arial Narrow" w:cs="Times New Roman"/>
                <w:snapToGrid/>
                <w:sz w:val="20"/>
                <w:szCs w:val="24"/>
                <w:vertAlign w:val="superscript"/>
                <w:lang w:eastAsia="en-AU"/>
              </w:rPr>
              <w:t>b</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55/271 (20.3%)</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198/540 (36.7%)</w:t>
            </w:r>
          </w:p>
        </w:tc>
        <w:tc>
          <w:tcPr>
            <w:tcW w:w="7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128AC" w:rsidRPr="00192045" w:rsidRDefault="001128AC" w:rsidP="00500B84">
            <w:pPr>
              <w:keepNext/>
              <w:widowControl/>
              <w:jc w:val="center"/>
              <w:rPr>
                <w:rFonts w:ascii="Arial Narrow" w:hAnsi="Arial Narrow" w:cs="Times New Roman"/>
                <w:b/>
                <w:snapToGrid/>
                <w:sz w:val="20"/>
                <w:szCs w:val="24"/>
                <w:lang w:eastAsia="en-AU"/>
              </w:rPr>
            </w:pPr>
            <w:r w:rsidRPr="00192045">
              <w:rPr>
                <w:rFonts w:ascii="Arial Narrow" w:hAnsi="Arial Narrow" w:cs="Times New Roman"/>
                <w:b/>
                <w:snapToGrid/>
                <w:sz w:val="20"/>
                <w:szCs w:val="24"/>
                <w:lang w:eastAsia="en-AU"/>
              </w:rPr>
              <w:t>1.80 (1.4, 2.3)</w:t>
            </w:r>
          </w:p>
        </w:tc>
      </w:tr>
      <w:tr w:rsidR="009E447E" w:rsidRPr="00192045" w:rsidTr="00822893">
        <w:tc>
          <w:tcPr>
            <w:tcW w:w="1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E447E" w:rsidRPr="00192045" w:rsidRDefault="009E447E" w:rsidP="00500B84">
            <w:pPr>
              <w:keepNext/>
              <w:widowControl/>
              <w:jc w:val="left"/>
              <w:rPr>
                <w:rFonts w:ascii="Arial Narrow" w:hAnsi="Arial Narrow" w:cs="Times New Roman"/>
                <w:snapToGrid/>
                <w:color w:val="000000"/>
                <w:sz w:val="20"/>
                <w:szCs w:val="18"/>
                <w:lang w:eastAsia="en-AU"/>
              </w:rPr>
            </w:pPr>
            <w:r w:rsidRPr="00192045">
              <w:rPr>
                <w:rFonts w:ascii="Arial Narrow" w:hAnsi="Arial Narrow" w:cs="Times New Roman"/>
                <w:snapToGrid/>
                <w:color w:val="000000"/>
                <w:sz w:val="20"/>
                <w:szCs w:val="18"/>
                <w:lang w:eastAsia="en-AU"/>
              </w:rPr>
              <w:t>Indirect comparison</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0.97 (0.66, 1.44)</w:t>
            </w:r>
          </w:p>
        </w:tc>
      </w:tr>
      <w:tr w:rsidR="009E447E" w:rsidRPr="00192045" w:rsidTr="009E447E">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left"/>
              <w:rPr>
                <w:rFonts w:ascii="Arial Narrow" w:hAnsi="Arial Narrow" w:cs="Times New Roman"/>
                <w:b/>
                <w:snapToGrid/>
                <w:sz w:val="20"/>
                <w:szCs w:val="24"/>
                <w:lang w:eastAsia="en-AU"/>
              </w:rPr>
            </w:pPr>
            <w:r w:rsidRPr="00192045">
              <w:rPr>
                <w:rFonts w:ascii="Arial Narrow" w:hAnsi="Arial Narrow" w:cs="Times New Roman"/>
                <w:b/>
                <w:snapToGrid/>
                <w:sz w:val="20"/>
                <w:szCs w:val="24"/>
                <w:lang w:eastAsia="en-AU"/>
              </w:rPr>
              <w:t>Full trial population</w:t>
            </w:r>
          </w:p>
        </w:tc>
      </w:tr>
      <w:tr w:rsidR="009E447E" w:rsidRPr="00192045" w:rsidTr="009E447E">
        <w:trPr>
          <w:trHeight w:val="70"/>
        </w:trPr>
        <w:tc>
          <w:tcPr>
            <w:tcW w:w="1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E447E" w:rsidRPr="00192045" w:rsidRDefault="009E447E" w:rsidP="00500B84">
            <w:pPr>
              <w:keepNext/>
              <w:widowControl/>
              <w:jc w:val="left"/>
              <w:rPr>
                <w:rFonts w:ascii="Arial Narrow" w:hAnsi="Arial Narrow" w:cs="Times New Roman"/>
                <w:snapToGrid/>
                <w:color w:val="000000"/>
                <w:sz w:val="20"/>
                <w:szCs w:val="18"/>
                <w:lang w:eastAsia="en-AU"/>
              </w:rPr>
            </w:pPr>
            <w:r w:rsidRPr="00192045">
              <w:rPr>
                <w:rFonts w:ascii="Arial Narrow" w:hAnsi="Arial Narrow" w:cs="Times New Roman"/>
                <w:snapToGrid/>
                <w:color w:val="000000"/>
                <w:sz w:val="20"/>
                <w:szCs w:val="18"/>
                <w:lang w:eastAsia="en-AU"/>
              </w:rPr>
              <w:t xml:space="preserve">Indirect comparison </w:t>
            </w:r>
            <w:r w:rsidRPr="00192045">
              <w:rPr>
                <w:rFonts w:ascii="Arial Narrow" w:hAnsi="Arial Narrow" w:cs="Times New Roman"/>
                <w:snapToGrid/>
                <w:color w:val="000000"/>
                <w:sz w:val="20"/>
                <w:szCs w:val="18"/>
                <w:vertAlign w:val="superscript"/>
                <w:lang w:eastAsia="en-AU"/>
              </w:rPr>
              <w:t>c</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w:t>
            </w:r>
          </w:p>
        </w:tc>
        <w:tc>
          <w:tcPr>
            <w:tcW w:w="7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E447E" w:rsidRPr="00192045" w:rsidRDefault="009E447E" w:rsidP="00500B84">
            <w:pPr>
              <w:keepNext/>
              <w:widowControl/>
              <w:jc w:val="center"/>
              <w:rPr>
                <w:rFonts w:ascii="Arial Narrow" w:hAnsi="Arial Narrow" w:cs="Times New Roman"/>
                <w:snapToGrid/>
                <w:sz w:val="20"/>
                <w:szCs w:val="24"/>
                <w:lang w:eastAsia="en-AU"/>
              </w:rPr>
            </w:pPr>
            <w:r w:rsidRPr="00192045">
              <w:rPr>
                <w:rFonts w:ascii="Arial Narrow" w:hAnsi="Arial Narrow" w:cs="Times New Roman"/>
                <w:snapToGrid/>
                <w:sz w:val="20"/>
                <w:szCs w:val="24"/>
                <w:lang w:eastAsia="en-AU"/>
              </w:rPr>
              <w:t>1.06 (0.79, 1.43)</w:t>
            </w:r>
          </w:p>
        </w:tc>
      </w:tr>
    </w:tbl>
    <w:p w:rsidR="001128AC" w:rsidRPr="00192045" w:rsidRDefault="001128AC" w:rsidP="00500B84">
      <w:pPr>
        <w:keepNext/>
        <w:widowControl/>
        <w:rPr>
          <w:rFonts w:ascii="Arial Narrow" w:hAnsi="Arial Narrow" w:cs="Times New Roman"/>
          <w:snapToGrid/>
          <w:sz w:val="18"/>
          <w:szCs w:val="18"/>
          <w:lang w:eastAsia="en-AU"/>
        </w:rPr>
      </w:pPr>
      <w:r w:rsidRPr="00192045">
        <w:rPr>
          <w:rFonts w:ascii="Arial Narrow" w:hAnsi="Arial Narrow" w:cs="Times New Roman"/>
          <w:snapToGrid/>
          <w:sz w:val="18"/>
          <w:szCs w:val="18"/>
          <w:lang w:eastAsia="en-AU"/>
        </w:rPr>
        <w:t xml:space="preserve">Source: Compiled during the evaluation from Table 2.25, p75, Table 2.28, p76 of the submission; Table 19, p23, </w:t>
      </w:r>
      <w:r w:rsidR="00210A5B" w:rsidRPr="00192045">
        <w:rPr>
          <w:rFonts w:ascii="Arial Narrow" w:hAnsi="Arial Narrow" w:cs="Times New Roman"/>
          <w:snapToGrid/>
          <w:sz w:val="18"/>
          <w:szCs w:val="18"/>
          <w:lang w:eastAsia="en-AU"/>
        </w:rPr>
        <w:t>s</w:t>
      </w:r>
      <w:r w:rsidRPr="00192045">
        <w:rPr>
          <w:rFonts w:ascii="Arial Narrow" w:hAnsi="Arial Narrow" w:cs="Times New Roman"/>
          <w:snapToGrid/>
          <w:sz w:val="18"/>
          <w:szCs w:val="18"/>
          <w:lang w:eastAsia="en-AU"/>
        </w:rPr>
        <w:t>tatistical consulting report; Table 2, p10 of the November 2017</w:t>
      </w:r>
      <w:r w:rsidR="00633A84" w:rsidRPr="00192045">
        <w:rPr>
          <w:rFonts w:ascii="Arial Narrow" w:hAnsi="Arial Narrow" w:cs="Times New Roman"/>
          <w:snapToGrid/>
          <w:sz w:val="18"/>
          <w:szCs w:val="18"/>
          <w:lang w:eastAsia="en-AU"/>
        </w:rPr>
        <w:t xml:space="preserve"> </w:t>
      </w:r>
      <w:proofErr w:type="spellStart"/>
      <w:r w:rsidR="00633A84" w:rsidRPr="00192045">
        <w:rPr>
          <w:rFonts w:ascii="Arial Narrow" w:hAnsi="Arial Narrow" w:cs="Times New Roman"/>
          <w:snapToGrid/>
          <w:sz w:val="18"/>
          <w:szCs w:val="18"/>
          <w:lang w:eastAsia="en-AU"/>
        </w:rPr>
        <w:t>brivaracetam</w:t>
      </w:r>
      <w:proofErr w:type="spellEnd"/>
      <w:r w:rsidRPr="00192045">
        <w:rPr>
          <w:rFonts w:ascii="Arial Narrow" w:hAnsi="Arial Narrow" w:cs="Times New Roman"/>
          <w:snapToGrid/>
          <w:sz w:val="18"/>
          <w:szCs w:val="18"/>
          <w:lang w:eastAsia="en-AU"/>
        </w:rPr>
        <w:t xml:space="preserve"> PSD</w:t>
      </w:r>
    </w:p>
    <w:p w:rsidR="001128AC" w:rsidRPr="00192045" w:rsidRDefault="00210A5B" w:rsidP="00500B84">
      <w:pPr>
        <w:keepNext/>
        <w:widowControl/>
        <w:rPr>
          <w:rFonts w:ascii="Arial Narrow" w:hAnsi="Arial Narrow" w:cs="Times New Roman"/>
          <w:snapToGrid/>
          <w:sz w:val="18"/>
          <w:szCs w:val="18"/>
          <w:lang w:eastAsia="en-AU"/>
        </w:rPr>
      </w:pPr>
      <w:r w:rsidRPr="00192045">
        <w:rPr>
          <w:rFonts w:ascii="Arial Narrow" w:hAnsi="Arial Narrow" w:cs="Times New Roman"/>
          <w:snapToGrid/>
          <w:sz w:val="18"/>
          <w:szCs w:val="18"/>
          <w:lang w:eastAsia="en-AU"/>
        </w:rPr>
        <w:t xml:space="preserve">AED = antiepileptic drug; </w:t>
      </w:r>
      <w:r w:rsidR="001128AC" w:rsidRPr="00192045">
        <w:rPr>
          <w:rFonts w:ascii="Arial Narrow" w:hAnsi="Arial Narrow" w:cs="Times New Roman"/>
          <w:snapToGrid/>
          <w:sz w:val="18"/>
          <w:szCs w:val="18"/>
          <w:lang w:eastAsia="en-AU"/>
        </w:rPr>
        <w:t xml:space="preserve">CI = confidence interval; </w:t>
      </w:r>
      <w:r w:rsidR="001E08CA" w:rsidRPr="00192045">
        <w:rPr>
          <w:rFonts w:ascii="Arial Narrow" w:hAnsi="Arial Narrow" w:cs="Times New Roman"/>
          <w:snapToGrid/>
          <w:sz w:val="18"/>
          <w:szCs w:val="18"/>
          <w:lang w:eastAsia="en-AU"/>
        </w:rPr>
        <w:t xml:space="preserve">n = number of patients in group; N = total patients; </w:t>
      </w:r>
      <w:r w:rsidR="001128AC" w:rsidRPr="00192045">
        <w:rPr>
          <w:rFonts w:ascii="Arial Narrow" w:hAnsi="Arial Narrow" w:cs="Times New Roman"/>
          <w:snapToGrid/>
          <w:sz w:val="18"/>
          <w:szCs w:val="18"/>
          <w:lang w:eastAsia="en-AU"/>
        </w:rPr>
        <w:t>PSD = public summary document; RR = relative risk;</w:t>
      </w:r>
      <w:r w:rsidR="001128AC" w:rsidRPr="00192045">
        <w:rPr>
          <w:rFonts w:ascii="Arial Narrow" w:hAnsi="Arial Narrow" w:cs="Times New Roman"/>
          <w:b/>
          <w:snapToGrid/>
          <w:sz w:val="18"/>
          <w:szCs w:val="18"/>
          <w:lang w:eastAsia="en-AU"/>
        </w:rPr>
        <w:t xml:space="preserve"> bold</w:t>
      </w:r>
      <w:r w:rsidR="001128AC" w:rsidRPr="00192045">
        <w:rPr>
          <w:rFonts w:ascii="Arial Narrow" w:hAnsi="Arial Narrow" w:cs="Times New Roman"/>
          <w:snapToGrid/>
          <w:sz w:val="18"/>
          <w:szCs w:val="18"/>
          <w:lang w:eastAsia="en-AU"/>
        </w:rPr>
        <w:t xml:space="preserve"> = statistically significant</w:t>
      </w:r>
    </w:p>
    <w:p w:rsidR="001128AC" w:rsidRPr="00192045" w:rsidRDefault="001128AC" w:rsidP="00500B84">
      <w:pPr>
        <w:keepNext/>
        <w:widowControl/>
        <w:rPr>
          <w:rFonts w:ascii="Arial Narrow" w:hAnsi="Arial Narrow" w:cs="Times New Roman"/>
          <w:snapToGrid/>
          <w:sz w:val="18"/>
          <w:szCs w:val="18"/>
          <w:vertAlign w:val="superscript"/>
          <w:lang w:eastAsia="en-AU" w:bidi="en-US"/>
        </w:rPr>
      </w:pPr>
      <w:proofErr w:type="gramStart"/>
      <w:r w:rsidRPr="00192045">
        <w:rPr>
          <w:rFonts w:ascii="Arial Narrow" w:hAnsi="Arial Narrow" w:cs="Times New Roman"/>
          <w:snapToGrid/>
          <w:sz w:val="18"/>
          <w:szCs w:val="18"/>
          <w:vertAlign w:val="superscript"/>
          <w:lang w:eastAsia="en-AU" w:bidi="en-US"/>
        </w:rPr>
        <w:t>a</w:t>
      </w:r>
      <w:proofErr w:type="gramEnd"/>
      <w:r w:rsidRPr="00192045">
        <w:rPr>
          <w:rFonts w:ascii="Arial Narrow" w:hAnsi="Arial Narrow" w:cs="Times New Roman"/>
          <w:snapToGrid/>
          <w:sz w:val="18"/>
          <w:szCs w:val="18"/>
          <w:vertAlign w:val="superscript"/>
          <w:lang w:eastAsia="en-AU" w:bidi="en-US"/>
        </w:rPr>
        <w:t xml:space="preserve"> </w:t>
      </w:r>
      <w:r w:rsidRPr="00192045">
        <w:rPr>
          <w:rFonts w:ascii="Arial Narrow" w:hAnsi="Arial Narrow" w:cs="Times New Roman"/>
          <w:snapToGrid/>
          <w:sz w:val="18"/>
          <w:szCs w:val="18"/>
          <w:lang w:eastAsia="en-AU" w:bidi="en-US"/>
        </w:rPr>
        <w:t>Post hoc subgroup analysis included patients from Trials 1252, 1253 (data for 50 mg to 200 mg per day doses only) and Trial 1358 (data for 100 mg to 200 mg per day doses only).</w:t>
      </w:r>
    </w:p>
    <w:p w:rsidR="001128AC" w:rsidRPr="00192045" w:rsidRDefault="001128AC" w:rsidP="00500B84">
      <w:pPr>
        <w:keepNext/>
        <w:widowControl/>
        <w:rPr>
          <w:rFonts w:ascii="Arial Narrow" w:hAnsi="Arial Narrow" w:cs="Times New Roman"/>
          <w:snapToGrid/>
          <w:sz w:val="18"/>
          <w:szCs w:val="18"/>
          <w:lang w:eastAsia="en-AU" w:bidi="en-US"/>
        </w:rPr>
      </w:pPr>
      <w:proofErr w:type="gramStart"/>
      <w:r w:rsidRPr="00192045">
        <w:rPr>
          <w:rFonts w:ascii="Arial Narrow" w:hAnsi="Arial Narrow" w:cs="Times New Roman"/>
          <w:snapToGrid/>
          <w:sz w:val="18"/>
          <w:szCs w:val="18"/>
          <w:vertAlign w:val="superscript"/>
          <w:lang w:eastAsia="en-AU" w:bidi="en-US"/>
        </w:rPr>
        <w:t>b</w:t>
      </w:r>
      <w:proofErr w:type="gramEnd"/>
      <w:r w:rsidRPr="00192045">
        <w:rPr>
          <w:rFonts w:ascii="Arial Narrow" w:hAnsi="Arial Narrow" w:cs="Times New Roman"/>
          <w:snapToGrid/>
          <w:sz w:val="18"/>
          <w:szCs w:val="18"/>
          <w:vertAlign w:val="superscript"/>
          <w:lang w:eastAsia="en-AU" w:bidi="en-US"/>
        </w:rPr>
        <w:t xml:space="preserve"> </w:t>
      </w:r>
      <w:r w:rsidRPr="00192045">
        <w:rPr>
          <w:rFonts w:ascii="Arial Narrow" w:hAnsi="Arial Narrow" w:cs="Times New Roman"/>
          <w:snapToGrid/>
          <w:sz w:val="18"/>
          <w:szCs w:val="18"/>
          <w:lang w:eastAsia="en-AU" w:bidi="en-US"/>
        </w:rPr>
        <w:t>Post hoc subgroup analysis included patients from Trials SP667, SP754 and SP755 (data for 200 mg and 400 mg per day doses only).</w:t>
      </w:r>
    </w:p>
    <w:p w:rsidR="001128AC" w:rsidRPr="00192045" w:rsidRDefault="001128AC" w:rsidP="00500B84">
      <w:pPr>
        <w:keepNext/>
        <w:widowControl/>
        <w:rPr>
          <w:rFonts w:ascii="Arial Narrow" w:hAnsi="Arial Narrow"/>
          <w:snapToGrid/>
          <w:sz w:val="18"/>
          <w:szCs w:val="18"/>
          <w:lang w:bidi="en-US"/>
        </w:rPr>
      </w:pPr>
      <w:r w:rsidRPr="00192045">
        <w:rPr>
          <w:rFonts w:ascii="Arial Narrow" w:hAnsi="Arial Narrow" w:cs="Times New Roman"/>
          <w:snapToGrid/>
          <w:sz w:val="18"/>
          <w:szCs w:val="18"/>
          <w:vertAlign w:val="superscript"/>
          <w:lang w:eastAsia="en-AU" w:bidi="en-US"/>
        </w:rPr>
        <w:t xml:space="preserve">c </w:t>
      </w:r>
      <w:r w:rsidRPr="00192045">
        <w:rPr>
          <w:rFonts w:ascii="Arial Narrow" w:hAnsi="Arial Narrow" w:cs="Times New Roman"/>
          <w:snapToGrid/>
          <w:sz w:val="18"/>
          <w:szCs w:val="18"/>
          <w:lang w:eastAsia="en-AU" w:bidi="en-US"/>
        </w:rPr>
        <w:t>The included</w:t>
      </w:r>
      <w:r w:rsidRPr="00192045">
        <w:rPr>
          <w:rFonts w:ascii="Arial Narrow" w:hAnsi="Arial Narrow" w:cs="Times New Roman"/>
          <w:snapToGrid/>
          <w:sz w:val="18"/>
          <w:szCs w:val="18"/>
          <w:vertAlign w:val="superscript"/>
          <w:lang w:eastAsia="en-AU" w:bidi="en-US"/>
        </w:rPr>
        <w:t xml:space="preserve"> </w:t>
      </w:r>
      <w:r w:rsidRPr="00192045">
        <w:rPr>
          <w:rFonts w:ascii="Arial Narrow" w:hAnsi="Arial Narrow" w:cs="Times New Roman"/>
          <w:snapToGrid/>
          <w:sz w:val="18"/>
          <w:szCs w:val="18"/>
          <w:lang w:eastAsia="en-AU" w:bidi="en-US"/>
        </w:rPr>
        <w:t xml:space="preserve">Pool E1 population consisted of patients included in the primary efficacy analyses for Trials 1252, 1253 and 1358, but excluded patients receiving </w:t>
      </w:r>
      <w:proofErr w:type="spellStart"/>
      <w:r w:rsidRPr="00192045">
        <w:rPr>
          <w:rFonts w:ascii="Arial Narrow" w:hAnsi="Arial Narrow" w:cs="Times New Roman"/>
          <w:snapToGrid/>
          <w:sz w:val="18"/>
          <w:szCs w:val="18"/>
          <w:lang w:eastAsia="en-AU" w:bidi="en-US"/>
        </w:rPr>
        <w:t>levetiracetam</w:t>
      </w:r>
      <w:proofErr w:type="spellEnd"/>
      <w:r w:rsidRPr="00192045">
        <w:rPr>
          <w:rFonts w:ascii="Arial Narrow" w:hAnsi="Arial Narrow" w:cs="Times New Roman"/>
          <w:snapToGrid/>
          <w:sz w:val="18"/>
          <w:szCs w:val="18"/>
          <w:lang w:eastAsia="en-AU" w:bidi="en-US"/>
        </w:rPr>
        <w:t xml:space="preserve"> at the time of study entry for Trials 1252 and 1253.</w:t>
      </w:r>
      <w:r w:rsidRPr="00192045">
        <w:rPr>
          <w:rFonts w:ascii="Arial Narrow" w:hAnsi="Arial Narrow"/>
          <w:snapToGrid/>
          <w:sz w:val="18"/>
          <w:szCs w:val="18"/>
          <w:lang w:bidi="en-US"/>
        </w:rPr>
        <w:t xml:space="preserve"> </w:t>
      </w:r>
      <w:r w:rsidR="009D2676" w:rsidRPr="00192045">
        <w:rPr>
          <w:rFonts w:ascii="Arial Narrow" w:hAnsi="Arial Narrow"/>
          <w:snapToGrid/>
          <w:sz w:val="18"/>
          <w:szCs w:val="18"/>
          <w:lang w:bidi="en-US"/>
        </w:rPr>
        <w:t>Included</w:t>
      </w:r>
      <w:r w:rsidRPr="00192045">
        <w:rPr>
          <w:rFonts w:ascii="Arial Narrow" w:hAnsi="Arial Narrow"/>
          <w:snapToGrid/>
          <w:sz w:val="18"/>
          <w:szCs w:val="18"/>
          <w:lang w:bidi="en-US"/>
        </w:rPr>
        <w:t xml:space="preserve"> patients receiving </w:t>
      </w:r>
      <w:proofErr w:type="spellStart"/>
      <w:r w:rsidRPr="00192045">
        <w:rPr>
          <w:rFonts w:ascii="Arial Narrow" w:hAnsi="Arial Narrow"/>
          <w:snapToGrid/>
          <w:sz w:val="18"/>
          <w:szCs w:val="18"/>
          <w:lang w:bidi="en-US"/>
        </w:rPr>
        <w:t>brivaracetam</w:t>
      </w:r>
      <w:proofErr w:type="spellEnd"/>
      <w:r w:rsidRPr="00192045">
        <w:rPr>
          <w:rFonts w:ascii="Arial Narrow" w:hAnsi="Arial Narrow"/>
          <w:snapToGrid/>
          <w:sz w:val="18"/>
          <w:szCs w:val="18"/>
          <w:lang w:bidi="en-US"/>
        </w:rPr>
        <w:t xml:space="preserve"> 50 mg to 200 mg per day or </w:t>
      </w:r>
      <w:proofErr w:type="spellStart"/>
      <w:r w:rsidRPr="00192045">
        <w:rPr>
          <w:rFonts w:ascii="Arial Narrow" w:hAnsi="Arial Narrow"/>
          <w:snapToGrid/>
          <w:sz w:val="18"/>
          <w:szCs w:val="18"/>
          <w:lang w:bidi="en-US"/>
        </w:rPr>
        <w:t>lacosamide</w:t>
      </w:r>
      <w:proofErr w:type="spellEnd"/>
      <w:r w:rsidRPr="00192045">
        <w:rPr>
          <w:rFonts w:ascii="Arial Narrow" w:hAnsi="Arial Narrow"/>
          <w:snapToGrid/>
          <w:sz w:val="18"/>
          <w:szCs w:val="18"/>
          <w:lang w:bidi="en-US"/>
        </w:rPr>
        <w:t xml:space="preserve"> 200 mg to 400 mg per day.</w:t>
      </w:r>
    </w:p>
    <w:p w:rsidR="007313A7" w:rsidRPr="00192045" w:rsidRDefault="007313A7" w:rsidP="00500B84">
      <w:pPr>
        <w:keepNext/>
        <w:widowControl/>
        <w:rPr>
          <w:rFonts w:ascii="Arial" w:hAnsi="Arial"/>
          <w:snapToGrid/>
          <w:sz w:val="22"/>
          <w:szCs w:val="20"/>
        </w:rPr>
      </w:pPr>
    </w:p>
    <w:p w:rsidR="001128AC" w:rsidRPr="00192045" w:rsidRDefault="001128AC" w:rsidP="00E2012A">
      <w:pPr>
        <w:pStyle w:val="numberedbulletstyle"/>
        <w:rPr>
          <w:color w:val="3366FF"/>
        </w:rPr>
      </w:pPr>
      <w:r w:rsidRPr="00192045">
        <w:t xml:space="preserve">At the November 2017 PBAC meeting, the PBAC recalled that, among the trials included in the indirect comparison, the </w:t>
      </w:r>
      <w:proofErr w:type="spellStart"/>
      <w:r w:rsidRPr="00192045">
        <w:t>brivaracetam</w:t>
      </w:r>
      <w:proofErr w:type="spellEnd"/>
      <w:r w:rsidRPr="00192045">
        <w:t xml:space="preserve"> trials generally included less resistant patient populations. However, </w:t>
      </w:r>
      <w:r w:rsidR="00931A67">
        <w:t>t</w:t>
      </w:r>
      <w:r w:rsidRPr="00192045">
        <w:t xml:space="preserve">he PBAC noted the additional information provided for the post-hoc subgroup analyses from the March 2017 resubmission in which the </w:t>
      </w:r>
      <w:proofErr w:type="spellStart"/>
      <w:r w:rsidRPr="00192045">
        <w:t>brivaracetam</w:t>
      </w:r>
      <w:proofErr w:type="spellEnd"/>
      <w:r w:rsidRPr="00192045">
        <w:t xml:space="preserve"> and </w:t>
      </w:r>
      <w:proofErr w:type="spellStart"/>
      <w:r w:rsidRPr="00192045">
        <w:t>lacosamide</w:t>
      </w:r>
      <w:proofErr w:type="spellEnd"/>
      <w:r w:rsidRPr="00192045">
        <w:t xml:space="preserve"> trials were stratified according to concomitant medications and prior anti-epileptic drug history. The PBAC specifically noted the similar 50% responder rates in the placebo arms of the trials (18.4% in the </w:t>
      </w:r>
      <w:proofErr w:type="spellStart"/>
      <w:r w:rsidRPr="00192045">
        <w:t>brivaracetam</w:t>
      </w:r>
      <w:proofErr w:type="spellEnd"/>
      <w:r w:rsidRPr="00192045">
        <w:t xml:space="preserve"> trials; 20.3% in the </w:t>
      </w:r>
      <w:proofErr w:type="spellStart"/>
      <w:r w:rsidRPr="00192045">
        <w:t>lacosamide</w:t>
      </w:r>
      <w:proofErr w:type="spellEnd"/>
      <w:r w:rsidRPr="00192045">
        <w:t xml:space="preserve"> trials). Overall, the PBAC considered that, although transitivity issues across the trials remained, the claim of non-inferior </w:t>
      </w:r>
      <w:r w:rsidRPr="00192045">
        <w:lastRenderedPageBreak/>
        <w:t xml:space="preserve">comparative effectiveness of </w:t>
      </w:r>
      <w:proofErr w:type="spellStart"/>
      <w:r w:rsidRPr="00192045">
        <w:t>brivaracetam</w:t>
      </w:r>
      <w:proofErr w:type="spellEnd"/>
      <w:r w:rsidRPr="00192045">
        <w:t xml:space="preserve"> and </w:t>
      </w:r>
      <w:proofErr w:type="spellStart"/>
      <w:r w:rsidRPr="00192045">
        <w:t>lacosamide</w:t>
      </w:r>
      <w:proofErr w:type="spellEnd"/>
      <w:r w:rsidRPr="00192045">
        <w:t xml:space="preserve"> was reasonable (paragraph 7.6, </w:t>
      </w:r>
      <w:proofErr w:type="spellStart"/>
      <w:r w:rsidRPr="00192045">
        <w:t>brivaracetam</w:t>
      </w:r>
      <w:proofErr w:type="spellEnd"/>
      <w:r w:rsidRPr="00192045">
        <w:t xml:space="preserve"> PSD</w:t>
      </w:r>
      <w:r w:rsidR="00633A84" w:rsidRPr="00192045">
        <w:t>, November 2017</w:t>
      </w:r>
      <w:r w:rsidR="0003436D" w:rsidRPr="00192045">
        <w:t xml:space="preserve"> PBAC Meeting</w:t>
      </w:r>
      <w:r w:rsidRPr="00192045">
        <w:t>).</w:t>
      </w:r>
    </w:p>
    <w:p w:rsidR="007D3371" w:rsidRPr="00162AB1" w:rsidRDefault="001128AC" w:rsidP="00162AB1">
      <w:pPr>
        <w:pStyle w:val="numberedbulletstyle"/>
        <w:rPr>
          <w:rFonts w:ascii="Arial Narrow" w:hAnsi="Arial Narrow"/>
          <w:sz w:val="20"/>
          <w:szCs w:val="16"/>
        </w:rPr>
      </w:pPr>
      <w:r w:rsidRPr="00192045">
        <w:t>Regulatory agencies including the TGA, EMA, and the United States Food and Drug Administration have accepted that</w:t>
      </w:r>
      <w:r w:rsidR="00BF43F0" w:rsidRPr="00192045">
        <w:t>,</w:t>
      </w:r>
      <w:r w:rsidRPr="00192045">
        <w:t xml:space="preserve"> </w:t>
      </w:r>
      <w:r w:rsidR="00931A67">
        <w:t>w</w:t>
      </w:r>
      <w:r w:rsidR="00A2768A" w:rsidRPr="00192045">
        <w:t xml:space="preserve">ith a few exceptions, focal </w:t>
      </w:r>
      <w:r w:rsidRPr="00192045">
        <w:t xml:space="preserve">epilepsies in paediatric patients from 4 years of age may have a similar clinical expression to </w:t>
      </w:r>
      <w:r w:rsidR="005B63D7" w:rsidRPr="00192045">
        <w:t xml:space="preserve">focal </w:t>
      </w:r>
      <w:r w:rsidRPr="00192045">
        <w:t xml:space="preserve">epilepsies in adolescents and adults. </w:t>
      </w:r>
      <w:r w:rsidR="00A2768A" w:rsidRPr="00192045">
        <w:t xml:space="preserve">For focal epilepsies, the results of efficacy trials performed in adults may be extrapolated to children and adolescents provided that the PK/PD relationship in adults is established and that the dose regime proposed in children and adolescents results in similar exposure levels as in adults in all age categories (4 to 18 years) (EMA 2018 draft guideline). </w:t>
      </w:r>
    </w:p>
    <w:p w:rsidR="00B60939" w:rsidRPr="00192045" w:rsidRDefault="00B60939" w:rsidP="00500B84">
      <w:pPr>
        <w:pStyle w:val="Heading2"/>
        <w:widowControl/>
      </w:pPr>
      <w:bookmarkStart w:id="13" w:name="_Toc19712695"/>
      <w:r w:rsidRPr="00192045">
        <w:t>Comparative harms</w:t>
      </w:r>
      <w:bookmarkEnd w:id="13"/>
    </w:p>
    <w:p w:rsidR="001128AC" w:rsidRPr="00192045" w:rsidRDefault="00C36BBC" w:rsidP="00E2012A">
      <w:pPr>
        <w:pStyle w:val="numberedbulletstyle"/>
      </w:pPr>
      <w:r w:rsidRPr="00192045">
        <w:t>Table 7</w:t>
      </w:r>
      <w:r w:rsidR="001128AC" w:rsidRPr="00192045">
        <w:t xml:space="preserve"> presents a summary of adverse events in the paediatric </w:t>
      </w:r>
      <w:proofErr w:type="spellStart"/>
      <w:r w:rsidR="001128AC" w:rsidRPr="00192045">
        <w:t>brivaracetam</w:t>
      </w:r>
      <w:proofErr w:type="spellEnd"/>
      <w:r w:rsidR="001128AC" w:rsidRPr="00192045">
        <w:t xml:space="preserve"> studies and SP0969. </w:t>
      </w:r>
    </w:p>
    <w:p w:rsidR="001128AC" w:rsidRPr="00192045" w:rsidRDefault="001128AC" w:rsidP="00162AB1">
      <w:pPr>
        <w:pStyle w:val="Tabletext"/>
        <w:keepNext/>
        <w:keepLines/>
        <w:rPr>
          <w:b/>
        </w:rPr>
      </w:pPr>
      <w:r w:rsidRPr="00192045">
        <w:rPr>
          <w:b/>
        </w:rPr>
        <w:t xml:space="preserve">Table </w:t>
      </w:r>
      <w:r w:rsidR="00C36BBC" w:rsidRPr="00192045">
        <w:rPr>
          <w:b/>
        </w:rPr>
        <w:t>7</w:t>
      </w:r>
      <w:r w:rsidRPr="00192045">
        <w:rPr>
          <w:b/>
        </w:rPr>
        <w:t>:</w:t>
      </w:r>
      <w:r w:rsidR="00167666">
        <w:rPr>
          <w:b/>
        </w:rPr>
        <w:t xml:space="preserve"> </w:t>
      </w:r>
      <w:r w:rsidRPr="00192045">
        <w:rPr>
          <w:b/>
        </w:rPr>
        <w:t xml:space="preserve">Summary of adverse events in the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37"/>
        <w:gridCol w:w="1417"/>
        <w:gridCol w:w="1839"/>
        <w:gridCol w:w="1482"/>
        <w:gridCol w:w="1165"/>
      </w:tblGrid>
      <w:tr w:rsidR="001128AC" w:rsidRPr="00192045" w:rsidTr="0045048E">
        <w:trPr>
          <w:tblHeader/>
        </w:trPr>
        <w:tc>
          <w:tcPr>
            <w:tcW w:w="1041" w:type="pct"/>
            <w:tcBorders>
              <w:top w:val="single" w:sz="4" w:space="0" w:color="auto"/>
              <w:left w:val="single" w:sz="4" w:space="0" w:color="auto"/>
              <w:bottom w:val="nil"/>
              <w:right w:val="single" w:sz="4" w:space="0" w:color="auto"/>
            </w:tcBorders>
            <w:vAlign w:val="center"/>
          </w:tcPr>
          <w:p w:rsidR="001128AC" w:rsidRPr="00192045" w:rsidRDefault="001128AC" w:rsidP="00162AB1">
            <w:pPr>
              <w:pStyle w:val="Tabletext"/>
              <w:keepNext/>
              <w:keepLines/>
              <w:rPr>
                <w:b/>
              </w:rPr>
            </w:pPr>
          </w:p>
        </w:tc>
        <w:tc>
          <w:tcPr>
            <w:tcW w:w="3313" w:type="pct"/>
            <w:gridSpan w:val="4"/>
            <w:tcBorders>
              <w:left w:val="single" w:sz="4" w:space="0" w:color="auto"/>
              <w:right w:val="double" w:sz="4" w:space="0" w:color="auto"/>
            </w:tcBorders>
          </w:tcPr>
          <w:p w:rsidR="001128AC" w:rsidRPr="00192045" w:rsidRDefault="001128AC" w:rsidP="00162AB1">
            <w:pPr>
              <w:pStyle w:val="Tabletext"/>
              <w:keepNext/>
              <w:keepLines/>
              <w:jc w:val="center"/>
              <w:rPr>
                <w:b/>
              </w:rPr>
            </w:pPr>
            <w:proofErr w:type="spellStart"/>
            <w:r w:rsidRPr="00192045">
              <w:rPr>
                <w:b/>
              </w:rPr>
              <w:t>Brivaracetam</w:t>
            </w:r>
            <w:proofErr w:type="spellEnd"/>
          </w:p>
        </w:tc>
        <w:tc>
          <w:tcPr>
            <w:tcW w:w="646" w:type="pct"/>
            <w:tcBorders>
              <w:left w:val="double" w:sz="4" w:space="0" w:color="auto"/>
            </w:tcBorders>
            <w:shd w:val="clear" w:color="auto" w:fill="auto"/>
          </w:tcPr>
          <w:p w:rsidR="001128AC" w:rsidRPr="00192045" w:rsidDel="00C35FAB" w:rsidRDefault="001128AC" w:rsidP="00162AB1">
            <w:pPr>
              <w:pStyle w:val="Tabletext"/>
              <w:keepNext/>
              <w:keepLines/>
              <w:jc w:val="center"/>
              <w:rPr>
                <w:b/>
              </w:rPr>
            </w:pPr>
            <w:proofErr w:type="spellStart"/>
            <w:r w:rsidRPr="00192045">
              <w:rPr>
                <w:b/>
              </w:rPr>
              <w:t>Lacosamide</w:t>
            </w:r>
            <w:proofErr w:type="spellEnd"/>
          </w:p>
        </w:tc>
      </w:tr>
      <w:tr w:rsidR="001128AC" w:rsidRPr="00192045" w:rsidTr="0045048E">
        <w:trPr>
          <w:tblHeader/>
        </w:trPr>
        <w:tc>
          <w:tcPr>
            <w:tcW w:w="1041" w:type="pct"/>
            <w:tcBorders>
              <w:top w:val="nil"/>
            </w:tcBorders>
            <w:vAlign w:val="center"/>
          </w:tcPr>
          <w:p w:rsidR="001128AC" w:rsidRPr="00192045" w:rsidRDefault="001128AC" w:rsidP="00162AB1">
            <w:pPr>
              <w:pStyle w:val="Tabletext"/>
              <w:keepNext/>
              <w:keepLines/>
              <w:rPr>
                <w:b/>
              </w:rPr>
            </w:pPr>
            <w:r w:rsidRPr="00192045">
              <w:rPr>
                <w:b/>
              </w:rPr>
              <w:t>Study</w:t>
            </w:r>
          </w:p>
        </w:tc>
        <w:tc>
          <w:tcPr>
            <w:tcW w:w="686" w:type="pct"/>
            <w:vAlign w:val="center"/>
          </w:tcPr>
          <w:p w:rsidR="001128AC" w:rsidRPr="00192045" w:rsidRDefault="001128AC" w:rsidP="00162AB1">
            <w:pPr>
              <w:pStyle w:val="Tabletext"/>
              <w:keepNext/>
              <w:keepLines/>
              <w:jc w:val="center"/>
              <w:rPr>
                <w:b/>
                <w:vertAlign w:val="superscript"/>
              </w:rPr>
            </w:pPr>
            <w:r w:rsidRPr="00192045">
              <w:rPr>
                <w:b/>
              </w:rPr>
              <w:t>Pooled </w:t>
            </w:r>
            <w:r w:rsidRPr="00192045">
              <w:rPr>
                <w:b/>
                <w:vertAlign w:val="superscript"/>
              </w:rPr>
              <w:t>a</w:t>
            </w:r>
          </w:p>
          <w:p w:rsidR="001128AC" w:rsidRPr="00192045" w:rsidRDefault="00A734D5" w:rsidP="00162AB1">
            <w:pPr>
              <w:pStyle w:val="Tabletext"/>
              <w:keepNext/>
              <w:keepLines/>
              <w:jc w:val="center"/>
              <w:rPr>
                <w:b/>
              </w:rPr>
            </w:pPr>
            <w:r w:rsidRPr="00192045">
              <w:rPr>
                <w:b/>
              </w:rPr>
              <w:t>A</w:t>
            </w:r>
            <w:r w:rsidR="001128AC" w:rsidRPr="00192045">
              <w:rPr>
                <w:b/>
              </w:rPr>
              <w:t>ll patients</w:t>
            </w:r>
          </w:p>
          <w:p w:rsidR="001128AC" w:rsidRPr="00192045" w:rsidRDefault="001128AC" w:rsidP="00162AB1">
            <w:pPr>
              <w:pStyle w:val="Tabletext"/>
              <w:keepNext/>
              <w:keepLines/>
              <w:jc w:val="center"/>
              <w:rPr>
                <w:b/>
              </w:rPr>
            </w:pPr>
            <w:proofErr w:type="gramStart"/>
            <w:r w:rsidRPr="00192045">
              <w:rPr>
                <w:b/>
              </w:rPr>
              <w:t>n</w:t>
            </w:r>
            <w:proofErr w:type="gramEnd"/>
            <w:r w:rsidRPr="00192045">
              <w:rPr>
                <w:b/>
              </w:rPr>
              <w:t xml:space="preserve"> (%)</w:t>
            </w:r>
          </w:p>
        </w:tc>
        <w:tc>
          <w:tcPr>
            <w:tcW w:w="786" w:type="pct"/>
            <w:vAlign w:val="center"/>
          </w:tcPr>
          <w:p w:rsidR="001128AC" w:rsidRPr="00192045" w:rsidRDefault="001128AC" w:rsidP="00162AB1">
            <w:pPr>
              <w:pStyle w:val="Tabletext"/>
              <w:keepNext/>
              <w:keepLines/>
              <w:jc w:val="center"/>
              <w:rPr>
                <w:b/>
              </w:rPr>
            </w:pPr>
            <w:r w:rsidRPr="00192045">
              <w:rPr>
                <w:b/>
              </w:rPr>
              <w:t>Pooled </w:t>
            </w:r>
            <w:r w:rsidRPr="00192045">
              <w:rPr>
                <w:b/>
                <w:vertAlign w:val="superscript"/>
              </w:rPr>
              <w:t>a</w:t>
            </w:r>
          </w:p>
          <w:p w:rsidR="001128AC" w:rsidRPr="00192045" w:rsidRDefault="001128AC" w:rsidP="00162AB1">
            <w:pPr>
              <w:pStyle w:val="Tabletext"/>
              <w:keepNext/>
              <w:keepLines/>
              <w:jc w:val="center"/>
              <w:rPr>
                <w:b/>
              </w:rPr>
            </w:pPr>
            <w:r w:rsidRPr="00192045">
              <w:rPr>
                <w:b/>
              </w:rPr>
              <w:t>POS &lt; 4 years</w:t>
            </w:r>
          </w:p>
          <w:p w:rsidR="001128AC" w:rsidRPr="00192045" w:rsidRDefault="001128AC" w:rsidP="00162AB1">
            <w:pPr>
              <w:pStyle w:val="Tabletext"/>
              <w:keepNext/>
              <w:keepLines/>
              <w:jc w:val="center"/>
              <w:rPr>
                <w:b/>
              </w:rPr>
            </w:pPr>
            <w:proofErr w:type="gramStart"/>
            <w:r w:rsidRPr="00192045">
              <w:rPr>
                <w:b/>
              </w:rPr>
              <w:t>n</w:t>
            </w:r>
            <w:proofErr w:type="gramEnd"/>
            <w:r w:rsidRPr="00192045">
              <w:rPr>
                <w:b/>
              </w:rPr>
              <w:t xml:space="preserve"> (%)</w:t>
            </w:r>
          </w:p>
        </w:tc>
        <w:tc>
          <w:tcPr>
            <w:tcW w:w="1020" w:type="pct"/>
            <w:vAlign w:val="center"/>
          </w:tcPr>
          <w:p w:rsidR="001128AC" w:rsidRPr="00192045" w:rsidRDefault="001128AC" w:rsidP="00162AB1">
            <w:pPr>
              <w:pStyle w:val="Tabletext"/>
              <w:keepNext/>
              <w:keepLines/>
              <w:jc w:val="center"/>
              <w:rPr>
                <w:b/>
              </w:rPr>
            </w:pPr>
            <w:r w:rsidRPr="00192045">
              <w:rPr>
                <w:b/>
              </w:rPr>
              <w:t xml:space="preserve">Pooled </w:t>
            </w:r>
            <w:r w:rsidRPr="00192045">
              <w:rPr>
                <w:b/>
                <w:vertAlign w:val="superscript"/>
              </w:rPr>
              <w:t>a</w:t>
            </w:r>
          </w:p>
          <w:p w:rsidR="001128AC" w:rsidRPr="00192045" w:rsidRDefault="001128AC" w:rsidP="00162AB1">
            <w:pPr>
              <w:pStyle w:val="Tabletext"/>
              <w:keepNext/>
              <w:keepLines/>
              <w:jc w:val="center"/>
              <w:rPr>
                <w:b/>
                <w:vertAlign w:val="superscript"/>
              </w:rPr>
            </w:pPr>
            <w:r w:rsidRPr="00192045">
              <w:rPr>
                <w:b/>
              </w:rPr>
              <w:t>POS 4 to &lt; 16 years </w:t>
            </w:r>
          </w:p>
          <w:p w:rsidR="001128AC" w:rsidRPr="00192045" w:rsidRDefault="001128AC" w:rsidP="00162AB1">
            <w:pPr>
              <w:pStyle w:val="Tabletext"/>
              <w:keepNext/>
              <w:keepLines/>
              <w:jc w:val="center"/>
              <w:rPr>
                <w:b/>
              </w:rPr>
            </w:pPr>
            <w:proofErr w:type="gramStart"/>
            <w:r w:rsidRPr="00192045">
              <w:rPr>
                <w:b/>
              </w:rPr>
              <w:t>n</w:t>
            </w:r>
            <w:proofErr w:type="gramEnd"/>
            <w:r w:rsidRPr="00192045">
              <w:rPr>
                <w:b/>
              </w:rPr>
              <w:t xml:space="preserve"> (%)</w:t>
            </w:r>
          </w:p>
        </w:tc>
        <w:tc>
          <w:tcPr>
            <w:tcW w:w="822" w:type="pct"/>
            <w:tcBorders>
              <w:right w:val="double" w:sz="4" w:space="0" w:color="auto"/>
            </w:tcBorders>
            <w:vAlign w:val="center"/>
          </w:tcPr>
          <w:p w:rsidR="001128AC" w:rsidRPr="00192045" w:rsidRDefault="001128AC" w:rsidP="00162AB1">
            <w:pPr>
              <w:pStyle w:val="Tabletext"/>
              <w:keepNext/>
              <w:keepLines/>
              <w:jc w:val="center"/>
              <w:rPr>
                <w:b/>
              </w:rPr>
            </w:pPr>
            <w:r w:rsidRPr="00192045">
              <w:rPr>
                <w:b/>
              </w:rPr>
              <w:t>Schubert-</w:t>
            </w:r>
            <w:proofErr w:type="spellStart"/>
            <w:r w:rsidRPr="00192045">
              <w:rPr>
                <w:b/>
              </w:rPr>
              <w:t>Bast</w:t>
            </w:r>
            <w:proofErr w:type="spellEnd"/>
            <w:r w:rsidRPr="00192045">
              <w:rPr>
                <w:b/>
              </w:rPr>
              <w:t xml:space="preserve"> 2018</w:t>
            </w:r>
          </w:p>
          <w:p w:rsidR="001128AC" w:rsidRPr="00192045" w:rsidRDefault="001128AC" w:rsidP="00162AB1">
            <w:pPr>
              <w:pStyle w:val="Tabletext"/>
              <w:keepNext/>
              <w:keepLines/>
              <w:jc w:val="center"/>
              <w:rPr>
                <w:b/>
              </w:rPr>
            </w:pPr>
            <w:proofErr w:type="gramStart"/>
            <w:r w:rsidRPr="00192045">
              <w:rPr>
                <w:b/>
              </w:rPr>
              <w:t>n</w:t>
            </w:r>
            <w:proofErr w:type="gramEnd"/>
            <w:r w:rsidRPr="00192045">
              <w:rPr>
                <w:b/>
              </w:rPr>
              <w:t xml:space="preserve"> (%)</w:t>
            </w:r>
          </w:p>
        </w:tc>
        <w:tc>
          <w:tcPr>
            <w:tcW w:w="646" w:type="pct"/>
            <w:tcBorders>
              <w:left w:val="double" w:sz="4" w:space="0" w:color="auto"/>
            </w:tcBorders>
            <w:shd w:val="clear" w:color="auto" w:fill="auto"/>
            <w:vAlign w:val="center"/>
          </w:tcPr>
          <w:p w:rsidR="001128AC" w:rsidRPr="00192045" w:rsidRDefault="001128AC" w:rsidP="00162AB1">
            <w:pPr>
              <w:pStyle w:val="Tabletext"/>
              <w:keepNext/>
              <w:keepLines/>
              <w:jc w:val="center"/>
              <w:rPr>
                <w:b/>
              </w:rPr>
            </w:pPr>
            <w:r w:rsidRPr="00192045">
              <w:rPr>
                <w:b/>
              </w:rPr>
              <w:t>SP0969</w:t>
            </w:r>
          </w:p>
          <w:p w:rsidR="001128AC" w:rsidRPr="00192045" w:rsidRDefault="001128AC" w:rsidP="00162AB1">
            <w:pPr>
              <w:pStyle w:val="Tabletext"/>
              <w:keepNext/>
              <w:keepLines/>
              <w:jc w:val="center"/>
              <w:rPr>
                <w:b/>
              </w:rPr>
            </w:pPr>
            <w:proofErr w:type="gramStart"/>
            <w:r w:rsidRPr="00192045">
              <w:rPr>
                <w:b/>
              </w:rPr>
              <w:t>n</w:t>
            </w:r>
            <w:proofErr w:type="gramEnd"/>
            <w:r w:rsidRPr="00192045">
              <w:rPr>
                <w:b/>
              </w:rPr>
              <w:t xml:space="preserve"> (%)</w:t>
            </w:r>
          </w:p>
        </w:tc>
      </w:tr>
      <w:tr w:rsidR="001128AC" w:rsidRPr="00192045" w:rsidTr="0045048E">
        <w:tc>
          <w:tcPr>
            <w:tcW w:w="1041" w:type="pct"/>
            <w:vAlign w:val="center"/>
          </w:tcPr>
          <w:p w:rsidR="001128AC" w:rsidRPr="00192045" w:rsidRDefault="001128AC" w:rsidP="00162AB1">
            <w:pPr>
              <w:pStyle w:val="Tabletext"/>
              <w:keepNext/>
              <w:keepLines/>
            </w:pPr>
            <w:r w:rsidRPr="00192045">
              <w:t>N</w:t>
            </w:r>
          </w:p>
        </w:tc>
        <w:tc>
          <w:tcPr>
            <w:tcW w:w="686" w:type="pct"/>
            <w:vAlign w:val="center"/>
          </w:tcPr>
          <w:p w:rsidR="001128AC" w:rsidRPr="00192045" w:rsidRDefault="001128AC" w:rsidP="00162AB1">
            <w:pPr>
              <w:pStyle w:val="Tabletext"/>
              <w:keepNext/>
              <w:keepLines/>
              <w:jc w:val="center"/>
            </w:pPr>
            <w:r w:rsidRPr="00192045">
              <w:t>206</w:t>
            </w:r>
          </w:p>
        </w:tc>
        <w:tc>
          <w:tcPr>
            <w:tcW w:w="786" w:type="pct"/>
          </w:tcPr>
          <w:p w:rsidR="001128AC" w:rsidRPr="00192045" w:rsidRDefault="001128AC" w:rsidP="00162AB1">
            <w:pPr>
              <w:pStyle w:val="Tabletext"/>
              <w:keepNext/>
              <w:keepLines/>
              <w:jc w:val="center"/>
            </w:pPr>
            <w:r w:rsidRPr="00192045">
              <w:t>15</w:t>
            </w:r>
          </w:p>
        </w:tc>
        <w:tc>
          <w:tcPr>
            <w:tcW w:w="1020" w:type="pct"/>
            <w:vAlign w:val="center"/>
          </w:tcPr>
          <w:p w:rsidR="001128AC" w:rsidRPr="00192045" w:rsidRDefault="001128AC" w:rsidP="00162AB1">
            <w:pPr>
              <w:pStyle w:val="Tabletext"/>
              <w:keepNext/>
              <w:keepLines/>
              <w:jc w:val="center"/>
            </w:pPr>
            <w:r w:rsidRPr="00192045">
              <w:t>141</w:t>
            </w:r>
          </w:p>
        </w:tc>
        <w:tc>
          <w:tcPr>
            <w:tcW w:w="822" w:type="pct"/>
            <w:tcBorders>
              <w:right w:val="double" w:sz="4" w:space="0" w:color="auto"/>
            </w:tcBorders>
          </w:tcPr>
          <w:p w:rsidR="001128AC" w:rsidRPr="00192045" w:rsidRDefault="001128AC" w:rsidP="00162AB1">
            <w:pPr>
              <w:pStyle w:val="Tabletext"/>
              <w:keepNext/>
              <w:keepLines/>
              <w:jc w:val="center"/>
            </w:pPr>
            <w:r w:rsidRPr="00192045">
              <w:t>34</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171</w:t>
            </w:r>
          </w:p>
        </w:tc>
      </w:tr>
      <w:tr w:rsidR="001128AC" w:rsidRPr="00192045" w:rsidTr="0045048E">
        <w:tc>
          <w:tcPr>
            <w:tcW w:w="1041" w:type="pct"/>
            <w:vAlign w:val="center"/>
          </w:tcPr>
          <w:p w:rsidR="001128AC" w:rsidRPr="00192045" w:rsidRDefault="001128AC" w:rsidP="00162AB1">
            <w:pPr>
              <w:pStyle w:val="Tabletext"/>
              <w:keepNext/>
              <w:keepLines/>
            </w:pPr>
            <w:r w:rsidRPr="00192045">
              <w:t>Any TEAE</w:t>
            </w:r>
          </w:p>
        </w:tc>
        <w:tc>
          <w:tcPr>
            <w:tcW w:w="686" w:type="pct"/>
            <w:vAlign w:val="center"/>
          </w:tcPr>
          <w:p w:rsidR="001128AC" w:rsidRPr="00192045" w:rsidRDefault="001128AC" w:rsidP="00162AB1">
            <w:pPr>
              <w:pStyle w:val="Tabletext"/>
              <w:keepNext/>
              <w:keepLines/>
              <w:jc w:val="center"/>
            </w:pPr>
            <w:r w:rsidRPr="00192045">
              <w:t>191 (93%)</w:t>
            </w:r>
          </w:p>
        </w:tc>
        <w:tc>
          <w:tcPr>
            <w:tcW w:w="786" w:type="pct"/>
          </w:tcPr>
          <w:p w:rsidR="001128AC" w:rsidRPr="00192045" w:rsidRDefault="001128AC" w:rsidP="00162AB1">
            <w:pPr>
              <w:pStyle w:val="Tabletext"/>
              <w:keepNext/>
              <w:keepLines/>
              <w:jc w:val="center"/>
            </w:pPr>
            <w:r w:rsidRPr="00192045">
              <w:t>15 (100%)</w:t>
            </w:r>
          </w:p>
        </w:tc>
        <w:tc>
          <w:tcPr>
            <w:tcW w:w="1020" w:type="pct"/>
          </w:tcPr>
          <w:p w:rsidR="001128AC" w:rsidRPr="00192045" w:rsidRDefault="001128AC" w:rsidP="00162AB1">
            <w:pPr>
              <w:pStyle w:val="Tabletext"/>
              <w:keepNext/>
              <w:keepLines/>
              <w:jc w:val="center"/>
            </w:pPr>
            <w:r w:rsidRPr="00192045">
              <w:t>125 (89%)</w:t>
            </w:r>
          </w:p>
        </w:tc>
        <w:tc>
          <w:tcPr>
            <w:tcW w:w="822" w:type="pct"/>
            <w:tcBorders>
              <w:right w:val="double" w:sz="4" w:space="0" w:color="auto"/>
            </w:tcBorders>
            <w:vAlign w:val="center"/>
          </w:tcPr>
          <w:p w:rsidR="001128AC" w:rsidRPr="00192045" w:rsidRDefault="001128AC" w:rsidP="00162AB1">
            <w:pPr>
              <w:pStyle w:val="Tabletext"/>
              <w:keepNext/>
              <w:keepLines/>
              <w:jc w:val="center"/>
            </w:pPr>
            <w:r w:rsidRPr="00192045">
              <w:t>4 (12%)</w:t>
            </w:r>
          </w:p>
        </w:tc>
        <w:tc>
          <w:tcPr>
            <w:tcW w:w="646" w:type="pct"/>
            <w:tcBorders>
              <w:left w:val="double" w:sz="4" w:space="0" w:color="auto"/>
            </w:tcBorders>
            <w:shd w:val="clear" w:color="auto" w:fill="auto"/>
            <w:vAlign w:val="center"/>
          </w:tcPr>
          <w:p w:rsidR="001128AC" w:rsidRPr="00192045" w:rsidRDefault="001128AC" w:rsidP="00162AB1">
            <w:pPr>
              <w:pStyle w:val="Tabletext"/>
              <w:keepNext/>
              <w:keepLines/>
              <w:jc w:val="center"/>
            </w:pPr>
            <w:r w:rsidRPr="00192045">
              <w:t>122 (71%)</w:t>
            </w:r>
          </w:p>
        </w:tc>
      </w:tr>
      <w:tr w:rsidR="001128AC" w:rsidRPr="00192045" w:rsidTr="0045048E">
        <w:tc>
          <w:tcPr>
            <w:tcW w:w="1041" w:type="pct"/>
          </w:tcPr>
          <w:p w:rsidR="001128AC" w:rsidRPr="00192045" w:rsidRDefault="001128AC" w:rsidP="00162AB1">
            <w:pPr>
              <w:pStyle w:val="Tabletext"/>
              <w:keepNext/>
              <w:keepLines/>
            </w:pPr>
            <w:r w:rsidRPr="00192045">
              <w:t>Severe TEAE</w:t>
            </w:r>
          </w:p>
        </w:tc>
        <w:tc>
          <w:tcPr>
            <w:tcW w:w="686" w:type="pct"/>
          </w:tcPr>
          <w:p w:rsidR="001128AC" w:rsidRPr="00192045" w:rsidRDefault="001128AC" w:rsidP="00162AB1">
            <w:pPr>
              <w:pStyle w:val="Tabletext"/>
              <w:keepNext/>
              <w:keepLines/>
              <w:jc w:val="center"/>
            </w:pPr>
            <w:r w:rsidRPr="00192045">
              <w:t>27 (13%)</w:t>
            </w:r>
          </w:p>
        </w:tc>
        <w:tc>
          <w:tcPr>
            <w:tcW w:w="786" w:type="pct"/>
          </w:tcPr>
          <w:p w:rsidR="001128AC" w:rsidRPr="00192045" w:rsidRDefault="001128AC" w:rsidP="00162AB1">
            <w:pPr>
              <w:pStyle w:val="Tabletext"/>
              <w:keepNext/>
              <w:keepLines/>
              <w:jc w:val="center"/>
            </w:pPr>
            <w:r w:rsidRPr="00192045">
              <w:t>4 (27%)</w:t>
            </w:r>
          </w:p>
        </w:tc>
        <w:tc>
          <w:tcPr>
            <w:tcW w:w="1020" w:type="pct"/>
          </w:tcPr>
          <w:p w:rsidR="001128AC" w:rsidRPr="00192045" w:rsidRDefault="001128AC" w:rsidP="00162AB1">
            <w:pPr>
              <w:pStyle w:val="Tabletext"/>
              <w:keepNext/>
              <w:keepLines/>
              <w:jc w:val="center"/>
            </w:pPr>
            <w:r w:rsidRPr="00192045">
              <w:t>13 (9%)</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7 (4%)</w:t>
            </w:r>
          </w:p>
        </w:tc>
      </w:tr>
      <w:tr w:rsidR="001128AC" w:rsidRPr="00192045" w:rsidTr="0045048E">
        <w:tc>
          <w:tcPr>
            <w:tcW w:w="1041" w:type="pct"/>
          </w:tcPr>
          <w:p w:rsidR="001128AC" w:rsidRPr="00192045" w:rsidRDefault="001128AC" w:rsidP="00162AB1">
            <w:pPr>
              <w:pStyle w:val="Tabletext"/>
              <w:keepNext/>
              <w:keepLines/>
            </w:pPr>
            <w:r w:rsidRPr="00192045">
              <w:t>Serious TEAEs</w:t>
            </w:r>
          </w:p>
        </w:tc>
        <w:tc>
          <w:tcPr>
            <w:tcW w:w="686" w:type="pct"/>
          </w:tcPr>
          <w:p w:rsidR="001128AC" w:rsidRPr="00192045" w:rsidRDefault="001128AC" w:rsidP="00162AB1">
            <w:pPr>
              <w:pStyle w:val="Tabletext"/>
              <w:keepNext/>
              <w:keepLines/>
              <w:jc w:val="center"/>
            </w:pPr>
            <w:r w:rsidRPr="00192045">
              <w:t>54 (26%)</w:t>
            </w:r>
          </w:p>
        </w:tc>
        <w:tc>
          <w:tcPr>
            <w:tcW w:w="786" w:type="pct"/>
          </w:tcPr>
          <w:p w:rsidR="001128AC" w:rsidRPr="00192045" w:rsidRDefault="001128AC" w:rsidP="00162AB1">
            <w:pPr>
              <w:pStyle w:val="Tabletext"/>
              <w:keepNext/>
              <w:keepLines/>
              <w:jc w:val="center"/>
            </w:pPr>
            <w:r w:rsidRPr="00192045">
              <w:t>6 (40%)</w:t>
            </w:r>
          </w:p>
        </w:tc>
        <w:tc>
          <w:tcPr>
            <w:tcW w:w="1020" w:type="pct"/>
          </w:tcPr>
          <w:p w:rsidR="001128AC" w:rsidRPr="00192045" w:rsidRDefault="001128AC" w:rsidP="00162AB1">
            <w:pPr>
              <w:pStyle w:val="Tabletext"/>
              <w:keepNext/>
              <w:keepLines/>
              <w:jc w:val="center"/>
            </w:pPr>
            <w:r w:rsidRPr="00192045">
              <w:t>26 (18%)</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11 (6%)</w:t>
            </w:r>
          </w:p>
        </w:tc>
      </w:tr>
      <w:tr w:rsidR="001128AC" w:rsidRPr="00192045" w:rsidTr="0045048E">
        <w:tc>
          <w:tcPr>
            <w:tcW w:w="1041" w:type="pct"/>
          </w:tcPr>
          <w:p w:rsidR="001128AC" w:rsidRPr="00192045" w:rsidRDefault="001128AC" w:rsidP="00162AB1">
            <w:pPr>
              <w:pStyle w:val="Tabletext"/>
              <w:keepNext/>
              <w:keepLines/>
            </w:pPr>
            <w:r w:rsidRPr="00192045">
              <w:t>TEAEs leading to discontinuation</w:t>
            </w:r>
          </w:p>
        </w:tc>
        <w:tc>
          <w:tcPr>
            <w:tcW w:w="686" w:type="pct"/>
            <w:vAlign w:val="center"/>
          </w:tcPr>
          <w:p w:rsidR="001128AC" w:rsidRPr="00192045" w:rsidRDefault="001128AC" w:rsidP="00162AB1">
            <w:pPr>
              <w:pStyle w:val="Tabletext"/>
              <w:keepNext/>
              <w:keepLines/>
              <w:jc w:val="center"/>
            </w:pPr>
            <w:r w:rsidRPr="00192045">
              <w:t>19 (9%)</w:t>
            </w:r>
          </w:p>
        </w:tc>
        <w:tc>
          <w:tcPr>
            <w:tcW w:w="786" w:type="pct"/>
            <w:vAlign w:val="center"/>
          </w:tcPr>
          <w:p w:rsidR="001128AC" w:rsidRPr="00192045" w:rsidRDefault="001128AC" w:rsidP="00162AB1">
            <w:pPr>
              <w:pStyle w:val="Tabletext"/>
              <w:keepNext/>
              <w:keepLines/>
              <w:jc w:val="center"/>
            </w:pPr>
            <w:r w:rsidRPr="00192045">
              <w:t>1 (7%)</w:t>
            </w:r>
          </w:p>
        </w:tc>
        <w:tc>
          <w:tcPr>
            <w:tcW w:w="1020" w:type="pct"/>
            <w:vAlign w:val="center"/>
          </w:tcPr>
          <w:p w:rsidR="001128AC" w:rsidRPr="00192045" w:rsidRDefault="001128AC" w:rsidP="00162AB1">
            <w:pPr>
              <w:pStyle w:val="Tabletext"/>
              <w:keepNext/>
              <w:keepLines/>
              <w:jc w:val="center"/>
            </w:pPr>
            <w:r w:rsidRPr="00192045">
              <w:t>6 (4%)</w:t>
            </w:r>
          </w:p>
        </w:tc>
        <w:tc>
          <w:tcPr>
            <w:tcW w:w="822" w:type="pct"/>
            <w:tcBorders>
              <w:right w:val="double" w:sz="4" w:space="0" w:color="auto"/>
            </w:tcBorders>
            <w:vAlign w:val="center"/>
          </w:tcPr>
          <w:p w:rsidR="001128AC" w:rsidRPr="00192045" w:rsidRDefault="001128AC" w:rsidP="00162AB1">
            <w:pPr>
              <w:pStyle w:val="Tabletext"/>
              <w:keepNext/>
              <w:keepLines/>
              <w:jc w:val="center"/>
            </w:pPr>
            <w:r w:rsidRPr="00192045">
              <w:t>3 (9%)</w:t>
            </w:r>
          </w:p>
        </w:tc>
        <w:tc>
          <w:tcPr>
            <w:tcW w:w="646" w:type="pct"/>
            <w:tcBorders>
              <w:left w:val="double" w:sz="4" w:space="0" w:color="auto"/>
            </w:tcBorders>
            <w:shd w:val="clear" w:color="auto" w:fill="auto"/>
            <w:vAlign w:val="center"/>
          </w:tcPr>
          <w:p w:rsidR="001128AC" w:rsidRPr="00192045" w:rsidRDefault="001128AC" w:rsidP="00162AB1">
            <w:pPr>
              <w:pStyle w:val="Tabletext"/>
              <w:keepNext/>
              <w:keepLines/>
              <w:jc w:val="center"/>
            </w:pPr>
            <w:r w:rsidRPr="00192045">
              <w:t>7 (4%)</w:t>
            </w:r>
          </w:p>
        </w:tc>
      </w:tr>
      <w:tr w:rsidR="001128AC" w:rsidRPr="00192045" w:rsidTr="0045048E">
        <w:tc>
          <w:tcPr>
            <w:tcW w:w="1041" w:type="pct"/>
          </w:tcPr>
          <w:p w:rsidR="001128AC" w:rsidRPr="00192045" w:rsidRDefault="001128AC" w:rsidP="00162AB1">
            <w:pPr>
              <w:pStyle w:val="Tabletext"/>
              <w:keepNext/>
              <w:keepLines/>
            </w:pPr>
            <w:r w:rsidRPr="00192045">
              <w:t>Drug-related TEAEs</w:t>
            </w:r>
          </w:p>
        </w:tc>
        <w:tc>
          <w:tcPr>
            <w:tcW w:w="686" w:type="pct"/>
            <w:vAlign w:val="center"/>
          </w:tcPr>
          <w:p w:rsidR="001128AC" w:rsidRPr="00192045" w:rsidRDefault="001128AC" w:rsidP="00162AB1">
            <w:pPr>
              <w:pStyle w:val="Tabletext"/>
              <w:keepNext/>
              <w:keepLines/>
              <w:jc w:val="center"/>
            </w:pPr>
            <w:r w:rsidRPr="00192045">
              <w:t>63 (31%)</w:t>
            </w:r>
          </w:p>
        </w:tc>
        <w:tc>
          <w:tcPr>
            <w:tcW w:w="786" w:type="pct"/>
          </w:tcPr>
          <w:p w:rsidR="001128AC" w:rsidRPr="00192045" w:rsidRDefault="001128AC" w:rsidP="00162AB1">
            <w:pPr>
              <w:pStyle w:val="Tabletext"/>
              <w:keepNext/>
              <w:keepLines/>
              <w:jc w:val="center"/>
            </w:pPr>
            <w:r w:rsidRPr="00192045">
              <w:t>5 (33%)</w:t>
            </w:r>
          </w:p>
        </w:tc>
        <w:tc>
          <w:tcPr>
            <w:tcW w:w="1020" w:type="pct"/>
          </w:tcPr>
          <w:p w:rsidR="001128AC" w:rsidRPr="00192045" w:rsidRDefault="001128AC" w:rsidP="00162AB1">
            <w:pPr>
              <w:pStyle w:val="Tabletext"/>
              <w:keepNext/>
              <w:keepLines/>
              <w:jc w:val="center"/>
            </w:pPr>
            <w:r w:rsidRPr="00192045">
              <w:t>43 (31%)</w:t>
            </w:r>
          </w:p>
        </w:tc>
        <w:tc>
          <w:tcPr>
            <w:tcW w:w="822" w:type="pct"/>
            <w:tcBorders>
              <w:right w:val="double" w:sz="4" w:space="0" w:color="auto"/>
            </w:tcBorders>
            <w:vAlign w:val="center"/>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58 (34%)</w:t>
            </w:r>
          </w:p>
        </w:tc>
      </w:tr>
      <w:tr w:rsidR="001128AC" w:rsidRPr="00192045" w:rsidTr="0045048E">
        <w:tc>
          <w:tcPr>
            <w:tcW w:w="1041" w:type="pct"/>
          </w:tcPr>
          <w:p w:rsidR="001128AC" w:rsidRPr="00192045" w:rsidRDefault="001128AC" w:rsidP="00162AB1">
            <w:pPr>
              <w:pStyle w:val="Tabletext"/>
              <w:keepNext/>
              <w:keepLines/>
            </w:pPr>
            <w:r w:rsidRPr="00192045">
              <w:t>Drug-related serious TEAEs</w:t>
            </w:r>
          </w:p>
        </w:tc>
        <w:tc>
          <w:tcPr>
            <w:tcW w:w="686" w:type="pct"/>
            <w:vAlign w:val="center"/>
          </w:tcPr>
          <w:p w:rsidR="001128AC" w:rsidRPr="00192045" w:rsidRDefault="001128AC" w:rsidP="00162AB1">
            <w:pPr>
              <w:pStyle w:val="Tabletext"/>
              <w:keepNext/>
              <w:keepLines/>
              <w:jc w:val="center"/>
            </w:pPr>
            <w:r w:rsidRPr="00192045">
              <w:t>5 (2%)</w:t>
            </w:r>
          </w:p>
        </w:tc>
        <w:tc>
          <w:tcPr>
            <w:tcW w:w="786" w:type="pct"/>
            <w:vAlign w:val="center"/>
          </w:tcPr>
          <w:p w:rsidR="001128AC" w:rsidRPr="00192045" w:rsidRDefault="001128AC" w:rsidP="00162AB1">
            <w:pPr>
              <w:pStyle w:val="Tabletext"/>
              <w:keepNext/>
              <w:keepLines/>
              <w:jc w:val="center"/>
            </w:pPr>
            <w:r w:rsidRPr="00192045">
              <w:t>-</w:t>
            </w:r>
          </w:p>
        </w:tc>
        <w:tc>
          <w:tcPr>
            <w:tcW w:w="1020" w:type="pct"/>
            <w:vAlign w:val="center"/>
          </w:tcPr>
          <w:p w:rsidR="001128AC" w:rsidRPr="00192045" w:rsidRDefault="001128AC" w:rsidP="00162AB1">
            <w:pPr>
              <w:pStyle w:val="Tabletext"/>
              <w:keepNext/>
              <w:keepLines/>
              <w:jc w:val="center"/>
            </w:pPr>
            <w:r w:rsidRPr="00192045">
              <w:t>2 (1%)</w:t>
            </w:r>
          </w:p>
        </w:tc>
        <w:tc>
          <w:tcPr>
            <w:tcW w:w="822" w:type="pct"/>
            <w:tcBorders>
              <w:right w:val="double" w:sz="4" w:space="0" w:color="auto"/>
            </w:tcBorders>
            <w:vAlign w:val="center"/>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vAlign w:val="center"/>
          </w:tcPr>
          <w:p w:rsidR="001128AC" w:rsidRPr="00192045" w:rsidRDefault="001128AC" w:rsidP="00162AB1">
            <w:pPr>
              <w:pStyle w:val="Tabletext"/>
              <w:keepNext/>
              <w:keepLines/>
              <w:jc w:val="center"/>
            </w:pPr>
            <w:r w:rsidRPr="00192045">
              <w:t>6 (4%)</w:t>
            </w:r>
          </w:p>
        </w:tc>
      </w:tr>
      <w:tr w:rsidR="001128AC" w:rsidRPr="00192045" w:rsidTr="0045048E">
        <w:tc>
          <w:tcPr>
            <w:tcW w:w="1041" w:type="pct"/>
          </w:tcPr>
          <w:p w:rsidR="001128AC" w:rsidRPr="00192045" w:rsidRDefault="001128AC" w:rsidP="00162AB1">
            <w:pPr>
              <w:pStyle w:val="Tabletext"/>
              <w:keepNext/>
              <w:keepLines/>
            </w:pPr>
            <w:r w:rsidRPr="00192045">
              <w:t>Deaths</w:t>
            </w:r>
          </w:p>
        </w:tc>
        <w:tc>
          <w:tcPr>
            <w:tcW w:w="686" w:type="pct"/>
          </w:tcPr>
          <w:p w:rsidR="001128AC" w:rsidRPr="00192045" w:rsidRDefault="001128AC" w:rsidP="00162AB1">
            <w:pPr>
              <w:pStyle w:val="Tabletext"/>
              <w:keepNext/>
              <w:keepLines/>
              <w:jc w:val="center"/>
            </w:pPr>
            <w:r w:rsidRPr="00192045">
              <w:t>4 (2%)</w:t>
            </w:r>
          </w:p>
        </w:tc>
        <w:tc>
          <w:tcPr>
            <w:tcW w:w="786" w:type="pct"/>
          </w:tcPr>
          <w:p w:rsidR="001128AC" w:rsidRPr="00192045" w:rsidRDefault="001128AC" w:rsidP="00162AB1">
            <w:pPr>
              <w:pStyle w:val="Tabletext"/>
              <w:keepNext/>
              <w:keepLines/>
              <w:jc w:val="center"/>
            </w:pPr>
            <w:r w:rsidRPr="00192045">
              <w:t>-</w:t>
            </w:r>
          </w:p>
        </w:tc>
        <w:tc>
          <w:tcPr>
            <w:tcW w:w="1020" w:type="pct"/>
          </w:tcPr>
          <w:p w:rsidR="001128AC" w:rsidRPr="00192045" w:rsidRDefault="001128AC" w:rsidP="00162AB1">
            <w:pPr>
              <w:pStyle w:val="Tabletext"/>
              <w:keepNext/>
              <w:keepLines/>
              <w:jc w:val="center"/>
            </w:pPr>
            <w:r w:rsidRPr="00192045">
              <w:t>2 (1%)</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w:t>
            </w:r>
          </w:p>
        </w:tc>
      </w:tr>
      <w:tr w:rsidR="001128AC" w:rsidRPr="00192045" w:rsidTr="0045048E">
        <w:tc>
          <w:tcPr>
            <w:tcW w:w="1041" w:type="pct"/>
          </w:tcPr>
          <w:p w:rsidR="001128AC" w:rsidRPr="00192045" w:rsidRDefault="001128AC" w:rsidP="00162AB1">
            <w:pPr>
              <w:pStyle w:val="Tabletext"/>
              <w:keepNext/>
              <w:keepLines/>
            </w:pPr>
            <w:r w:rsidRPr="00192045">
              <w:t>Vomiting</w:t>
            </w:r>
          </w:p>
        </w:tc>
        <w:tc>
          <w:tcPr>
            <w:tcW w:w="686" w:type="pct"/>
          </w:tcPr>
          <w:p w:rsidR="001128AC" w:rsidRPr="00192045" w:rsidRDefault="001128AC" w:rsidP="00162AB1">
            <w:pPr>
              <w:pStyle w:val="Tabletext"/>
              <w:keepNext/>
              <w:keepLines/>
              <w:jc w:val="center"/>
            </w:pPr>
            <w:r w:rsidRPr="00192045">
              <w:t>43 (20%)</w:t>
            </w:r>
          </w:p>
        </w:tc>
        <w:tc>
          <w:tcPr>
            <w:tcW w:w="786" w:type="pct"/>
          </w:tcPr>
          <w:p w:rsidR="001128AC" w:rsidRPr="00192045" w:rsidRDefault="001128AC" w:rsidP="00162AB1">
            <w:pPr>
              <w:pStyle w:val="Tabletext"/>
              <w:keepNext/>
              <w:keepLines/>
              <w:jc w:val="center"/>
            </w:pPr>
            <w:r w:rsidRPr="00192045">
              <w:t>8 (50%)</w:t>
            </w:r>
          </w:p>
        </w:tc>
        <w:tc>
          <w:tcPr>
            <w:tcW w:w="1020" w:type="pct"/>
          </w:tcPr>
          <w:p w:rsidR="001128AC" w:rsidRPr="00192045" w:rsidRDefault="001128AC" w:rsidP="00162AB1">
            <w:pPr>
              <w:pStyle w:val="Tabletext"/>
              <w:keepNext/>
              <w:keepLines/>
              <w:jc w:val="center"/>
            </w:pPr>
            <w:r w:rsidRPr="00192045">
              <w:t>22 (15%)</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w:t>
            </w:r>
          </w:p>
        </w:tc>
      </w:tr>
      <w:tr w:rsidR="001128AC" w:rsidRPr="00192045" w:rsidTr="0045048E">
        <w:tc>
          <w:tcPr>
            <w:tcW w:w="1041" w:type="pct"/>
          </w:tcPr>
          <w:p w:rsidR="001128AC" w:rsidRPr="00192045" w:rsidRDefault="001128AC" w:rsidP="00162AB1">
            <w:pPr>
              <w:pStyle w:val="Tabletext"/>
              <w:keepNext/>
              <w:keepLines/>
            </w:pPr>
            <w:r w:rsidRPr="00192045">
              <w:t>Diarrhoea</w:t>
            </w:r>
          </w:p>
        </w:tc>
        <w:tc>
          <w:tcPr>
            <w:tcW w:w="686" w:type="pct"/>
          </w:tcPr>
          <w:p w:rsidR="001128AC" w:rsidRPr="00192045" w:rsidRDefault="001128AC" w:rsidP="00162AB1">
            <w:pPr>
              <w:pStyle w:val="Tabletext"/>
              <w:keepNext/>
              <w:keepLines/>
              <w:jc w:val="center"/>
            </w:pPr>
            <w:r w:rsidRPr="00192045">
              <w:t>33 (15%)</w:t>
            </w:r>
          </w:p>
        </w:tc>
        <w:tc>
          <w:tcPr>
            <w:tcW w:w="786" w:type="pct"/>
          </w:tcPr>
          <w:p w:rsidR="001128AC" w:rsidRPr="00192045" w:rsidRDefault="001128AC" w:rsidP="00162AB1">
            <w:pPr>
              <w:pStyle w:val="Tabletext"/>
              <w:keepNext/>
              <w:keepLines/>
              <w:jc w:val="center"/>
            </w:pPr>
            <w:r w:rsidRPr="00192045">
              <w:t>3 (19%)</w:t>
            </w:r>
          </w:p>
        </w:tc>
        <w:tc>
          <w:tcPr>
            <w:tcW w:w="1020" w:type="pct"/>
          </w:tcPr>
          <w:p w:rsidR="001128AC" w:rsidRPr="00192045" w:rsidRDefault="001128AC" w:rsidP="00162AB1">
            <w:pPr>
              <w:pStyle w:val="Tabletext"/>
              <w:keepNext/>
              <w:keepLines/>
              <w:jc w:val="center"/>
            </w:pPr>
            <w:r w:rsidRPr="00192045">
              <w:t>18 (12%)</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w:t>
            </w:r>
          </w:p>
        </w:tc>
      </w:tr>
      <w:tr w:rsidR="001128AC" w:rsidRPr="00192045" w:rsidTr="0045048E">
        <w:tc>
          <w:tcPr>
            <w:tcW w:w="1041" w:type="pct"/>
          </w:tcPr>
          <w:p w:rsidR="001128AC" w:rsidRPr="00192045" w:rsidRDefault="001128AC" w:rsidP="00162AB1">
            <w:pPr>
              <w:pStyle w:val="Tabletext"/>
              <w:keepNext/>
              <w:keepLines/>
            </w:pPr>
            <w:r w:rsidRPr="00192045">
              <w:t>Behavioural disorder</w:t>
            </w:r>
          </w:p>
        </w:tc>
        <w:tc>
          <w:tcPr>
            <w:tcW w:w="686" w:type="pct"/>
          </w:tcPr>
          <w:p w:rsidR="001128AC" w:rsidRPr="00192045" w:rsidRDefault="001128AC" w:rsidP="00162AB1">
            <w:pPr>
              <w:pStyle w:val="Tabletext"/>
              <w:keepNext/>
              <w:keepLines/>
              <w:jc w:val="center"/>
            </w:pPr>
            <w:r w:rsidRPr="00192045">
              <w:t>58 (27%)</w:t>
            </w:r>
          </w:p>
        </w:tc>
        <w:tc>
          <w:tcPr>
            <w:tcW w:w="786" w:type="pct"/>
          </w:tcPr>
          <w:p w:rsidR="001128AC" w:rsidRPr="00192045" w:rsidRDefault="001128AC" w:rsidP="00162AB1">
            <w:pPr>
              <w:pStyle w:val="Tabletext"/>
              <w:keepNext/>
              <w:keepLines/>
              <w:jc w:val="center"/>
            </w:pPr>
            <w:r w:rsidRPr="00192045">
              <w:t>8 (50%)</w:t>
            </w:r>
          </w:p>
        </w:tc>
        <w:tc>
          <w:tcPr>
            <w:tcW w:w="1020" w:type="pct"/>
          </w:tcPr>
          <w:p w:rsidR="001128AC" w:rsidRPr="00192045" w:rsidRDefault="001128AC" w:rsidP="00162AB1">
            <w:pPr>
              <w:pStyle w:val="Tabletext"/>
              <w:keepNext/>
              <w:keepLines/>
              <w:jc w:val="center"/>
            </w:pPr>
            <w:r w:rsidRPr="00192045">
              <w:t>32 (22%)</w:t>
            </w:r>
          </w:p>
        </w:tc>
        <w:tc>
          <w:tcPr>
            <w:tcW w:w="822" w:type="pct"/>
            <w:tcBorders>
              <w:right w:val="double" w:sz="4" w:space="0" w:color="auto"/>
            </w:tcBorders>
          </w:tcPr>
          <w:p w:rsidR="001128AC" w:rsidRPr="00192045" w:rsidRDefault="001128AC" w:rsidP="00162AB1">
            <w:pPr>
              <w:pStyle w:val="Tabletext"/>
              <w:keepNext/>
              <w:keepLines/>
              <w:jc w:val="center"/>
            </w:pPr>
            <w:r w:rsidRPr="00192045">
              <w:t xml:space="preserve">2 (6%) </w:t>
            </w:r>
            <w:r w:rsidRPr="00192045">
              <w:rPr>
                <w:vertAlign w:val="superscript"/>
              </w:rPr>
              <w:t>b</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w:t>
            </w:r>
          </w:p>
        </w:tc>
      </w:tr>
      <w:tr w:rsidR="001128AC" w:rsidRPr="00192045" w:rsidTr="0045048E">
        <w:tc>
          <w:tcPr>
            <w:tcW w:w="1041" w:type="pct"/>
          </w:tcPr>
          <w:p w:rsidR="001128AC" w:rsidRPr="00192045" w:rsidRDefault="001128AC" w:rsidP="00162AB1">
            <w:pPr>
              <w:pStyle w:val="Tabletext"/>
              <w:keepNext/>
              <w:keepLines/>
            </w:pPr>
            <w:r w:rsidRPr="00192045">
              <w:t>Seizure worsening</w:t>
            </w:r>
          </w:p>
        </w:tc>
        <w:tc>
          <w:tcPr>
            <w:tcW w:w="686" w:type="pct"/>
          </w:tcPr>
          <w:p w:rsidR="001128AC" w:rsidRPr="00192045" w:rsidRDefault="001128AC" w:rsidP="00162AB1">
            <w:pPr>
              <w:pStyle w:val="Tabletext"/>
              <w:keepNext/>
              <w:keepLines/>
              <w:jc w:val="center"/>
            </w:pPr>
            <w:r w:rsidRPr="00192045">
              <w:t>58 (26%)</w:t>
            </w:r>
          </w:p>
        </w:tc>
        <w:tc>
          <w:tcPr>
            <w:tcW w:w="786" w:type="pct"/>
          </w:tcPr>
          <w:p w:rsidR="001128AC" w:rsidRPr="00192045" w:rsidRDefault="001128AC" w:rsidP="00162AB1">
            <w:pPr>
              <w:pStyle w:val="Tabletext"/>
              <w:keepNext/>
              <w:keepLines/>
              <w:jc w:val="center"/>
            </w:pPr>
            <w:r w:rsidRPr="00192045">
              <w:t>7 (44%)</w:t>
            </w:r>
          </w:p>
        </w:tc>
        <w:tc>
          <w:tcPr>
            <w:tcW w:w="1020" w:type="pct"/>
          </w:tcPr>
          <w:p w:rsidR="001128AC" w:rsidRPr="00192045" w:rsidRDefault="001128AC" w:rsidP="00162AB1">
            <w:pPr>
              <w:pStyle w:val="Tabletext"/>
              <w:keepNext/>
              <w:keepLines/>
              <w:jc w:val="center"/>
            </w:pPr>
            <w:r w:rsidRPr="00192045">
              <w:t>32 (22%)</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w:t>
            </w:r>
          </w:p>
        </w:tc>
      </w:tr>
      <w:tr w:rsidR="001128AC" w:rsidRPr="00192045" w:rsidTr="0045048E">
        <w:tc>
          <w:tcPr>
            <w:tcW w:w="1041" w:type="pct"/>
          </w:tcPr>
          <w:p w:rsidR="001128AC" w:rsidRPr="00192045" w:rsidRDefault="001128AC" w:rsidP="00162AB1">
            <w:pPr>
              <w:pStyle w:val="Tabletext"/>
              <w:keepNext/>
              <w:keepLines/>
            </w:pPr>
            <w:r w:rsidRPr="00192045">
              <w:t xml:space="preserve">Irritability </w:t>
            </w:r>
          </w:p>
        </w:tc>
        <w:tc>
          <w:tcPr>
            <w:tcW w:w="686" w:type="pct"/>
          </w:tcPr>
          <w:p w:rsidR="001128AC" w:rsidRPr="00192045" w:rsidRDefault="001128AC" w:rsidP="00162AB1">
            <w:pPr>
              <w:pStyle w:val="Tabletext"/>
              <w:keepNext/>
              <w:keepLines/>
              <w:jc w:val="center"/>
            </w:pPr>
            <w:r w:rsidRPr="00192045">
              <w:t>25 (11%)</w:t>
            </w:r>
          </w:p>
        </w:tc>
        <w:tc>
          <w:tcPr>
            <w:tcW w:w="786" w:type="pct"/>
          </w:tcPr>
          <w:p w:rsidR="001128AC" w:rsidRPr="00192045" w:rsidRDefault="001128AC" w:rsidP="00162AB1">
            <w:pPr>
              <w:pStyle w:val="Tabletext"/>
              <w:keepNext/>
              <w:keepLines/>
              <w:jc w:val="center"/>
            </w:pPr>
            <w:r w:rsidRPr="00192045">
              <w:t>4 (25%)</w:t>
            </w:r>
          </w:p>
        </w:tc>
        <w:tc>
          <w:tcPr>
            <w:tcW w:w="1020" w:type="pct"/>
          </w:tcPr>
          <w:p w:rsidR="001128AC" w:rsidRPr="00192045" w:rsidRDefault="001128AC" w:rsidP="00162AB1">
            <w:pPr>
              <w:pStyle w:val="Tabletext"/>
              <w:keepNext/>
              <w:keepLines/>
              <w:jc w:val="center"/>
            </w:pPr>
            <w:r w:rsidRPr="00192045">
              <w:t>15 (10%)</w:t>
            </w:r>
          </w:p>
        </w:tc>
        <w:tc>
          <w:tcPr>
            <w:tcW w:w="822" w:type="pct"/>
            <w:tcBorders>
              <w:right w:val="double" w:sz="4" w:space="0" w:color="auto"/>
            </w:tcBorders>
          </w:tcPr>
          <w:p w:rsidR="001128AC" w:rsidRPr="00192045" w:rsidRDefault="001128AC" w:rsidP="00162AB1">
            <w:pPr>
              <w:pStyle w:val="Tabletext"/>
              <w:keepNext/>
              <w:keepLines/>
              <w:jc w:val="center"/>
            </w:pPr>
            <w:r w:rsidRPr="00192045">
              <w:t>-</w:t>
            </w:r>
          </w:p>
        </w:tc>
        <w:tc>
          <w:tcPr>
            <w:tcW w:w="646" w:type="pct"/>
            <w:tcBorders>
              <w:left w:val="double" w:sz="4" w:space="0" w:color="auto"/>
            </w:tcBorders>
            <w:shd w:val="clear" w:color="auto" w:fill="auto"/>
          </w:tcPr>
          <w:p w:rsidR="001128AC" w:rsidRPr="00192045" w:rsidRDefault="001128AC" w:rsidP="00162AB1">
            <w:pPr>
              <w:pStyle w:val="Tabletext"/>
              <w:keepNext/>
              <w:keepLines/>
              <w:jc w:val="center"/>
            </w:pPr>
            <w:r w:rsidRPr="00192045">
              <w:t>4 (2%)</w:t>
            </w:r>
          </w:p>
        </w:tc>
      </w:tr>
      <w:tr w:rsidR="0049419E" w:rsidRPr="00192045" w:rsidTr="0045048E">
        <w:tc>
          <w:tcPr>
            <w:tcW w:w="1041" w:type="pct"/>
          </w:tcPr>
          <w:p w:rsidR="0049419E" w:rsidRPr="00192045" w:rsidRDefault="0049419E" w:rsidP="00162AB1">
            <w:pPr>
              <w:pStyle w:val="Tabletext"/>
              <w:keepNext/>
              <w:keepLines/>
            </w:pPr>
            <w:r w:rsidRPr="00192045">
              <w:t>Aggression</w:t>
            </w:r>
          </w:p>
        </w:tc>
        <w:tc>
          <w:tcPr>
            <w:tcW w:w="686" w:type="pct"/>
          </w:tcPr>
          <w:p w:rsidR="0049419E" w:rsidRPr="00192045" w:rsidRDefault="0049419E" w:rsidP="00162AB1">
            <w:pPr>
              <w:pStyle w:val="Tabletext"/>
              <w:keepNext/>
              <w:keepLines/>
              <w:jc w:val="center"/>
            </w:pPr>
            <w:r w:rsidRPr="00192045">
              <w:t>13 (6%)</w:t>
            </w:r>
          </w:p>
        </w:tc>
        <w:tc>
          <w:tcPr>
            <w:tcW w:w="786" w:type="pct"/>
          </w:tcPr>
          <w:p w:rsidR="0049419E" w:rsidRPr="00192045" w:rsidRDefault="0049419E" w:rsidP="00162AB1">
            <w:pPr>
              <w:pStyle w:val="Tabletext"/>
              <w:keepNext/>
              <w:keepLines/>
              <w:jc w:val="center"/>
            </w:pPr>
            <w:r w:rsidRPr="00192045">
              <w:t>1 (6%)</w:t>
            </w:r>
          </w:p>
        </w:tc>
        <w:tc>
          <w:tcPr>
            <w:tcW w:w="1020" w:type="pct"/>
          </w:tcPr>
          <w:p w:rsidR="0049419E" w:rsidRPr="00192045" w:rsidRDefault="0049419E" w:rsidP="00162AB1">
            <w:pPr>
              <w:pStyle w:val="Tabletext"/>
              <w:keepNext/>
              <w:keepLines/>
              <w:jc w:val="center"/>
            </w:pPr>
            <w:r w:rsidRPr="00192045">
              <w:t>7 (5%)</w:t>
            </w:r>
          </w:p>
        </w:tc>
        <w:tc>
          <w:tcPr>
            <w:tcW w:w="822" w:type="pct"/>
            <w:tcBorders>
              <w:right w:val="double" w:sz="4" w:space="0" w:color="auto"/>
            </w:tcBorders>
          </w:tcPr>
          <w:p w:rsidR="0049419E" w:rsidRPr="00192045" w:rsidRDefault="0049419E" w:rsidP="00162AB1">
            <w:pPr>
              <w:pStyle w:val="Tabletext"/>
              <w:keepNext/>
              <w:keepLines/>
              <w:jc w:val="center"/>
            </w:pPr>
            <w:r w:rsidRPr="00192045">
              <w:t>-</w:t>
            </w:r>
          </w:p>
        </w:tc>
        <w:tc>
          <w:tcPr>
            <w:tcW w:w="646" w:type="pct"/>
            <w:tcBorders>
              <w:left w:val="double" w:sz="4" w:space="0" w:color="auto"/>
            </w:tcBorders>
            <w:shd w:val="clear" w:color="auto" w:fill="auto"/>
          </w:tcPr>
          <w:p w:rsidR="0049419E" w:rsidRPr="00192045" w:rsidRDefault="0049419E" w:rsidP="00162AB1">
            <w:pPr>
              <w:pStyle w:val="Tabletext"/>
              <w:keepNext/>
              <w:keepLines/>
              <w:jc w:val="center"/>
            </w:pPr>
            <w:r w:rsidRPr="00192045">
              <w:t>-</w:t>
            </w:r>
          </w:p>
        </w:tc>
      </w:tr>
      <w:tr w:rsidR="0049419E" w:rsidRPr="00192045" w:rsidTr="0045048E">
        <w:tc>
          <w:tcPr>
            <w:tcW w:w="1041" w:type="pct"/>
          </w:tcPr>
          <w:p w:rsidR="0049419E" w:rsidRPr="00192045" w:rsidRDefault="0049419E" w:rsidP="00162AB1">
            <w:pPr>
              <w:pStyle w:val="Tabletext"/>
              <w:keepNext/>
              <w:keepLines/>
            </w:pPr>
            <w:r w:rsidRPr="00192045">
              <w:t>Suicidal ideation</w:t>
            </w:r>
          </w:p>
        </w:tc>
        <w:tc>
          <w:tcPr>
            <w:tcW w:w="686" w:type="pct"/>
          </w:tcPr>
          <w:p w:rsidR="0049419E" w:rsidRPr="00192045" w:rsidRDefault="0049419E" w:rsidP="00162AB1">
            <w:pPr>
              <w:pStyle w:val="Tabletext"/>
              <w:keepNext/>
              <w:keepLines/>
              <w:jc w:val="center"/>
            </w:pPr>
            <w:r w:rsidRPr="00192045">
              <w:t>9 (4%)</w:t>
            </w:r>
          </w:p>
        </w:tc>
        <w:tc>
          <w:tcPr>
            <w:tcW w:w="786" w:type="pct"/>
          </w:tcPr>
          <w:p w:rsidR="0049419E" w:rsidRPr="00192045" w:rsidRDefault="0049419E" w:rsidP="00162AB1">
            <w:pPr>
              <w:pStyle w:val="Tabletext"/>
              <w:keepNext/>
              <w:keepLines/>
              <w:jc w:val="center"/>
            </w:pPr>
            <w:r w:rsidRPr="00192045">
              <w:t>-</w:t>
            </w:r>
          </w:p>
        </w:tc>
        <w:tc>
          <w:tcPr>
            <w:tcW w:w="1020" w:type="pct"/>
          </w:tcPr>
          <w:p w:rsidR="0049419E" w:rsidRPr="00192045" w:rsidRDefault="0049419E" w:rsidP="00162AB1">
            <w:pPr>
              <w:pStyle w:val="Tabletext"/>
              <w:keepNext/>
              <w:keepLines/>
              <w:jc w:val="center"/>
            </w:pPr>
            <w:r w:rsidRPr="00192045">
              <w:t>7 (5%)</w:t>
            </w:r>
          </w:p>
        </w:tc>
        <w:tc>
          <w:tcPr>
            <w:tcW w:w="822" w:type="pct"/>
            <w:tcBorders>
              <w:right w:val="double" w:sz="4" w:space="0" w:color="auto"/>
            </w:tcBorders>
          </w:tcPr>
          <w:p w:rsidR="0049419E" w:rsidRPr="00192045" w:rsidRDefault="0049419E" w:rsidP="00162AB1">
            <w:pPr>
              <w:pStyle w:val="Tabletext"/>
              <w:keepNext/>
              <w:keepLines/>
              <w:jc w:val="center"/>
            </w:pPr>
            <w:r w:rsidRPr="00192045">
              <w:t>-</w:t>
            </w:r>
          </w:p>
        </w:tc>
        <w:tc>
          <w:tcPr>
            <w:tcW w:w="646" w:type="pct"/>
            <w:tcBorders>
              <w:left w:val="double" w:sz="4" w:space="0" w:color="auto"/>
            </w:tcBorders>
            <w:shd w:val="clear" w:color="auto" w:fill="auto"/>
          </w:tcPr>
          <w:p w:rsidR="0049419E" w:rsidRPr="00192045" w:rsidRDefault="0049419E" w:rsidP="00162AB1">
            <w:pPr>
              <w:pStyle w:val="Tabletext"/>
              <w:keepNext/>
              <w:keepLines/>
              <w:jc w:val="center"/>
            </w:pPr>
            <w:r w:rsidRPr="00192045">
              <w:t>3 (2%)</w:t>
            </w:r>
          </w:p>
        </w:tc>
      </w:tr>
      <w:tr w:rsidR="0049419E" w:rsidRPr="00192045" w:rsidTr="0045048E">
        <w:tc>
          <w:tcPr>
            <w:tcW w:w="1041" w:type="pct"/>
          </w:tcPr>
          <w:p w:rsidR="0049419E" w:rsidRPr="00192045" w:rsidRDefault="0049419E" w:rsidP="00162AB1">
            <w:pPr>
              <w:pStyle w:val="Tabletext"/>
              <w:keepNext/>
              <w:keepLines/>
            </w:pPr>
            <w:r w:rsidRPr="00192045">
              <w:t>Decreased appetite</w:t>
            </w:r>
          </w:p>
        </w:tc>
        <w:tc>
          <w:tcPr>
            <w:tcW w:w="686" w:type="pct"/>
          </w:tcPr>
          <w:p w:rsidR="0049419E" w:rsidRPr="00192045" w:rsidRDefault="0049419E" w:rsidP="00162AB1">
            <w:pPr>
              <w:pStyle w:val="Tabletext"/>
              <w:keepNext/>
              <w:keepLines/>
              <w:jc w:val="center"/>
            </w:pPr>
            <w:r w:rsidRPr="00192045">
              <w:t>26 (12%)</w:t>
            </w:r>
          </w:p>
        </w:tc>
        <w:tc>
          <w:tcPr>
            <w:tcW w:w="786" w:type="pct"/>
          </w:tcPr>
          <w:p w:rsidR="0049419E" w:rsidRPr="00192045" w:rsidRDefault="0049419E" w:rsidP="00162AB1">
            <w:pPr>
              <w:pStyle w:val="Tabletext"/>
              <w:keepNext/>
              <w:keepLines/>
              <w:jc w:val="center"/>
            </w:pPr>
            <w:r w:rsidRPr="00192045">
              <w:t>3 (19%)</w:t>
            </w:r>
          </w:p>
        </w:tc>
        <w:tc>
          <w:tcPr>
            <w:tcW w:w="1020" w:type="pct"/>
          </w:tcPr>
          <w:p w:rsidR="0049419E" w:rsidRPr="00192045" w:rsidRDefault="0049419E" w:rsidP="00162AB1">
            <w:pPr>
              <w:pStyle w:val="Tabletext"/>
              <w:keepNext/>
              <w:keepLines/>
              <w:jc w:val="center"/>
            </w:pPr>
            <w:r w:rsidRPr="00192045">
              <w:t>15 (10%)</w:t>
            </w:r>
          </w:p>
        </w:tc>
        <w:tc>
          <w:tcPr>
            <w:tcW w:w="822" w:type="pct"/>
            <w:tcBorders>
              <w:right w:val="double" w:sz="4" w:space="0" w:color="auto"/>
            </w:tcBorders>
          </w:tcPr>
          <w:p w:rsidR="0049419E" w:rsidRPr="00192045" w:rsidRDefault="0049419E" w:rsidP="00162AB1">
            <w:pPr>
              <w:pStyle w:val="Tabletext"/>
              <w:keepNext/>
              <w:keepLines/>
              <w:jc w:val="center"/>
            </w:pPr>
            <w:r w:rsidRPr="00192045">
              <w:t>-</w:t>
            </w:r>
          </w:p>
        </w:tc>
        <w:tc>
          <w:tcPr>
            <w:tcW w:w="646" w:type="pct"/>
            <w:tcBorders>
              <w:left w:val="double" w:sz="4" w:space="0" w:color="auto"/>
            </w:tcBorders>
            <w:shd w:val="clear" w:color="auto" w:fill="auto"/>
          </w:tcPr>
          <w:p w:rsidR="0049419E" w:rsidRPr="00192045" w:rsidRDefault="0049419E" w:rsidP="00162AB1">
            <w:pPr>
              <w:pStyle w:val="Tabletext"/>
              <w:keepNext/>
              <w:keepLines/>
              <w:jc w:val="center"/>
            </w:pPr>
            <w:r w:rsidRPr="00192045">
              <w:t>6 (4%)</w:t>
            </w:r>
          </w:p>
        </w:tc>
      </w:tr>
      <w:tr w:rsidR="0049419E" w:rsidRPr="00192045" w:rsidTr="0045048E">
        <w:tc>
          <w:tcPr>
            <w:tcW w:w="1041" w:type="pct"/>
          </w:tcPr>
          <w:p w:rsidR="0049419E" w:rsidRPr="00192045" w:rsidRDefault="0049419E" w:rsidP="00162AB1">
            <w:pPr>
              <w:pStyle w:val="Tabletext"/>
              <w:keepNext/>
              <w:keepLines/>
            </w:pPr>
            <w:r w:rsidRPr="00192045">
              <w:t>Psychomotor hyperactivity</w:t>
            </w:r>
          </w:p>
        </w:tc>
        <w:tc>
          <w:tcPr>
            <w:tcW w:w="686" w:type="pct"/>
            <w:vAlign w:val="center"/>
          </w:tcPr>
          <w:p w:rsidR="0049419E" w:rsidRPr="00192045" w:rsidRDefault="0049419E" w:rsidP="00162AB1">
            <w:pPr>
              <w:pStyle w:val="Tabletext"/>
              <w:keepNext/>
              <w:keepLines/>
              <w:jc w:val="center"/>
            </w:pPr>
            <w:r w:rsidRPr="00192045">
              <w:t>7 (3%)</w:t>
            </w:r>
          </w:p>
        </w:tc>
        <w:tc>
          <w:tcPr>
            <w:tcW w:w="786" w:type="pct"/>
            <w:vAlign w:val="center"/>
          </w:tcPr>
          <w:p w:rsidR="0049419E" w:rsidRPr="00192045" w:rsidRDefault="0049419E" w:rsidP="00162AB1">
            <w:pPr>
              <w:pStyle w:val="Tabletext"/>
              <w:keepNext/>
              <w:keepLines/>
              <w:jc w:val="center"/>
            </w:pPr>
            <w:r w:rsidRPr="00192045">
              <w:t>-</w:t>
            </w:r>
          </w:p>
        </w:tc>
        <w:tc>
          <w:tcPr>
            <w:tcW w:w="1020" w:type="pct"/>
            <w:vAlign w:val="center"/>
          </w:tcPr>
          <w:p w:rsidR="0049419E" w:rsidRPr="00192045" w:rsidRDefault="0049419E" w:rsidP="00162AB1">
            <w:pPr>
              <w:pStyle w:val="Tabletext"/>
              <w:keepNext/>
              <w:keepLines/>
              <w:jc w:val="center"/>
            </w:pPr>
            <w:r w:rsidRPr="00192045">
              <w:t>7 (5%)</w:t>
            </w:r>
          </w:p>
        </w:tc>
        <w:tc>
          <w:tcPr>
            <w:tcW w:w="822" w:type="pct"/>
            <w:tcBorders>
              <w:right w:val="double" w:sz="4" w:space="0" w:color="auto"/>
            </w:tcBorders>
            <w:vAlign w:val="center"/>
          </w:tcPr>
          <w:p w:rsidR="0049419E" w:rsidRPr="00192045" w:rsidRDefault="0049419E" w:rsidP="00162AB1">
            <w:pPr>
              <w:pStyle w:val="Tabletext"/>
              <w:keepNext/>
              <w:keepLines/>
              <w:jc w:val="center"/>
            </w:pPr>
            <w:r w:rsidRPr="00192045">
              <w:t>-</w:t>
            </w:r>
          </w:p>
        </w:tc>
        <w:tc>
          <w:tcPr>
            <w:tcW w:w="646" w:type="pct"/>
            <w:tcBorders>
              <w:left w:val="double" w:sz="4" w:space="0" w:color="auto"/>
            </w:tcBorders>
            <w:shd w:val="clear" w:color="auto" w:fill="auto"/>
            <w:vAlign w:val="center"/>
          </w:tcPr>
          <w:p w:rsidR="0049419E" w:rsidRPr="00192045" w:rsidRDefault="0049419E" w:rsidP="00162AB1">
            <w:pPr>
              <w:pStyle w:val="Tabletext"/>
              <w:keepNext/>
              <w:keepLines/>
              <w:jc w:val="center"/>
            </w:pPr>
            <w:r w:rsidRPr="00192045">
              <w:t>-</w:t>
            </w:r>
          </w:p>
        </w:tc>
      </w:tr>
    </w:tbl>
    <w:p w:rsidR="001128AC" w:rsidRPr="00192045" w:rsidRDefault="001128AC" w:rsidP="00162AB1">
      <w:pPr>
        <w:pStyle w:val="TableFooter"/>
        <w:keepNext/>
        <w:keepLines/>
        <w:widowControl/>
        <w:rPr>
          <w:sz w:val="20"/>
        </w:rPr>
      </w:pPr>
      <w:r w:rsidRPr="00192045">
        <w:t>Source: Tables 2.18 - 2.19, pp64-65, Table 2.32, p80 of the submission;</w:t>
      </w:r>
      <w:r w:rsidR="002B62CA" w:rsidRPr="00192045">
        <w:t xml:space="preserve"> and</w:t>
      </w:r>
      <w:r w:rsidRPr="00192045">
        <w:t xml:space="preserve"> Table 8, p11 November 2018 </w:t>
      </w:r>
      <w:proofErr w:type="spellStart"/>
      <w:r w:rsidRPr="00192045">
        <w:t>lacosamide</w:t>
      </w:r>
      <w:proofErr w:type="spellEnd"/>
      <w:r w:rsidRPr="00192045">
        <w:t xml:space="preserve"> PBAC PSD</w:t>
      </w:r>
    </w:p>
    <w:p w:rsidR="001128AC" w:rsidRPr="00192045" w:rsidRDefault="001128AC" w:rsidP="00162AB1">
      <w:pPr>
        <w:pStyle w:val="TableFooter"/>
        <w:keepNext/>
        <w:keepLines/>
        <w:widowControl/>
        <w:rPr>
          <w:rFonts w:eastAsia="Calibri"/>
        </w:rPr>
      </w:pPr>
      <w:r w:rsidRPr="00192045">
        <w:rPr>
          <w:rFonts w:eastAsia="Calibri"/>
        </w:rPr>
        <w:t xml:space="preserve">n = number of participants reporting data; PBAC = Pharmaceutical Benefits Advisory Committee; </w:t>
      </w:r>
      <w:r w:rsidR="002B62CA" w:rsidRPr="00192045">
        <w:rPr>
          <w:rFonts w:eastAsia="Calibri"/>
        </w:rPr>
        <w:t xml:space="preserve">POS = partial onset seizures; </w:t>
      </w:r>
      <w:r w:rsidRPr="00192045">
        <w:rPr>
          <w:rFonts w:eastAsia="Calibri"/>
        </w:rPr>
        <w:t>PSD = public summary document; TEAE = tr</w:t>
      </w:r>
      <w:r w:rsidR="002B62CA" w:rsidRPr="00192045">
        <w:rPr>
          <w:rFonts w:eastAsia="Calibri"/>
        </w:rPr>
        <w:t>eatment-emergent adverse event</w:t>
      </w:r>
    </w:p>
    <w:p w:rsidR="001128AC" w:rsidRPr="00192045" w:rsidRDefault="001128AC" w:rsidP="00162AB1">
      <w:pPr>
        <w:pStyle w:val="TableFooter"/>
        <w:keepNext/>
        <w:keepLines/>
        <w:widowControl/>
      </w:pPr>
      <w:proofErr w:type="gramStart"/>
      <w:r w:rsidRPr="00192045">
        <w:rPr>
          <w:vertAlign w:val="superscript"/>
        </w:rPr>
        <w:t>a</w:t>
      </w:r>
      <w:proofErr w:type="gramEnd"/>
      <w:r w:rsidRPr="00192045">
        <w:t xml:space="preserve"> Pooled data from N01263 and N01266. Includes patients with generalised seizures</w:t>
      </w:r>
      <w:r w:rsidR="002B62CA" w:rsidRPr="00192045">
        <w:t>.</w:t>
      </w:r>
      <w:r w:rsidRPr="00192045">
        <w:t xml:space="preserve"> </w:t>
      </w:r>
    </w:p>
    <w:p w:rsidR="001128AC" w:rsidRPr="00192045" w:rsidRDefault="001128AC" w:rsidP="00162AB1">
      <w:pPr>
        <w:pStyle w:val="TableFooter"/>
        <w:keepNext/>
        <w:keepLines/>
        <w:widowControl/>
        <w:rPr>
          <w:rFonts w:eastAsia="Calibri"/>
        </w:rPr>
      </w:pPr>
      <w:proofErr w:type="gramStart"/>
      <w:r w:rsidRPr="00192045">
        <w:rPr>
          <w:rFonts w:eastAsia="Calibri"/>
          <w:vertAlign w:val="superscript"/>
        </w:rPr>
        <w:t>b</w:t>
      </w:r>
      <w:proofErr w:type="gramEnd"/>
      <w:r w:rsidRPr="00192045">
        <w:rPr>
          <w:rFonts w:eastAsia="Calibri"/>
          <w:vertAlign w:val="superscript"/>
        </w:rPr>
        <w:t xml:space="preserve"> </w:t>
      </w:r>
      <w:r w:rsidRPr="00192045">
        <w:rPr>
          <w:rFonts w:eastAsia="Calibri"/>
        </w:rPr>
        <w:t>Depression, aggression, irritability</w:t>
      </w:r>
    </w:p>
    <w:p w:rsidR="001128AC" w:rsidRPr="00192045" w:rsidRDefault="001128AC" w:rsidP="00500B84">
      <w:pPr>
        <w:widowControl/>
      </w:pPr>
    </w:p>
    <w:p w:rsidR="001128AC" w:rsidRPr="00192045" w:rsidRDefault="001128AC" w:rsidP="00E2012A">
      <w:pPr>
        <w:pStyle w:val="numberedbulletstyle"/>
      </w:pPr>
      <w:r w:rsidRPr="00192045">
        <w:t xml:space="preserve">The submission noted the following AEs occurred more commonly in patients </w:t>
      </w:r>
      <w:r w:rsidR="00E21062" w:rsidRPr="00192045">
        <w:t xml:space="preserve">aged </w:t>
      </w:r>
      <w:r w:rsidR="00A734D5" w:rsidRPr="00192045">
        <w:t>4 </w:t>
      </w:r>
      <w:r w:rsidR="00A734D5" w:rsidRPr="00192045">
        <w:noBreakHyphen/>
        <w:t> </w:t>
      </w:r>
      <w:r w:rsidRPr="00192045">
        <w:t xml:space="preserve">15 years compared with patients </w:t>
      </w:r>
      <w:r w:rsidR="00E21062" w:rsidRPr="00192045">
        <w:t xml:space="preserve">aged </w:t>
      </w:r>
      <w:r w:rsidRPr="00192045">
        <w:t xml:space="preserve">16 years and older (pooled adult data): seizure worsening, behavioural disorder, and suicidality. Additionally, decreased </w:t>
      </w:r>
      <w:r w:rsidRPr="00192045">
        <w:lastRenderedPageBreak/>
        <w:t xml:space="preserve">appetite and psychomotor hyperactivity were proposed as adverse </w:t>
      </w:r>
      <w:r w:rsidR="00051F7C" w:rsidRPr="00192045">
        <w:t>events</w:t>
      </w:r>
      <w:r w:rsidRPr="00192045">
        <w:t xml:space="preserve"> for the paediatric population in the Summary of Clinical Safety. The TGA CER (second round, p35) considered that </w:t>
      </w:r>
      <w:r w:rsidR="00F1729E" w:rsidRPr="00192045">
        <w:t>‘</w:t>
      </w:r>
      <w:r w:rsidRPr="00192045">
        <w:t>…diarrhoea and/or vomiting in a 4 year old is a matter of concern particularly in summer from Brisbane north and inland west of the Great Dividing Range</w:t>
      </w:r>
      <w:r w:rsidR="00F1729E" w:rsidRPr="00192045">
        <w:t>’</w:t>
      </w:r>
      <w:r w:rsidR="00166E79" w:rsidRPr="00192045">
        <w:t>.</w:t>
      </w:r>
      <w:r w:rsidRPr="00192045">
        <w:t xml:space="preserve"> AEs were more frequently reported in children younger than 4 years of age compared </w:t>
      </w:r>
      <w:r w:rsidR="00F936E6">
        <w:t>with</w:t>
      </w:r>
      <w:r w:rsidR="00F936E6" w:rsidRPr="00192045">
        <w:t xml:space="preserve"> </w:t>
      </w:r>
      <w:r w:rsidRPr="00192045">
        <w:t xml:space="preserve">those aged 4 </w:t>
      </w:r>
      <w:r w:rsidR="00884F53" w:rsidRPr="00192045">
        <w:t>-</w:t>
      </w:r>
      <w:r w:rsidRPr="00192045">
        <w:t xml:space="preserve"> 15 years.</w:t>
      </w:r>
    </w:p>
    <w:p w:rsidR="007D3371" w:rsidRPr="00162AB1" w:rsidRDefault="001128AC" w:rsidP="00162AB1">
      <w:pPr>
        <w:pStyle w:val="numberedbulletstyle"/>
      </w:pPr>
      <w:r w:rsidRPr="00192045">
        <w:t xml:space="preserve">The submission did not present a comparison of </w:t>
      </w:r>
      <w:proofErr w:type="spellStart"/>
      <w:r w:rsidRPr="00192045">
        <w:t>brivaracetam</w:t>
      </w:r>
      <w:proofErr w:type="spellEnd"/>
      <w:r w:rsidRPr="00192045">
        <w:t xml:space="preserve"> with its main comparator </w:t>
      </w:r>
      <w:proofErr w:type="spellStart"/>
      <w:r w:rsidRPr="00192045">
        <w:t>lacosamide</w:t>
      </w:r>
      <w:proofErr w:type="spellEnd"/>
      <w:r w:rsidRPr="00192045">
        <w:t xml:space="preserve"> in terms of safety</w:t>
      </w:r>
      <w:r w:rsidR="00931A67">
        <w:t xml:space="preserve"> for the less than 4 years age group</w:t>
      </w:r>
      <w:r w:rsidRPr="00192045">
        <w:t xml:space="preserve">. </w:t>
      </w:r>
    </w:p>
    <w:p w:rsidR="00B60939" w:rsidRPr="00192045" w:rsidRDefault="00B60939" w:rsidP="00500B84">
      <w:pPr>
        <w:pStyle w:val="Heading2"/>
        <w:widowControl/>
      </w:pPr>
      <w:bookmarkStart w:id="14" w:name="_Toc19712696"/>
      <w:r w:rsidRPr="00192045">
        <w:t>Clinical claim</w:t>
      </w:r>
      <w:bookmarkEnd w:id="14"/>
    </w:p>
    <w:p w:rsidR="005520C1" w:rsidRPr="00192045" w:rsidRDefault="001128AC" w:rsidP="00E2012A">
      <w:pPr>
        <w:pStyle w:val="numberedbulletstyle"/>
      </w:pPr>
      <w:r w:rsidRPr="00192045">
        <w:t xml:space="preserve">The submission described </w:t>
      </w:r>
      <w:proofErr w:type="spellStart"/>
      <w:r w:rsidRPr="00192045">
        <w:t>brivaracetam</w:t>
      </w:r>
      <w:proofErr w:type="spellEnd"/>
      <w:r w:rsidRPr="00192045">
        <w:t xml:space="preserve"> as non-inferior in terms of effectiveness and non-inferior in terms of safety compared </w:t>
      </w:r>
      <w:r w:rsidR="007D3371" w:rsidRPr="00192045">
        <w:t xml:space="preserve">with </w:t>
      </w:r>
      <w:proofErr w:type="spellStart"/>
      <w:r w:rsidRPr="00192045">
        <w:t>lacosamide</w:t>
      </w:r>
      <w:proofErr w:type="spellEnd"/>
      <w:r w:rsidRPr="00192045">
        <w:t xml:space="preserve">. </w:t>
      </w:r>
    </w:p>
    <w:p w:rsidR="00516AAC" w:rsidRPr="00192045" w:rsidRDefault="00516AAC" w:rsidP="00E2012A">
      <w:pPr>
        <w:pStyle w:val="numberedbulletstyle"/>
      </w:pPr>
      <w:r w:rsidRPr="00192045">
        <w:t>The rationale for the effectiveness claim was that 1) the PBAC had previously accepted, despite some transitivity concerns, this clinical claim for patients aged 16 years and older, and 2) that this could be extrapolated to patients aged 4 </w:t>
      </w:r>
      <w:r w:rsidRPr="00192045">
        <w:noBreakHyphen/>
        <w:t> 15 years based on TGA acceptance of the efficacy extrapolation.</w:t>
      </w:r>
    </w:p>
    <w:p w:rsidR="00516AAC" w:rsidRPr="00192045" w:rsidRDefault="001128AC" w:rsidP="00060F29">
      <w:pPr>
        <w:pStyle w:val="numberedbulletstyle"/>
      </w:pPr>
      <w:r w:rsidRPr="00192045">
        <w:t>The</w:t>
      </w:r>
      <w:r w:rsidR="00E525A8" w:rsidRPr="00192045">
        <w:t xml:space="preserve"> evaluation considered that the</w:t>
      </w:r>
      <w:r w:rsidRPr="00192045">
        <w:t xml:space="preserve"> claim of non</w:t>
      </w:r>
      <w:r w:rsidRPr="00192045">
        <w:noBreakHyphen/>
        <w:t xml:space="preserve">inferior comparative safety was not fully supported by the naïve comparison as </w:t>
      </w:r>
      <w:proofErr w:type="spellStart"/>
      <w:r w:rsidRPr="00192045">
        <w:t>brivaracetam</w:t>
      </w:r>
      <w:proofErr w:type="spellEnd"/>
      <w:r w:rsidRPr="00192045">
        <w:t xml:space="preserve"> appeared to have more AEs and a potentially inferior safety profile compared with </w:t>
      </w:r>
      <w:proofErr w:type="spellStart"/>
      <w:r w:rsidRPr="00192045">
        <w:t>lacosamide</w:t>
      </w:r>
      <w:proofErr w:type="spellEnd"/>
      <w:r w:rsidR="00837C53" w:rsidRPr="00192045">
        <w:t xml:space="preserve"> in the paediatric population</w:t>
      </w:r>
      <w:r w:rsidR="007E36CD" w:rsidRPr="00192045">
        <w:t>, with the exception of drug-related TEAEs</w:t>
      </w:r>
      <w:r w:rsidRPr="00192045">
        <w:t>.</w:t>
      </w:r>
      <w:r w:rsidR="00060F29" w:rsidRPr="00192045">
        <w:t xml:space="preserve"> </w:t>
      </w:r>
    </w:p>
    <w:p w:rsidR="00516AAC" w:rsidRPr="00192045" w:rsidRDefault="00516AAC" w:rsidP="00060F29">
      <w:pPr>
        <w:pStyle w:val="numberedbulletstyle"/>
      </w:pPr>
      <w:r w:rsidRPr="00192045">
        <w:t xml:space="preserve">The PBAC considered that </w:t>
      </w:r>
      <w:r w:rsidR="00F936E6">
        <w:t xml:space="preserve">the claim of non-inferior </w:t>
      </w:r>
      <w:r w:rsidR="00E525A8" w:rsidRPr="00192045">
        <w:t xml:space="preserve">effectiveness of </w:t>
      </w:r>
      <w:proofErr w:type="spellStart"/>
      <w:r w:rsidR="00E525A8" w:rsidRPr="00192045">
        <w:t>brivaracetam</w:t>
      </w:r>
      <w:proofErr w:type="spellEnd"/>
      <w:r w:rsidR="00E525A8" w:rsidRPr="00192045">
        <w:t xml:space="preserve"> </w:t>
      </w:r>
      <w:r w:rsidR="00B02160" w:rsidRPr="00192045">
        <w:t xml:space="preserve">and </w:t>
      </w:r>
      <w:proofErr w:type="spellStart"/>
      <w:r w:rsidR="00B02160" w:rsidRPr="00192045">
        <w:t>lacosamide</w:t>
      </w:r>
      <w:proofErr w:type="spellEnd"/>
      <w:r w:rsidR="00B02160" w:rsidRPr="00192045">
        <w:t xml:space="preserve"> in the paediatric population</w:t>
      </w:r>
      <w:r w:rsidR="00F936E6">
        <w:t xml:space="preserve"> was reasonable</w:t>
      </w:r>
      <w:r w:rsidR="00B02160" w:rsidRPr="00192045">
        <w:t xml:space="preserve">, noting </w:t>
      </w:r>
      <w:r w:rsidR="00F936E6">
        <w:t xml:space="preserve">the </w:t>
      </w:r>
      <w:r w:rsidR="00B02160" w:rsidRPr="00192045">
        <w:t>difficult</w:t>
      </w:r>
      <w:r w:rsidR="00F936E6">
        <w:t>y in</w:t>
      </w:r>
      <w:r w:rsidR="00B02160" w:rsidRPr="00192045">
        <w:t xml:space="preserve"> obtain</w:t>
      </w:r>
      <w:r w:rsidR="00F936E6">
        <w:t>ing</w:t>
      </w:r>
      <w:r w:rsidR="00B02160" w:rsidRPr="00192045">
        <w:t xml:space="preserve"> </w:t>
      </w:r>
      <w:r w:rsidR="00F936E6">
        <w:t xml:space="preserve">reliable evidence for the paediatric </w:t>
      </w:r>
      <w:r w:rsidR="00B02160" w:rsidRPr="00192045">
        <w:t>population</w:t>
      </w:r>
      <w:r w:rsidR="00192045">
        <w:t>.</w:t>
      </w:r>
      <w:r w:rsidR="00167666">
        <w:t xml:space="preserve"> </w:t>
      </w:r>
      <w:r w:rsidR="00B02160" w:rsidRPr="00192045">
        <w:t xml:space="preserve"> </w:t>
      </w:r>
    </w:p>
    <w:p w:rsidR="002F00B1" w:rsidRPr="00192045" w:rsidRDefault="00774672" w:rsidP="008D2D1C">
      <w:pPr>
        <w:pStyle w:val="numberedbulletstyle"/>
      </w:pPr>
      <w:r w:rsidRPr="00192045">
        <w:t xml:space="preserve">The PBAC considered that the claim of non-inferior safety </w:t>
      </w:r>
      <w:r w:rsidR="00516AAC" w:rsidRPr="00192045">
        <w:t>compared with</w:t>
      </w:r>
      <w:r w:rsidRPr="00192045">
        <w:t xml:space="preserve"> </w:t>
      </w:r>
      <w:proofErr w:type="spellStart"/>
      <w:r w:rsidRPr="00192045">
        <w:t>lacosamide</w:t>
      </w:r>
      <w:proofErr w:type="spellEnd"/>
      <w:r w:rsidRPr="00192045">
        <w:t xml:space="preserve"> </w:t>
      </w:r>
      <w:r w:rsidR="00A83058">
        <w:t>to be uncertain but reasonable</w:t>
      </w:r>
      <w:r w:rsidRPr="00192045">
        <w:t>.</w:t>
      </w:r>
    </w:p>
    <w:p w:rsidR="00B60939" w:rsidRPr="00192045" w:rsidRDefault="00B60939" w:rsidP="002F00B1">
      <w:pPr>
        <w:pStyle w:val="Heading2"/>
      </w:pPr>
      <w:bookmarkStart w:id="15" w:name="_Toc19712697"/>
      <w:r w:rsidRPr="00192045">
        <w:t>Economic analysis</w:t>
      </w:r>
      <w:bookmarkEnd w:id="15"/>
      <w:r w:rsidR="00491B3A" w:rsidRPr="00192045">
        <w:t xml:space="preserve"> </w:t>
      </w:r>
    </w:p>
    <w:p w:rsidR="00055882" w:rsidRPr="00192045" w:rsidRDefault="001128AC" w:rsidP="002F00B1">
      <w:pPr>
        <w:pStyle w:val="numberedbulletstyle"/>
      </w:pPr>
      <w:r w:rsidRPr="00192045">
        <w:t xml:space="preserve">The submission requested the </w:t>
      </w:r>
      <w:r w:rsidR="00F64689" w:rsidRPr="00192045">
        <w:t xml:space="preserve">current </w:t>
      </w:r>
      <w:proofErr w:type="spellStart"/>
      <w:r w:rsidRPr="00192045">
        <w:t>brivaracetam</w:t>
      </w:r>
      <w:proofErr w:type="spellEnd"/>
      <w:r w:rsidRPr="00192045">
        <w:t xml:space="preserve"> prices be maintained for the proposed extension to the PBS-listing. This implicitly assumed that the equi</w:t>
      </w:r>
      <w:r w:rsidRPr="00192045">
        <w:noBreakHyphen/>
        <w:t xml:space="preserve">effective doses for the population aged 16 years and older would apply to the paediatric population. The current equi-effective doses </w:t>
      </w:r>
      <w:r w:rsidR="00110C0C" w:rsidRPr="00192045">
        <w:t xml:space="preserve">in adults </w:t>
      </w:r>
      <w:r w:rsidRPr="00192045">
        <w:t xml:space="preserve">are 117.6 mg </w:t>
      </w:r>
      <w:proofErr w:type="spellStart"/>
      <w:r w:rsidRPr="00192045">
        <w:t>brivaracetam</w:t>
      </w:r>
      <w:proofErr w:type="spellEnd"/>
      <w:r w:rsidRPr="00192045">
        <w:t xml:space="preserve"> and 316.2 mg </w:t>
      </w:r>
      <w:proofErr w:type="spellStart"/>
      <w:r w:rsidRPr="00192045">
        <w:t>lacosamide</w:t>
      </w:r>
      <w:proofErr w:type="spellEnd"/>
      <w:r w:rsidR="002B1554" w:rsidRPr="00192045">
        <w:t xml:space="preserve"> (paragraph 6.16, </w:t>
      </w:r>
      <w:proofErr w:type="spellStart"/>
      <w:r w:rsidR="002B1554" w:rsidRPr="00192045">
        <w:t>brivaracetam</w:t>
      </w:r>
      <w:proofErr w:type="spellEnd"/>
      <w:r w:rsidR="002B1554" w:rsidRPr="00192045">
        <w:t xml:space="preserve"> PSD, November 2017 PBAC Meeting)</w:t>
      </w:r>
      <w:r w:rsidRPr="00192045">
        <w:t xml:space="preserve">. </w:t>
      </w:r>
    </w:p>
    <w:p w:rsidR="00055882" w:rsidRPr="00192045" w:rsidRDefault="00055882" w:rsidP="00E2012A">
      <w:pPr>
        <w:pStyle w:val="numberedbulletstyle"/>
      </w:pPr>
      <w:r w:rsidRPr="00192045">
        <w:t xml:space="preserve">A cost </w:t>
      </w:r>
      <w:r w:rsidR="001128AC" w:rsidRPr="00192045">
        <w:t xml:space="preserve">comparison of </w:t>
      </w:r>
      <w:proofErr w:type="spellStart"/>
      <w:r w:rsidR="001128AC" w:rsidRPr="00192045">
        <w:t>brivaracetam</w:t>
      </w:r>
      <w:proofErr w:type="spellEnd"/>
      <w:r w:rsidR="001128AC" w:rsidRPr="00192045">
        <w:t xml:space="preserve"> </w:t>
      </w:r>
      <w:r w:rsidRPr="00192045">
        <w:t xml:space="preserve">and </w:t>
      </w:r>
      <w:proofErr w:type="spellStart"/>
      <w:r w:rsidRPr="00192045">
        <w:t>lacosamide</w:t>
      </w:r>
      <w:proofErr w:type="spellEnd"/>
      <w:r w:rsidRPr="00192045">
        <w:t xml:space="preserve"> doses was performed during the evaluation to assess whether </w:t>
      </w:r>
      <w:proofErr w:type="spellStart"/>
      <w:r w:rsidRPr="00192045">
        <w:t>brivaracetam</w:t>
      </w:r>
      <w:proofErr w:type="spellEnd"/>
      <w:r w:rsidRPr="00192045">
        <w:t xml:space="preserve"> and </w:t>
      </w:r>
      <w:proofErr w:type="spellStart"/>
      <w:r w:rsidRPr="00192045">
        <w:t>lacosamide</w:t>
      </w:r>
      <w:proofErr w:type="spellEnd"/>
      <w:r w:rsidRPr="00192045">
        <w:t xml:space="preserve"> treatment at equivalent doses would result in similar costs at the AEMP price. For the purposes of the analysis equivalent doses were 4 mg/kg/day of </w:t>
      </w:r>
      <w:proofErr w:type="spellStart"/>
      <w:r w:rsidRPr="00192045">
        <w:t>brivaracetam</w:t>
      </w:r>
      <w:proofErr w:type="spellEnd"/>
      <w:r w:rsidRPr="00192045">
        <w:t xml:space="preserve"> and 8 mg/kg/day of </w:t>
      </w:r>
      <w:proofErr w:type="spellStart"/>
      <w:r w:rsidRPr="00192045">
        <w:t>lacosamide</w:t>
      </w:r>
      <w:proofErr w:type="spellEnd"/>
      <w:r w:rsidRPr="00192045">
        <w:t xml:space="preserve">. The </w:t>
      </w:r>
      <w:proofErr w:type="spellStart"/>
      <w:r w:rsidRPr="00192045">
        <w:t>brivaracetam</w:t>
      </w:r>
      <w:proofErr w:type="spellEnd"/>
      <w:r w:rsidRPr="00192045">
        <w:t xml:space="preserve"> dose was selected because it was the maximum of the effective dose range in the </w:t>
      </w:r>
      <w:proofErr w:type="spellStart"/>
      <w:r w:rsidRPr="00192045">
        <w:t>brivaracetam</w:t>
      </w:r>
      <w:proofErr w:type="spellEnd"/>
      <w:r w:rsidRPr="00192045">
        <w:t xml:space="preserve"> Product Information</w:t>
      </w:r>
      <w:r w:rsidR="00240B36" w:rsidRPr="00192045">
        <w:t xml:space="preserve"> despite the data from study N01266 suggest</w:t>
      </w:r>
      <w:r w:rsidR="00931A67">
        <w:t>ing</w:t>
      </w:r>
      <w:r w:rsidR="00240B36" w:rsidRPr="00192045">
        <w:t xml:space="preserve"> that a higher dose may be use</w:t>
      </w:r>
      <w:r w:rsidR="00EB1552" w:rsidRPr="00192045">
        <w:t>d</w:t>
      </w:r>
      <w:r w:rsidR="00240B36" w:rsidRPr="00192045">
        <w:t xml:space="preserve">. </w:t>
      </w:r>
      <w:r w:rsidRPr="00192045">
        <w:t xml:space="preserve">The </w:t>
      </w:r>
      <w:proofErr w:type="spellStart"/>
      <w:r w:rsidRPr="00192045">
        <w:t>lacosamide</w:t>
      </w:r>
      <w:proofErr w:type="spellEnd"/>
      <w:r w:rsidRPr="00192045">
        <w:t xml:space="preserve"> dose</w:t>
      </w:r>
      <w:r w:rsidR="001A7669" w:rsidRPr="00192045">
        <w:t xml:space="preserve"> used </w:t>
      </w:r>
      <w:r w:rsidR="0097402E" w:rsidRPr="00192045">
        <w:t>for</w:t>
      </w:r>
      <w:r w:rsidR="001A7669" w:rsidRPr="00192045">
        <w:t xml:space="preserve"> the </w:t>
      </w:r>
      <w:r w:rsidR="005A2612" w:rsidRPr="00192045">
        <w:lastRenderedPageBreak/>
        <w:t>cost comparison</w:t>
      </w:r>
      <w:r w:rsidR="001A7669" w:rsidRPr="00192045">
        <w:t xml:space="preserve"> was</w:t>
      </w:r>
      <w:r w:rsidRPr="00192045">
        <w:t xml:space="preserve"> the average of median maintenance doses from trial SP0969. The results of the analysis are presented </w:t>
      </w:r>
      <w:r w:rsidR="00C36BBC" w:rsidRPr="00192045">
        <w:t>in Table 8</w:t>
      </w:r>
      <w:r w:rsidRPr="00192045">
        <w:t>.</w:t>
      </w:r>
    </w:p>
    <w:p w:rsidR="00055882" w:rsidRPr="00192045" w:rsidRDefault="00055882" w:rsidP="00317112">
      <w:pPr>
        <w:keepNext/>
        <w:widowControl/>
        <w:rPr>
          <w:rStyle w:val="CommentReference"/>
        </w:rPr>
      </w:pPr>
      <w:r w:rsidRPr="00192045">
        <w:rPr>
          <w:rStyle w:val="CommentReference"/>
        </w:rPr>
        <w:t xml:space="preserve"> Table </w:t>
      </w:r>
      <w:r w:rsidR="00C36BBC" w:rsidRPr="00192045">
        <w:rPr>
          <w:rStyle w:val="CommentReference"/>
        </w:rPr>
        <w:t>8</w:t>
      </w:r>
      <w:r w:rsidRPr="00192045">
        <w:rPr>
          <w:rStyle w:val="CommentReference"/>
        </w:rPr>
        <w:t xml:space="preserve">: Cost comparison of </w:t>
      </w:r>
      <w:proofErr w:type="spellStart"/>
      <w:r w:rsidRPr="00192045">
        <w:rPr>
          <w:rStyle w:val="CommentReference"/>
        </w:rPr>
        <w:t>brivaracetam</w:t>
      </w:r>
      <w:proofErr w:type="spellEnd"/>
      <w:r w:rsidRPr="00192045">
        <w:rPr>
          <w:rStyle w:val="CommentReference"/>
        </w:rPr>
        <w:t xml:space="preserve"> and </w:t>
      </w:r>
      <w:proofErr w:type="spellStart"/>
      <w:r w:rsidRPr="00192045">
        <w:rPr>
          <w:rStyle w:val="CommentReference"/>
        </w:rPr>
        <w:t>lacosamide</w:t>
      </w:r>
      <w:proofErr w:type="spellEnd"/>
      <w:r w:rsidRPr="00192045">
        <w:rPr>
          <w:rStyle w:val="CommentReferenc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410"/>
        <w:gridCol w:w="2563"/>
      </w:tblGrid>
      <w:tr w:rsidR="00055882" w:rsidRPr="00192045" w:rsidTr="007A66CE">
        <w:trPr>
          <w:trHeight w:val="181"/>
        </w:trPr>
        <w:tc>
          <w:tcPr>
            <w:tcW w:w="3964" w:type="dxa"/>
            <w:tcBorders>
              <w:top w:val="single" w:sz="4" w:space="0" w:color="auto"/>
              <w:left w:val="single" w:sz="4" w:space="0" w:color="auto"/>
              <w:bottom w:val="single" w:sz="4" w:space="0" w:color="auto"/>
              <w:right w:val="single" w:sz="4" w:space="0" w:color="auto"/>
            </w:tcBorders>
            <w:hideMark/>
          </w:tcPr>
          <w:p w:rsidR="00055882" w:rsidRPr="00192045" w:rsidRDefault="00055882" w:rsidP="00317112">
            <w:pPr>
              <w:pStyle w:val="Tabletext"/>
              <w:keepNext/>
            </w:pPr>
            <w:r w:rsidRPr="00192045">
              <w:rPr>
                <w:b/>
              </w:rPr>
              <w:t>Component</w:t>
            </w:r>
          </w:p>
        </w:tc>
        <w:tc>
          <w:tcPr>
            <w:tcW w:w="2410" w:type="dxa"/>
            <w:tcBorders>
              <w:top w:val="single" w:sz="4" w:space="0" w:color="auto"/>
              <w:left w:val="single" w:sz="4" w:space="0" w:color="auto"/>
              <w:bottom w:val="single" w:sz="4" w:space="0" w:color="auto"/>
              <w:right w:val="single" w:sz="4" w:space="0" w:color="auto"/>
            </w:tcBorders>
          </w:tcPr>
          <w:p w:rsidR="00055882" w:rsidRPr="00192045" w:rsidRDefault="00055882" w:rsidP="00317112">
            <w:pPr>
              <w:pStyle w:val="Tabletext"/>
              <w:keepNext/>
              <w:jc w:val="center"/>
              <w:rPr>
                <w:b/>
              </w:rPr>
            </w:pPr>
            <w:proofErr w:type="spellStart"/>
            <w:r w:rsidRPr="00192045">
              <w:rPr>
                <w:b/>
              </w:rPr>
              <w:t>Brivaracetam</w:t>
            </w:r>
            <w:proofErr w:type="spellEnd"/>
          </w:p>
        </w:tc>
        <w:tc>
          <w:tcPr>
            <w:tcW w:w="2563" w:type="dxa"/>
            <w:tcBorders>
              <w:top w:val="single" w:sz="4" w:space="0" w:color="auto"/>
              <w:left w:val="single" w:sz="4" w:space="0" w:color="auto"/>
              <w:bottom w:val="single" w:sz="4" w:space="0" w:color="auto"/>
              <w:right w:val="single" w:sz="4" w:space="0" w:color="auto"/>
            </w:tcBorders>
            <w:hideMark/>
          </w:tcPr>
          <w:p w:rsidR="00055882" w:rsidRPr="00192045" w:rsidRDefault="00055882" w:rsidP="00317112">
            <w:pPr>
              <w:pStyle w:val="Tabletext"/>
              <w:keepNext/>
              <w:jc w:val="center"/>
              <w:rPr>
                <w:b/>
              </w:rPr>
            </w:pPr>
            <w:proofErr w:type="spellStart"/>
            <w:r w:rsidRPr="00192045">
              <w:rPr>
                <w:b/>
              </w:rPr>
              <w:t>Lacosamide</w:t>
            </w:r>
            <w:proofErr w:type="spellEnd"/>
          </w:p>
        </w:tc>
      </w:tr>
      <w:tr w:rsidR="00055882" w:rsidRPr="00192045" w:rsidTr="007A66CE">
        <w:trPr>
          <w:trHeight w:val="241"/>
        </w:trPr>
        <w:tc>
          <w:tcPr>
            <w:tcW w:w="3964" w:type="dxa"/>
            <w:tcBorders>
              <w:top w:val="single" w:sz="4" w:space="0" w:color="auto"/>
              <w:left w:val="single" w:sz="4" w:space="0" w:color="auto"/>
              <w:bottom w:val="single" w:sz="4" w:space="0" w:color="auto"/>
              <w:right w:val="single" w:sz="4" w:space="0" w:color="auto"/>
            </w:tcBorders>
          </w:tcPr>
          <w:p w:rsidR="00055882" w:rsidRPr="00192045" w:rsidRDefault="00055882" w:rsidP="00317112">
            <w:pPr>
              <w:pStyle w:val="Tabletext"/>
              <w:keepNext/>
            </w:pPr>
            <w:r w:rsidRPr="00192045">
              <w:t>Mean dose used in paediatric clinical evidence</w:t>
            </w:r>
          </w:p>
        </w:tc>
        <w:tc>
          <w:tcPr>
            <w:tcW w:w="2410" w:type="dxa"/>
            <w:tcBorders>
              <w:top w:val="single" w:sz="4" w:space="0" w:color="auto"/>
              <w:left w:val="single" w:sz="4" w:space="0" w:color="auto"/>
              <w:bottom w:val="single" w:sz="4" w:space="0" w:color="auto"/>
              <w:right w:val="single" w:sz="4" w:space="0" w:color="auto"/>
            </w:tcBorders>
          </w:tcPr>
          <w:p w:rsidR="00055882" w:rsidRPr="00192045" w:rsidRDefault="002B62CA" w:rsidP="00317112">
            <w:pPr>
              <w:pStyle w:val="Tabletext"/>
              <w:keepNext/>
              <w:jc w:val="center"/>
              <w:rPr>
                <w:vertAlign w:val="superscript"/>
              </w:rPr>
            </w:pPr>
            <w:r w:rsidRPr="00192045">
              <w:t>4</w:t>
            </w:r>
            <w:r w:rsidR="00055882" w:rsidRPr="00192045">
              <w:t xml:space="preserve"> mg/kg/day </w:t>
            </w:r>
            <w:r w:rsidR="00055882" w:rsidRPr="00192045">
              <w:rPr>
                <w:vertAlign w:val="superscript"/>
              </w:rPr>
              <w:t>a</w:t>
            </w:r>
          </w:p>
        </w:tc>
        <w:tc>
          <w:tcPr>
            <w:tcW w:w="2563" w:type="dxa"/>
            <w:tcBorders>
              <w:top w:val="single" w:sz="4" w:space="0" w:color="auto"/>
              <w:left w:val="single" w:sz="4" w:space="0" w:color="auto"/>
              <w:bottom w:val="single" w:sz="4" w:space="0" w:color="auto"/>
              <w:right w:val="single" w:sz="4" w:space="0" w:color="auto"/>
            </w:tcBorders>
          </w:tcPr>
          <w:p w:rsidR="00055882" w:rsidRPr="00192045" w:rsidRDefault="00055882" w:rsidP="00317112">
            <w:pPr>
              <w:pStyle w:val="Tabletext"/>
              <w:keepNext/>
              <w:jc w:val="center"/>
              <w:rPr>
                <w:vertAlign w:val="superscript"/>
              </w:rPr>
            </w:pPr>
            <w:r w:rsidRPr="00192045">
              <w:t xml:space="preserve">8.0 mg/kg/day </w:t>
            </w:r>
            <w:r w:rsidRPr="00192045">
              <w:rPr>
                <w:vertAlign w:val="superscript"/>
              </w:rPr>
              <w:t>b</w:t>
            </w:r>
          </w:p>
        </w:tc>
      </w:tr>
      <w:tr w:rsidR="002B62CA" w:rsidRPr="00192045" w:rsidTr="007A66CE">
        <w:trPr>
          <w:trHeight w:val="192"/>
        </w:trPr>
        <w:tc>
          <w:tcPr>
            <w:tcW w:w="3964"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pPr>
            <w:r w:rsidRPr="00192045">
              <w:t xml:space="preserve">Mean daily dose </w:t>
            </w:r>
            <w:r w:rsidRPr="00192045">
              <w:rPr>
                <w:vertAlign w:val="superscript"/>
              </w:rPr>
              <w:t>c</w:t>
            </w:r>
            <w:r w:rsidRPr="00192045">
              <w:t xml:space="preserve"> </w:t>
            </w:r>
          </w:p>
        </w:tc>
        <w:tc>
          <w:tcPr>
            <w:tcW w:w="2410"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pPr>
            <w:r w:rsidRPr="00192045">
              <w:t>124 mg</w:t>
            </w:r>
          </w:p>
        </w:tc>
        <w:tc>
          <w:tcPr>
            <w:tcW w:w="2563"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pPr>
            <w:r w:rsidRPr="00192045">
              <w:t>248 mg</w:t>
            </w:r>
          </w:p>
        </w:tc>
      </w:tr>
      <w:tr w:rsidR="002B62CA" w:rsidRPr="00192045" w:rsidTr="007A66CE">
        <w:trPr>
          <w:trHeight w:val="259"/>
        </w:trPr>
        <w:tc>
          <w:tcPr>
            <w:tcW w:w="3964"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pPr>
            <w:r w:rsidRPr="00192045">
              <w:t>Cost per daily dose at AEMP (tablets)</w:t>
            </w:r>
          </w:p>
        </w:tc>
        <w:tc>
          <w:tcPr>
            <w:tcW w:w="2410"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rPr>
                <w:vertAlign w:val="superscript"/>
              </w:rPr>
            </w:pPr>
            <w:r w:rsidRPr="00192045">
              <w:t xml:space="preserve">$6.15 </w:t>
            </w:r>
            <w:r w:rsidRPr="00192045">
              <w:rPr>
                <w:vertAlign w:val="superscript"/>
              </w:rPr>
              <w:t>d</w:t>
            </w:r>
          </w:p>
        </w:tc>
        <w:tc>
          <w:tcPr>
            <w:tcW w:w="2563"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rPr>
                <w:vertAlign w:val="superscript"/>
              </w:rPr>
            </w:pPr>
            <w:r w:rsidRPr="00192045">
              <w:t xml:space="preserve">$6.48 </w:t>
            </w:r>
            <w:r w:rsidRPr="00192045">
              <w:rPr>
                <w:vertAlign w:val="superscript"/>
              </w:rPr>
              <w:t>e</w:t>
            </w:r>
          </w:p>
        </w:tc>
      </w:tr>
      <w:tr w:rsidR="002B62CA" w:rsidRPr="00192045" w:rsidTr="007A66CE">
        <w:trPr>
          <w:trHeight w:val="259"/>
        </w:trPr>
        <w:tc>
          <w:tcPr>
            <w:tcW w:w="3964"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pPr>
            <w:r w:rsidRPr="00192045">
              <w:t>Cost per daily dose at AEMP (oral liquid)</w:t>
            </w:r>
          </w:p>
        </w:tc>
        <w:tc>
          <w:tcPr>
            <w:tcW w:w="2410"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rPr>
                <w:vertAlign w:val="superscript"/>
              </w:rPr>
            </w:pPr>
            <w:r w:rsidRPr="00192045">
              <w:t xml:space="preserve">$7.17 </w:t>
            </w:r>
            <w:r w:rsidRPr="00192045">
              <w:rPr>
                <w:vertAlign w:val="superscript"/>
              </w:rPr>
              <w:t>d</w:t>
            </w:r>
          </w:p>
        </w:tc>
        <w:tc>
          <w:tcPr>
            <w:tcW w:w="2563"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rPr>
                <w:vertAlign w:val="superscript"/>
              </w:rPr>
            </w:pPr>
            <w:r w:rsidRPr="00192045">
              <w:t xml:space="preserve">$7.12 </w:t>
            </w:r>
            <w:r w:rsidRPr="00192045">
              <w:rPr>
                <w:vertAlign w:val="superscript"/>
              </w:rPr>
              <w:t>e</w:t>
            </w:r>
          </w:p>
        </w:tc>
      </w:tr>
      <w:tr w:rsidR="002B62CA" w:rsidRPr="00192045" w:rsidTr="007A66CE">
        <w:trPr>
          <w:trHeight w:val="259"/>
        </w:trPr>
        <w:tc>
          <w:tcPr>
            <w:tcW w:w="3964"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pPr>
            <w:r w:rsidRPr="00192045">
              <w:t>Difference in cost (tablets)</w:t>
            </w:r>
          </w:p>
        </w:tc>
        <w:tc>
          <w:tcPr>
            <w:tcW w:w="4973" w:type="dxa"/>
            <w:gridSpan w:val="2"/>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pPr>
            <w:r w:rsidRPr="00192045">
              <w:t>-$0.33</w:t>
            </w:r>
          </w:p>
        </w:tc>
      </w:tr>
      <w:tr w:rsidR="002B62CA" w:rsidRPr="00192045" w:rsidTr="007A66CE">
        <w:trPr>
          <w:trHeight w:val="259"/>
        </w:trPr>
        <w:tc>
          <w:tcPr>
            <w:tcW w:w="3964" w:type="dxa"/>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pPr>
            <w:r w:rsidRPr="00192045">
              <w:t>Difference in cost (oral liquid)</w:t>
            </w:r>
          </w:p>
        </w:tc>
        <w:tc>
          <w:tcPr>
            <w:tcW w:w="4973" w:type="dxa"/>
            <w:gridSpan w:val="2"/>
            <w:tcBorders>
              <w:top w:val="single" w:sz="4" w:space="0" w:color="auto"/>
              <w:left w:val="single" w:sz="4" w:space="0" w:color="auto"/>
              <w:bottom w:val="single" w:sz="4" w:space="0" w:color="auto"/>
              <w:right w:val="single" w:sz="4" w:space="0" w:color="auto"/>
            </w:tcBorders>
          </w:tcPr>
          <w:p w:rsidR="002B62CA" w:rsidRPr="00192045" w:rsidRDefault="002B62CA" w:rsidP="00317112">
            <w:pPr>
              <w:pStyle w:val="Tabletext"/>
              <w:keepNext/>
              <w:jc w:val="center"/>
            </w:pPr>
            <w:r w:rsidRPr="00192045">
              <w:t>$0.05</w:t>
            </w:r>
          </w:p>
        </w:tc>
      </w:tr>
    </w:tbl>
    <w:p w:rsidR="00055882" w:rsidRPr="00192045" w:rsidRDefault="00055882" w:rsidP="00317112">
      <w:pPr>
        <w:pStyle w:val="TableFooter"/>
        <w:keepNext/>
        <w:widowControl/>
      </w:pPr>
      <w:r w:rsidRPr="00192045">
        <w:t>Source: Constructed during the evaluation</w:t>
      </w:r>
    </w:p>
    <w:p w:rsidR="00055882" w:rsidRPr="00192045" w:rsidRDefault="00055882" w:rsidP="00317112">
      <w:pPr>
        <w:pStyle w:val="TableFooter"/>
        <w:keepNext/>
        <w:widowControl/>
      </w:pPr>
      <w:r w:rsidRPr="00192045">
        <w:t xml:space="preserve">AEMP = </w:t>
      </w:r>
      <w:r w:rsidR="00240B36" w:rsidRPr="00192045">
        <w:t>approved ex-manufacturer price</w:t>
      </w:r>
    </w:p>
    <w:p w:rsidR="00055882" w:rsidRPr="00192045" w:rsidRDefault="00055882" w:rsidP="00317112">
      <w:pPr>
        <w:pStyle w:val="TableFooter"/>
        <w:keepNext/>
        <w:widowControl/>
      </w:pPr>
      <w:proofErr w:type="gramStart"/>
      <w:r w:rsidRPr="00192045">
        <w:rPr>
          <w:vertAlign w:val="superscript"/>
        </w:rPr>
        <w:t>a</w:t>
      </w:r>
      <w:proofErr w:type="gramEnd"/>
      <w:r w:rsidRPr="00192045">
        <w:t xml:space="preserve"> </w:t>
      </w:r>
      <w:r w:rsidR="002B62CA" w:rsidRPr="00192045">
        <w:t xml:space="preserve">Based on study N01266 modal dose and </w:t>
      </w:r>
      <w:proofErr w:type="spellStart"/>
      <w:r w:rsidR="002B62CA" w:rsidRPr="00192045">
        <w:t>brivaracetam</w:t>
      </w:r>
      <w:proofErr w:type="spellEnd"/>
      <w:r w:rsidR="002B62CA" w:rsidRPr="00192045">
        <w:t xml:space="preserve"> dosing in the Product Information</w:t>
      </w:r>
    </w:p>
    <w:p w:rsidR="00055882" w:rsidRPr="00192045" w:rsidRDefault="00055882" w:rsidP="00317112">
      <w:pPr>
        <w:pStyle w:val="TableFooter"/>
        <w:keepNext/>
        <w:widowControl/>
      </w:pPr>
      <w:proofErr w:type="gramStart"/>
      <w:r w:rsidRPr="00192045">
        <w:rPr>
          <w:vertAlign w:val="superscript"/>
        </w:rPr>
        <w:t>b</w:t>
      </w:r>
      <w:proofErr w:type="gramEnd"/>
      <w:r w:rsidRPr="00192045">
        <w:t xml:space="preserve"> Average of median maintenance doses</w:t>
      </w:r>
    </w:p>
    <w:p w:rsidR="00055882" w:rsidRPr="00192045" w:rsidRDefault="00055882" w:rsidP="00317112">
      <w:pPr>
        <w:pStyle w:val="TableFooter"/>
        <w:keepNext/>
        <w:widowControl/>
      </w:pPr>
      <w:proofErr w:type="gramStart"/>
      <w:r w:rsidRPr="00192045">
        <w:rPr>
          <w:vertAlign w:val="superscript"/>
        </w:rPr>
        <w:t>c</w:t>
      </w:r>
      <w:proofErr w:type="gramEnd"/>
      <w:r w:rsidRPr="00192045">
        <w:rPr>
          <w:vertAlign w:val="superscript"/>
        </w:rPr>
        <w:t xml:space="preserve"> </w:t>
      </w:r>
      <w:r w:rsidRPr="00192045">
        <w:t>Based on a weight of</w:t>
      </w:r>
      <w:r w:rsidR="002B62CA" w:rsidRPr="00192045">
        <w:t xml:space="preserve"> 31 kg as per weight of patients weighing less than 50 kg (and </w:t>
      </w:r>
      <w:r w:rsidR="00240B36" w:rsidRPr="00192045">
        <w:t>using</w:t>
      </w:r>
      <w:r w:rsidR="002B62CA" w:rsidRPr="00192045">
        <w:t xml:space="preserve"> weight-based dosing) in the financial estimates.</w:t>
      </w:r>
    </w:p>
    <w:p w:rsidR="00055882" w:rsidRPr="00192045" w:rsidRDefault="00055882" w:rsidP="00317112">
      <w:pPr>
        <w:pStyle w:val="TableFooter"/>
        <w:keepNext/>
        <w:widowControl/>
      </w:pPr>
      <w:proofErr w:type="gramStart"/>
      <w:r w:rsidRPr="00192045">
        <w:rPr>
          <w:vertAlign w:val="superscript"/>
        </w:rPr>
        <w:t>d</w:t>
      </w:r>
      <w:proofErr w:type="gramEnd"/>
      <w:r w:rsidRPr="00192045">
        <w:rPr>
          <w:vertAlign w:val="superscript"/>
        </w:rPr>
        <w:t xml:space="preserve"> </w:t>
      </w:r>
      <w:r w:rsidRPr="00192045">
        <w:t xml:space="preserve">Based on </w:t>
      </w:r>
      <w:proofErr w:type="spellStart"/>
      <w:r w:rsidRPr="00192045">
        <w:t>brivaracetam</w:t>
      </w:r>
      <w:proofErr w:type="spellEnd"/>
      <w:r w:rsidRPr="00192045">
        <w:t xml:space="preserve"> tablet AEMP of $0.05/mg (50 mg tablets) or $0.06/mg for oral solution. </w:t>
      </w:r>
      <w:proofErr w:type="spellStart"/>
      <w:r w:rsidRPr="00192045">
        <w:t>Brivaracetam</w:t>
      </w:r>
      <w:proofErr w:type="spellEnd"/>
      <w:r w:rsidRPr="00192045">
        <w:t xml:space="preserve"> AEMP for 25 mg tablets is $0.10/mg and $0.02/mg for 100 mg tablets. </w:t>
      </w:r>
    </w:p>
    <w:p w:rsidR="00055882" w:rsidRPr="00192045" w:rsidRDefault="00055882" w:rsidP="00500B84">
      <w:pPr>
        <w:pStyle w:val="TableFooter"/>
        <w:widowControl/>
      </w:pPr>
      <w:proofErr w:type="gramStart"/>
      <w:r w:rsidRPr="00192045">
        <w:rPr>
          <w:vertAlign w:val="superscript"/>
        </w:rPr>
        <w:t>e</w:t>
      </w:r>
      <w:proofErr w:type="gramEnd"/>
      <w:r w:rsidRPr="00192045">
        <w:rPr>
          <w:vertAlign w:val="superscript"/>
        </w:rPr>
        <w:t xml:space="preserve"> </w:t>
      </w:r>
      <w:r w:rsidRPr="00192045">
        <w:t xml:space="preserve">Based on </w:t>
      </w:r>
      <w:proofErr w:type="spellStart"/>
      <w:r w:rsidRPr="00192045">
        <w:t>lacosamide</w:t>
      </w:r>
      <w:proofErr w:type="spellEnd"/>
      <w:r w:rsidRPr="00192045">
        <w:t xml:space="preserve"> tablet AEMP of $0.02611/mg and oral solution AEMP of $0.028725/mg. </w:t>
      </w:r>
    </w:p>
    <w:p w:rsidR="00055882" w:rsidRPr="00192045" w:rsidRDefault="00055882" w:rsidP="00500B84">
      <w:pPr>
        <w:widowControl/>
      </w:pPr>
    </w:p>
    <w:p w:rsidR="003129CC" w:rsidRPr="00192045" w:rsidRDefault="003129CC" w:rsidP="00E2012A">
      <w:pPr>
        <w:pStyle w:val="numberedbulletstyle"/>
      </w:pPr>
      <w:r w:rsidRPr="00192045">
        <w:t xml:space="preserve">The analysis found that the daily cost of </w:t>
      </w:r>
      <w:proofErr w:type="spellStart"/>
      <w:r w:rsidRPr="00192045">
        <w:t>brivaracetam</w:t>
      </w:r>
      <w:proofErr w:type="spellEnd"/>
      <w:r w:rsidRPr="00192045">
        <w:t xml:space="preserve"> and </w:t>
      </w:r>
      <w:proofErr w:type="spellStart"/>
      <w:r w:rsidRPr="00192045">
        <w:t>lacosamide</w:t>
      </w:r>
      <w:proofErr w:type="spellEnd"/>
      <w:r w:rsidRPr="00192045">
        <w:t xml:space="preserve"> were similar for the assumed equivalent doses of 4 mg/kg/day of </w:t>
      </w:r>
      <w:proofErr w:type="spellStart"/>
      <w:r w:rsidRPr="00192045">
        <w:t>brivaracetam</w:t>
      </w:r>
      <w:proofErr w:type="spellEnd"/>
      <w:r w:rsidRPr="00192045">
        <w:t xml:space="preserve"> and 8</w:t>
      </w:r>
      <w:r w:rsidR="00C2484F" w:rsidRPr="00192045">
        <w:t> </w:t>
      </w:r>
      <w:r w:rsidRPr="00192045">
        <w:t>mg/kg</w:t>
      </w:r>
      <w:r w:rsidR="00EB374D" w:rsidRPr="00192045">
        <w:t>/day</w:t>
      </w:r>
      <w:r w:rsidRPr="00192045">
        <w:t xml:space="preserve"> </w:t>
      </w:r>
      <w:r w:rsidR="004C0BB5" w:rsidRPr="00192045">
        <w:t xml:space="preserve">for </w:t>
      </w:r>
      <w:proofErr w:type="spellStart"/>
      <w:r w:rsidRPr="00192045">
        <w:t>lacosamide</w:t>
      </w:r>
      <w:proofErr w:type="spellEnd"/>
      <w:r w:rsidRPr="00192045">
        <w:t>. However, the limitations of this analysis included:</w:t>
      </w:r>
    </w:p>
    <w:p w:rsidR="003129CC" w:rsidRPr="00192045" w:rsidRDefault="003129CC" w:rsidP="00500B84">
      <w:pPr>
        <w:pStyle w:val="ListParagraph"/>
        <w:widowControl/>
        <w:numPr>
          <w:ilvl w:val="0"/>
          <w:numId w:val="30"/>
        </w:numPr>
        <w:ind w:left="1134"/>
      </w:pPr>
      <w:r w:rsidRPr="00192045">
        <w:t xml:space="preserve">the doses not being established as equi-effective because study N01266 did not report effectiveness to enable comparison; </w:t>
      </w:r>
    </w:p>
    <w:p w:rsidR="003129CC" w:rsidRPr="00192045" w:rsidRDefault="003129CC" w:rsidP="00500B84">
      <w:pPr>
        <w:pStyle w:val="ListParagraph"/>
        <w:widowControl/>
        <w:numPr>
          <w:ilvl w:val="0"/>
          <w:numId w:val="30"/>
        </w:numPr>
        <w:ind w:left="1134"/>
      </w:pPr>
      <w:r w:rsidRPr="00192045">
        <w:t xml:space="preserve">uncertainty regarding the dose of </w:t>
      </w:r>
      <w:proofErr w:type="spellStart"/>
      <w:r w:rsidRPr="00192045">
        <w:t>brivaracetam</w:t>
      </w:r>
      <w:proofErr w:type="spellEnd"/>
      <w:r w:rsidRPr="00192045">
        <w:t xml:space="preserve"> because:</w:t>
      </w:r>
    </w:p>
    <w:p w:rsidR="003129CC" w:rsidRPr="00192045" w:rsidRDefault="003129CC" w:rsidP="00500B84">
      <w:pPr>
        <w:pStyle w:val="ListParagraph"/>
        <w:widowControl/>
        <w:numPr>
          <w:ilvl w:val="2"/>
          <w:numId w:val="32"/>
        </w:numPr>
        <w:ind w:left="1418" w:hanging="284"/>
      </w:pPr>
      <w:r w:rsidRPr="00192045">
        <w:t xml:space="preserve">the mean dose of </w:t>
      </w:r>
      <w:proofErr w:type="spellStart"/>
      <w:r w:rsidRPr="00192045">
        <w:t>brivaracetam</w:t>
      </w:r>
      <w:proofErr w:type="spellEnd"/>
      <w:r w:rsidRPr="00192045">
        <w:t xml:space="preserve"> was not reported in study N01266, and </w:t>
      </w:r>
    </w:p>
    <w:p w:rsidR="003129CC" w:rsidRPr="00192045" w:rsidRDefault="003129CC" w:rsidP="00500B84">
      <w:pPr>
        <w:pStyle w:val="ListParagraph"/>
        <w:widowControl/>
        <w:numPr>
          <w:ilvl w:val="2"/>
          <w:numId w:val="32"/>
        </w:numPr>
        <w:ind w:left="1418" w:hanging="284"/>
      </w:pPr>
      <w:proofErr w:type="gramStart"/>
      <w:r w:rsidRPr="00192045">
        <w:t>doses</w:t>
      </w:r>
      <w:proofErr w:type="gramEnd"/>
      <w:r w:rsidRPr="00192045">
        <w:t xml:space="preserve"> up to 5 mg/kg/day (higher than the range in the Product Information) could be used. These higher doses may also be used in clinical practice; and</w:t>
      </w:r>
    </w:p>
    <w:p w:rsidR="003129CC" w:rsidRPr="00192045" w:rsidRDefault="003129CC" w:rsidP="00500B84">
      <w:pPr>
        <w:pStyle w:val="ListParagraph"/>
        <w:widowControl/>
        <w:numPr>
          <w:ilvl w:val="0"/>
          <w:numId w:val="30"/>
        </w:numPr>
        <w:ind w:left="1134"/>
      </w:pPr>
      <w:r w:rsidRPr="00192045">
        <w:t xml:space="preserve">SP0969 had a strict dosing protocol that required patients to use specified target </w:t>
      </w:r>
      <w:proofErr w:type="spellStart"/>
      <w:r w:rsidRPr="00192045">
        <w:t>lacosamide</w:t>
      </w:r>
      <w:proofErr w:type="spellEnd"/>
      <w:r w:rsidRPr="00192045">
        <w:t xml:space="preserve"> doses. This may have resulted in less dose variability than study N01266. </w:t>
      </w:r>
    </w:p>
    <w:p w:rsidR="003129CC" w:rsidRPr="00192045" w:rsidRDefault="003129CC" w:rsidP="00516AAC">
      <w:pPr>
        <w:pStyle w:val="numberedbulletstyle"/>
      </w:pPr>
      <w:r w:rsidRPr="00192045">
        <w:t>However, this would not fully apply to paediatric patients because:</w:t>
      </w:r>
    </w:p>
    <w:p w:rsidR="003129CC" w:rsidRPr="00192045" w:rsidRDefault="004C0BB5" w:rsidP="004B54DB">
      <w:pPr>
        <w:pStyle w:val="ListParagraph"/>
        <w:widowControl/>
        <w:numPr>
          <w:ilvl w:val="0"/>
          <w:numId w:val="30"/>
        </w:numPr>
        <w:ind w:left="1134"/>
      </w:pPr>
      <w:r w:rsidRPr="00192045">
        <w:t>a</w:t>
      </w:r>
      <w:r w:rsidR="0097402E" w:rsidRPr="00192045">
        <w:t xml:space="preserve"> large proportion of paediatric patients would be expected to use the oral liquid</w:t>
      </w:r>
      <w:r w:rsidRPr="00192045">
        <w:t>,</w:t>
      </w:r>
      <w:r w:rsidR="0097402E" w:rsidRPr="00192045">
        <w:t xml:space="preserve"> </w:t>
      </w:r>
      <w:r w:rsidRPr="00192045">
        <w:t>which</w:t>
      </w:r>
      <w:r w:rsidR="00BD7A5D" w:rsidRPr="00192045">
        <w:t xml:space="preserve"> </w:t>
      </w:r>
      <w:r w:rsidR="005A2996" w:rsidRPr="00192045">
        <w:t>would incur a proportionally</w:t>
      </w:r>
      <w:r w:rsidR="00BD7A5D" w:rsidRPr="00192045">
        <w:t xml:space="preserve"> larger cost</w:t>
      </w:r>
      <w:r w:rsidR="003129CC" w:rsidRPr="00192045">
        <w:t>; and</w:t>
      </w:r>
      <w:r w:rsidR="00167666">
        <w:t xml:space="preserve"> </w:t>
      </w:r>
    </w:p>
    <w:p w:rsidR="004B54DB" w:rsidRPr="00192045" w:rsidRDefault="003129CC" w:rsidP="004B54DB">
      <w:pPr>
        <w:pStyle w:val="ListParagraph"/>
        <w:widowControl/>
        <w:numPr>
          <w:ilvl w:val="0"/>
          <w:numId w:val="30"/>
        </w:numPr>
        <w:ind w:left="1134"/>
      </w:pPr>
      <w:proofErr w:type="gramStart"/>
      <w:r w:rsidRPr="00192045">
        <w:t>paediatric</w:t>
      </w:r>
      <w:proofErr w:type="gramEnd"/>
      <w:r w:rsidRPr="00192045">
        <w:t xml:space="preserve"> patients using tablets would use lower strength tablets resulting a proportionally higher </w:t>
      </w:r>
      <w:proofErr w:type="spellStart"/>
      <w:r w:rsidRPr="00192045">
        <w:t>brivaracetam</w:t>
      </w:r>
      <w:proofErr w:type="spellEnd"/>
      <w:r w:rsidRPr="00192045">
        <w:t xml:space="preserve"> </w:t>
      </w:r>
      <w:r w:rsidR="00EB374D" w:rsidRPr="00192045">
        <w:t>cost</w:t>
      </w:r>
      <w:r w:rsidR="00BD7A5D" w:rsidRPr="00192045">
        <w:t>.</w:t>
      </w:r>
    </w:p>
    <w:p w:rsidR="008923F7" w:rsidRPr="00192045" w:rsidRDefault="004B54DB" w:rsidP="008923F7">
      <w:pPr>
        <w:pStyle w:val="numberedbulletstyle"/>
      </w:pPr>
      <w:r w:rsidRPr="00192045">
        <w:t xml:space="preserve">Currently, </w:t>
      </w:r>
      <w:proofErr w:type="spellStart"/>
      <w:r w:rsidRPr="00192045">
        <w:t>brivaracetam</w:t>
      </w:r>
      <w:proofErr w:type="spellEnd"/>
      <w:r w:rsidRPr="00192045">
        <w:t xml:space="preserve"> tablets have a flat pricing structure. At its November 2017 consideration of </w:t>
      </w:r>
      <w:proofErr w:type="spellStart"/>
      <w:r w:rsidRPr="00192045">
        <w:t>brivaracetam</w:t>
      </w:r>
      <w:proofErr w:type="spellEnd"/>
      <w:r w:rsidRPr="00192045">
        <w:t xml:space="preserve"> for adult patients, ‘The PBAC noted that the flat pricing structure across dose strengths for </w:t>
      </w:r>
      <w:proofErr w:type="spellStart"/>
      <w:r w:rsidRPr="00192045">
        <w:t>brivaracetam</w:t>
      </w:r>
      <w:proofErr w:type="spellEnd"/>
      <w:r w:rsidRPr="00192045">
        <w:t xml:space="preserve"> tablets ameliorated the economic uncertainty regarding the mean daily dose of </w:t>
      </w:r>
      <w:proofErr w:type="spellStart"/>
      <w:r w:rsidRPr="00192045">
        <w:t>brivaracetam</w:t>
      </w:r>
      <w:proofErr w:type="spellEnd"/>
      <w:r w:rsidRPr="00192045">
        <w:t xml:space="preserve">; however, uncertainty for </w:t>
      </w:r>
      <w:r w:rsidRPr="00192045">
        <w:lastRenderedPageBreak/>
        <w:t xml:space="preserve">the equi-effective dose of </w:t>
      </w:r>
      <w:proofErr w:type="spellStart"/>
      <w:r w:rsidRPr="00192045">
        <w:t>lacosamide</w:t>
      </w:r>
      <w:proofErr w:type="spellEnd"/>
      <w:r w:rsidRPr="00192045">
        <w:t xml:space="preserve"> remained.’ (</w:t>
      </w:r>
      <w:proofErr w:type="gramStart"/>
      <w:r w:rsidRPr="00192045">
        <w:t>paragraph</w:t>
      </w:r>
      <w:proofErr w:type="gramEnd"/>
      <w:r w:rsidRPr="00192045">
        <w:t xml:space="preserve"> 7.8, </w:t>
      </w:r>
      <w:proofErr w:type="spellStart"/>
      <w:r w:rsidRPr="00192045">
        <w:t>brivaracetam</w:t>
      </w:r>
      <w:proofErr w:type="spellEnd"/>
      <w:r w:rsidRPr="00192045">
        <w:t xml:space="preserve"> PSD, November 2017 PBAC Meeting). </w:t>
      </w:r>
    </w:p>
    <w:p w:rsidR="00C25D9C" w:rsidRPr="00192045" w:rsidRDefault="00C25D9C" w:rsidP="00500B84">
      <w:pPr>
        <w:pStyle w:val="Heading2"/>
        <w:widowControl/>
      </w:pPr>
      <w:bookmarkStart w:id="16" w:name="_Toc19712698"/>
      <w:bookmarkStart w:id="17" w:name="_Hlk18916026"/>
      <w:r w:rsidRPr="00192045">
        <w:t>Drug cost/patient/</w:t>
      </w:r>
      <w:r w:rsidR="001128AC" w:rsidRPr="00192045">
        <w:t>year</w:t>
      </w:r>
      <w:r w:rsidR="007161F7" w:rsidRPr="00192045">
        <w:t>: $1,425</w:t>
      </w:r>
      <w:bookmarkEnd w:id="16"/>
    </w:p>
    <w:p w:rsidR="001128AC" w:rsidRPr="00192045" w:rsidRDefault="00C2484F" w:rsidP="00E2012A">
      <w:pPr>
        <w:pStyle w:val="numberedbulletstyle"/>
      </w:pPr>
      <w:r w:rsidRPr="00192045">
        <w:t>The drug cost per patient</w:t>
      </w:r>
      <w:r w:rsidR="00287FA0" w:rsidRPr="00192045">
        <w:t>-</w:t>
      </w:r>
      <w:r w:rsidRPr="00192045">
        <w:t xml:space="preserve">year for </w:t>
      </w:r>
      <w:proofErr w:type="spellStart"/>
      <w:r w:rsidRPr="00192045">
        <w:t>brivaracetam</w:t>
      </w:r>
      <w:proofErr w:type="spellEnd"/>
      <w:r w:rsidRPr="00192045">
        <w:t xml:space="preserve"> and </w:t>
      </w:r>
      <w:proofErr w:type="spellStart"/>
      <w:r w:rsidRPr="00192045">
        <w:t>lacosamide</w:t>
      </w:r>
      <w:proofErr w:type="spellEnd"/>
      <w:r w:rsidRPr="00192045">
        <w:t xml:space="preserve"> estimated in t</w:t>
      </w:r>
      <w:r w:rsidR="001128AC" w:rsidRPr="00192045">
        <w:t xml:space="preserve">he submission </w:t>
      </w:r>
      <w:r w:rsidRPr="00192045">
        <w:t>is presented in Table 9</w:t>
      </w:r>
      <w:r w:rsidR="005F1612" w:rsidRPr="00192045">
        <w:t>.</w:t>
      </w:r>
    </w:p>
    <w:bookmarkEnd w:id="17"/>
    <w:p w:rsidR="00892E5A" w:rsidRPr="00192045" w:rsidRDefault="003016B9" w:rsidP="00774672">
      <w:pPr>
        <w:pStyle w:val="numberedbulletstyle"/>
        <w:keepNext/>
      </w:pPr>
      <w:r w:rsidRPr="00192045">
        <w:t xml:space="preserve">The </w:t>
      </w:r>
      <w:r w:rsidR="004C0BB5" w:rsidRPr="00192045">
        <w:t xml:space="preserve">submission </w:t>
      </w:r>
      <w:r w:rsidR="001D0199" w:rsidRPr="00192045">
        <w:t xml:space="preserve">requested the existing </w:t>
      </w:r>
      <w:proofErr w:type="spellStart"/>
      <w:r w:rsidR="001D0199" w:rsidRPr="00192045">
        <w:t>brivaracetam</w:t>
      </w:r>
      <w:proofErr w:type="spellEnd"/>
      <w:r w:rsidR="001D0199" w:rsidRPr="00192045">
        <w:t xml:space="preserve"> prices be maintained for the proposed extension to the PBS-listing. </w:t>
      </w:r>
    </w:p>
    <w:p w:rsidR="00105934" w:rsidRPr="00192045" w:rsidRDefault="00105934" w:rsidP="00167666">
      <w:pPr>
        <w:pStyle w:val="numberedbulletstyle"/>
        <w:keepNext/>
        <w:numPr>
          <w:ilvl w:val="0"/>
          <w:numId w:val="0"/>
        </w:numPr>
        <w:spacing w:after="0"/>
        <w:rPr>
          <w:rStyle w:val="CommentReference"/>
        </w:rPr>
      </w:pPr>
      <w:r w:rsidRPr="00192045">
        <w:rPr>
          <w:rStyle w:val="CommentReference"/>
        </w:rPr>
        <w:t xml:space="preserve">Table </w:t>
      </w:r>
      <w:r w:rsidR="00C36BBC" w:rsidRPr="00192045">
        <w:rPr>
          <w:rStyle w:val="CommentReference"/>
        </w:rPr>
        <w:t>9</w:t>
      </w:r>
      <w:r w:rsidRPr="00192045">
        <w:rPr>
          <w:rStyle w:val="CommentReference"/>
        </w:rPr>
        <w:t>: Drug cost per patient for proposed and comparator drugs</w:t>
      </w:r>
    </w:p>
    <w:tbl>
      <w:tblPr>
        <w:tblStyle w:val="TableGrid"/>
        <w:tblW w:w="4927" w:type="pct"/>
        <w:tblLook w:val="04A0" w:firstRow="1" w:lastRow="0" w:firstColumn="1" w:lastColumn="0" w:noHBand="0" w:noVBand="1"/>
        <w:tblCaption w:val="Table 9: Drug cost per patient for proposed and comparator drugs"/>
      </w:tblPr>
      <w:tblGrid>
        <w:gridCol w:w="2586"/>
        <w:gridCol w:w="1994"/>
        <w:gridCol w:w="2276"/>
        <w:gridCol w:w="2029"/>
      </w:tblGrid>
      <w:tr w:rsidR="00843C41" w:rsidRPr="00192045" w:rsidTr="00035E13">
        <w:trPr>
          <w:trHeight w:val="430"/>
          <w:tblHeader/>
        </w:trPr>
        <w:tc>
          <w:tcPr>
            <w:tcW w:w="1455" w:type="pct"/>
          </w:tcPr>
          <w:p w:rsidR="00843C41" w:rsidRPr="00192045" w:rsidRDefault="00843C41" w:rsidP="004B54DB">
            <w:pPr>
              <w:keepNext/>
              <w:widowControl/>
              <w:rPr>
                <w:rFonts w:ascii="Arial Narrow" w:hAnsi="Arial Narrow"/>
                <w:b/>
                <w:sz w:val="20"/>
                <w:szCs w:val="16"/>
                <w:lang w:eastAsia="en-AU"/>
              </w:rPr>
            </w:pPr>
          </w:p>
        </w:tc>
        <w:tc>
          <w:tcPr>
            <w:tcW w:w="1122" w:type="pct"/>
            <w:vAlign w:val="center"/>
          </w:tcPr>
          <w:p w:rsidR="00843C41" w:rsidRPr="00192045" w:rsidRDefault="00843C41" w:rsidP="004B54DB">
            <w:pPr>
              <w:keepNext/>
              <w:widowControl/>
              <w:jc w:val="center"/>
              <w:rPr>
                <w:rFonts w:ascii="Arial Narrow" w:hAnsi="Arial Narrow"/>
                <w:b/>
                <w:sz w:val="20"/>
                <w:szCs w:val="16"/>
                <w:lang w:eastAsia="en-AU"/>
              </w:rPr>
            </w:pPr>
            <w:r w:rsidRPr="00192045">
              <w:rPr>
                <w:rFonts w:ascii="Arial Narrow" w:hAnsi="Arial Narrow"/>
                <w:b/>
                <w:sz w:val="20"/>
                <w:szCs w:val="16"/>
                <w:lang w:eastAsia="en-AU"/>
              </w:rPr>
              <w:t>Trial dose and duration</w:t>
            </w:r>
          </w:p>
        </w:tc>
        <w:tc>
          <w:tcPr>
            <w:tcW w:w="1281" w:type="pct"/>
            <w:vAlign w:val="center"/>
          </w:tcPr>
          <w:p w:rsidR="00843C41" w:rsidRPr="00192045" w:rsidRDefault="00843C41" w:rsidP="004B54DB">
            <w:pPr>
              <w:keepNext/>
              <w:widowControl/>
              <w:jc w:val="center"/>
              <w:rPr>
                <w:rFonts w:ascii="Arial Narrow" w:hAnsi="Arial Narrow"/>
                <w:b/>
                <w:sz w:val="20"/>
                <w:szCs w:val="16"/>
                <w:lang w:eastAsia="en-AU"/>
              </w:rPr>
            </w:pPr>
            <w:r w:rsidRPr="00192045">
              <w:rPr>
                <w:rFonts w:ascii="Arial Narrow" w:hAnsi="Arial Narrow"/>
                <w:b/>
                <w:sz w:val="20"/>
                <w:szCs w:val="16"/>
                <w:lang w:eastAsia="en-AU"/>
              </w:rPr>
              <w:t xml:space="preserve">Economic evaluation </w:t>
            </w:r>
          </w:p>
        </w:tc>
        <w:tc>
          <w:tcPr>
            <w:tcW w:w="1142" w:type="pct"/>
            <w:vAlign w:val="center"/>
          </w:tcPr>
          <w:p w:rsidR="004B54DB" w:rsidRPr="00192045" w:rsidRDefault="00843C41" w:rsidP="004B54DB">
            <w:pPr>
              <w:keepNext/>
              <w:widowControl/>
              <w:jc w:val="center"/>
              <w:rPr>
                <w:rFonts w:ascii="Arial Narrow" w:hAnsi="Arial Narrow"/>
                <w:b/>
                <w:sz w:val="20"/>
                <w:szCs w:val="16"/>
                <w:lang w:eastAsia="en-AU"/>
              </w:rPr>
            </w:pPr>
            <w:r w:rsidRPr="00192045">
              <w:rPr>
                <w:rFonts w:ascii="Arial Narrow" w:hAnsi="Arial Narrow"/>
                <w:b/>
                <w:sz w:val="20"/>
                <w:szCs w:val="16"/>
                <w:lang w:eastAsia="en-AU"/>
              </w:rPr>
              <w:t>Financial</w:t>
            </w:r>
          </w:p>
          <w:p w:rsidR="00843C41" w:rsidRPr="00192045" w:rsidRDefault="00843C41" w:rsidP="004B54DB">
            <w:pPr>
              <w:keepNext/>
              <w:widowControl/>
              <w:jc w:val="center"/>
              <w:rPr>
                <w:rFonts w:ascii="Arial Narrow" w:hAnsi="Arial Narrow"/>
                <w:b/>
                <w:sz w:val="20"/>
                <w:szCs w:val="16"/>
                <w:lang w:eastAsia="en-AU"/>
              </w:rPr>
            </w:pPr>
            <w:r w:rsidRPr="00192045">
              <w:rPr>
                <w:rFonts w:ascii="Arial Narrow" w:hAnsi="Arial Narrow"/>
                <w:b/>
                <w:sz w:val="20"/>
                <w:szCs w:val="16"/>
                <w:lang w:eastAsia="en-AU"/>
              </w:rPr>
              <w:t xml:space="preserve"> estimates</w:t>
            </w:r>
          </w:p>
        </w:tc>
      </w:tr>
      <w:tr w:rsidR="002F486B" w:rsidRPr="00192045" w:rsidTr="002F486B">
        <w:trPr>
          <w:trHeight w:val="209"/>
        </w:trPr>
        <w:tc>
          <w:tcPr>
            <w:tcW w:w="5000" w:type="pct"/>
            <w:gridSpan w:val="4"/>
            <w:vAlign w:val="center"/>
          </w:tcPr>
          <w:p w:rsidR="002F486B" w:rsidRPr="00192045" w:rsidRDefault="002F486B" w:rsidP="00500B84">
            <w:pPr>
              <w:keepNext/>
              <w:widowControl/>
              <w:jc w:val="left"/>
              <w:rPr>
                <w:rFonts w:ascii="Arial Narrow" w:hAnsi="Arial Narrow"/>
                <w:sz w:val="20"/>
                <w:szCs w:val="16"/>
                <w:lang w:eastAsia="en-AU"/>
              </w:rPr>
            </w:pPr>
            <w:proofErr w:type="spellStart"/>
            <w:r w:rsidRPr="00192045">
              <w:rPr>
                <w:rFonts w:ascii="Arial Narrow" w:hAnsi="Arial Narrow"/>
                <w:b/>
                <w:sz w:val="20"/>
                <w:szCs w:val="16"/>
                <w:lang w:eastAsia="en-AU"/>
              </w:rPr>
              <w:t>Brivaracetam</w:t>
            </w:r>
            <w:proofErr w:type="spellEnd"/>
          </w:p>
        </w:tc>
      </w:tr>
      <w:tr w:rsidR="00843C41" w:rsidRPr="00192045" w:rsidTr="00CE0830">
        <w:trPr>
          <w:trHeight w:val="135"/>
        </w:trPr>
        <w:tc>
          <w:tcPr>
            <w:tcW w:w="1455" w:type="pct"/>
            <w:vAlign w:val="center"/>
          </w:tcPr>
          <w:p w:rsidR="00843C41" w:rsidRPr="00192045" w:rsidRDefault="00843C41"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Dose (daily)</w:t>
            </w:r>
          </w:p>
        </w:tc>
        <w:tc>
          <w:tcPr>
            <w:tcW w:w="1122" w:type="pct"/>
            <w:vAlign w:val="center"/>
          </w:tcPr>
          <w:p w:rsidR="00843C41" w:rsidRPr="00192045" w:rsidRDefault="00843C41" w:rsidP="00500B84">
            <w:pPr>
              <w:keepNext/>
              <w:widowControl/>
              <w:jc w:val="center"/>
              <w:rPr>
                <w:rFonts w:ascii="Arial Narrow" w:hAnsi="Arial Narrow"/>
                <w:sz w:val="20"/>
                <w:szCs w:val="20"/>
                <w:vertAlign w:val="superscript"/>
                <w:lang w:eastAsia="en-AU"/>
              </w:rPr>
            </w:pPr>
            <w:r w:rsidRPr="00192045">
              <w:rPr>
                <w:rFonts w:ascii="Arial Narrow" w:hAnsi="Arial Narrow"/>
                <w:sz w:val="20"/>
                <w:szCs w:val="16"/>
                <w:lang w:eastAsia="en-AU"/>
              </w:rPr>
              <w:t>124 mg</w:t>
            </w:r>
            <w:r w:rsidRPr="00192045" w:rsidDel="00843C41">
              <w:rPr>
                <w:rFonts w:ascii="Arial Narrow" w:hAnsi="Arial Narrow"/>
                <w:sz w:val="20"/>
                <w:szCs w:val="20"/>
                <w:lang w:eastAsia="en-AU"/>
              </w:rPr>
              <w:t xml:space="preserve"> </w:t>
            </w:r>
            <w:r w:rsidRPr="00192045">
              <w:rPr>
                <w:rFonts w:ascii="Arial Narrow" w:hAnsi="Arial Narrow"/>
                <w:sz w:val="20"/>
                <w:vertAlign w:val="superscript"/>
              </w:rPr>
              <w:t>a</w:t>
            </w:r>
          </w:p>
        </w:tc>
        <w:tc>
          <w:tcPr>
            <w:tcW w:w="1281"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117.6 mg </w:t>
            </w:r>
          </w:p>
        </w:tc>
        <w:tc>
          <w:tcPr>
            <w:tcW w:w="114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81 mg</w:t>
            </w:r>
          </w:p>
        </w:tc>
      </w:tr>
      <w:tr w:rsidR="00843C41" w:rsidRPr="00192045" w:rsidTr="002F486B">
        <w:trPr>
          <w:trHeight w:val="209"/>
        </w:trPr>
        <w:tc>
          <w:tcPr>
            <w:tcW w:w="1455" w:type="pct"/>
            <w:vAlign w:val="center"/>
          </w:tcPr>
          <w:p w:rsidR="00843C41" w:rsidRPr="00192045" w:rsidRDefault="00843C41"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Duration (mean)</w:t>
            </w:r>
          </w:p>
        </w:tc>
        <w:tc>
          <w:tcPr>
            <w:tcW w:w="112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23 months </w:t>
            </w:r>
          </w:p>
        </w:tc>
        <w:tc>
          <w:tcPr>
            <w:tcW w:w="1281"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NA</w:t>
            </w:r>
          </w:p>
        </w:tc>
        <w:tc>
          <w:tcPr>
            <w:tcW w:w="114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chronic</w:t>
            </w:r>
          </w:p>
        </w:tc>
      </w:tr>
      <w:tr w:rsidR="002F486B" w:rsidRPr="00192045" w:rsidTr="002F486B">
        <w:trPr>
          <w:trHeight w:val="237"/>
        </w:trPr>
        <w:tc>
          <w:tcPr>
            <w:tcW w:w="3858" w:type="pct"/>
            <w:gridSpan w:val="3"/>
            <w:vAlign w:val="center"/>
          </w:tcPr>
          <w:p w:rsidR="002F486B" w:rsidRPr="00192045" w:rsidRDefault="002F486B"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Cost/patient/year</w:t>
            </w:r>
          </w:p>
        </w:tc>
        <w:tc>
          <w:tcPr>
            <w:tcW w:w="1142" w:type="pct"/>
            <w:vAlign w:val="center"/>
          </w:tcPr>
          <w:p w:rsidR="002F486B" w:rsidRPr="00192045" w:rsidRDefault="002F486B" w:rsidP="00500B84">
            <w:pPr>
              <w:keepNext/>
              <w:widowControl/>
              <w:jc w:val="center"/>
              <w:rPr>
                <w:rFonts w:ascii="Arial Narrow" w:hAnsi="Arial Narrow"/>
                <w:sz w:val="20"/>
                <w:szCs w:val="16"/>
                <w:lang w:eastAsia="en-AU"/>
              </w:rPr>
            </w:pPr>
          </w:p>
        </w:tc>
      </w:tr>
      <w:tr w:rsidR="002F486B" w:rsidRPr="00192045" w:rsidTr="002F486B">
        <w:trPr>
          <w:trHeight w:val="237"/>
        </w:trPr>
        <w:tc>
          <w:tcPr>
            <w:tcW w:w="1455" w:type="pct"/>
            <w:vAlign w:val="center"/>
          </w:tcPr>
          <w:p w:rsidR="002F486B" w:rsidRPr="00192045" w:rsidRDefault="00167666" w:rsidP="00500B84">
            <w:pPr>
              <w:keepNext/>
              <w:widowControl/>
              <w:jc w:val="left"/>
              <w:rPr>
                <w:rFonts w:ascii="Arial Narrow" w:hAnsi="Arial Narrow"/>
                <w:sz w:val="20"/>
                <w:szCs w:val="16"/>
                <w:lang w:eastAsia="en-AU"/>
              </w:rPr>
            </w:pPr>
            <w:r>
              <w:rPr>
                <w:rFonts w:ascii="Arial Narrow" w:hAnsi="Arial Narrow"/>
                <w:sz w:val="20"/>
                <w:szCs w:val="16"/>
                <w:lang w:eastAsia="en-AU"/>
              </w:rPr>
              <w:t xml:space="preserve">  </w:t>
            </w:r>
            <w:r w:rsidR="002F486B" w:rsidRPr="00192045">
              <w:rPr>
                <w:rFonts w:ascii="Arial Narrow" w:hAnsi="Arial Narrow"/>
                <w:sz w:val="20"/>
                <w:szCs w:val="16"/>
                <w:lang w:eastAsia="en-AU"/>
              </w:rPr>
              <w:t xml:space="preserve">Tablet </w:t>
            </w:r>
          </w:p>
        </w:tc>
        <w:tc>
          <w:tcPr>
            <w:tcW w:w="1122" w:type="pct"/>
            <w:vAlign w:val="center"/>
          </w:tcPr>
          <w:p w:rsidR="002F486B" w:rsidRPr="00192045" w:rsidRDefault="009A377E"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$3,139 </w:t>
            </w:r>
            <w:r w:rsidR="00931BE8" w:rsidRPr="00192045">
              <w:rPr>
                <w:rFonts w:ascii="Arial Narrow" w:hAnsi="Arial Narrow"/>
                <w:sz w:val="20"/>
                <w:szCs w:val="16"/>
                <w:vertAlign w:val="superscript"/>
                <w:lang w:eastAsia="en-AU"/>
              </w:rPr>
              <w:t>b</w:t>
            </w:r>
          </w:p>
        </w:tc>
        <w:tc>
          <w:tcPr>
            <w:tcW w:w="1281" w:type="pct"/>
            <w:vAlign w:val="center"/>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No cost presented</w:t>
            </w:r>
          </w:p>
        </w:tc>
        <w:tc>
          <w:tcPr>
            <w:tcW w:w="1142" w:type="pct"/>
            <w:vMerge w:val="restart"/>
            <w:vAlign w:val="center"/>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$1,425 </w:t>
            </w:r>
            <w:r w:rsidR="00AA3834" w:rsidRPr="00192045">
              <w:rPr>
                <w:rFonts w:ascii="Arial Narrow" w:hAnsi="Arial Narrow"/>
                <w:sz w:val="20"/>
                <w:szCs w:val="16"/>
                <w:vertAlign w:val="superscript"/>
                <w:lang w:eastAsia="en-AU"/>
              </w:rPr>
              <w:t>c</w:t>
            </w:r>
          </w:p>
        </w:tc>
      </w:tr>
      <w:tr w:rsidR="002F486B" w:rsidRPr="00192045" w:rsidTr="002F486B">
        <w:trPr>
          <w:trHeight w:val="237"/>
        </w:trPr>
        <w:tc>
          <w:tcPr>
            <w:tcW w:w="1455" w:type="pct"/>
            <w:vAlign w:val="center"/>
          </w:tcPr>
          <w:p w:rsidR="002F486B" w:rsidRPr="00192045" w:rsidRDefault="00167666" w:rsidP="00500B84">
            <w:pPr>
              <w:keepNext/>
              <w:widowControl/>
              <w:jc w:val="left"/>
              <w:rPr>
                <w:rFonts w:ascii="Arial Narrow" w:hAnsi="Arial Narrow"/>
                <w:sz w:val="20"/>
                <w:szCs w:val="16"/>
                <w:lang w:eastAsia="en-AU"/>
              </w:rPr>
            </w:pPr>
            <w:r>
              <w:rPr>
                <w:rFonts w:ascii="Arial Narrow" w:hAnsi="Arial Narrow"/>
                <w:sz w:val="20"/>
                <w:szCs w:val="16"/>
                <w:lang w:eastAsia="en-AU"/>
              </w:rPr>
              <w:t xml:space="preserve">  </w:t>
            </w:r>
            <w:r w:rsidR="002F486B" w:rsidRPr="00192045">
              <w:rPr>
                <w:rFonts w:ascii="Arial Narrow" w:hAnsi="Arial Narrow"/>
                <w:sz w:val="20"/>
                <w:szCs w:val="16"/>
                <w:lang w:eastAsia="en-AU"/>
              </w:rPr>
              <w:t>Oral liquid</w:t>
            </w:r>
          </w:p>
        </w:tc>
        <w:tc>
          <w:tcPr>
            <w:tcW w:w="1122" w:type="pct"/>
            <w:vAlign w:val="center"/>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$3,014 </w:t>
            </w:r>
            <w:r w:rsidR="00931BE8" w:rsidRPr="00192045">
              <w:rPr>
                <w:rFonts w:ascii="Arial Narrow" w:hAnsi="Arial Narrow"/>
                <w:sz w:val="20"/>
                <w:szCs w:val="16"/>
                <w:vertAlign w:val="superscript"/>
                <w:lang w:eastAsia="en-AU"/>
              </w:rPr>
              <w:t>b</w:t>
            </w:r>
          </w:p>
        </w:tc>
        <w:tc>
          <w:tcPr>
            <w:tcW w:w="1281" w:type="pct"/>
            <w:vAlign w:val="center"/>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No cost presented</w:t>
            </w:r>
          </w:p>
        </w:tc>
        <w:tc>
          <w:tcPr>
            <w:tcW w:w="1142" w:type="pct"/>
            <w:vMerge/>
            <w:vAlign w:val="center"/>
          </w:tcPr>
          <w:p w:rsidR="002F486B" w:rsidRPr="00192045" w:rsidRDefault="002F486B" w:rsidP="00500B84">
            <w:pPr>
              <w:keepNext/>
              <w:widowControl/>
              <w:jc w:val="center"/>
              <w:rPr>
                <w:rFonts w:ascii="Arial Narrow" w:hAnsi="Arial Narrow"/>
                <w:sz w:val="20"/>
                <w:szCs w:val="16"/>
                <w:lang w:eastAsia="en-AU"/>
              </w:rPr>
            </w:pPr>
          </w:p>
        </w:tc>
      </w:tr>
      <w:tr w:rsidR="00054EA8" w:rsidRPr="00192045" w:rsidTr="00054EA8">
        <w:trPr>
          <w:trHeight w:val="237"/>
        </w:trPr>
        <w:tc>
          <w:tcPr>
            <w:tcW w:w="5000" w:type="pct"/>
            <w:gridSpan w:val="4"/>
            <w:vAlign w:val="center"/>
          </w:tcPr>
          <w:p w:rsidR="00054EA8" w:rsidRPr="00192045" w:rsidRDefault="00054EA8" w:rsidP="00500B84">
            <w:pPr>
              <w:keepNext/>
              <w:widowControl/>
              <w:jc w:val="left"/>
              <w:rPr>
                <w:rFonts w:ascii="Arial Narrow" w:hAnsi="Arial Narrow"/>
                <w:sz w:val="20"/>
                <w:szCs w:val="16"/>
                <w:lang w:eastAsia="en-AU"/>
              </w:rPr>
            </w:pPr>
            <w:proofErr w:type="spellStart"/>
            <w:r w:rsidRPr="00192045">
              <w:rPr>
                <w:rFonts w:ascii="Arial Narrow" w:hAnsi="Arial Narrow"/>
                <w:b/>
                <w:sz w:val="20"/>
                <w:szCs w:val="16"/>
                <w:lang w:eastAsia="en-AU"/>
              </w:rPr>
              <w:t>Lacosamide</w:t>
            </w:r>
            <w:proofErr w:type="spellEnd"/>
          </w:p>
        </w:tc>
      </w:tr>
      <w:tr w:rsidR="00843C41" w:rsidRPr="00192045" w:rsidTr="002F486B">
        <w:trPr>
          <w:trHeight w:val="237"/>
        </w:trPr>
        <w:tc>
          <w:tcPr>
            <w:tcW w:w="1455" w:type="pct"/>
            <w:vAlign w:val="center"/>
          </w:tcPr>
          <w:p w:rsidR="00843C41" w:rsidRPr="00192045" w:rsidRDefault="00843C41"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Dose (daily)</w:t>
            </w:r>
          </w:p>
        </w:tc>
        <w:tc>
          <w:tcPr>
            <w:tcW w:w="112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248 mg </w:t>
            </w:r>
            <w:r w:rsidR="00AA3834" w:rsidRPr="00192045">
              <w:rPr>
                <w:rFonts w:ascii="Arial Narrow" w:hAnsi="Arial Narrow"/>
                <w:sz w:val="20"/>
                <w:szCs w:val="16"/>
                <w:vertAlign w:val="superscript"/>
                <w:lang w:eastAsia="en-AU"/>
              </w:rPr>
              <w:t>d</w:t>
            </w:r>
          </w:p>
        </w:tc>
        <w:tc>
          <w:tcPr>
            <w:tcW w:w="1281"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316.2 mg</w:t>
            </w:r>
          </w:p>
        </w:tc>
        <w:tc>
          <w:tcPr>
            <w:tcW w:w="114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161 mg</w:t>
            </w:r>
          </w:p>
        </w:tc>
      </w:tr>
      <w:tr w:rsidR="00843C41" w:rsidRPr="00192045" w:rsidTr="002F486B">
        <w:trPr>
          <w:trHeight w:val="237"/>
        </w:trPr>
        <w:tc>
          <w:tcPr>
            <w:tcW w:w="1455" w:type="pct"/>
            <w:vAlign w:val="center"/>
          </w:tcPr>
          <w:p w:rsidR="00843C41" w:rsidRPr="00192045" w:rsidRDefault="00843C41"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Duration (mean)</w:t>
            </w:r>
          </w:p>
        </w:tc>
        <w:tc>
          <w:tcPr>
            <w:tcW w:w="1122" w:type="pct"/>
          </w:tcPr>
          <w:p w:rsidR="00843C41" w:rsidRPr="00192045" w:rsidRDefault="00D53648" w:rsidP="00500B84">
            <w:pPr>
              <w:keepNext/>
              <w:widowControl/>
              <w:jc w:val="center"/>
              <w:rPr>
                <w:rFonts w:ascii="Arial Narrow" w:hAnsi="Arial Narrow"/>
                <w:sz w:val="20"/>
                <w:szCs w:val="16"/>
                <w:vertAlign w:val="superscript"/>
                <w:lang w:eastAsia="en-AU"/>
              </w:rPr>
            </w:pPr>
            <w:r w:rsidRPr="00192045">
              <w:rPr>
                <w:rFonts w:ascii="Arial Narrow" w:hAnsi="Arial Narrow"/>
                <w:sz w:val="20"/>
                <w:szCs w:val="16"/>
                <w:lang w:eastAsia="en-AU"/>
              </w:rPr>
              <w:t>10 weeks</w:t>
            </w:r>
            <w:r w:rsidRPr="00192045">
              <w:rPr>
                <w:rFonts w:ascii="Arial Narrow" w:hAnsi="Arial Narrow"/>
                <w:sz w:val="20"/>
                <w:szCs w:val="16"/>
                <w:vertAlign w:val="superscript"/>
                <w:lang w:eastAsia="en-AU"/>
              </w:rPr>
              <w:t xml:space="preserve"> e</w:t>
            </w:r>
          </w:p>
        </w:tc>
        <w:tc>
          <w:tcPr>
            <w:tcW w:w="1281"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NA</w:t>
            </w:r>
          </w:p>
        </w:tc>
        <w:tc>
          <w:tcPr>
            <w:tcW w:w="1142" w:type="pct"/>
            <w:vAlign w:val="center"/>
          </w:tcPr>
          <w:p w:rsidR="00843C41" w:rsidRPr="00192045" w:rsidRDefault="00843C41"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chronic</w:t>
            </w:r>
          </w:p>
        </w:tc>
      </w:tr>
      <w:tr w:rsidR="002F486B" w:rsidRPr="00192045" w:rsidTr="002F486B">
        <w:trPr>
          <w:trHeight w:val="237"/>
        </w:trPr>
        <w:tc>
          <w:tcPr>
            <w:tcW w:w="3858" w:type="pct"/>
            <w:gridSpan w:val="3"/>
            <w:vAlign w:val="center"/>
          </w:tcPr>
          <w:p w:rsidR="002F486B" w:rsidRPr="00192045" w:rsidRDefault="002F486B" w:rsidP="00500B84">
            <w:pPr>
              <w:keepNext/>
              <w:widowControl/>
              <w:jc w:val="left"/>
              <w:rPr>
                <w:rFonts w:ascii="Arial Narrow" w:hAnsi="Arial Narrow"/>
                <w:sz w:val="20"/>
                <w:szCs w:val="16"/>
                <w:lang w:eastAsia="en-AU"/>
              </w:rPr>
            </w:pPr>
            <w:r w:rsidRPr="00192045">
              <w:rPr>
                <w:rFonts w:ascii="Arial Narrow" w:hAnsi="Arial Narrow"/>
                <w:sz w:val="20"/>
                <w:szCs w:val="16"/>
                <w:lang w:eastAsia="en-AU"/>
              </w:rPr>
              <w:t>Cost/patient/year</w:t>
            </w:r>
          </w:p>
        </w:tc>
        <w:tc>
          <w:tcPr>
            <w:tcW w:w="1142" w:type="pct"/>
            <w:vAlign w:val="center"/>
          </w:tcPr>
          <w:p w:rsidR="002F486B" w:rsidRPr="00192045" w:rsidRDefault="002F486B" w:rsidP="00500B84">
            <w:pPr>
              <w:keepNext/>
              <w:widowControl/>
              <w:jc w:val="center"/>
              <w:rPr>
                <w:rFonts w:ascii="Arial Narrow" w:hAnsi="Arial Narrow"/>
                <w:sz w:val="20"/>
                <w:szCs w:val="16"/>
                <w:lang w:eastAsia="en-AU"/>
              </w:rPr>
            </w:pPr>
          </w:p>
        </w:tc>
      </w:tr>
      <w:tr w:rsidR="002F486B" w:rsidRPr="00192045" w:rsidTr="002F486B">
        <w:trPr>
          <w:trHeight w:val="237"/>
        </w:trPr>
        <w:tc>
          <w:tcPr>
            <w:tcW w:w="1455" w:type="pct"/>
            <w:vAlign w:val="center"/>
          </w:tcPr>
          <w:p w:rsidR="002F486B" w:rsidRPr="00192045" w:rsidRDefault="00167666" w:rsidP="00500B84">
            <w:pPr>
              <w:keepNext/>
              <w:widowControl/>
              <w:jc w:val="left"/>
              <w:rPr>
                <w:rFonts w:ascii="Arial Narrow" w:hAnsi="Arial Narrow"/>
                <w:sz w:val="20"/>
                <w:szCs w:val="16"/>
                <w:lang w:eastAsia="en-AU"/>
              </w:rPr>
            </w:pPr>
            <w:r>
              <w:rPr>
                <w:rFonts w:ascii="Arial Narrow" w:hAnsi="Arial Narrow"/>
                <w:sz w:val="20"/>
                <w:szCs w:val="16"/>
                <w:lang w:eastAsia="en-AU"/>
              </w:rPr>
              <w:t xml:space="preserve">  </w:t>
            </w:r>
            <w:r w:rsidR="002F486B" w:rsidRPr="00192045">
              <w:rPr>
                <w:rFonts w:ascii="Arial Narrow" w:hAnsi="Arial Narrow"/>
                <w:sz w:val="20"/>
                <w:szCs w:val="16"/>
                <w:lang w:eastAsia="en-AU"/>
              </w:rPr>
              <w:t xml:space="preserve">Tablet </w:t>
            </w:r>
          </w:p>
        </w:tc>
        <w:tc>
          <w:tcPr>
            <w:tcW w:w="1122" w:type="pct"/>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$2,784 </w:t>
            </w:r>
            <w:r w:rsidR="00AA3834" w:rsidRPr="00192045">
              <w:rPr>
                <w:rFonts w:ascii="Arial Narrow" w:hAnsi="Arial Narrow"/>
                <w:sz w:val="20"/>
                <w:szCs w:val="16"/>
                <w:vertAlign w:val="superscript"/>
                <w:lang w:eastAsia="en-AU"/>
              </w:rPr>
              <w:t>e</w:t>
            </w:r>
          </w:p>
        </w:tc>
        <w:tc>
          <w:tcPr>
            <w:tcW w:w="1281" w:type="pct"/>
            <w:vAlign w:val="center"/>
          </w:tcPr>
          <w:p w:rsidR="002F486B" w:rsidRPr="00192045" w:rsidRDefault="002F486B" w:rsidP="00500B84">
            <w:pPr>
              <w:keepNext/>
              <w:widowControl/>
              <w:jc w:val="center"/>
              <w:rPr>
                <w:rFonts w:ascii="Arial Narrow" w:hAnsi="Arial Narrow"/>
                <w:sz w:val="20"/>
                <w:szCs w:val="16"/>
                <w:vertAlign w:val="superscript"/>
                <w:lang w:eastAsia="en-AU"/>
              </w:rPr>
            </w:pPr>
            <w:r w:rsidRPr="00192045">
              <w:rPr>
                <w:rFonts w:ascii="Arial Narrow" w:hAnsi="Arial Narrow"/>
                <w:sz w:val="20"/>
                <w:szCs w:val="16"/>
                <w:lang w:eastAsia="en-AU"/>
              </w:rPr>
              <w:t>No cost presented</w:t>
            </w:r>
          </w:p>
        </w:tc>
        <w:tc>
          <w:tcPr>
            <w:tcW w:w="1142" w:type="pct"/>
            <w:vMerge w:val="restart"/>
            <w:vAlign w:val="center"/>
          </w:tcPr>
          <w:p w:rsidR="002F486B" w:rsidRPr="00192045" w:rsidRDefault="002F486B" w:rsidP="00500B84">
            <w:pPr>
              <w:keepNext/>
              <w:widowControl/>
              <w:jc w:val="center"/>
              <w:rPr>
                <w:rFonts w:ascii="Arial Narrow" w:hAnsi="Arial Narrow"/>
                <w:sz w:val="20"/>
                <w:szCs w:val="16"/>
                <w:vertAlign w:val="superscript"/>
                <w:lang w:eastAsia="en-AU"/>
              </w:rPr>
            </w:pPr>
            <w:r w:rsidRPr="00192045">
              <w:rPr>
                <w:rFonts w:ascii="Arial Narrow" w:hAnsi="Arial Narrow"/>
                <w:sz w:val="20"/>
                <w:szCs w:val="16"/>
                <w:lang w:eastAsia="en-AU"/>
              </w:rPr>
              <w:t xml:space="preserve">$1,725 </w:t>
            </w:r>
            <w:r w:rsidR="00AA3834" w:rsidRPr="00192045">
              <w:rPr>
                <w:rFonts w:ascii="Arial Narrow" w:hAnsi="Arial Narrow"/>
                <w:sz w:val="20"/>
                <w:szCs w:val="16"/>
                <w:vertAlign w:val="superscript"/>
                <w:lang w:eastAsia="en-AU"/>
              </w:rPr>
              <w:t>f</w:t>
            </w:r>
          </w:p>
        </w:tc>
      </w:tr>
      <w:tr w:rsidR="002F486B" w:rsidRPr="00192045" w:rsidTr="002F486B">
        <w:trPr>
          <w:trHeight w:val="237"/>
        </w:trPr>
        <w:tc>
          <w:tcPr>
            <w:tcW w:w="1455" w:type="pct"/>
            <w:vAlign w:val="center"/>
          </w:tcPr>
          <w:p w:rsidR="002F486B" w:rsidRPr="00192045" w:rsidRDefault="00167666" w:rsidP="00500B84">
            <w:pPr>
              <w:keepNext/>
              <w:widowControl/>
              <w:jc w:val="left"/>
              <w:rPr>
                <w:rFonts w:ascii="Arial Narrow" w:hAnsi="Arial Narrow"/>
                <w:sz w:val="20"/>
                <w:szCs w:val="16"/>
                <w:lang w:eastAsia="en-AU"/>
              </w:rPr>
            </w:pPr>
            <w:r>
              <w:rPr>
                <w:rFonts w:ascii="Arial Narrow" w:hAnsi="Arial Narrow"/>
                <w:sz w:val="20"/>
                <w:szCs w:val="16"/>
                <w:lang w:eastAsia="en-AU"/>
              </w:rPr>
              <w:t xml:space="preserve">  </w:t>
            </w:r>
            <w:r w:rsidR="002F486B" w:rsidRPr="00192045">
              <w:rPr>
                <w:rFonts w:ascii="Arial Narrow" w:hAnsi="Arial Narrow"/>
                <w:sz w:val="20"/>
                <w:szCs w:val="16"/>
                <w:lang w:eastAsia="en-AU"/>
              </w:rPr>
              <w:t>Oral liquid</w:t>
            </w:r>
          </w:p>
        </w:tc>
        <w:tc>
          <w:tcPr>
            <w:tcW w:w="1122" w:type="pct"/>
          </w:tcPr>
          <w:p w:rsidR="002F486B" w:rsidRPr="00192045" w:rsidRDefault="002F486B" w:rsidP="00500B84">
            <w:pPr>
              <w:keepNext/>
              <w:widowControl/>
              <w:jc w:val="center"/>
              <w:rPr>
                <w:rFonts w:ascii="Arial Narrow" w:hAnsi="Arial Narrow"/>
                <w:sz w:val="20"/>
                <w:szCs w:val="16"/>
                <w:lang w:eastAsia="en-AU"/>
              </w:rPr>
            </w:pPr>
            <w:r w:rsidRPr="00192045">
              <w:rPr>
                <w:rFonts w:ascii="Arial Narrow" w:hAnsi="Arial Narrow"/>
                <w:sz w:val="20"/>
                <w:szCs w:val="16"/>
                <w:lang w:eastAsia="en-AU"/>
              </w:rPr>
              <w:t xml:space="preserve">$2,957 </w:t>
            </w:r>
            <w:r w:rsidR="00AA3834" w:rsidRPr="00192045">
              <w:rPr>
                <w:rFonts w:ascii="Arial Narrow" w:hAnsi="Arial Narrow"/>
                <w:sz w:val="20"/>
                <w:szCs w:val="16"/>
                <w:vertAlign w:val="superscript"/>
                <w:lang w:eastAsia="en-AU"/>
              </w:rPr>
              <w:t>e</w:t>
            </w:r>
          </w:p>
        </w:tc>
        <w:tc>
          <w:tcPr>
            <w:tcW w:w="1281" w:type="pct"/>
            <w:vAlign w:val="center"/>
          </w:tcPr>
          <w:p w:rsidR="002F486B" w:rsidRPr="00192045" w:rsidRDefault="002F486B" w:rsidP="00500B84">
            <w:pPr>
              <w:keepNext/>
              <w:widowControl/>
              <w:jc w:val="center"/>
              <w:rPr>
                <w:rFonts w:ascii="Arial Narrow" w:hAnsi="Arial Narrow"/>
                <w:sz w:val="20"/>
                <w:szCs w:val="16"/>
                <w:vertAlign w:val="superscript"/>
                <w:lang w:eastAsia="en-AU"/>
              </w:rPr>
            </w:pPr>
            <w:r w:rsidRPr="00192045">
              <w:rPr>
                <w:rFonts w:ascii="Arial Narrow" w:hAnsi="Arial Narrow"/>
                <w:sz w:val="20"/>
                <w:szCs w:val="16"/>
                <w:lang w:eastAsia="en-AU"/>
              </w:rPr>
              <w:t>No cost presented</w:t>
            </w:r>
          </w:p>
        </w:tc>
        <w:tc>
          <w:tcPr>
            <w:tcW w:w="1142" w:type="pct"/>
            <w:vMerge/>
            <w:vAlign w:val="center"/>
          </w:tcPr>
          <w:p w:rsidR="002F486B" w:rsidRPr="00192045" w:rsidRDefault="002F486B" w:rsidP="00500B84">
            <w:pPr>
              <w:keepNext/>
              <w:widowControl/>
              <w:jc w:val="center"/>
              <w:rPr>
                <w:rFonts w:ascii="Arial Narrow" w:hAnsi="Arial Narrow"/>
                <w:sz w:val="20"/>
                <w:szCs w:val="16"/>
                <w:lang w:eastAsia="en-AU"/>
              </w:rPr>
            </w:pPr>
          </w:p>
        </w:tc>
      </w:tr>
    </w:tbl>
    <w:p w:rsidR="009415F8" w:rsidRPr="00192045" w:rsidRDefault="009415F8" w:rsidP="00500B84">
      <w:pPr>
        <w:widowControl/>
        <w:rPr>
          <w:rFonts w:ascii="Arial Narrow" w:hAnsi="Arial Narrow"/>
          <w:sz w:val="18"/>
        </w:rPr>
      </w:pPr>
      <w:r w:rsidRPr="00192045">
        <w:rPr>
          <w:rFonts w:ascii="Arial Narrow" w:hAnsi="Arial Narrow"/>
          <w:sz w:val="18"/>
        </w:rPr>
        <w:t xml:space="preserve">Source: Compiled and calculated during the evaluation from Section 4 spreadsheet; Table 8-2, p80 of the study N01266 CSR; </w:t>
      </w:r>
      <w:proofErr w:type="spellStart"/>
      <w:r w:rsidRPr="00192045">
        <w:rPr>
          <w:rFonts w:ascii="Arial Narrow" w:hAnsi="Arial Narrow"/>
          <w:sz w:val="18"/>
        </w:rPr>
        <w:t>Lacosamide</w:t>
      </w:r>
      <w:proofErr w:type="spellEnd"/>
      <w:r w:rsidRPr="00192045">
        <w:rPr>
          <w:rFonts w:ascii="Arial Narrow" w:hAnsi="Arial Narrow"/>
          <w:sz w:val="18"/>
        </w:rPr>
        <w:t xml:space="preserve"> November 2018 PBAC PSD</w:t>
      </w:r>
    </w:p>
    <w:p w:rsidR="009415F8" w:rsidRPr="00192045" w:rsidRDefault="009415F8" w:rsidP="00500B84">
      <w:pPr>
        <w:widowControl/>
        <w:rPr>
          <w:rFonts w:ascii="Arial Narrow" w:hAnsi="Arial Narrow"/>
          <w:sz w:val="18"/>
        </w:rPr>
      </w:pPr>
      <w:r w:rsidRPr="00192045">
        <w:rPr>
          <w:rFonts w:ascii="Arial Narrow" w:hAnsi="Arial Narrow"/>
          <w:sz w:val="18"/>
        </w:rPr>
        <w:t>CSR = clinical study report; DPMQ = dispensed price for maximum quantity; PBAC = Pharmaceutical Benefits Advisory Committee; PSD = public summary document</w:t>
      </w:r>
    </w:p>
    <w:p w:rsidR="009415F8" w:rsidRPr="00192045" w:rsidRDefault="009415F8" w:rsidP="00500B84">
      <w:pPr>
        <w:widowControl/>
        <w:spacing w:line="259" w:lineRule="auto"/>
        <w:jc w:val="left"/>
        <w:rPr>
          <w:rFonts w:ascii="Arial Narrow" w:eastAsia="Calibri" w:hAnsi="Arial Narrow" w:cs="Times New Roman"/>
          <w:snapToGrid/>
          <w:sz w:val="18"/>
          <w:szCs w:val="18"/>
        </w:rPr>
      </w:pPr>
      <w:r w:rsidRPr="00192045">
        <w:rPr>
          <w:rFonts w:ascii="Arial Narrow" w:eastAsia="Calibri" w:hAnsi="Arial Narrow" w:cs="Times New Roman"/>
          <w:snapToGrid/>
          <w:sz w:val="18"/>
          <w:szCs w:val="18"/>
          <w:vertAlign w:val="superscript"/>
        </w:rPr>
        <w:t xml:space="preserve"> </w:t>
      </w:r>
      <w:proofErr w:type="gramStart"/>
      <w:r w:rsidRPr="00192045">
        <w:rPr>
          <w:rFonts w:ascii="Arial Narrow" w:eastAsia="Calibri" w:hAnsi="Arial Narrow" w:cs="Times New Roman"/>
          <w:snapToGrid/>
          <w:sz w:val="18"/>
          <w:szCs w:val="18"/>
          <w:vertAlign w:val="superscript"/>
        </w:rPr>
        <w:t>a</w:t>
      </w:r>
      <w:proofErr w:type="gramEnd"/>
      <w:r w:rsidRPr="00192045">
        <w:rPr>
          <w:rFonts w:ascii="Arial Narrow" w:eastAsia="Calibri" w:hAnsi="Arial Narrow" w:cs="Times New Roman"/>
          <w:snapToGrid/>
          <w:sz w:val="18"/>
          <w:szCs w:val="18"/>
          <w:vertAlign w:val="superscript"/>
        </w:rPr>
        <w:t xml:space="preserve"> </w:t>
      </w:r>
      <w:proofErr w:type="spellStart"/>
      <w:r w:rsidR="00A75DFC" w:rsidRPr="00192045">
        <w:rPr>
          <w:rFonts w:ascii="Arial Narrow" w:eastAsia="Calibri" w:hAnsi="Arial Narrow" w:cs="Times New Roman"/>
          <w:snapToGrid/>
          <w:sz w:val="18"/>
          <w:szCs w:val="18"/>
        </w:rPr>
        <w:t>Brivaracetam</w:t>
      </w:r>
      <w:proofErr w:type="spellEnd"/>
      <w:r w:rsidR="00A75DFC" w:rsidRPr="00192045">
        <w:rPr>
          <w:rFonts w:ascii="Arial Narrow" w:eastAsia="Calibri" w:hAnsi="Arial Narrow" w:cs="Times New Roman"/>
          <w:snapToGrid/>
          <w:sz w:val="18"/>
          <w:szCs w:val="18"/>
        </w:rPr>
        <w:t xml:space="preserve"> dose of 4 mg/kg/day was b</w:t>
      </w:r>
      <w:r w:rsidRPr="00192045">
        <w:rPr>
          <w:rFonts w:ascii="Arial Narrow" w:eastAsia="Calibri" w:hAnsi="Arial Narrow" w:cs="Times New Roman"/>
          <w:snapToGrid/>
          <w:sz w:val="18"/>
          <w:szCs w:val="18"/>
        </w:rPr>
        <w:t xml:space="preserve">ased on study N01266 modal dose and </w:t>
      </w:r>
      <w:r w:rsidR="00A75DFC" w:rsidRPr="00192045">
        <w:rPr>
          <w:rFonts w:ascii="Arial Narrow" w:eastAsia="Calibri" w:hAnsi="Arial Narrow" w:cs="Times New Roman"/>
          <w:snapToGrid/>
          <w:sz w:val="18"/>
          <w:szCs w:val="18"/>
        </w:rPr>
        <w:t>calculated for a patient weighing 31 kg as per weight of patients weighing less than 50 kg (and using weight-based dosing) in the financial estimates.</w:t>
      </w:r>
    </w:p>
    <w:p w:rsidR="009415F8" w:rsidRPr="00192045" w:rsidRDefault="009415F8" w:rsidP="00500B84">
      <w:pPr>
        <w:widowControl/>
        <w:spacing w:line="259" w:lineRule="auto"/>
        <w:jc w:val="left"/>
        <w:rPr>
          <w:rFonts w:ascii="Arial Narrow" w:eastAsia="Calibri" w:hAnsi="Arial Narrow" w:cs="Times New Roman"/>
          <w:snapToGrid/>
          <w:sz w:val="18"/>
          <w:szCs w:val="18"/>
        </w:rPr>
      </w:pPr>
      <w:proofErr w:type="gramStart"/>
      <w:r w:rsidRPr="00192045">
        <w:rPr>
          <w:rFonts w:ascii="Arial Narrow" w:eastAsia="Calibri" w:hAnsi="Arial Narrow" w:cs="Times New Roman"/>
          <w:snapToGrid/>
          <w:sz w:val="18"/>
          <w:szCs w:val="18"/>
          <w:vertAlign w:val="superscript"/>
        </w:rPr>
        <w:t>b</w:t>
      </w:r>
      <w:proofErr w:type="gramEnd"/>
      <w:r w:rsidRPr="00192045">
        <w:rPr>
          <w:rFonts w:ascii="Arial Narrow" w:eastAsia="Calibri" w:hAnsi="Arial Narrow" w:cs="Times New Roman"/>
          <w:snapToGrid/>
          <w:sz w:val="18"/>
          <w:szCs w:val="18"/>
          <w:vertAlign w:val="superscript"/>
        </w:rPr>
        <w:t xml:space="preserve"> </w:t>
      </w:r>
      <w:bookmarkStart w:id="18" w:name="_Hlk18942627"/>
      <w:r w:rsidR="00931BE8" w:rsidRPr="00192045">
        <w:rPr>
          <w:rFonts w:ascii="Arial Narrow" w:eastAsia="Calibri" w:hAnsi="Arial Narrow" w:cs="Times New Roman"/>
          <w:snapToGrid/>
          <w:sz w:val="18"/>
          <w:szCs w:val="18"/>
        </w:rPr>
        <w:t xml:space="preserve">Daily dose rounded up to 125 mg </w:t>
      </w:r>
      <w:proofErr w:type="spellStart"/>
      <w:r w:rsidR="00931BE8" w:rsidRPr="00192045">
        <w:rPr>
          <w:rFonts w:ascii="Arial Narrow" w:eastAsia="Calibri" w:hAnsi="Arial Narrow" w:cs="Times New Roman"/>
          <w:snapToGrid/>
          <w:sz w:val="18"/>
          <w:szCs w:val="18"/>
        </w:rPr>
        <w:t>brivaracetam</w:t>
      </w:r>
      <w:proofErr w:type="spellEnd"/>
      <w:r w:rsidR="00931BE8" w:rsidRPr="00192045">
        <w:rPr>
          <w:rFonts w:ascii="Arial Narrow" w:eastAsia="Calibri" w:hAnsi="Arial Narrow" w:cs="Times New Roman"/>
          <w:snapToGrid/>
          <w:sz w:val="18"/>
          <w:szCs w:val="18"/>
        </w:rPr>
        <w:t xml:space="preserve"> to enable calculation.</w:t>
      </w:r>
      <w:r w:rsidR="00931BE8" w:rsidRPr="00192045">
        <w:rPr>
          <w:rFonts w:ascii="Arial Narrow" w:eastAsia="Calibri" w:hAnsi="Arial Narrow" w:cs="Times New Roman"/>
          <w:snapToGrid/>
          <w:sz w:val="18"/>
          <w:szCs w:val="18"/>
          <w:vertAlign w:val="superscript"/>
        </w:rPr>
        <w:t xml:space="preserve"> </w:t>
      </w:r>
      <w:r w:rsidR="00931BE8" w:rsidRPr="00192045">
        <w:rPr>
          <w:rFonts w:ascii="Arial Narrow" w:eastAsia="Calibri" w:hAnsi="Arial Narrow" w:cs="Times New Roman"/>
          <w:snapToGrid/>
          <w:sz w:val="18"/>
          <w:szCs w:val="18"/>
        </w:rPr>
        <w:t xml:space="preserve">Tablet cost calculated as $160.54 (50 mg </w:t>
      </w:r>
      <w:proofErr w:type="spellStart"/>
      <w:r w:rsidR="00931BE8" w:rsidRPr="00192045">
        <w:rPr>
          <w:rFonts w:ascii="Arial Narrow" w:eastAsia="Calibri" w:hAnsi="Arial Narrow" w:cs="Times New Roman"/>
          <w:snapToGrid/>
          <w:sz w:val="18"/>
          <w:szCs w:val="18"/>
        </w:rPr>
        <w:t>brivaracetam</w:t>
      </w:r>
      <w:proofErr w:type="spellEnd"/>
      <w:r w:rsidR="00931BE8" w:rsidRPr="00192045">
        <w:rPr>
          <w:rFonts w:ascii="Arial Narrow" w:eastAsia="Calibri" w:hAnsi="Arial Narrow" w:cs="Times New Roman"/>
          <w:snapToGrid/>
          <w:sz w:val="18"/>
          <w:szCs w:val="18"/>
        </w:rPr>
        <w:t xml:space="preserve"> DPMQ) ×13.04 +$160.54 (25 mg </w:t>
      </w:r>
      <w:proofErr w:type="spellStart"/>
      <w:r w:rsidR="00931BE8" w:rsidRPr="00192045">
        <w:rPr>
          <w:rFonts w:ascii="Arial Narrow" w:eastAsia="Calibri" w:hAnsi="Arial Narrow" w:cs="Times New Roman"/>
          <w:snapToGrid/>
          <w:sz w:val="18"/>
          <w:szCs w:val="18"/>
        </w:rPr>
        <w:t>brivaracetam</w:t>
      </w:r>
      <w:proofErr w:type="spellEnd"/>
      <w:r w:rsidR="00931BE8" w:rsidRPr="00192045">
        <w:rPr>
          <w:rFonts w:ascii="Arial Narrow" w:eastAsia="Calibri" w:hAnsi="Arial Narrow" w:cs="Times New Roman"/>
          <w:snapToGrid/>
          <w:sz w:val="18"/>
          <w:szCs w:val="18"/>
        </w:rPr>
        <w:t xml:space="preserve"> DPMQ) ×13.04/2. Oral solution calculated as 365.25</w:t>
      </w:r>
      <w:proofErr w:type="gramStart"/>
      <w:r w:rsidR="00931BE8" w:rsidRPr="00192045">
        <w:rPr>
          <w:rFonts w:ascii="Arial Narrow" w:eastAsia="Calibri" w:hAnsi="Arial Narrow" w:cs="Times New Roman"/>
          <w:snapToGrid/>
          <w:sz w:val="18"/>
          <w:szCs w:val="18"/>
        </w:rPr>
        <w:t>/(</w:t>
      </w:r>
      <w:proofErr w:type="gramEnd"/>
      <w:r w:rsidR="00931BE8" w:rsidRPr="00192045">
        <w:rPr>
          <w:rFonts w:ascii="Arial Narrow" w:eastAsia="Calibri" w:hAnsi="Arial Narrow" w:cs="Times New Roman"/>
          <w:snapToGrid/>
          <w:sz w:val="18"/>
          <w:szCs w:val="18"/>
        </w:rPr>
        <w:t>3,000(</w:t>
      </w:r>
      <w:proofErr w:type="spellStart"/>
      <w:r w:rsidR="00931BE8" w:rsidRPr="00192045">
        <w:rPr>
          <w:rFonts w:ascii="Arial Narrow" w:eastAsia="Calibri" w:hAnsi="Arial Narrow" w:cs="Times New Roman"/>
          <w:snapToGrid/>
          <w:sz w:val="18"/>
          <w:szCs w:val="18"/>
        </w:rPr>
        <w:t>brivaracetam</w:t>
      </w:r>
      <w:proofErr w:type="spellEnd"/>
      <w:r w:rsidR="00931BE8" w:rsidRPr="00192045">
        <w:rPr>
          <w:rFonts w:ascii="Arial Narrow" w:eastAsia="Calibri" w:hAnsi="Arial Narrow" w:cs="Times New Roman"/>
          <w:snapToGrid/>
          <w:sz w:val="18"/>
          <w:szCs w:val="18"/>
        </w:rPr>
        <w:t xml:space="preserve"> mg per bottle)/125) × $198.06 (</w:t>
      </w:r>
      <w:proofErr w:type="spellStart"/>
      <w:r w:rsidR="00931BE8" w:rsidRPr="00192045">
        <w:rPr>
          <w:rFonts w:ascii="Arial Narrow" w:eastAsia="Calibri" w:hAnsi="Arial Narrow" w:cs="Times New Roman"/>
          <w:snapToGrid/>
          <w:sz w:val="18"/>
          <w:szCs w:val="18"/>
        </w:rPr>
        <w:t>brivaracetam</w:t>
      </w:r>
      <w:proofErr w:type="spellEnd"/>
      <w:r w:rsidR="00931BE8" w:rsidRPr="00192045">
        <w:rPr>
          <w:rFonts w:ascii="Arial Narrow" w:eastAsia="Calibri" w:hAnsi="Arial Narrow" w:cs="Times New Roman"/>
          <w:snapToGrid/>
          <w:sz w:val="18"/>
          <w:szCs w:val="18"/>
        </w:rPr>
        <w:t xml:space="preserve"> oral solution DPMQ).</w:t>
      </w:r>
    </w:p>
    <w:bookmarkEnd w:id="18"/>
    <w:p w:rsidR="009415F8" w:rsidRPr="00192045" w:rsidRDefault="009415F8" w:rsidP="00500B84">
      <w:pPr>
        <w:widowControl/>
        <w:spacing w:line="259" w:lineRule="auto"/>
        <w:jc w:val="left"/>
        <w:rPr>
          <w:rFonts w:ascii="Arial Narrow" w:eastAsia="Calibri" w:hAnsi="Arial Narrow" w:cs="Times New Roman"/>
          <w:snapToGrid/>
          <w:sz w:val="18"/>
          <w:szCs w:val="18"/>
        </w:rPr>
      </w:pPr>
      <w:r w:rsidRPr="00192045">
        <w:rPr>
          <w:rFonts w:ascii="Arial Narrow" w:eastAsia="Calibri" w:hAnsi="Arial Narrow" w:cs="Times New Roman"/>
          <w:snapToGrid/>
          <w:sz w:val="18"/>
          <w:szCs w:val="18"/>
          <w:vertAlign w:val="superscript"/>
        </w:rPr>
        <w:t xml:space="preserve">c </w:t>
      </w:r>
      <w:r w:rsidR="00AA3834" w:rsidRPr="00192045">
        <w:rPr>
          <w:rFonts w:ascii="Arial Narrow" w:hAnsi="Arial Narrow"/>
          <w:sz w:val="18"/>
        </w:rPr>
        <w:t xml:space="preserve">Weighted average based on </w:t>
      </w:r>
      <w:r w:rsidR="007D76B3" w:rsidRPr="00192045">
        <w:rPr>
          <w:rFonts w:ascii="Arial Narrow" w:hAnsi="Arial Narrow"/>
          <w:sz w:val="18"/>
        </w:rPr>
        <w:t>60% of prescription for oral solution</w:t>
      </w:r>
      <w:r w:rsidR="000E5893" w:rsidRPr="00192045">
        <w:rPr>
          <w:rFonts w:ascii="Arial Narrow" w:hAnsi="Arial Narrow"/>
          <w:sz w:val="18"/>
        </w:rPr>
        <w:t xml:space="preserve"> (167 mg daily)</w:t>
      </w:r>
      <w:r w:rsidR="007D76B3" w:rsidRPr="00192045">
        <w:rPr>
          <w:rFonts w:ascii="Arial Narrow" w:hAnsi="Arial Narrow"/>
          <w:sz w:val="18"/>
        </w:rPr>
        <w:t xml:space="preserve">, </w:t>
      </w:r>
      <w:r w:rsidR="000E5893" w:rsidRPr="00192045">
        <w:rPr>
          <w:rFonts w:ascii="Arial Narrow" w:hAnsi="Arial Narrow"/>
          <w:sz w:val="18"/>
        </w:rPr>
        <w:t xml:space="preserve">4%, 10%, 18% and 8% of patients using 50 mg, 100 mg, 150 mg and 200 mg </w:t>
      </w:r>
      <w:proofErr w:type="spellStart"/>
      <w:r w:rsidR="000E5893" w:rsidRPr="00192045">
        <w:rPr>
          <w:rFonts w:ascii="Arial Narrow" w:hAnsi="Arial Narrow"/>
          <w:sz w:val="18"/>
        </w:rPr>
        <w:t>brivaracetam</w:t>
      </w:r>
      <w:proofErr w:type="spellEnd"/>
      <w:r w:rsidR="000E5893" w:rsidRPr="00192045">
        <w:rPr>
          <w:rFonts w:ascii="Arial Narrow" w:hAnsi="Arial Narrow"/>
          <w:sz w:val="18"/>
        </w:rPr>
        <w:t xml:space="preserve"> daily, </w:t>
      </w:r>
      <w:r w:rsidR="00AA3834" w:rsidRPr="00192045">
        <w:rPr>
          <w:rFonts w:ascii="Arial Narrow" w:hAnsi="Arial Narrow"/>
          <w:sz w:val="18"/>
        </w:rPr>
        <w:t>respectively, with 75% adherence (calculated from Section 4 spreadsheet</w:t>
      </w:r>
      <w:r w:rsidR="007D76B3" w:rsidRPr="00192045">
        <w:rPr>
          <w:rFonts w:ascii="Arial Narrow" w:hAnsi="Arial Narrow"/>
          <w:sz w:val="18"/>
        </w:rPr>
        <w:t>: '3b. Impact -</w:t>
      </w:r>
      <w:r w:rsidR="00167666">
        <w:rPr>
          <w:rFonts w:ascii="Arial Narrow" w:hAnsi="Arial Narrow"/>
          <w:sz w:val="18"/>
        </w:rPr>
        <w:t xml:space="preserve"> </w:t>
      </w:r>
      <w:r w:rsidR="007D76B3" w:rsidRPr="00192045">
        <w:rPr>
          <w:rFonts w:ascii="Arial Narrow" w:hAnsi="Arial Narrow"/>
          <w:sz w:val="18"/>
        </w:rPr>
        <w:t>PUB'</w:t>
      </w:r>
      <w:proofErr w:type="gramStart"/>
      <w:r w:rsidR="007D76B3" w:rsidRPr="00192045">
        <w:rPr>
          <w:rFonts w:ascii="Arial Narrow" w:hAnsi="Arial Narrow"/>
          <w:sz w:val="18"/>
        </w:rPr>
        <w:t>!C28</w:t>
      </w:r>
      <w:proofErr w:type="gramEnd"/>
      <w:r w:rsidR="007D76B3" w:rsidRPr="00192045">
        <w:rPr>
          <w:rFonts w:ascii="Arial Narrow" w:hAnsi="Arial Narrow"/>
          <w:sz w:val="18"/>
        </w:rPr>
        <w:t>/Dosing!C6</w:t>
      </w:r>
      <w:r w:rsidR="00AA3834" w:rsidRPr="00192045">
        <w:rPr>
          <w:rFonts w:ascii="Arial Narrow" w:hAnsi="Arial Narrow"/>
          <w:sz w:val="18"/>
        </w:rPr>
        <w:t>).</w:t>
      </w:r>
    </w:p>
    <w:p w:rsidR="009415F8" w:rsidRPr="00192045" w:rsidRDefault="009415F8" w:rsidP="00500B84">
      <w:pPr>
        <w:widowControl/>
        <w:spacing w:line="259" w:lineRule="auto"/>
        <w:jc w:val="left"/>
        <w:rPr>
          <w:rFonts w:ascii="Arial Narrow" w:hAnsi="Arial Narrow"/>
          <w:sz w:val="18"/>
        </w:rPr>
      </w:pPr>
      <w:proofErr w:type="gramStart"/>
      <w:r w:rsidRPr="00192045">
        <w:rPr>
          <w:rFonts w:ascii="Arial Narrow" w:hAnsi="Arial Narrow"/>
          <w:sz w:val="18"/>
          <w:vertAlign w:val="superscript"/>
        </w:rPr>
        <w:t>d</w:t>
      </w:r>
      <w:proofErr w:type="gramEnd"/>
      <w:r w:rsidRPr="00192045">
        <w:rPr>
          <w:rFonts w:ascii="Arial Narrow" w:hAnsi="Arial Narrow"/>
          <w:sz w:val="18"/>
          <w:vertAlign w:val="superscript"/>
        </w:rPr>
        <w:t xml:space="preserve"> </w:t>
      </w:r>
      <w:r w:rsidR="00AA3834" w:rsidRPr="00192045">
        <w:rPr>
          <w:rFonts w:ascii="Arial Narrow" w:eastAsia="Calibri" w:hAnsi="Arial Narrow" w:cs="Times New Roman"/>
          <w:snapToGrid/>
          <w:sz w:val="18"/>
          <w:szCs w:val="18"/>
        </w:rPr>
        <w:t xml:space="preserve">Based on a daily dose of 8 mg/kg/day from </w:t>
      </w:r>
      <w:r w:rsidR="00D53648" w:rsidRPr="00192045">
        <w:rPr>
          <w:rFonts w:ascii="Arial Narrow" w:eastAsia="Calibri" w:hAnsi="Arial Narrow" w:cs="Times New Roman"/>
          <w:snapToGrid/>
          <w:sz w:val="18"/>
          <w:szCs w:val="18"/>
        </w:rPr>
        <w:t xml:space="preserve">the 10 week maintenance phase of </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trial SP0969 and patient weight of 31 kg. </w:t>
      </w:r>
    </w:p>
    <w:p w:rsidR="009415F8" w:rsidRPr="00192045" w:rsidRDefault="009415F8" w:rsidP="00500B84">
      <w:pPr>
        <w:widowControl/>
        <w:spacing w:line="259" w:lineRule="auto"/>
        <w:jc w:val="left"/>
        <w:rPr>
          <w:rFonts w:ascii="Arial Narrow" w:eastAsia="Calibri" w:hAnsi="Arial Narrow" w:cs="Times New Roman"/>
          <w:snapToGrid/>
          <w:sz w:val="18"/>
          <w:szCs w:val="18"/>
        </w:rPr>
      </w:pPr>
      <w:proofErr w:type="gramStart"/>
      <w:r w:rsidRPr="00192045">
        <w:rPr>
          <w:rFonts w:ascii="Arial Narrow" w:eastAsia="Calibri" w:hAnsi="Arial Narrow" w:cs="Times New Roman"/>
          <w:snapToGrid/>
          <w:sz w:val="18"/>
          <w:szCs w:val="18"/>
          <w:vertAlign w:val="superscript"/>
        </w:rPr>
        <w:t>e</w:t>
      </w:r>
      <w:proofErr w:type="gramEnd"/>
      <w:r w:rsidRPr="00192045">
        <w:rPr>
          <w:rFonts w:ascii="Arial Narrow" w:eastAsia="Calibri" w:hAnsi="Arial Narrow" w:cs="Times New Roman"/>
          <w:snapToGrid/>
          <w:sz w:val="18"/>
          <w:szCs w:val="18"/>
          <w:vertAlign w:val="superscript"/>
        </w:rPr>
        <w:t xml:space="preserve"> </w:t>
      </w:r>
      <w:r w:rsidR="00AA3834" w:rsidRPr="00192045">
        <w:rPr>
          <w:rFonts w:ascii="Arial Narrow" w:eastAsia="Calibri" w:hAnsi="Arial Narrow" w:cs="Times New Roman"/>
          <w:snapToGrid/>
          <w:sz w:val="18"/>
          <w:szCs w:val="18"/>
        </w:rPr>
        <w:t xml:space="preserve">Dose rounded to 250 mg </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to enable calculation. Tablet cost calculated as </w:t>
      </w:r>
      <w:r w:rsidR="009A377E" w:rsidRPr="00192045">
        <w:rPr>
          <w:rFonts w:ascii="Arial Narrow" w:eastAsia="Calibri" w:hAnsi="Arial Narrow" w:cs="Times New Roman"/>
          <w:snapToGrid/>
          <w:sz w:val="18"/>
          <w:szCs w:val="18"/>
        </w:rPr>
        <w:t xml:space="preserve">$168.57 </w:t>
      </w:r>
      <w:r w:rsidR="00AA3834" w:rsidRPr="00192045">
        <w:rPr>
          <w:rFonts w:ascii="Arial Narrow" w:eastAsia="Calibri" w:hAnsi="Arial Narrow" w:cs="Times New Roman"/>
          <w:snapToGrid/>
          <w:sz w:val="18"/>
          <w:szCs w:val="18"/>
        </w:rPr>
        <w:t>(1</w:t>
      </w:r>
      <w:r w:rsidR="009A377E" w:rsidRPr="00192045">
        <w:rPr>
          <w:rFonts w:ascii="Arial Narrow" w:eastAsia="Calibri" w:hAnsi="Arial Narrow" w:cs="Times New Roman"/>
          <w:snapToGrid/>
          <w:sz w:val="18"/>
          <w:szCs w:val="18"/>
        </w:rPr>
        <w:t>0</w:t>
      </w:r>
      <w:r w:rsidR="00AA3834" w:rsidRPr="00192045">
        <w:rPr>
          <w:rFonts w:ascii="Arial Narrow" w:eastAsia="Calibri" w:hAnsi="Arial Narrow" w:cs="Times New Roman"/>
          <w:snapToGrid/>
          <w:sz w:val="18"/>
          <w:szCs w:val="18"/>
        </w:rPr>
        <w:t xml:space="preserve">0 mg </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DPMQ) ×13.04 +$89.93 (50 mg </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DPMQ) ×13.04/2. Oral solution calculated as 365.25</w:t>
      </w:r>
      <w:proofErr w:type="gramStart"/>
      <w:r w:rsidR="00AA3834" w:rsidRPr="00192045">
        <w:rPr>
          <w:rFonts w:ascii="Arial Narrow" w:eastAsia="Calibri" w:hAnsi="Arial Narrow" w:cs="Times New Roman"/>
          <w:snapToGrid/>
          <w:sz w:val="18"/>
          <w:szCs w:val="18"/>
        </w:rPr>
        <w:t>/(</w:t>
      </w:r>
      <w:proofErr w:type="gramEnd"/>
      <w:r w:rsidR="00AA3834" w:rsidRPr="00192045">
        <w:rPr>
          <w:rFonts w:ascii="Arial Narrow" w:eastAsia="Calibri" w:hAnsi="Arial Narrow" w:cs="Times New Roman"/>
          <w:snapToGrid/>
          <w:sz w:val="18"/>
          <w:szCs w:val="18"/>
        </w:rPr>
        <w:t>12,000(</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mg prescription)/</w:t>
      </w:r>
      <w:r w:rsidR="00546023" w:rsidRPr="00192045">
        <w:rPr>
          <w:rFonts w:ascii="Arial Narrow" w:eastAsia="Calibri" w:hAnsi="Arial Narrow" w:cs="Times New Roman"/>
          <w:snapToGrid/>
          <w:sz w:val="18"/>
          <w:szCs w:val="18"/>
        </w:rPr>
        <w:t>250</w:t>
      </w:r>
      <w:r w:rsidR="00AA3834" w:rsidRPr="00192045">
        <w:rPr>
          <w:rFonts w:ascii="Arial Narrow" w:eastAsia="Calibri" w:hAnsi="Arial Narrow" w:cs="Times New Roman"/>
          <w:snapToGrid/>
          <w:sz w:val="18"/>
          <w:szCs w:val="18"/>
        </w:rPr>
        <w:t>) × $388.65 (</w:t>
      </w:r>
      <w:proofErr w:type="spellStart"/>
      <w:r w:rsidR="00AA3834" w:rsidRPr="00192045">
        <w:rPr>
          <w:rFonts w:ascii="Arial Narrow" w:eastAsia="Calibri" w:hAnsi="Arial Narrow" w:cs="Times New Roman"/>
          <w:snapToGrid/>
          <w:sz w:val="18"/>
          <w:szCs w:val="18"/>
        </w:rPr>
        <w:t>lacosamide</w:t>
      </w:r>
      <w:proofErr w:type="spellEnd"/>
      <w:r w:rsidR="00AA3834" w:rsidRPr="00192045">
        <w:rPr>
          <w:rFonts w:ascii="Arial Narrow" w:eastAsia="Calibri" w:hAnsi="Arial Narrow" w:cs="Times New Roman"/>
          <w:snapToGrid/>
          <w:sz w:val="18"/>
          <w:szCs w:val="18"/>
        </w:rPr>
        <w:t xml:space="preserve"> oral solution DPMQ).</w:t>
      </w:r>
    </w:p>
    <w:p w:rsidR="009415F8" w:rsidRPr="00192045" w:rsidRDefault="003260BA" w:rsidP="00500B84">
      <w:pPr>
        <w:widowControl/>
        <w:spacing w:line="259" w:lineRule="auto"/>
        <w:jc w:val="left"/>
        <w:rPr>
          <w:rFonts w:ascii="Arial Narrow" w:eastAsia="Calibri" w:hAnsi="Arial Narrow" w:cs="Times New Roman"/>
          <w:snapToGrid/>
          <w:sz w:val="18"/>
          <w:szCs w:val="18"/>
        </w:rPr>
      </w:pPr>
      <w:r w:rsidRPr="00192045">
        <w:rPr>
          <w:rFonts w:ascii="Arial Narrow" w:eastAsia="Calibri" w:hAnsi="Arial Narrow" w:cs="Times New Roman"/>
          <w:snapToGrid/>
          <w:sz w:val="18"/>
          <w:szCs w:val="18"/>
          <w:vertAlign w:val="superscript"/>
        </w:rPr>
        <w:t>f</w:t>
      </w:r>
      <w:r w:rsidR="009415F8" w:rsidRPr="00192045">
        <w:rPr>
          <w:rFonts w:ascii="Arial Narrow" w:eastAsia="Calibri" w:hAnsi="Arial Narrow" w:cs="Times New Roman"/>
          <w:snapToGrid/>
          <w:sz w:val="18"/>
          <w:szCs w:val="18"/>
          <w:vertAlign w:val="superscript"/>
        </w:rPr>
        <w:t xml:space="preserve"> </w:t>
      </w:r>
      <w:r w:rsidR="00AA3834" w:rsidRPr="00192045">
        <w:rPr>
          <w:rFonts w:ascii="Arial Narrow" w:hAnsi="Arial Narrow"/>
          <w:sz w:val="18"/>
        </w:rPr>
        <w:t xml:space="preserve">Weighted average based on 12%, 66%, 17% and 5% of patients using 100 mg, 200 mg, 300 mg and 400 mg </w:t>
      </w:r>
      <w:proofErr w:type="spellStart"/>
      <w:r w:rsidR="00AA3834" w:rsidRPr="00192045">
        <w:rPr>
          <w:rFonts w:ascii="Arial Narrow" w:hAnsi="Arial Narrow"/>
          <w:sz w:val="18"/>
        </w:rPr>
        <w:t>lacosamide</w:t>
      </w:r>
      <w:proofErr w:type="spellEnd"/>
      <w:r w:rsidR="00AA3834" w:rsidRPr="00192045">
        <w:rPr>
          <w:rFonts w:ascii="Arial Narrow" w:hAnsi="Arial Narrow"/>
          <w:sz w:val="18"/>
        </w:rPr>
        <w:t xml:space="preserve"> daily, respectively, with 75% adherence (calculated from Section 4 spreadsheet</w:t>
      </w:r>
      <w:r w:rsidR="007D76B3" w:rsidRPr="00192045">
        <w:rPr>
          <w:rFonts w:ascii="Arial Narrow" w:hAnsi="Arial Narrow"/>
          <w:sz w:val="18"/>
        </w:rPr>
        <w:t>: '4b. Displaced - PUB'</w:t>
      </w:r>
      <w:proofErr w:type="gramStart"/>
      <w:r w:rsidR="007D76B3" w:rsidRPr="00192045">
        <w:rPr>
          <w:rFonts w:ascii="Arial Narrow" w:hAnsi="Arial Narrow"/>
          <w:sz w:val="18"/>
        </w:rPr>
        <w:t>!C27</w:t>
      </w:r>
      <w:proofErr w:type="gramEnd"/>
      <w:r w:rsidR="007D76B3" w:rsidRPr="00192045">
        <w:rPr>
          <w:rFonts w:ascii="Arial Narrow" w:hAnsi="Arial Narrow"/>
          <w:sz w:val="18"/>
        </w:rPr>
        <w:t>/Dosing!C6</w:t>
      </w:r>
      <w:r w:rsidR="00AA3834" w:rsidRPr="00192045">
        <w:rPr>
          <w:rFonts w:ascii="Arial Narrow" w:hAnsi="Arial Narrow"/>
          <w:sz w:val="18"/>
        </w:rPr>
        <w:t>).</w:t>
      </w:r>
    </w:p>
    <w:p w:rsidR="0045048E" w:rsidRPr="00192045" w:rsidRDefault="0045048E" w:rsidP="00162AB1">
      <w:pPr>
        <w:jc w:val="left"/>
        <w:rPr>
          <w:i/>
        </w:rPr>
      </w:pPr>
      <w:bookmarkStart w:id="19" w:name="_Toc19712699"/>
    </w:p>
    <w:p w:rsidR="00B60939" w:rsidRPr="00192045" w:rsidRDefault="00B60939" w:rsidP="00500B84">
      <w:pPr>
        <w:pStyle w:val="Heading2"/>
        <w:widowControl/>
      </w:pPr>
      <w:r w:rsidRPr="00192045">
        <w:t>Estimated PBS usage &amp; financial implications</w:t>
      </w:r>
      <w:bookmarkEnd w:id="19"/>
    </w:p>
    <w:p w:rsidR="001128AC" w:rsidRPr="00192045" w:rsidRDefault="009B673B" w:rsidP="00E2012A">
      <w:pPr>
        <w:pStyle w:val="numberedbulletstyle"/>
      </w:pPr>
      <w:r w:rsidRPr="00192045">
        <w:t>This submission was not considered by DUSC</w:t>
      </w:r>
      <w:r w:rsidR="001128AC" w:rsidRPr="00192045">
        <w:rPr>
          <w:color w:val="0070C0"/>
        </w:rPr>
        <w:t xml:space="preserve">. </w:t>
      </w:r>
      <w:r w:rsidR="001128AC" w:rsidRPr="00192045">
        <w:t>The submission used an epidemiological approach to estimate usage and financial implication</w:t>
      </w:r>
      <w:r w:rsidR="000A6EB7" w:rsidRPr="00192045">
        <w:t>s</w:t>
      </w:r>
      <w:r w:rsidR="001128AC" w:rsidRPr="00192045">
        <w:t>.</w:t>
      </w:r>
      <w:r w:rsidR="001128AC" w:rsidRPr="00192045">
        <w:rPr>
          <w:color w:val="0070C0"/>
        </w:rPr>
        <w:t xml:space="preserve"> </w:t>
      </w:r>
    </w:p>
    <w:p w:rsidR="001128AC" w:rsidRPr="00192045" w:rsidRDefault="001128AC" w:rsidP="00E2012A">
      <w:pPr>
        <w:pStyle w:val="numberedbulletstyle"/>
      </w:pPr>
      <w:r w:rsidRPr="00192045">
        <w:t xml:space="preserve">The submission estimated that 0.65% of the population aged 4 </w:t>
      </w:r>
      <w:r w:rsidR="00365A67" w:rsidRPr="00192045">
        <w:t>-</w:t>
      </w:r>
      <w:r w:rsidRPr="00192045">
        <w:t xml:space="preserve"> 15 years had epilepsy, of which 57% had partial onset epilepsy and 9.4% would be eligible for fourth line adjunctive treatment. The submission assumed more patients aged 4 - 11 years would </w:t>
      </w:r>
      <w:r w:rsidRPr="00192045">
        <w:lastRenderedPageBreak/>
        <w:t xml:space="preserve">be treated with </w:t>
      </w:r>
      <w:proofErr w:type="spellStart"/>
      <w:r w:rsidRPr="00192045">
        <w:t>brivaracetam</w:t>
      </w:r>
      <w:proofErr w:type="spellEnd"/>
      <w:r w:rsidRPr="00192045">
        <w:t xml:space="preserve"> than patients aged 12 - 15 years because </w:t>
      </w:r>
      <w:proofErr w:type="spellStart"/>
      <w:r w:rsidRPr="00192045">
        <w:t>perampanel</w:t>
      </w:r>
      <w:proofErr w:type="spellEnd"/>
      <w:r w:rsidRPr="00192045">
        <w:t xml:space="preserve"> was not registered for use in the younger population. The approach used was consistent with the approach used to estimate the financial implications in the November 2018 </w:t>
      </w:r>
      <w:proofErr w:type="spellStart"/>
      <w:r w:rsidRPr="00192045">
        <w:t>lacosamide</w:t>
      </w:r>
      <w:proofErr w:type="spellEnd"/>
      <w:r w:rsidRPr="00192045">
        <w:t xml:space="preserve"> submission for the same population. The submission may have overestimated the prevalence of epilepsy, and use of the oral solution, because incidence of epilepsy and treated epilepsy increases over childhood (Hollingsworth and </w:t>
      </w:r>
      <w:proofErr w:type="spellStart"/>
      <w:r w:rsidRPr="00192045">
        <w:t>Eadie</w:t>
      </w:r>
      <w:proofErr w:type="spellEnd"/>
      <w:r w:rsidRPr="00192045">
        <w:t>, 2010, Wallace et al</w:t>
      </w:r>
      <w:r w:rsidR="0074620F" w:rsidRPr="00192045">
        <w:t>.</w:t>
      </w:r>
      <w:r w:rsidRPr="00192045">
        <w:t>, 1998).</w:t>
      </w:r>
      <w:r w:rsidR="004A0E29" w:rsidRPr="00192045">
        <w:t xml:space="preserve"> </w:t>
      </w:r>
    </w:p>
    <w:p w:rsidR="001128AC" w:rsidRPr="00192045" w:rsidRDefault="001128AC" w:rsidP="00E2012A">
      <w:pPr>
        <w:pStyle w:val="numberedbulletstyle"/>
      </w:pPr>
      <w:r w:rsidRPr="00192045">
        <w:t xml:space="preserve">The submission did not include dose titration because </w:t>
      </w:r>
      <w:proofErr w:type="spellStart"/>
      <w:r w:rsidRPr="00192045">
        <w:t>brivaracetam</w:t>
      </w:r>
      <w:proofErr w:type="spellEnd"/>
      <w:r w:rsidRPr="00192045">
        <w:t xml:space="preserve"> is initiated at a therapeutically active dose.</w:t>
      </w:r>
      <w:r w:rsidR="00C36BBC" w:rsidRPr="00192045">
        <w:t xml:space="preserve"> Table 10</w:t>
      </w:r>
      <w:r w:rsidR="00C95076" w:rsidRPr="00192045">
        <w:t xml:space="preserve"> summarises the </w:t>
      </w:r>
      <w:r w:rsidR="00884F53" w:rsidRPr="00192045">
        <w:t>e</w:t>
      </w:r>
      <w:r w:rsidR="00C95076" w:rsidRPr="00192045">
        <w:t xml:space="preserve">stimated use and financial implications of listing </w:t>
      </w:r>
      <w:proofErr w:type="spellStart"/>
      <w:r w:rsidR="00C95076" w:rsidRPr="00192045">
        <w:t>brivaracetam</w:t>
      </w:r>
      <w:proofErr w:type="spellEnd"/>
      <w:r w:rsidR="00C95076" w:rsidRPr="00192045">
        <w:t xml:space="preserve"> in patients aged 4 </w:t>
      </w:r>
      <w:r w:rsidR="00884F53" w:rsidRPr="00192045">
        <w:noBreakHyphen/>
      </w:r>
      <w:r w:rsidR="00C95076" w:rsidRPr="00192045">
        <w:t xml:space="preserve"> 1</w:t>
      </w:r>
      <w:r w:rsidR="00884F53" w:rsidRPr="00192045">
        <w:t>5</w:t>
      </w:r>
      <w:r w:rsidR="00C95076" w:rsidRPr="00192045">
        <w:t xml:space="preserve"> years of age.</w:t>
      </w:r>
    </w:p>
    <w:p w:rsidR="001128AC" w:rsidRPr="00192045" w:rsidRDefault="001128AC" w:rsidP="00686F16">
      <w:pPr>
        <w:keepNext/>
        <w:widowControl/>
        <w:jc w:val="left"/>
      </w:pPr>
      <w:r w:rsidRPr="00192045">
        <w:rPr>
          <w:rStyle w:val="CommentReference"/>
        </w:rPr>
        <w:t xml:space="preserve">Table </w:t>
      </w:r>
      <w:r w:rsidR="00C36BBC" w:rsidRPr="00192045">
        <w:rPr>
          <w:rStyle w:val="CommentReference"/>
        </w:rPr>
        <w:t>10</w:t>
      </w:r>
      <w:r w:rsidRPr="00192045">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1128AC" w:rsidRPr="00192045" w:rsidTr="00822893">
        <w:trPr>
          <w:tblHeader/>
        </w:trPr>
        <w:tc>
          <w:tcPr>
            <w:tcW w:w="1119" w:type="pct"/>
            <w:shd w:val="clear" w:color="auto" w:fill="auto"/>
            <w:vAlign w:val="center"/>
          </w:tcPr>
          <w:p w:rsidR="001128AC" w:rsidRPr="00192045" w:rsidRDefault="001128AC" w:rsidP="00686F16">
            <w:pPr>
              <w:pStyle w:val="Tabletext"/>
              <w:keepNext/>
            </w:pPr>
          </w:p>
        </w:tc>
        <w:tc>
          <w:tcPr>
            <w:tcW w:w="647" w:type="pct"/>
            <w:shd w:val="clear" w:color="auto" w:fill="auto"/>
            <w:vAlign w:val="center"/>
          </w:tcPr>
          <w:p w:rsidR="001128AC" w:rsidRPr="00192045" w:rsidRDefault="001128AC" w:rsidP="000A6EB7">
            <w:pPr>
              <w:pStyle w:val="Tabletext"/>
              <w:keepNext/>
              <w:jc w:val="center"/>
              <w:rPr>
                <w:b/>
              </w:rPr>
            </w:pPr>
            <w:r w:rsidRPr="00192045">
              <w:rPr>
                <w:b/>
              </w:rPr>
              <w:t>Year 1</w:t>
            </w:r>
          </w:p>
        </w:tc>
        <w:tc>
          <w:tcPr>
            <w:tcW w:w="647" w:type="pct"/>
            <w:shd w:val="clear" w:color="auto" w:fill="auto"/>
            <w:vAlign w:val="center"/>
          </w:tcPr>
          <w:p w:rsidR="001128AC" w:rsidRPr="00192045" w:rsidRDefault="001128AC" w:rsidP="000A6EB7">
            <w:pPr>
              <w:pStyle w:val="Tabletext"/>
              <w:keepNext/>
              <w:jc w:val="center"/>
              <w:rPr>
                <w:b/>
              </w:rPr>
            </w:pPr>
            <w:r w:rsidRPr="00192045">
              <w:rPr>
                <w:b/>
              </w:rPr>
              <w:t>Year 2</w:t>
            </w:r>
          </w:p>
        </w:tc>
        <w:tc>
          <w:tcPr>
            <w:tcW w:w="647" w:type="pct"/>
            <w:shd w:val="clear" w:color="auto" w:fill="auto"/>
            <w:vAlign w:val="center"/>
          </w:tcPr>
          <w:p w:rsidR="001128AC" w:rsidRPr="00192045" w:rsidRDefault="001128AC" w:rsidP="000A6EB7">
            <w:pPr>
              <w:pStyle w:val="Tabletext"/>
              <w:keepNext/>
              <w:jc w:val="center"/>
              <w:rPr>
                <w:b/>
              </w:rPr>
            </w:pPr>
            <w:r w:rsidRPr="00192045">
              <w:rPr>
                <w:b/>
              </w:rPr>
              <w:t>Year 3</w:t>
            </w:r>
          </w:p>
        </w:tc>
        <w:tc>
          <w:tcPr>
            <w:tcW w:w="647" w:type="pct"/>
            <w:shd w:val="clear" w:color="auto" w:fill="auto"/>
            <w:vAlign w:val="center"/>
          </w:tcPr>
          <w:p w:rsidR="001128AC" w:rsidRPr="00192045" w:rsidRDefault="001128AC" w:rsidP="000A6EB7">
            <w:pPr>
              <w:pStyle w:val="Tabletext"/>
              <w:keepNext/>
              <w:jc w:val="center"/>
              <w:rPr>
                <w:b/>
              </w:rPr>
            </w:pPr>
            <w:r w:rsidRPr="00192045">
              <w:rPr>
                <w:b/>
              </w:rPr>
              <w:t>Year 4</w:t>
            </w:r>
          </w:p>
        </w:tc>
        <w:tc>
          <w:tcPr>
            <w:tcW w:w="647" w:type="pct"/>
            <w:shd w:val="clear" w:color="auto" w:fill="auto"/>
            <w:vAlign w:val="center"/>
          </w:tcPr>
          <w:p w:rsidR="001128AC" w:rsidRPr="00192045" w:rsidRDefault="001128AC" w:rsidP="000A6EB7">
            <w:pPr>
              <w:pStyle w:val="Tabletext"/>
              <w:keepNext/>
              <w:jc w:val="center"/>
              <w:rPr>
                <w:b/>
              </w:rPr>
            </w:pPr>
            <w:r w:rsidRPr="00192045">
              <w:rPr>
                <w:b/>
              </w:rPr>
              <w:t>Year 5</w:t>
            </w:r>
          </w:p>
        </w:tc>
        <w:tc>
          <w:tcPr>
            <w:tcW w:w="646" w:type="pct"/>
            <w:shd w:val="clear" w:color="auto" w:fill="auto"/>
            <w:vAlign w:val="center"/>
          </w:tcPr>
          <w:p w:rsidR="001128AC" w:rsidRPr="00192045" w:rsidRDefault="001128AC" w:rsidP="000A6EB7">
            <w:pPr>
              <w:pStyle w:val="Tabletext"/>
              <w:keepNext/>
              <w:jc w:val="center"/>
              <w:rPr>
                <w:b/>
              </w:rPr>
            </w:pPr>
            <w:r w:rsidRPr="00192045">
              <w:rPr>
                <w:b/>
              </w:rPr>
              <w:t>Year 6</w:t>
            </w:r>
          </w:p>
        </w:tc>
      </w:tr>
      <w:tr w:rsidR="001128AC" w:rsidRPr="00192045" w:rsidTr="00822893">
        <w:tc>
          <w:tcPr>
            <w:tcW w:w="5000" w:type="pct"/>
            <w:gridSpan w:val="7"/>
            <w:shd w:val="clear" w:color="auto" w:fill="auto"/>
            <w:vAlign w:val="center"/>
          </w:tcPr>
          <w:p w:rsidR="001128AC" w:rsidRPr="00192045" w:rsidRDefault="001128AC" w:rsidP="00686F16">
            <w:pPr>
              <w:pStyle w:val="Tabletext"/>
              <w:keepNext/>
              <w:rPr>
                <w:b/>
                <w:bCs/>
                <w:color w:val="000000"/>
              </w:rPr>
            </w:pPr>
            <w:r w:rsidRPr="00192045">
              <w:rPr>
                <w:b/>
                <w:bCs/>
                <w:color w:val="000000"/>
              </w:rPr>
              <w:t>Estimated extent of use</w:t>
            </w:r>
          </w:p>
        </w:tc>
      </w:tr>
      <w:tr w:rsidR="001128AC" w:rsidRPr="00192045" w:rsidTr="00822893">
        <w:tc>
          <w:tcPr>
            <w:tcW w:w="1119" w:type="pct"/>
            <w:shd w:val="clear" w:color="auto" w:fill="auto"/>
            <w:vAlign w:val="center"/>
          </w:tcPr>
          <w:p w:rsidR="001128AC" w:rsidRPr="00192045" w:rsidRDefault="001128AC" w:rsidP="00686F16">
            <w:pPr>
              <w:pStyle w:val="Tabletext"/>
              <w:keepNext/>
              <w:rPr>
                <w:vertAlign w:val="superscript"/>
              </w:rPr>
            </w:pPr>
            <w:r w:rsidRPr="00192045">
              <w:t xml:space="preserve">Market share </w:t>
            </w:r>
            <w:r w:rsidRPr="00192045">
              <w:rPr>
                <w:vertAlign w:val="superscript"/>
              </w:rPr>
              <w:t>a</w:t>
            </w:r>
          </w:p>
        </w:tc>
        <w:tc>
          <w:tcPr>
            <w:tcW w:w="647" w:type="pct"/>
            <w:shd w:val="clear" w:color="auto" w:fill="auto"/>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c>
          <w:tcPr>
            <w:tcW w:w="647" w:type="pct"/>
            <w:shd w:val="clear" w:color="auto" w:fill="auto"/>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c>
          <w:tcPr>
            <w:tcW w:w="647" w:type="pct"/>
            <w:shd w:val="clear" w:color="auto" w:fill="auto"/>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c>
          <w:tcPr>
            <w:tcW w:w="647" w:type="pct"/>
            <w:shd w:val="clear" w:color="auto" w:fill="auto"/>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c>
          <w:tcPr>
            <w:tcW w:w="647" w:type="pct"/>
            <w:shd w:val="clear" w:color="auto" w:fill="auto"/>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c>
          <w:tcPr>
            <w:tcW w:w="646" w:type="pct"/>
          </w:tcPr>
          <w:p w:rsidR="001128AC" w:rsidRPr="00192045" w:rsidRDefault="00BB1A8C" w:rsidP="00686F16">
            <w:pPr>
              <w:pStyle w:val="Tabletext"/>
              <w:keepNext/>
              <w:jc w:val="center"/>
              <w:rPr>
                <w:bCs/>
                <w:color w:val="000000"/>
              </w:rPr>
            </w:pPr>
            <w:r>
              <w:rPr>
                <w:noProof/>
                <w:color w:val="000000"/>
                <w:highlight w:val="black"/>
              </w:rPr>
              <w:t>''''''</w:t>
            </w:r>
            <w:r w:rsidR="001128AC" w:rsidRPr="00192045">
              <w:t>%</w:t>
            </w:r>
          </w:p>
        </w:tc>
      </w:tr>
      <w:tr w:rsidR="001128AC" w:rsidRPr="00192045" w:rsidTr="00822893">
        <w:tc>
          <w:tcPr>
            <w:tcW w:w="1119" w:type="pct"/>
            <w:shd w:val="clear" w:color="auto" w:fill="auto"/>
            <w:vAlign w:val="center"/>
          </w:tcPr>
          <w:p w:rsidR="001128AC" w:rsidRPr="00192045" w:rsidRDefault="001128AC" w:rsidP="00686F16">
            <w:pPr>
              <w:pStyle w:val="Tabletext"/>
              <w:keepNext/>
              <w:rPr>
                <w:rFonts w:ascii="Times" w:hAnsi="Times"/>
              </w:rPr>
            </w:pPr>
            <w:r w:rsidRPr="00192045">
              <w:t>Number of patients treated</w:t>
            </w:r>
          </w:p>
        </w:tc>
        <w:tc>
          <w:tcPr>
            <w:tcW w:w="647" w:type="pct"/>
            <w:shd w:val="clear" w:color="auto" w:fill="auto"/>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shd w:val="clear" w:color="auto" w:fill="auto"/>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shd w:val="clear" w:color="auto" w:fill="auto"/>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shd w:val="clear" w:color="auto" w:fill="auto"/>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shd w:val="clear" w:color="auto" w:fill="auto"/>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6" w:type="pct"/>
          </w:tcPr>
          <w:p w:rsidR="001128AC" w:rsidRPr="00BB1A8C" w:rsidRDefault="00BB1A8C" w:rsidP="00686F16">
            <w:pPr>
              <w:pStyle w:val="Tabletext"/>
              <w:keepNext/>
              <w:jc w:val="center"/>
              <w:rPr>
                <w:bCs/>
                <w:color w:val="000000"/>
                <w:highlight w:val="black"/>
              </w:rPr>
            </w:pPr>
            <w:r>
              <w:rPr>
                <w:noProof/>
                <w:color w:val="000000"/>
                <w:highlight w:val="black"/>
              </w:rPr>
              <w:t>'''''''''</w:t>
            </w:r>
          </w:p>
        </w:tc>
      </w:tr>
      <w:tr w:rsidR="001128AC" w:rsidRPr="00192045" w:rsidTr="00822893">
        <w:tc>
          <w:tcPr>
            <w:tcW w:w="1119" w:type="pct"/>
            <w:shd w:val="clear" w:color="auto" w:fill="auto"/>
            <w:vAlign w:val="center"/>
          </w:tcPr>
          <w:p w:rsidR="001128AC" w:rsidRPr="00192045" w:rsidRDefault="001128AC" w:rsidP="00686F16">
            <w:pPr>
              <w:pStyle w:val="Tabletext"/>
              <w:keepNext/>
              <w:rPr>
                <w:rFonts w:ascii="Times" w:hAnsi="Times"/>
              </w:rPr>
            </w:pPr>
            <w:r w:rsidRPr="00192045">
              <w:t>Number of scripts dispensed</w:t>
            </w:r>
          </w:p>
        </w:tc>
        <w:tc>
          <w:tcPr>
            <w:tcW w:w="647"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7"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c>
          <w:tcPr>
            <w:tcW w:w="646" w:type="pct"/>
            <w:vAlign w:val="center"/>
          </w:tcPr>
          <w:p w:rsidR="001128AC" w:rsidRPr="00BB1A8C" w:rsidRDefault="00BB1A8C" w:rsidP="00686F16">
            <w:pPr>
              <w:pStyle w:val="Tabletext"/>
              <w:keepNext/>
              <w:jc w:val="center"/>
              <w:rPr>
                <w:bCs/>
                <w:color w:val="000000"/>
                <w:highlight w:val="black"/>
              </w:rPr>
            </w:pPr>
            <w:r>
              <w:rPr>
                <w:noProof/>
                <w:color w:val="000000"/>
                <w:highlight w:val="black"/>
              </w:rPr>
              <w:t>'''''''''''''</w:t>
            </w:r>
          </w:p>
        </w:tc>
      </w:tr>
      <w:tr w:rsidR="001128AC" w:rsidRPr="00192045" w:rsidTr="00822893">
        <w:tc>
          <w:tcPr>
            <w:tcW w:w="5000" w:type="pct"/>
            <w:gridSpan w:val="7"/>
            <w:shd w:val="clear" w:color="auto" w:fill="auto"/>
            <w:vAlign w:val="center"/>
          </w:tcPr>
          <w:p w:rsidR="001128AC" w:rsidRPr="00192045" w:rsidRDefault="001128AC" w:rsidP="00686F16">
            <w:pPr>
              <w:pStyle w:val="Tabletext"/>
              <w:keepNext/>
              <w:rPr>
                <w:b/>
                <w:bCs/>
                <w:color w:val="000000"/>
              </w:rPr>
            </w:pPr>
            <w:r w:rsidRPr="00192045">
              <w:rPr>
                <w:b/>
                <w:bCs/>
                <w:color w:val="000000"/>
              </w:rPr>
              <w:t xml:space="preserve">Estimated financial implications of </w:t>
            </w:r>
            <w:proofErr w:type="spellStart"/>
            <w:r w:rsidRPr="00192045">
              <w:rPr>
                <w:b/>
                <w:bCs/>
                <w:color w:val="000000"/>
              </w:rPr>
              <w:t>brivaracetam</w:t>
            </w:r>
            <w:proofErr w:type="spellEnd"/>
            <w:r w:rsidRPr="00192045">
              <w:rPr>
                <w:b/>
                <w:bCs/>
                <w:color w:val="000000"/>
              </w:rPr>
              <w:t xml:space="preserve"> </w:t>
            </w:r>
          </w:p>
        </w:tc>
      </w:tr>
      <w:tr w:rsidR="001128AC" w:rsidRPr="00192045" w:rsidTr="00822893">
        <w:tc>
          <w:tcPr>
            <w:tcW w:w="1119" w:type="pct"/>
            <w:shd w:val="clear" w:color="auto" w:fill="auto"/>
            <w:vAlign w:val="center"/>
          </w:tcPr>
          <w:p w:rsidR="001128AC" w:rsidRPr="00192045" w:rsidRDefault="001128AC" w:rsidP="00686F16">
            <w:pPr>
              <w:pStyle w:val="Tabletext"/>
              <w:keepNext/>
              <w:rPr>
                <w:rFonts w:ascii="Times" w:hAnsi="Times"/>
              </w:rPr>
            </w:pPr>
            <w:r w:rsidRPr="00192045">
              <w:rPr>
                <w:sz w:val="19"/>
                <w:szCs w:val="19"/>
              </w:rPr>
              <w:t>Cost to PBS/RPBS</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1119" w:type="pct"/>
            <w:shd w:val="clear" w:color="auto" w:fill="auto"/>
            <w:vAlign w:val="center"/>
          </w:tcPr>
          <w:p w:rsidR="001128AC" w:rsidRPr="00192045" w:rsidRDefault="001128AC" w:rsidP="00686F16">
            <w:pPr>
              <w:pStyle w:val="Tabletext"/>
              <w:keepNext/>
              <w:rPr>
                <w:sz w:val="19"/>
                <w:szCs w:val="19"/>
              </w:rPr>
            </w:pPr>
            <w:r w:rsidRPr="00192045">
              <w:rPr>
                <w:sz w:val="19"/>
                <w:szCs w:val="19"/>
              </w:rPr>
              <w:t>Co-payments</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1119" w:type="pct"/>
            <w:shd w:val="clear" w:color="auto" w:fill="auto"/>
            <w:vAlign w:val="center"/>
          </w:tcPr>
          <w:p w:rsidR="001128AC" w:rsidRPr="00192045" w:rsidRDefault="001128AC" w:rsidP="00686F16">
            <w:pPr>
              <w:pStyle w:val="Tabletext"/>
              <w:keepNext/>
              <w:rPr>
                <w:sz w:val="19"/>
                <w:szCs w:val="19"/>
              </w:rPr>
            </w:pPr>
            <w:r w:rsidRPr="00192045">
              <w:rPr>
                <w:sz w:val="19"/>
                <w:szCs w:val="19"/>
              </w:rPr>
              <w:t>Cost to PBS/RPBS less co</w:t>
            </w:r>
            <w:r w:rsidRPr="00192045">
              <w:rPr>
                <w:sz w:val="19"/>
                <w:szCs w:val="19"/>
              </w:rPr>
              <w:noBreakHyphen/>
              <w:t>payments</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5000" w:type="pct"/>
            <w:gridSpan w:val="7"/>
            <w:shd w:val="clear" w:color="auto" w:fill="auto"/>
            <w:vAlign w:val="center"/>
          </w:tcPr>
          <w:p w:rsidR="001128AC" w:rsidRPr="00192045" w:rsidRDefault="001128AC" w:rsidP="00686F16">
            <w:pPr>
              <w:pStyle w:val="Tabletext"/>
              <w:keepNext/>
              <w:rPr>
                <w:bCs/>
                <w:color w:val="000000"/>
              </w:rPr>
            </w:pPr>
            <w:r w:rsidRPr="00192045">
              <w:rPr>
                <w:b/>
                <w:bCs/>
                <w:color w:val="000000"/>
              </w:rPr>
              <w:t xml:space="preserve">Estimated financial implications for </w:t>
            </w:r>
            <w:proofErr w:type="spellStart"/>
            <w:r w:rsidRPr="00192045">
              <w:rPr>
                <w:b/>
                <w:bCs/>
                <w:color w:val="000000"/>
              </w:rPr>
              <w:t>lacosamide</w:t>
            </w:r>
            <w:proofErr w:type="spellEnd"/>
            <w:r w:rsidRPr="00192045">
              <w:rPr>
                <w:b/>
                <w:bCs/>
                <w:color w:val="000000"/>
              </w:rPr>
              <w:t xml:space="preserve"> </w:t>
            </w:r>
          </w:p>
        </w:tc>
      </w:tr>
      <w:tr w:rsidR="001128AC" w:rsidRPr="00192045" w:rsidTr="00822893">
        <w:tc>
          <w:tcPr>
            <w:tcW w:w="1119" w:type="pct"/>
            <w:shd w:val="clear" w:color="auto" w:fill="auto"/>
            <w:vAlign w:val="center"/>
          </w:tcPr>
          <w:p w:rsidR="001128AC" w:rsidRPr="00192045" w:rsidRDefault="00686F16" w:rsidP="00686F16">
            <w:pPr>
              <w:pStyle w:val="Tabletext"/>
              <w:keepNext/>
              <w:rPr>
                <w:sz w:val="19"/>
                <w:szCs w:val="19"/>
              </w:rPr>
            </w:pPr>
            <w:r w:rsidRPr="00192045">
              <w:rPr>
                <w:sz w:val="19"/>
                <w:szCs w:val="19"/>
              </w:rPr>
              <w:t xml:space="preserve">Saving </w:t>
            </w:r>
            <w:r w:rsidR="001128AC" w:rsidRPr="00192045">
              <w:rPr>
                <w:sz w:val="19"/>
                <w:szCs w:val="19"/>
              </w:rPr>
              <w:t>to PBS/RPBS</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1119" w:type="pct"/>
            <w:shd w:val="clear" w:color="auto" w:fill="auto"/>
            <w:vAlign w:val="center"/>
          </w:tcPr>
          <w:p w:rsidR="001128AC" w:rsidRPr="00192045" w:rsidRDefault="001128AC" w:rsidP="00686F16">
            <w:pPr>
              <w:pStyle w:val="Tabletext"/>
              <w:keepNext/>
              <w:rPr>
                <w:sz w:val="19"/>
                <w:szCs w:val="19"/>
              </w:rPr>
            </w:pPr>
            <w:r w:rsidRPr="00192045">
              <w:rPr>
                <w:sz w:val="19"/>
                <w:szCs w:val="19"/>
              </w:rPr>
              <w:t>Co-payments</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1119" w:type="pct"/>
            <w:shd w:val="clear" w:color="auto" w:fill="auto"/>
            <w:vAlign w:val="center"/>
          </w:tcPr>
          <w:p w:rsidR="001128AC" w:rsidRPr="00192045" w:rsidRDefault="00686F16" w:rsidP="00686F16">
            <w:pPr>
              <w:pStyle w:val="Tabletext"/>
              <w:keepNext/>
              <w:rPr>
                <w:sz w:val="19"/>
                <w:szCs w:val="19"/>
              </w:rPr>
            </w:pPr>
            <w:r w:rsidRPr="00192045">
              <w:rPr>
                <w:sz w:val="19"/>
                <w:szCs w:val="19"/>
              </w:rPr>
              <w:t xml:space="preserve">Saving </w:t>
            </w:r>
            <w:r w:rsidR="001128AC" w:rsidRPr="00192045">
              <w:rPr>
                <w:sz w:val="19"/>
                <w:szCs w:val="19"/>
              </w:rPr>
              <w:t>to PBS/RPBS less co</w:t>
            </w:r>
            <w:r w:rsidR="001128AC" w:rsidRPr="00192045">
              <w:rPr>
                <w:sz w:val="19"/>
                <w:szCs w:val="19"/>
              </w:rPr>
              <w:noBreakHyphen/>
              <w:t>payments</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r w:rsidR="001128AC" w:rsidRPr="00192045" w:rsidTr="00822893">
        <w:tc>
          <w:tcPr>
            <w:tcW w:w="5000" w:type="pct"/>
            <w:gridSpan w:val="7"/>
            <w:shd w:val="clear" w:color="auto" w:fill="auto"/>
            <w:vAlign w:val="center"/>
          </w:tcPr>
          <w:p w:rsidR="001128AC" w:rsidRPr="00192045" w:rsidRDefault="001128AC" w:rsidP="00686F16">
            <w:pPr>
              <w:pStyle w:val="Tabletext"/>
              <w:keepNext/>
              <w:rPr>
                <w:b/>
                <w:bCs/>
                <w:color w:val="000000"/>
              </w:rPr>
            </w:pPr>
            <w:r w:rsidRPr="00192045">
              <w:rPr>
                <w:b/>
                <w:bCs/>
                <w:color w:val="000000"/>
              </w:rPr>
              <w:t>Net financial implications</w:t>
            </w:r>
            <w:r w:rsidRPr="00192045">
              <w:rPr>
                <w:b/>
                <w:bCs/>
                <w:color w:val="4BACC6" w:themeColor="accent5"/>
              </w:rPr>
              <w:t xml:space="preserve"> </w:t>
            </w:r>
          </w:p>
        </w:tc>
      </w:tr>
      <w:tr w:rsidR="001128AC" w:rsidRPr="00192045" w:rsidTr="00822893">
        <w:tc>
          <w:tcPr>
            <w:tcW w:w="1119" w:type="pct"/>
            <w:shd w:val="clear" w:color="auto" w:fill="auto"/>
            <w:vAlign w:val="center"/>
          </w:tcPr>
          <w:p w:rsidR="001128AC" w:rsidRPr="00192045" w:rsidRDefault="001128AC" w:rsidP="00686F16">
            <w:pPr>
              <w:pStyle w:val="Tabletext"/>
              <w:keepNext/>
              <w:rPr>
                <w:sz w:val="19"/>
                <w:szCs w:val="19"/>
              </w:rPr>
            </w:pPr>
            <w:r w:rsidRPr="00192045">
              <w:rPr>
                <w:sz w:val="19"/>
                <w:szCs w:val="19"/>
              </w:rPr>
              <w:t>Net cost to PBS/RPBS less co</w:t>
            </w:r>
            <w:r w:rsidR="00686F16" w:rsidRPr="00192045">
              <w:rPr>
                <w:sz w:val="19"/>
                <w:szCs w:val="19"/>
              </w:rPr>
              <w:t>-</w:t>
            </w:r>
            <w:r w:rsidRPr="00192045">
              <w:rPr>
                <w:sz w:val="19"/>
                <w:szCs w:val="19"/>
              </w:rPr>
              <w:t>payments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tcPr>
          <w:p w:rsidR="001128AC" w:rsidRPr="00192045" w:rsidRDefault="001128AC" w:rsidP="00686F16">
            <w:pPr>
              <w:pStyle w:val="Tabletext"/>
              <w:keepNext/>
              <w:jc w:val="center"/>
              <w:rPr>
                <w:bCs/>
                <w:color w:val="000000"/>
              </w:rPr>
            </w:pPr>
            <w:r w:rsidRPr="00192045">
              <w:t>-$</w:t>
            </w:r>
            <w:r w:rsidR="00BB1A8C">
              <w:rPr>
                <w:noProof/>
                <w:color w:val="000000"/>
                <w:highlight w:val="black"/>
              </w:rPr>
              <w:t>'''''''''''''''''''''</w:t>
            </w:r>
          </w:p>
        </w:tc>
      </w:tr>
    </w:tbl>
    <w:p w:rsidR="001128AC" w:rsidRPr="00192045" w:rsidRDefault="001128AC" w:rsidP="00686F16">
      <w:pPr>
        <w:pStyle w:val="TableFooter"/>
        <w:keepNext/>
        <w:widowControl/>
      </w:pPr>
      <w:r w:rsidRPr="00192045">
        <w:t xml:space="preserve">Source: Table 4.7, p95; Table 4.12, p97; Table 4.14, p97; Table 4.18, p4.18 of the submission </w:t>
      </w:r>
    </w:p>
    <w:p w:rsidR="001128AC" w:rsidRPr="00192045" w:rsidRDefault="001128AC" w:rsidP="00500B84">
      <w:pPr>
        <w:pStyle w:val="TableFooter"/>
        <w:widowControl/>
        <w:rPr>
          <w:rStyle w:val="CommentReference"/>
        </w:rPr>
      </w:pPr>
      <w:r w:rsidRPr="00192045">
        <w:t xml:space="preserve">PBS = Pharmaceutical Benefits Scheme; RPBS = Repatriation Schedule of Pharmaceutical Benefits </w:t>
      </w:r>
    </w:p>
    <w:p w:rsidR="001128AC" w:rsidRPr="00192045" w:rsidRDefault="001128AC" w:rsidP="00500B84">
      <w:pPr>
        <w:pStyle w:val="TableFooter"/>
        <w:widowControl/>
        <w:tabs>
          <w:tab w:val="left" w:pos="142"/>
        </w:tabs>
      </w:pPr>
      <w:proofErr w:type="gramStart"/>
      <w:r w:rsidRPr="00192045">
        <w:rPr>
          <w:vertAlign w:val="superscript"/>
        </w:rPr>
        <w:t>a</w:t>
      </w:r>
      <w:proofErr w:type="gramEnd"/>
      <w:r w:rsidRPr="00192045">
        <w:tab/>
        <w:t xml:space="preserve">From </w:t>
      </w:r>
      <w:proofErr w:type="spellStart"/>
      <w:r w:rsidRPr="00192045">
        <w:t>lacosamide-brivaracetam</w:t>
      </w:r>
      <w:proofErr w:type="spellEnd"/>
      <w:r w:rsidRPr="00192045">
        <w:t xml:space="preserve"> market. This did not include </w:t>
      </w:r>
      <w:proofErr w:type="spellStart"/>
      <w:r w:rsidRPr="00192045">
        <w:t>perampanel</w:t>
      </w:r>
      <w:proofErr w:type="spellEnd"/>
      <w:r w:rsidRPr="00192045">
        <w:t xml:space="preserve"> which has a similar place in therapy. </w:t>
      </w:r>
    </w:p>
    <w:p w:rsidR="001128AC" w:rsidRDefault="001128AC" w:rsidP="00500B84">
      <w:pPr>
        <w:widowControl/>
      </w:pPr>
    </w:p>
    <w:p w:rsidR="00287D3B" w:rsidRDefault="00287D3B" w:rsidP="00500B84">
      <w:pPr>
        <w:widowControl/>
      </w:pPr>
      <w:r>
        <w:t xml:space="preserve">The redacted table shows that at Year 6, the estimated number of patients was less than 10,000. </w:t>
      </w:r>
    </w:p>
    <w:p w:rsidR="00287D3B" w:rsidRPr="00192045" w:rsidRDefault="00287D3B" w:rsidP="00500B84">
      <w:pPr>
        <w:widowControl/>
      </w:pPr>
    </w:p>
    <w:p w:rsidR="000C221D" w:rsidRPr="00192045" w:rsidRDefault="001128AC" w:rsidP="00E2012A">
      <w:pPr>
        <w:pStyle w:val="numberedbulletstyle"/>
      </w:pPr>
      <w:r w:rsidRPr="00192045">
        <w:t xml:space="preserve">The submission estimated that the proposed </w:t>
      </w:r>
      <w:proofErr w:type="spellStart"/>
      <w:r w:rsidRPr="00192045">
        <w:t>brivaracetam</w:t>
      </w:r>
      <w:proofErr w:type="spellEnd"/>
      <w:r w:rsidRPr="00192045">
        <w:t xml:space="preserve"> listing w</w:t>
      </w:r>
      <w:r w:rsidR="0091173D" w:rsidRPr="00192045">
        <w:t>ould</w:t>
      </w:r>
      <w:r w:rsidRPr="00192045">
        <w:t xml:space="preserve"> result in a small net savings to the PBS of </w:t>
      </w:r>
      <w:r w:rsidR="00232B8E">
        <w:t xml:space="preserve">less than </w:t>
      </w:r>
      <w:r w:rsidRPr="00192045">
        <w:t>$</w:t>
      </w:r>
      <w:r w:rsidR="00232B8E">
        <w:t>10 million</w:t>
      </w:r>
      <w:r w:rsidRPr="00192045">
        <w:t xml:space="preserve"> in Year 1, increasing to savings of </w:t>
      </w:r>
      <w:r w:rsidR="00232B8E">
        <w:t xml:space="preserve">less than </w:t>
      </w:r>
      <w:r w:rsidRPr="00192045">
        <w:t>$</w:t>
      </w:r>
      <w:r w:rsidR="00232B8E">
        <w:t>10 million</w:t>
      </w:r>
      <w:r w:rsidRPr="00192045">
        <w:t xml:space="preserve"> in Year 6 (net of patient co-payments). The small net saving was due to </w:t>
      </w:r>
      <w:proofErr w:type="spellStart"/>
      <w:r w:rsidRPr="00192045">
        <w:t>brivaracetam</w:t>
      </w:r>
      <w:proofErr w:type="spellEnd"/>
      <w:r w:rsidRPr="00192045">
        <w:t xml:space="preserve"> having a flat price structure across strengths and replacing </w:t>
      </w:r>
      <w:proofErr w:type="spellStart"/>
      <w:r w:rsidRPr="00192045">
        <w:t>lacosamide</w:t>
      </w:r>
      <w:proofErr w:type="spellEnd"/>
      <w:r w:rsidRPr="00192045">
        <w:t xml:space="preserve"> which was more costly at higher strengths. The net </w:t>
      </w:r>
      <w:r w:rsidR="005C2C64" w:rsidRPr="00192045">
        <w:t xml:space="preserve">savings </w:t>
      </w:r>
      <w:r w:rsidRPr="00192045">
        <w:t>to the PBS and RPBS may be higher or lower because:</w:t>
      </w:r>
    </w:p>
    <w:p w:rsidR="001128AC" w:rsidRPr="00192045" w:rsidRDefault="001128AC" w:rsidP="000C221D">
      <w:pPr>
        <w:pStyle w:val="ListParagraph"/>
        <w:widowControl/>
        <w:numPr>
          <w:ilvl w:val="0"/>
          <w:numId w:val="30"/>
        </w:numPr>
        <w:ind w:left="1134"/>
      </w:pPr>
      <w:r w:rsidRPr="00192045">
        <w:t xml:space="preserve">the eligible and treated population </w:t>
      </w:r>
      <w:r w:rsidR="00D40991" w:rsidRPr="00192045">
        <w:t>for fourth line adjunctive treatment</w:t>
      </w:r>
      <w:r w:rsidR="0091173D" w:rsidRPr="00192045">
        <w:t xml:space="preserve"> </w:t>
      </w:r>
      <w:r w:rsidRPr="00192045">
        <w:t>may have been overestimated (decrease costs</w:t>
      </w:r>
      <w:r w:rsidR="00961A5F" w:rsidRPr="00192045">
        <w:t xml:space="preserve"> for </w:t>
      </w:r>
      <w:proofErr w:type="spellStart"/>
      <w:r w:rsidR="00961A5F" w:rsidRPr="00192045">
        <w:t>brivaracetam</w:t>
      </w:r>
      <w:proofErr w:type="spellEnd"/>
      <w:r w:rsidR="00961A5F" w:rsidRPr="00192045">
        <w:t xml:space="preserve"> and </w:t>
      </w:r>
      <w:r w:rsidR="00686F16" w:rsidRPr="00192045">
        <w:t xml:space="preserve">savings due to reduced use of </w:t>
      </w:r>
      <w:proofErr w:type="spellStart"/>
      <w:r w:rsidR="00961A5F" w:rsidRPr="00192045">
        <w:t>lacosamide</w:t>
      </w:r>
      <w:proofErr w:type="spellEnd"/>
      <w:r w:rsidRPr="00192045">
        <w:t xml:space="preserve">); </w:t>
      </w:r>
    </w:p>
    <w:p w:rsidR="00B72B3E" w:rsidRPr="00192045" w:rsidRDefault="001128AC" w:rsidP="000C221D">
      <w:pPr>
        <w:pStyle w:val="ListParagraph"/>
        <w:widowControl/>
        <w:numPr>
          <w:ilvl w:val="0"/>
          <w:numId w:val="30"/>
        </w:numPr>
        <w:ind w:left="1134"/>
      </w:pPr>
      <w:r w:rsidRPr="00192045">
        <w:lastRenderedPageBreak/>
        <w:t>the treated population may be older</w:t>
      </w:r>
      <w:r w:rsidR="00B72B3E" w:rsidRPr="00192045">
        <w:t xml:space="preserve">, </w:t>
      </w:r>
      <w:r w:rsidRPr="00192045">
        <w:t>and heavier</w:t>
      </w:r>
      <w:r w:rsidR="00B72B3E" w:rsidRPr="00192045">
        <w:t>,</w:t>
      </w:r>
      <w:r w:rsidRPr="00192045">
        <w:t xml:space="preserve"> than assumed in the submission because the prevalence of epilepsy increases over childhood and patients require sufficient opportunity to </w:t>
      </w:r>
      <w:r w:rsidR="00B72B3E" w:rsidRPr="00192045">
        <w:t xml:space="preserve">trial </w:t>
      </w:r>
      <w:r w:rsidRPr="00192045">
        <w:t xml:space="preserve">earlier lines of treatment (increase </w:t>
      </w:r>
      <w:proofErr w:type="spellStart"/>
      <w:r w:rsidRPr="00192045">
        <w:t>brivaracetam</w:t>
      </w:r>
      <w:proofErr w:type="spellEnd"/>
      <w:r w:rsidRPr="00192045">
        <w:t xml:space="preserve"> cost)</w:t>
      </w:r>
      <w:r w:rsidR="00B72B3E" w:rsidRPr="00192045">
        <w:t>; and</w:t>
      </w:r>
    </w:p>
    <w:p w:rsidR="00080D42" w:rsidRDefault="00B72B3E" w:rsidP="006F2C38">
      <w:pPr>
        <w:pStyle w:val="ListParagraph"/>
        <w:widowControl/>
        <w:numPr>
          <w:ilvl w:val="0"/>
          <w:numId w:val="30"/>
        </w:numPr>
        <w:ind w:left="1134"/>
      </w:pPr>
      <w:proofErr w:type="gramStart"/>
      <w:r w:rsidRPr="00192045">
        <w:t>the</w:t>
      </w:r>
      <w:proofErr w:type="gramEnd"/>
      <w:r w:rsidRPr="00192045">
        <w:t xml:space="preserve"> older patient group may require less oral solution use, and a smaller proportion would use </w:t>
      </w:r>
      <w:proofErr w:type="spellStart"/>
      <w:r w:rsidRPr="00192045">
        <w:t>brivaracetam</w:t>
      </w:r>
      <w:proofErr w:type="spellEnd"/>
      <w:r w:rsidRPr="00192045">
        <w:t xml:space="preserve"> due to the availability of </w:t>
      </w:r>
      <w:proofErr w:type="spellStart"/>
      <w:r w:rsidRPr="00192045">
        <w:t>perampanel</w:t>
      </w:r>
      <w:proofErr w:type="spellEnd"/>
      <w:r w:rsidRPr="00192045">
        <w:t xml:space="preserve"> in this group (decrease </w:t>
      </w:r>
      <w:proofErr w:type="spellStart"/>
      <w:r w:rsidR="00453EC7" w:rsidRPr="00192045">
        <w:t>brivaracetam</w:t>
      </w:r>
      <w:proofErr w:type="spellEnd"/>
      <w:r w:rsidR="00453EC7" w:rsidRPr="00192045">
        <w:t xml:space="preserve"> </w:t>
      </w:r>
      <w:r w:rsidRPr="00192045">
        <w:t>cost).</w:t>
      </w:r>
    </w:p>
    <w:p w:rsidR="00080D42" w:rsidRDefault="00080D42" w:rsidP="00080D42">
      <w:pPr>
        <w:widowControl/>
        <w:ind w:left="774"/>
      </w:pPr>
      <w:r>
        <w:t xml:space="preserve">On balance, the PBAC considered there would be no significant financial impact to the PBS, as the population is low and overall, the financial uncertainties were unlikely to </w:t>
      </w:r>
      <w:r w:rsidR="006F2C38">
        <w:t xml:space="preserve">significantly </w:t>
      </w:r>
      <w:r>
        <w:t>increase</w:t>
      </w:r>
      <w:r w:rsidR="006F2C38">
        <w:t xml:space="preserve"> financial risk.</w:t>
      </w:r>
    </w:p>
    <w:p w:rsidR="00080D42" w:rsidRPr="00192045" w:rsidRDefault="00080D42" w:rsidP="00080D42">
      <w:pPr>
        <w:widowControl/>
        <w:ind w:left="774"/>
      </w:pPr>
    </w:p>
    <w:p w:rsidR="00231CEA" w:rsidRPr="00192045" w:rsidRDefault="002F68BF" w:rsidP="00E2012A">
      <w:pPr>
        <w:pStyle w:val="numberedbulletstyle"/>
      </w:pPr>
      <w:r w:rsidRPr="00192045">
        <w:t xml:space="preserve">The submission assumed </w:t>
      </w:r>
      <w:proofErr w:type="spellStart"/>
      <w:r w:rsidRPr="00192045">
        <w:t>brivaracetam</w:t>
      </w:r>
      <w:proofErr w:type="spellEnd"/>
      <w:r w:rsidRPr="00192045">
        <w:t xml:space="preserve"> would only replace </w:t>
      </w:r>
      <w:proofErr w:type="spellStart"/>
      <w:r w:rsidRPr="00192045">
        <w:t>lacosamide</w:t>
      </w:r>
      <w:proofErr w:type="spellEnd"/>
      <w:r w:rsidRPr="00192045">
        <w:t xml:space="preserve">. </w:t>
      </w:r>
      <w:proofErr w:type="spellStart"/>
      <w:r w:rsidRPr="00192045">
        <w:t>Brivaracetam</w:t>
      </w:r>
      <w:proofErr w:type="spellEnd"/>
      <w:r w:rsidRPr="00192045">
        <w:t xml:space="preserve"> may also replace </w:t>
      </w:r>
      <w:proofErr w:type="spellStart"/>
      <w:r w:rsidRPr="00192045">
        <w:t>perampanel</w:t>
      </w:r>
      <w:proofErr w:type="spellEnd"/>
      <w:r w:rsidRPr="00192045">
        <w:t xml:space="preserve"> in patients aged 12 </w:t>
      </w:r>
      <w:r w:rsidR="002E77E2" w:rsidRPr="00192045">
        <w:t xml:space="preserve">to 16 </w:t>
      </w:r>
      <w:r w:rsidRPr="00192045">
        <w:t xml:space="preserve">years </w:t>
      </w:r>
      <w:r w:rsidR="002E77E2" w:rsidRPr="00192045">
        <w:t>old</w:t>
      </w:r>
      <w:r w:rsidRPr="00192045">
        <w:t xml:space="preserve">. </w:t>
      </w:r>
      <w:r w:rsidR="000944AD" w:rsidRPr="00192045">
        <w:t xml:space="preserve">Additionally, </w:t>
      </w:r>
      <w:r w:rsidRPr="00192045">
        <w:t>the requested restriction change</w:t>
      </w:r>
      <w:r w:rsidR="000944AD" w:rsidRPr="00192045">
        <w:t xml:space="preserve"> to continuation treatment listings</w:t>
      </w:r>
      <w:r w:rsidRPr="00192045">
        <w:t xml:space="preserve"> </w:t>
      </w:r>
      <w:r w:rsidR="000944AD" w:rsidRPr="00192045">
        <w:t xml:space="preserve">would </w:t>
      </w:r>
      <w:r w:rsidRPr="00192045">
        <w:t xml:space="preserve">allow discontinuation of ineffective AEDs, </w:t>
      </w:r>
      <w:r w:rsidR="000944AD" w:rsidRPr="00192045">
        <w:t>further reducing the</w:t>
      </w:r>
      <w:r w:rsidRPr="00192045">
        <w:t xml:space="preserve"> use of other AEDs.</w:t>
      </w:r>
      <w:r w:rsidR="002E77E2" w:rsidRPr="00192045">
        <w:t xml:space="preserve"> </w:t>
      </w:r>
    </w:p>
    <w:p w:rsidR="002F68BF" w:rsidRPr="00192045" w:rsidRDefault="00231CEA" w:rsidP="00231CEA">
      <w:pPr>
        <w:pStyle w:val="numberedbulletstyle"/>
      </w:pPr>
      <w:r w:rsidRPr="00192045">
        <w:t>Further to this</w:t>
      </w:r>
      <w:r w:rsidR="00D73EB2" w:rsidRPr="00192045">
        <w:t xml:space="preserve">, estimates of patient numbers </w:t>
      </w:r>
      <w:r w:rsidRPr="00192045">
        <w:t xml:space="preserve">may not be accurate since the time required to complete early line treatments could mean patients treated with </w:t>
      </w:r>
      <w:proofErr w:type="spellStart"/>
      <w:r w:rsidRPr="00192045">
        <w:t>brivaracetam</w:t>
      </w:r>
      <w:proofErr w:type="spellEnd"/>
      <w:r w:rsidRPr="00192045">
        <w:t xml:space="preserve"> tend to be older, resulting in a higher per-patient dose, preferred use of tablet over oral solution formulation, and greater displacement of </w:t>
      </w:r>
      <w:proofErr w:type="spellStart"/>
      <w:r w:rsidRPr="00192045">
        <w:t>perampanel</w:t>
      </w:r>
      <w:proofErr w:type="spellEnd"/>
      <w:r w:rsidRPr="00192045">
        <w:t xml:space="preserve"> in patients over 12 years of age</w:t>
      </w:r>
      <w:r w:rsidR="00192045">
        <w:t xml:space="preserve">. </w:t>
      </w:r>
    </w:p>
    <w:p w:rsidR="002E77E2" w:rsidRPr="00192045" w:rsidRDefault="002E77E2" w:rsidP="00231CEA">
      <w:pPr>
        <w:pStyle w:val="numberedbulletstyle"/>
      </w:pPr>
      <w:r w:rsidRPr="00192045">
        <w:t xml:space="preserve">The PBAC considered that it would be appropriate to include substitution for </w:t>
      </w:r>
      <w:proofErr w:type="spellStart"/>
      <w:r w:rsidRPr="00192045">
        <w:t>perampanel</w:t>
      </w:r>
      <w:proofErr w:type="spellEnd"/>
      <w:r w:rsidRPr="00192045">
        <w:t xml:space="preserve"> in the financial estimates based on the current market share of </w:t>
      </w:r>
      <w:proofErr w:type="spellStart"/>
      <w:r w:rsidRPr="00192045">
        <w:t>perampanel</w:t>
      </w:r>
      <w:proofErr w:type="spellEnd"/>
      <w:r w:rsidRPr="00192045">
        <w:t xml:space="preserve"> on the PBS for patients 12 to 16 years, while maintaining the same total market share assumptions.</w:t>
      </w:r>
    </w:p>
    <w:p w:rsidR="008923F7" w:rsidRPr="00192045" w:rsidRDefault="008923F7" w:rsidP="00703F28">
      <w:pPr>
        <w:pStyle w:val="BodyText"/>
        <w:ind w:firstLine="709"/>
        <w:rPr>
          <w:i/>
        </w:rPr>
      </w:pPr>
      <w:r w:rsidRPr="00192045">
        <w:rPr>
          <w:i/>
        </w:rPr>
        <w:t>For more detail on PBAC’s view, see section 7 PBAC outcome.</w:t>
      </w:r>
    </w:p>
    <w:p w:rsidR="008D1F89" w:rsidRPr="00192045" w:rsidRDefault="008D1F89" w:rsidP="00B46946">
      <w:pPr>
        <w:pStyle w:val="Heading1"/>
      </w:pPr>
      <w:r w:rsidRPr="00192045">
        <w:t>PBAC Outcome</w:t>
      </w:r>
    </w:p>
    <w:p w:rsidR="00702E57" w:rsidRPr="00192045" w:rsidRDefault="00702E57" w:rsidP="00702E57">
      <w:pPr>
        <w:pStyle w:val="numberedbulletstyle"/>
      </w:pPr>
      <w:r w:rsidRPr="00192045">
        <w:t>The PBAC recommended changing the Authority Required (S</w:t>
      </w:r>
      <w:r w:rsidR="00514F34" w:rsidRPr="00192045">
        <w:t>TREAMLINED</w:t>
      </w:r>
      <w:r w:rsidRPr="00192045">
        <w:t xml:space="preserve">) listing for </w:t>
      </w:r>
      <w:proofErr w:type="spellStart"/>
      <w:r w:rsidRPr="00192045">
        <w:t>brivaracetam</w:t>
      </w:r>
      <w:proofErr w:type="spellEnd"/>
      <w:r w:rsidRPr="00192045">
        <w:t xml:space="preserve"> for treatment of intractable partial onset epileptic seizures, to include patients aged 4 to 15 years. Its recommendation was based on, among other matters, its assessment that the cost-effectiveness of </w:t>
      </w:r>
      <w:proofErr w:type="spellStart"/>
      <w:r w:rsidRPr="00192045">
        <w:t>brivaracetam</w:t>
      </w:r>
      <w:proofErr w:type="spellEnd"/>
      <w:r w:rsidRPr="00192045">
        <w:t xml:space="preserve"> would </w:t>
      </w:r>
      <w:r w:rsidR="008D7C0B" w:rsidRPr="00192045">
        <w:t>remain acceptable with the extended listing</w:t>
      </w:r>
      <w:r w:rsidR="005A5A40" w:rsidRPr="00192045">
        <w:t xml:space="preserve"> implemented</w:t>
      </w:r>
      <w:r w:rsidR="00D73EB2" w:rsidRPr="00192045">
        <w:t xml:space="preserve"> </w:t>
      </w:r>
      <w:r w:rsidR="005A5A40" w:rsidRPr="00192045">
        <w:t>at the current price</w:t>
      </w:r>
      <w:r w:rsidR="002E77E2" w:rsidRPr="00192045">
        <w:t>, where the listing results in an overall saving to Government</w:t>
      </w:r>
      <w:r w:rsidR="00192045">
        <w:t xml:space="preserve">. </w:t>
      </w:r>
    </w:p>
    <w:p w:rsidR="002B1554" w:rsidRPr="00192045" w:rsidRDefault="002B1554" w:rsidP="002B1554">
      <w:pPr>
        <w:pStyle w:val="numberedbulletstyle"/>
      </w:pPr>
      <w:r w:rsidRPr="00192045">
        <w:t xml:space="preserve">In making its recommendation, the PBAC acknowledged the clinical need for drugs that are effective in reducing seizure frequency </w:t>
      </w:r>
      <w:r w:rsidR="007F3C80" w:rsidRPr="00192045">
        <w:t xml:space="preserve">for paediatric patients who </w:t>
      </w:r>
      <w:r w:rsidRPr="00192045">
        <w:t>have failed other lines of AED treatment</w:t>
      </w:r>
      <w:r w:rsidR="00894D16" w:rsidRPr="00192045">
        <w:t>.</w:t>
      </w:r>
    </w:p>
    <w:p w:rsidR="00303054" w:rsidRPr="00192045" w:rsidRDefault="00303054" w:rsidP="00124D07">
      <w:pPr>
        <w:pStyle w:val="numberedbulletstyle"/>
      </w:pPr>
      <w:r w:rsidRPr="00192045">
        <w:t xml:space="preserve">The PBAC </w:t>
      </w:r>
      <w:r w:rsidR="00495B5F" w:rsidRPr="00192045">
        <w:t xml:space="preserve">accepted </w:t>
      </w:r>
      <w:proofErr w:type="spellStart"/>
      <w:r w:rsidRPr="00192045">
        <w:t>lacosamide</w:t>
      </w:r>
      <w:proofErr w:type="spellEnd"/>
      <w:r w:rsidRPr="00192045">
        <w:t xml:space="preserve"> </w:t>
      </w:r>
      <w:r w:rsidR="00495B5F" w:rsidRPr="00192045">
        <w:t>was</w:t>
      </w:r>
      <w:r w:rsidRPr="00192045">
        <w:t xml:space="preserve"> the main comparator. </w:t>
      </w:r>
      <w:r w:rsidR="00495B5F" w:rsidRPr="00192045">
        <w:t xml:space="preserve">The PBAC </w:t>
      </w:r>
      <w:r w:rsidRPr="00192045">
        <w:t xml:space="preserve">considered </w:t>
      </w:r>
      <w:proofErr w:type="spellStart"/>
      <w:r w:rsidRPr="00192045">
        <w:t>perampanel</w:t>
      </w:r>
      <w:proofErr w:type="spellEnd"/>
      <w:r w:rsidRPr="00192045">
        <w:t xml:space="preserve"> </w:t>
      </w:r>
      <w:r w:rsidR="00495B5F" w:rsidRPr="00192045">
        <w:t xml:space="preserve">was also a </w:t>
      </w:r>
      <w:r w:rsidRPr="00192045">
        <w:t xml:space="preserve">comparator </w:t>
      </w:r>
      <w:r w:rsidR="00495B5F" w:rsidRPr="00192045">
        <w:t>for patients aged 12 to 15 years</w:t>
      </w:r>
      <w:r w:rsidR="002454BD" w:rsidRPr="00192045">
        <w:t>.</w:t>
      </w:r>
      <w:r w:rsidRPr="00192045">
        <w:t xml:space="preserve"> </w:t>
      </w:r>
    </w:p>
    <w:p w:rsidR="00BA1745" w:rsidRPr="00192045" w:rsidRDefault="00514F34" w:rsidP="00BA1745">
      <w:pPr>
        <w:pStyle w:val="numberedbulletstyle"/>
      </w:pPr>
      <w:r w:rsidRPr="00192045">
        <w:lastRenderedPageBreak/>
        <w:t xml:space="preserve">The PBAC noted that the TGA registered indications for both </w:t>
      </w:r>
      <w:proofErr w:type="spellStart"/>
      <w:r w:rsidRPr="00192045">
        <w:t>brivaracetam</w:t>
      </w:r>
      <w:proofErr w:type="spellEnd"/>
      <w:r w:rsidRPr="00192045">
        <w:t xml:space="preserve"> and </w:t>
      </w:r>
      <w:proofErr w:type="spellStart"/>
      <w:r w:rsidRPr="00192045">
        <w:t>lacosamide</w:t>
      </w:r>
      <w:proofErr w:type="spellEnd"/>
      <w:r w:rsidRPr="00192045">
        <w:t xml:space="preserve"> are as add-on therapy in the treatment of partial seizures in patients with epilepsy who are aged 4 years and older. </w:t>
      </w:r>
      <w:r w:rsidR="00BA1745" w:rsidRPr="00192045">
        <w:t xml:space="preserve">The PBAC </w:t>
      </w:r>
      <w:r w:rsidR="005E4C99" w:rsidRPr="00192045">
        <w:t xml:space="preserve">recommended removing </w:t>
      </w:r>
      <w:r w:rsidR="00BA1745" w:rsidRPr="00192045">
        <w:t xml:space="preserve">the age </w:t>
      </w:r>
      <w:r w:rsidR="005E4C99" w:rsidRPr="00192045">
        <w:t xml:space="preserve">criterion from the </w:t>
      </w:r>
      <w:proofErr w:type="spellStart"/>
      <w:r w:rsidR="00BA1745" w:rsidRPr="00192045">
        <w:t>brivaracetam</w:t>
      </w:r>
      <w:proofErr w:type="spellEnd"/>
      <w:r w:rsidR="00BA1745" w:rsidRPr="00192045">
        <w:t xml:space="preserve"> </w:t>
      </w:r>
      <w:r w:rsidR="005E4C99" w:rsidRPr="00192045">
        <w:t xml:space="preserve">restriction, in line with the restriction for </w:t>
      </w:r>
      <w:proofErr w:type="spellStart"/>
      <w:r w:rsidR="005E4C99" w:rsidRPr="00192045">
        <w:t>lacosamide</w:t>
      </w:r>
      <w:proofErr w:type="spellEnd"/>
      <w:r w:rsidR="00BA1745" w:rsidRPr="00192045">
        <w:t>.</w:t>
      </w:r>
      <w:r w:rsidRPr="00192045">
        <w:t xml:space="preserve"> </w:t>
      </w:r>
    </w:p>
    <w:p w:rsidR="00107221" w:rsidRPr="00192045" w:rsidRDefault="007E062E" w:rsidP="002B1554">
      <w:pPr>
        <w:pStyle w:val="numberedbulletstyle"/>
      </w:pPr>
      <w:r w:rsidRPr="00192045">
        <w:t xml:space="preserve">The PBAC </w:t>
      </w:r>
      <w:r w:rsidR="00DE169D" w:rsidRPr="00192045">
        <w:t>recommended</w:t>
      </w:r>
      <w:r w:rsidRPr="00192045">
        <w:t xml:space="preserve"> that </w:t>
      </w:r>
      <w:r w:rsidR="00D27E1E" w:rsidRPr="00192045">
        <w:t xml:space="preserve">the </w:t>
      </w:r>
      <w:r w:rsidR="00AC5901" w:rsidRPr="00192045">
        <w:t>c</w:t>
      </w:r>
      <w:r w:rsidR="00D27E1E" w:rsidRPr="00192045">
        <w:t xml:space="preserve">ontinuation criteria </w:t>
      </w:r>
      <w:r w:rsidR="00AC5901" w:rsidRPr="00192045">
        <w:t>‘treatment must be in combination with two or more anti-epileptic drugs which includes one second-line adjunctive agent’</w:t>
      </w:r>
      <w:r w:rsidR="00DE169D" w:rsidRPr="00192045">
        <w:t xml:space="preserve"> be removed</w:t>
      </w:r>
      <w:r w:rsidR="007E0D80" w:rsidRPr="00192045">
        <w:t xml:space="preserve"> from </w:t>
      </w:r>
      <w:r w:rsidR="005E4C99" w:rsidRPr="00192045">
        <w:t xml:space="preserve">the </w:t>
      </w:r>
      <w:proofErr w:type="spellStart"/>
      <w:r w:rsidR="005E4C99" w:rsidRPr="00192045">
        <w:t>brivaracetam</w:t>
      </w:r>
      <w:proofErr w:type="spellEnd"/>
      <w:r w:rsidR="005E4C99" w:rsidRPr="00192045">
        <w:t xml:space="preserve"> restriction, in line with the restriction for </w:t>
      </w:r>
      <w:proofErr w:type="spellStart"/>
      <w:r w:rsidR="005E4C99" w:rsidRPr="00192045">
        <w:t>lacosamide</w:t>
      </w:r>
      <w:proofErr w:type="spellEnd"/>
      <w:r w:rsidR="00DE169D" w:rsidRPr="00192045">
        <w:t xml:space="preserve">. </w:t>
      </w:r>
      <w:r w:rsidR="00F84FA3" w:rsidRPr="00192045">
        <w:t xml:space="preserve">The PBAC </w:t>
      </w:r>
      <w:r w:rsidR="00AC5901" w:rsidRPr="00192045">
        <w:t xml:space="preserve">recalled its decision to recommend </w:t>
      </w:r>
      <w:r w:rsidR="00702E57" w:rsidRPr="00192045">
        <w:t>the same change to</w:t>
      </w:r>
      <w:r w:rsidR="00AC5901" w:rsidRPr="00192045">
        <w:t xml:space="preserve"> </w:t>
      </w:r>
      <w:r w:rsidR="005E4C99" w:rsidRPr="00192045">
        <w:t xml:space="preserve">the </w:t>
      </w:r>
      <w:proofErr w:type="spellStart"/>
      <w:r w:rsidR="00AC5901" w:rsidRPr="00192045">
        <w:t>lacosamide</w:t>
      </w:r>
      <w:proofErr w:type="spellEnd"/>
      <w:r w:rsidR="00702E57" w:rsidRPr="00192045">
        <w:t xml:space="preserve"> listings</w:t>
      </w:r>
      <w:r w:rsidR="00AC5901" w:rsidRPr="00192045">
        <w:t xml:space="preserve"> </w:t>
      </w:r>
      <w:r w:rsidR="0049372D" w:rsidRPr="00192045">
        <w:t xml:space="preserve">at its </w:t>
      </w:r>
      <w:r w:rsidR="00AC5901" w:rsidRPr="00192045">
        <w:t xml:space="preserve">November 2012 meeting </w:t>
      </w:r>
      <w:r w:rsidR="00F84FA3" w:rsidRPr="00192045">
        <w:t>to</w:t>
      </w:r>
      <w:r w:rsidR="00AC5901" w:rsidRPr="00192045">
        <w:t xml:space="preserve"> ‘allow patients to use </w:t>
      </w:r>
      <w:proofErr w:type="spellStart"/>
      <w:r w:rsidR="00AC5901" w:rsidRPr="00192045">
        <w:t>lacosamide</w:t>
      </w:r>
      <w:proofErr w:type="spellEnd"/>
      <w:r w:rsidR="00AC5901" w:rsidRPr="00192045">
        <w:t xml:space="preserve"> as eventual dual or monotherapy’</w:t>
      </w:r>
      <w:r w:rsidR="00F84FA3" w:rsidRPr="00192045">
        <w:t xml:space="preserve"> and that it was clinically appropriate to remove ineffective AEDs from a patient’s regimen</w:t>
      </w:r>
      <w:r w:rsidR="00D27E1E" w:rsidRPr="00192045">
        <w:t>.</w:t>
      </w:r>
    </w:p>
    <w:p w:rsidR="00F936E6" w:rsidRPr="00192045" w:rsidRDefault="00F936E6" w:rsidP="00F936E6">
      <w:pPr>
        <w:pStyle w:val="numberedbulletstyle"/>
      </w:pPr>
      <w:r w:rsidRPr="00192045">
        <w:t xml:space="preserve">The PBAC recalled it had previously considered that the claim of non-inferior comparative effectiveness of </w:t>
      </w:r>
      <w:proofErr w:type="spellStart"/>
      <w:r w:rsidRPr="00192045">
        <w:t>brivaracetam</w:t>
      </w:r>
      <w:proofErr w:type="spellEnd"/>
      <w:r w:rsidRPr="00192045">
        <w:t xml:space="preserve"> and </w:t>
      </w:r>
      <w:proofErr w:type="spellStart"/>
      <w:r w:rsidRPr="00192045">
        <w:t>lacosamide</w:t>
      </w:r>
      <w:proofErr w:type="spellEnd"/>
      <w:r w:rsidRPr="00192045">
        <w:t xml:space="preserve"> in adult patients was reasonable (paragraph 7.6, November 2017 PSD, </w:t>
      </w:r>
      <w:proofErr w:type="spellStart"/>
      <w:r w:rsidRPr="00192045">
        <w:t>brivaracetam</w:t>
      </w:r>
      <w:proofErr w:type="spellEnd"/>
      <w:r w:rsidRPr="00192045">
        <w:t xml:space="preserve">). The PBAC noted the current submission extrapolated results of adult studies as evidence of non-inferiority in paediatric patients. It acknowledged that this method was accepted by the TGA and other international regulators for this population and condition, and considered this approach to be reasonable. </w:t>
      </w:r>
    </w:p>
    <w:p w:rsidR="00947AFE" w:rsidRPr="00192045" w:rsidRDefault="00543BE6" w:rsidP="00F366B7">
      <w:pPr>
        <w:pStyle w:val="numberedbulletstyle"/>
      </w:pPr>
      <w:r w:rsidRPr="00192045">
        <w:t xml:space="preserve">The PBAC noted </w:t>
      </w:r>
      <w:r w:rsidR="00957B41" w:rsidRPr="00192045">
        <w:t>t</w:t>
      </w:r>
      <w:r w:rsidRPr="00192045">
        <w:t xml:space="preserve">he </w:t>
      </w:r>
      <w:r w:rsidR="00F84FA3" w:rsidRPr="00192045">
        <w:t xml:space="preserve">naïve comparison of </w:t>
      </w:r>
      <w:r w:rsidRPr="00192045">
        <w:t xml:space="preserve">two single arm </w:t>
      </w:r>
      <w:proofErr w:type="spellStart"/>
      <w:r w:rsidRPr="00192045">
        <w:t>brivaracetam</w:t>
      </w:r>
      <w:proofErr w:type="spellEnd"/>
      <w:r w:rsidRPr="00192045">
        <w:t xml:space="preserve"> studies</w:t>
      </w:r>
      <w:r w:rsidR="006E3DF4" w:rsidRPr="00192045">
        <w:t xml:space="preserve"> </w:t>
      </w:r>
      <w:r w:rsidRPr="00192045">
        <w:t xml:space="preserve">and one single arm study of </w:t>
      </w:r>
      <w:proofErr w:type="spellStart"/>
      <w:r w:rsidRPr="00192045">
        <w:t>lacosamide</w:t>
      </w:r>
      <w:proofErr w:type="spellEnd"/>
      <w:r w:rsidR="00957B41" w:rsidRPr="00192045">
        <w:t>, in the paediatric population</w:t>
      </w:r>
      <w:r w:rsidR="004D17DB" w:rsidRPr="00192045">
        <w:t>, included by the evaluation</w:t>
      </w:r>
      <w:r w:rsidR="00B02160" w:rsidRPr="00192045">
        <w:t xml:space="preserve">. </w:t>
      </w:r>
      <w:r w:rsidR="004D17DB" w:rsidRPr="00192045">
        <w:t xml:space="preserve">This comparison showed </w:t>
      </w:r>
      <w:r w:rsidR="00947AFE" w:rsidRPr="00192045">
        <w:t xml:space="preserve">a reduction of </w:t>
      </w:r>
      <w:r w:rsidR="000B4E25" w:rsidRPr="00192045">
        <w:t>31%</w:t>
      </w:r>
      <w:r w:rsidR="00947AFE" w:rsidRPr="00192045">
        <w:t xml:space="preserve"> seizure days (n=11)</w:t>
      </w:r>
      <w:r w:rsidR="000B4E25" w:rsidRPr="00192045">
        <w:t xml:space="preserve"> and 64% reduction in </w:t>
      </w:r>
      <w:r w:rsidR="00947AFE" w:rsidRPr="00192045">
        <w:t xml:space="preserve">seizure frequency (n=28) for </w:t>
      </w:r>
      <w:proofErr w:type="spellStart"/>
      <w:r w:rsidR="00947AFE" w:rsidRPr="00192045">
        <w:t>brivaracetam</w:t>
      </w:r>
      <w:proofErr w:type="spellEnd"/>
      <w:r w:rsidR="00947AFE" w:rsidRPr="00192045">
        <w:t xml:space="preserve"> compared with 53% reduction in seizure frequency (n=170) for </w:t>
      </w:r>
      <w:proofErr w:type="spellStart"/>
      <w:r w:rsidR="00947AFE" w:rsidRPr="00192045">
        <w:t>lacosamide</w:t>
      </w:r>
      <w:proofErr w:type="spellEnd"/>
      <w:r w:rsidR="00192045">
        <w:t xml:space="preserve">. </w:t>
      </w:r>
    </w:p>
    <w:p w:rsidR="00696AE3" w:rsidRPr="00192045" w:rsidRDefault="00F936E6" w:rsidP="002355EB">
      <w:pPr>
        <w:pStyle w:val="numberedbulletstyle"/>
      </w:pPr>
      <w:r>
        <w:t xml:space="preserve">The PBAC considered it was reasonable to extend </w:t>
      </w:r>
      <w:r w:rsidR="00D96C5B" w:rsidRPr="00192045">
        <w:t xml:space="preserve">its previous consideration that </w:t>
      </w:r>
      <w:proofErr w:type="spellStart"/>
      <w:r w:rsidR="00D96C5B" w:rsidRPr="00192045">
        <w:t>brivaracetam</w:t>
      </w:r>
      <w:proofErr w:type="spellEnd"/>
      <w:r w:rsidR="00D96C5B" w:rsidRPr="00192045">
        <w:t xml:space="preserve"> is non-inferior to </w:t>
      </w:r>
      <w:proofErr w:type="spellStart"/>
      <w:r w:rsidR="00D96C5B" w:rsidRPr="00192045">
        <w:t>lacosamide</w:t>
      </w:r>
      <w:proofErr w:type="spellEnd"/>
      <w:r w:rsidR="00D96C5B" w:rsidRPr="00192045">
        <w:t xml:space="preserve"> in</w:t>
      </w:r>
      <w:r w:rsidR="00957B41" w:rsidRPr="00192045">
        <w:t xml:space="preserve"> </w:t>
      </w:r>
      <w:r w:rsidR="00D96C5B" w:rsidRPr="00192045">
        <w:t xml:space="preserve">terms of efficacy in </w:t>
      </w:r>
      <w:r w:rsidR="00957B41" w:rsidRPr="00192045">
        <w:t>adult</w:t>
      </w:r>
      <w:r w:rsidR="00D96C5B" w:rsidRPr="00192045">
        <w:t>s</w:t>
      </w:r>
      <w:r w:rsidR="00C66C35">
        <w:t xml:space="preserve"> to the paediatric population</w:t>
      </w:r>
      <w:r w:rsidR="002355EB" w:rsidRPr="00192045">
        <w:t>,</w:t>
      </w:r>
      <w:r w:rsidR="00C66C35">
        <w:t xml:space="preserve"> while noting the</w:t>
      </w:r>
      <w:r w:rsidR="00C66C35" w:rsidRPr="00192045">
        <w:t xml:space="preserve"> certainty regarding non-inferior efficacy to be only moderate due to low participant numbers, study design and trial population differences</w:t>
      </w:r>
      <w:r w:rsidR="00C66C35">
        <w:t>.</w:t>
      </w:r>
      <w:r w:rsidR="00D96C5B" w:rsidRPr="00192045">
        <w:t xml:space="preserve"> </w:t>
      </w:r>
    </w:p>
    <w:p w:rsidR="00326153" w:rsidRPr="00192045" w:rsidRDefault="00BD4CAB" w:rsidP="00883038">
      <w:pPr>
        <w:pStyle w:val="numberedbulletstyle"/>
      </w:pPr>
      <w:r w:rsidRPr="00192045">
        <w:t>The PBAC</w:t>
      </w:r>
      <w:r w:rsidR="007E0B38" w:rsidRPr="00192045">
        <w:t xml:space="preserve"> </w:t>
      </w:r>
      <w:r w:rsidRPr="00192045">
        <w:t>noted the</w:t>
      </w:r>
      <w:r w:rsidR="006A39F5">
        <w:t xml:space="preserve"> </w:t>
      </w:r>
      <w:r w:rsidRPr="00192045">
        <w:t xml:space="preserve">rate of </w:t>
      </w:r>
      <w:r w:rsidR="006A39F5">
        <w:t xml:space="preserve">some </w:t>
      </w:r>
      <w:r w:rsidR="00BD4C45" w:rsidRPr="00192045">
        <w:t xml:space="preserve">adverse events </w:t>
      </w:r>
      <w:r w:rsidR="007F70C2" w:rsidRPr="00192045">
        <w:t>appeared</w:t>
      </w:r>
      <w:r w:rsidRPr="00192045">
        <w:t xml:space="preserve"> higher in the paediatric population </w:t>
      </w:r>
      <w:r w:rsidR="005C33AD" w:rsidRPr="00192045">
        <w:t xml:space="preserve">treated with </w:t>
      </w:r>
      <w:proofErr w:type="spellStart"/>
      <w:r w:rsidRPr="00192045">
        <w:t>brivaracetam</w:t>
      </w:r>
      <w:proofErr w:type="spellEnd"/>
      <w:r w:rsidRPr="00192045">
        <w:t xml:space="preserve"> compared </w:t>
      </w:r>
      <w:r w:rsidR="007E379C" w:rsidRPr="00192045">
        <w:t xml:space="preserve">with </w:t>
      </w:r>
      <w:proofErr w:type="spellStart"/>
      <w:r w:rsidRPr="00192045">
        <w:t>lacosamide</w:t>
      </w:r>
      <w:proofErr w:type="spellEnd"/>
      <w:r w:rsidR="006A39F5">
        <w:t xml:space="preserve"> on the basis of the naïve indirect comparison</w:t>
      </w:r>
      <w:r w:rsidRPr="00192045">
        <w:t xml:space="preserve">, particularly </w:t>
      </w:r>
      <w:r w:rsidR="005C33AD" w:rsidRPr="00192045">
        <w:t xml:space="preserve">in </w:t>
      </w:r>
      <w:r w:rsidRPr="00192045">
        <w:t xml:space="preserve">patients less than 4 years of age. </w:t>
      </w:r>
      <w:r w:rsidR="003338DC" w:rsidRPr="00192045">
        <w:t xml:space="preserve">Accordingly, the PBAC considered that the claim of non-inferior safety compared with </w:t>
      </w:r>
      <w:proofErr w:type="spellStart"/>
      <w:r w:rsidR="003338DC" w:rsidRPr="00192045">
        <w:t>lacosamide</w:t>
      </w:r>
      <w:proofErr w:type="spellEnd"/>
      <w:r w:rsidR="003338DC" w:rsidRPr="00192045">
        <w:t xml:space="preserve"> was </w:t>
      </w:r>
      <w:r w:rsidR="00740846">
        <w:t>uncertain but reasonable, particularly</w:t>
      </w:r>
      <w:r w:rsidR="00A83058">
        <w:t xml:space="preserve"> </w:t>
      </w:r>
      <w:r w:rsidR="008F5CF2" w:rsidRPr="00192045">
        <w:t xml:space="preserve">in the context of </w:t>
      </w:r>
      <w:r w:rsidR="00326153" w:rsidRPr="00192045">
        <w:t xml:space="preserve">a high clinical need for </w:t>
      </w:r>
      <w:r w:rsidR="008F5CF2" w:rsidRPr="00192045">
        <w:t xml:space="preserve">an </w:t>
      </w:r>
      <w:r w:rsidR="00326153" w:rsidRPr="00192045">
        <w:t>additional late-line AED treatment</w:t>
      </w:r>
      <w:r w:rsidR="007F38DD">
        <w:t xml:space="preserve"> for paediatric patients</w:t>
      </w:r>
      <w:r w:rsidR="00740846">
        <w:t>.</w:t>
      </w:r>
    </w:p>
    <w:p w:rsidR="003338DC" w:rsidRPr="00192045" w:rsidRDefault="003338DC" w:rsidP="003338DC">
      <w:pPr>
        <w:pStyle w:val="numberedbulletstyle"/>
      </w:pPr>
      <w:r w:rsidRPr="00192045">
        <w:t xml:space="preserve">The PBAC noted that maintaining the current price of </w:t>
      </w:r>
      <w:proofErr w:type="spellStart"/>
      <w:r w:rsidRPr="00192045">
        <w:t>brivaracetam</w:t>
      </w:r>
      <w:proofErr w:type="spellEnd"/>
      <w:r w:rsidRPr="00192045">
        <w:t xml:space="preserve"> with the extension of the listing would result in the adult equi-effective doses of 117.6 mg </w:t>
      </w:r>
      <w:proofErr w:type="spellStart"/>
      <w:r w:rsidRPr="00192045">
        <w:t>brivaracetam</w:t>
      </w:r>
      <w:proofErr w:type="spellEnd"/>
      <w:r w:rsidRPr="00192045">
        <w:t xml:space="preserve"> and 316.2 mg </w:t>
      </w:r>
      <w:proofErr w:type="spellStart"/>
      <w:r w:rsidRPr="00192045">
        <w:t>lacosamide</w:t>
      </w:r>
      <w:proofErr w:type="spellEnd"/>
      <w:r w:rsidRPr="00192045">
        <w:t xml:space="preserve"> also applying to the paediatric population. The PBAC recalled it previously considered that the flat pricing structure across dose strengths for </w:t>
      </w:r>
      <w:proofErr w:type="spellStart"/>
      <w:r w:rsidRPr="00192045">
        <w:t>brivaracetam</w:t>
      </w:r>
      <w:proofErr w:type="spellEnd"/>
      <w:r w:rsidRPr="00192045">
        <w:t xml:space="preserve"> tablets ameliorated the economic uncertainty regarding the mean daily dose of </w:t>
      </w:r>
      <w:proofErr w:type="spellStart"/>
      <w:r w:rsidRPr="00192045">
        <w:t>brivaracetam</w:t>
      </w:r>
      <w:proofErr w:type="spellEnd"/>
      <w:r w:rsidRPr="00192045">
        <w:t xml:space="preserve">; however, uncertainty for the equi-effective dose of </w:t>
      </w:r>
      <w:proofErr w:type="spellStart"/>
      <w:r w:rsidRPr="00192045">
        <w:lastRenderedPageBreak/>
        <w:t>lacosamide</w:t>
      </w:r>
      <w:proofErr w:type="spellEnd"/>
      <w:r w:rsidRPr="00192045">
        <w:t xml:space="preserve"> remained.’ (</w:t>
      </w:r>
      <w:proofErr w:type="gramStart"/>
      <w:r w:rsidRPr="00192045">
        <w:t>paragraph</w:t>
      </w:r>
      <w:proofErr w:type="gramEnd"/>
      <w:r w:rsidRPr="00192045">
        <w:t xml:space="preserve"> 7.8, </w:t>
      </w:r>
      <w:proofErr w:type="spellStart"/>
      <w:r w:rsidRPr="00192045">
        <w:t>brivaracetam</w:t>
      </w:r>
      <w:proofErr w:type="spellEnd"/>
      <w:r w:rsidRPr="00192045">
        <w:t xml:space="preserve"> PSD, November 2017 PBAC Meeting). The PBAC considered that the flat pricing structure of </w:t>
      </w:r>
      <w:proofErr w:type="spellStart"/>
      <w:r w:rsidRPr="00192045">
        <w:t>brivaracetam</w:t>
      </w:r>
      <w:proofErr w:type="spellEnd"/>
      <w:r w:rsidRPr="00192045">
        <w:t xml:space="preserve"> also reduced the economic uncertainty regarding the mean daily dose of </w:t>
      </w:r>
      <w:proofErr w:type="spellStart"/>
      <w:r w:rsidRPr="00192045">
        <w:t>brivaracetam</w:t>
      </w:r>
      <w:proofErr w:type="spellEnd"/>
      <w:r w:rsidRPr="00192045">
        <w:t xml:space="preserve"> that may be required in the paediatric population using the tablet formulation.</w:t>
      </w:r>
    </w:p>
    <w:p w:rsidR="00EB27CD" w:rsidRPr="00192045" w:rsidRDefault="00EB27CD" w:rsidP="003338DC">
      <w:pPr>
        <w:pStyle w:val="numberedbulletstyle"/>
      </w:pPr>
      <w:r w:rsidRPr="00192045">
        <w:t xml:space="preserve">The PBAC noted that </w:t>
      </w:r>
      <w:proofErr w:type="spellStart"/>
      <w:r w:rsidRPr="00192045">
        <w:t>brivaracetam</w:t>
      </w:r>
      <w:proofErr w:type="spellEnd"/>
      <w:r w:rsidRPr="00192045">
        <w:t xml:space="preserve"> is currently subject to a RSA, which is shared with </w:t>
      </w:r>
      <w:proofErr w:type="spellStart"/>
      <w:r w:rsidRPr="00192045">
        <w:t>perampanel</w:t>
      </w:r>
      <w:proofErr w:type="spellEnd"/>
      <w:r w:rsidRPr="00192045">
        <w:t xml:space="preserve"> and </w:t>
      </w:r>
      <w:proofErr w:type="spellStart"/>
      <w:r w:rsidRPr="00192045">
        <w:t>lacosamide</w:t>
      </w:r>
      <w:proofErr w:type="spellEnd"/>
      <w:r w:rsidR="00192045">
        <w:t xml:space="preserve">. </w:t>
      </w:r>
      <w:r w:rsidRPr="00192045">
        <w:t>The PBAC was of the view that as the current RSA already accounts for paediatric use for the other agents, no increase in the Subsidisation Cap should be applied as a result of this listing.</w:t>
      </w:r>
    </w:p>
    <w:p w:rsidR="0011374E" w:rsidRPr="00192045" w:rsidRDefault="00E72A88" w:rsidP="00454AFC">
      <w:pPr>
        <w:pStyle w:val="numberedbulletstyle"/>
      </w:pPr>
      <w:r w:rsidRPr="00192045">
        <w:t xml:space="preserve">The PBAC </w:t>
      </w:r>
      <w:r w:rsidR="008D508E" w:rsidRPr="00192045">
        <w:t xml:space="preserve">considered </w:t>
      </w:r>
      <w:r w:rsidR="00FF7349" w:rsidRPr="00192045">
        <w:t>cost estimates</w:t>
      </w:r>
      <w:r w:rsidR="007F70C2" w:rsidRPr="00192045">
        <w:t xml:space="preserve"> to </w:t>
      </w:r>
      <w:r w:rsidR="008D508E" w:rsidRPr="00192045">
        <w:t>be moderate</w:t>
      </w:r>
      <w:r w:rsidR="007F70C2" w:rsidRPr="00192045">
        <w:t>ly</w:t>
      </w:r>
      <w:r w:rsidR="008D508E" w:rsidRPr="00192045">
        <w:t xml:space="preserve"> uncertain</w:t>
      </w:r>
      <w:r w:rsidR="00454AFC" w:rsidRPr="00192045">
        <w:t xml:space="preserve"> because of the issues discussed in </w:t>
      </w:r>
      <w:r w:rsidR="00454AFC" w:rsidRPr="00724EB1">
        <w:t>paragraphs 6.3</w:t>
      </w:r>
      <w:r w:rsidR="00BA1745" w:rsidRPr="00724EB1">
        <w:t>4 to</w:t>
      </w:r>
      <w:r w:rsidR="00454AFC" w:rsidRPr="00724EB1">
        <w:t xml:space="preserve"> 6.36.</w:t>
      </w:r>
      <w:r w:rsidR="00454AFC" w:rsidRPr="00192045">
        <w:t xml:space="preserve"> However, o</w:t>
      </w:r>
      <w:r w:rsidR="0011374E" w:rsidRPr="00192045">
        <w:t xml:space="preserve">verall, the PBAC considered the </w:t>
      </w:r>
      <w:r w:rsidR="00794ADD" w:rsidRPr="00192045">
        <w:t xml:space="preserve">implications of the </w:t>
      </w:r>
      <w:r w:rsidR="0011374E" w:rsidRPr="00192045">
        <w:t xml:space="preserve">proposed </w:t>
      </w:r>
      <w:r w:rsidR="00794ADD" w:rsidRPr="00192045">
        <w:t xml:space="preserve">changes </w:t>
      </w:r>
      <w:r w:rsidR="00192045">
        <w:t>w</w:t>
      </w:r>
      <w:r w:rsidR="00192045" w:rsidRPr="00192045">
        <w:t xml:space="preserve">ould </w:t>
      </w:r>
      <w:r w:rsidR="00E2695C" w:rsidRPr="00192045">
        <w:t xml:space="preserve">be </w:t>
      </w:r>
      <w:r w:rsidR="0011374E" w:rsidRPr="00192045">
        <w:t xml:space="preserve">cost-neutral to the PBS. </w:t>
      </w:r>
    </w:p>
    <w:p w:rsidR="00BA1745" w:rsidRPr="00192045" w:rsidRDefault="00BA1745" w:rsidP="00883038">
      <w:pPr>
        <w:pStyle w:val="numberedbulletstyle"/>
      </w:pPr>
      <w:r w:rsidRPr="00192045">
        <w:t xml:space="preserve">The PBAC considered </w:t>
      </w:r>
      <w:r w:rsidR="008922C4">
        <w:t xml:space="preserve">it </w:t>
      </w:r>
      <w:r w:rsidR="00214DFC">
        <w:t xml:space="preserve">may </w:t>
      </w:r>
      <w:r w:rsidR="008922C4">
        <w:t xml:space="preserve">be beneficial for </w:t>
      </w:r>
      <w:r w:rsidRPr="00192045">
        <w:t xml:space="preserve">DUSC </w:t>
      </w:r>
      <w:r w:rsidR="008922C4">
        <w:t>to</w:t>
      </w:r>
      <w:r w:rsidR="008922C4" w:rsidRPr="00192045">
        <w:t xml:space="preserve"> </w:t>
      </w:r>
      <w:r w:rsidRPr="00192045">
        <w:t>review the listing in 5 years, with a particular focus on use in patients aged less than 4 years.</w:t>
      </w:r>
    </w:p>
    <w:p w:rsidR="005C5E66" w:rsidRPr="00192045" w:rsidRDefault="005A5772" w:rsidP="0011374E">
      <w:pPr>
        <w:pStyle w:val="numberedbulletstyle"/>
      </w:pPr>
      <w:r w:rsidRPr="00192045">
        <w:t xml:space="preserve">The PBAC </w:t>
      </w:r>
      <w:r w:rsidR="003E169D" w:rsidRPr="00192045">
        <w:t xml:space="preserve">advised that nurse practitioner prescribing for continuing therapy only should </w:t>
      </w:r>
      <w:r w:rsidR="0011374E" w:rsidRPr="00192045">
        <w:t>continue</w:t>
      </w:r>
      <w:r w:rsidR="00124D07" w:rsidRPr="00192045">
        <w:t xml:space="preserve"> to apply</w:t>
      </w:r>
      <w:r w:rsidR="003E169D" w:rsidRPr="00192045">
        <w:t xml:space="preserve">. </w:t>
      </w:r>
    </w:p>
    <w:p w:rsidR="00813321" w:rsidRPr="00192045" w:rsidRDefault="00813321" w:rsidP="00813321">
      <w:pPr>
        <w:pStyle w:val="numberedbulletstyle"/>
      </w:pPr>
      <w:r w:rsidRPr="00192045">
        <w:t>The PBAC recommended that the Early Supply Rule should continue</w:t>
      </w:r>
      <w:r w:rsidR="0045048E" w:rsidRPr="00192045">
        <w:t xml:space="preserve"> to apply</w:t>
      </w:r>
      <w:r w:rsidRPr="00192045">
        <w:t>.</w:t>
      </w:r>
    </w:p>
    <w:p w:rsidR="00813321" w:rsidRPr="00192045" w:rsidRDefault="00813321" w:rsidP="00813321">
      <w:pPr>
        <w:pStyle w:val="numberedbulletstyle"/>
      </w:pPr>
      <w:r w:rsidRPr="00192045">
        <w:t>The PBAC</w:t>
      </w:r>
      <w:r w:rsidR="0045048E" w:rsidRPr="00192045">
        <w:t xml:space="preserve"> recalled that it has previously</w:t>
      </w:r>
      <w:r w:rsidRPr="00192045">
        <w:t xml:space="preserve"> advised that, under subsection 101(3BA) of the </w:t>
      </w:r>
      <w:r w:rsidRPr="00192045">
        <w:rPr>
          <w:i/>
        </w:rPr>
        <w:t>National Health Act 1953</w:t>
      </w:r>
      <w:r w:rsidR="00415B24" w:rsidRPr="00192045">
        <w:rPr>
          <w:i/>
        </w:rPr>
        <w:t>,</w:t>
      </w:r>
      <w:r w:rsidRPr="00192045">
        <w:t xml:space="preserve"> </w:t>
      </w:r>
      <w:proofErr w:type="spellStart"/>
      <w:r w:rsidRPr="00192045">
        <w:t>brivaracetam</w:t>
      </w:r>
      <w:proofErr w:type="spellEnd"/>
      <w:r w:rsidRPr="00192045">
        <w:t xml:space="preserve"> should be treated as interchangeable on an individual patient basis with </w:t>
      </w:r>
      <w:proofErr w:type="spellStart"/>
      <w:r w:rsidRPr="00192045">
        <w:t>lacosamide</w:t>
      </w:r>
      <w:proofErr w:type="spellEnd"/>
      <w:r w:rsidRPr="00192045">
        <w:t xml:space="preserve"> and </w:t>
      </w:r>
      <w:proofErr w:type="spellStart"/>
      <w:r w:rsidRPr="00192045">
        <w:t>perampanel</w:t>
      </w:r>
      <w:proofErr w:type="spellEnd"/>
      <w:r w:rsidRPr="00192045">
        <w:t>.</w:t>
      </w:r>
    </w:p>
    <w:p w:rsidR="005C5E66" w:rsidRPr="00192045" w:rsidRDefault="005C5E66" w:rsidP="005C5E66">
      <w:pPr>
        <w:numPr>
          <w:ilvl w:val="1"/>
          <w:numId w:val="3"/>
        </w:numPr>
        <w:spacing w:after="120"/>
        <w:rPr>
          <w:rFonts w:asciiTheme="minorHAnsi" w:hAnsiTheme="minorHAnsi"/>
          <w:b/>
          <w:bCs/>
        </w:rPr>
      </w:pPr>
      <w:r w:rsidRPr="00192045">
        <w:rPr>
          <w:rFonts w:asciiTheme="minorHAnsi" w:hAnsiTheme="minorHAnsi"/>
          <w:bCs/>
        </w:rPr>
        <w:t>The PBAC noted that this submission is not eligible for an Independent Review as it received a positive recommendation.</w:t>
      </w:r>
    </w:p>
    <w:p w:rsidR="008D1F89" w:rsidRPr="00192045" w:rsidRDefault="008D1F89" w:rsidP="008D1F89">
      <w:pPr>
        <w:widowControl/>
        <w:spacing w:before="240"/>
        <w:rPr>
          <w:rFonts w:asciiTheme="minorHAnsi" w:hAnsiTheme="minorHAnsi"/>
          <w:b/>
          <w:bCs/>
          <w:szCs w:val="24"/>
        </w:rPr>
      </w:pPr>
      <w:r w:rsidRPr="00192045">
        <w:rPr>
          <w:rFonts w:asciiTheme="minorHAnsi" w:hAnsiTheme="minorHAnsi"/>
          <w:b/>
          <w:bCs/>
          <w:szCs w:val="24"/>
        </w:rPr>
        <w:t>Outcome:</w:t>
      </w:r>
    </w:p>
    <w:p w:rsidR="008D1F89" w:rsidRPr="00162AB1" w:rsidRDefault="008D1F89" w:rsidP="00162AB1">
      <w:pPr>
        <w:widowControl/>
        <w:spacing w:after="120"/>
        <w:rPr>
          <w:rFonts w:asciiTheme="minorHAnsi" w:hAnsiTheme="minorHAnsi"/>
          <w:bCs/>
          <w:szCs w:val="24"/>
        </w:rPr>
      </w:pPr>
      <w:r w:rsidRPr="00192045">
        <w:rPr>
          <w:rFonts w:asciiTheme="minorHAnsi" w:hAnsiTheme="minorHAnsi"/>
          <w:bCs/>
          <w:szCs w:val="24"/>
        </w:rPr>
        <w:t xml:space="preserve">Recommended </w:t>
      </w:r>
    </w:p>
    <w:p w:rsidR="008D1F89" w:rsidRPr="00192045" w:rsidRDefault="008D1F89" w:rsidP="0045048E">
      <w:pPr>
        <w:pStyle w:val="Heading1"/>
      </w:pPr>
      <w:r w:rsidRPr="00192045">
        <w:t>Recommended listing</w:t>
      </w:r>
    </w:p>
    <w:p w:rsidR="008D1F89" w:rsidRPr="00192045" w:rsidRDefault="008D1F89" w:rsidP="00C408E4">
      <w:pPr>
        <w:pStyle w:val="numberedbulletstyle"/>
      </w:pPr>
      <w:r w:rsidRPr="00192045">
        <w:t>Amend existing listing</w:t>
      </w:r>
      <w:r w:rsidR="00C408E4" w:rsidRPr="00192045">
        <w:t>s</w:t>
      </w:r>
      <w:r w:rsidRPr="00192045">
        <w:t xml:space="preserve"> as follows</w:t>
      </w:r>
      <w:r w:rsidR="00C408E4" w:rsidRPr="00192045">
        <w:t xml:space="preserve"> (with deletions in strikethrough)</w:t>
      </w:r>
      <w:r w:rsidRPr="00192045">
        <w:t>:</w:t>
      </w:r>
    </w:p>
    <w:tbl>
      <w:tblPr>
        <w:tblW w:w="8964" w:type="dxa"/>
        <w:tblInd w:w="108" w:type="dxa"/>
        <w:tblLayout w:type="fixed"/>
        <w:tblLook w:val="0000" w:firstRow="0" w:lastRow="0" w:firstColumn="0" w:lastColumn="0" w:noHBand="0" w:noVBand="0"/>
      </w:tblPr>
      <w:tblGrid>
        <w:gridCol w:w="1735"/>
        <w:gridCol w:w="1809"/>
        <w:gridCol w:w="567"/>
        <w:gridCol w:w="567"/>
        <w:gridCol w:w="459"/>
        <w:gridCol w:w="992"/>
        <w:gridCol w:w="2835"/>
      </w:tblGrid>
      <w:tr w:rsidR="007358E8" w:rsidRPr="00192045" w:rsidTr="003E48F8">
        <w:trPr>
          <w:cantSplit/>
          <w:trHeight w:val="471"/>
        </w:trPr>
        <w:tc>
          <w:tcPr>
            <w:tcW w:w="3544" w:type="dxa"/>
            <w:gridSpan w:val="2"/>
            <w:tcBorders>
              <w:bottom w:val="single" w:sz="4" w:space="0" w:color="auto"/>
            </w:tcBorders>
          </w:tcPr>
          <w:p w:rsidR="007358E8" w:rsidRPr="00192045" w:rsidRDefault="007358E8" w:rsidP="002D08FB">
            <w:pPr>
              <w:keepNext/>
              <w:ind w:left="-108"/>
              <w:rPr>
                <w:rFonts w:ascii="Arial Narrow" w:hAnsi="Arial Narrow"/>
                <w:sz w:val="20"/>
                <w:szCs w:val="20"/>
              </w:rPr>
            </w:pPr>
            <w:r w:rsidRPr="00192045">
              <w:rPr>
                <w:rFonts w:ascii="Arial Narrow" w:hAnsi="Arial Narrow"/>
                <w:sz w:val="20"/>
                <w:szCs w:val="20"/>
              </w:rPr>
              <w:t>Name, Restriction,</w:t>
            </w:r>
          </w:p>
          <w:p w:rsidR="007358E8" w:rsidRPr="00192045" w:rsidRDefault="007358E8" w:rsidP="002D08FB">
            <w:pPr>
              <w:keepNext/>
              <w:ind w:left="-108"/>
              <w:rPr>
                <w:rFonts w:ascii="Arial Narrow" w:hAnsi="Arial Narrow"/>
                <w:sz w:val="20"/>
                <w:szCs w:val="20"/>
              </w:rPr>
            </w:pPr>
            <w:r w:rsidRPr="00192045">
              <w:rPr>
                <w:rFonts w:ascii="Arial Narrow" w:hAnsi="Arial Narrow"/>
                <w:sz w:val="20"/>
                <w:szCs w:val="20"/>
              </w:rPr>
              <w:t>Manner of administration and form</w:t>
            </w:r>
          </w:p>
        </w:tc>
        <w:tc>
          <w:tcPr>
            <w:tcW w:w="567" w:type="dxa"/>
            <w:tcBorders>
              <w:bottom w:val="single" w:sz="4" w:space="0" w:color="auto"/>
            </w:tcBorders>
            <w:vAlign w:val="center"/>
          </w:tcPr>
          <w:p w:rsidR="007358E8" w:rsidRPr="00192045" w:rsidRDefault="007358E8" w:rsidP="003E48F8">
            <w:pPr>
              <w:keepNext/>
              <w:ind w:left="-108"/>
              <w:jc w:val="left"/>
              <w:rPr>
                <w:rFonts w:ascii="Arial Narrow" w:hAnsi="Arial Narrow"/>
                <w:sz w:val="20"/>
                <w:szCs w:val="20"/>
              </w:rPr>
            </w:pPr>
            <w:r w:rsidRPr="00192045">
              <w:rPr>
                <w:rFonts w:ascii="Arial Narrow" w:hAnsi="Arial Narrow"/>
                <w:sz w:val="20"/>
                <w:szCs w:val="20"/>
              </w:rPr>
              <w:t>Max.</w:t>
            </w:r>
          </w:p>
          <w:p w:rsidR="007358E8" w:rsidRPr="00192045" w:rsidRDefault="007358E8" w:rsidP="003E48F8">
            <w:pPr>
              <w:keepNext/>
              <w:ind w:left="-108"/>
              <w:jc w:val="left"/>
              <w:rPr>
                <w:rFonts w:ascii="Arial Narrow" w:hAnsi="Arial Narrow"/>
                <w:sz w:val="20"/>
                <w:szCs w:val="20"/>
              </w:rPr>
            </w:pPr>
            <w:proofErr w:type="spellStart"/>
            <w:r w:rsidRPr="00192045">
              <w:rPr>
                <w:rFonts w:ascii="Arial Narrow" w:hAnsi="Arial Narrow"/>
                <w:sz w:val="20"/>
                <w:szCs w:val="20"/>
              </w:rPr>
              <w:t>Qty</w:t>
            </w:r>
            <w:proofErr w:type="spellEnd"/>
          </w:p>
        </w:tc>
        <w:tc>
          <w:tcPr>
            <w:tcW w:w="567" w:type="dxa"/>
            <w:tcBorders>
              <w:bottom w:val="single" w:sz="4" w:space="0" w:color="auto"/>
            </w:tcBorders>
            <w:vAlign w:val="center"/>
          </w:tcPr>
          <w:p w:rsidR="007358E8" w:rsidRPr="00192045" w:rsidRDefault="007358E8" w:rsidP="003E48F8">
            <w:pPr>
              <w:keepNext/>
              <w:ind w:left="-108"/>
              <w:jc w:val="left"/>
              <w:rPr>
                <w:rFonts w:ascii="Arial Narrow" w:hAnsi="Arial Narrow"/>
                <w:sz w:val="20"/>
                <w:szCs w:val="20"/>
              </w:rPr>
            </w:pPr>
            <w:r w:rsidRPr="00192045">
              <w:rPr>
                <w:rFonts w:ascii="Arial Narrow" w:hAnsi="Arial Narrow"/>
                <w:sz w:val="20"/>
                <w:szCs w:val="20"/>
              </w:rPr>
              <w:t>№.of</w:t>
            </w:r>
          </w:p>
          <w:p w:rsidR="007358E8" w:rsidRPr="00192045" w:rsidRDefault="007358E8" w:rsidP="003E48F8">
            <w:pPr>
              <w:keepNext/>
              <w:ind w:left="-108"/>
              <w:jc w:val="left"/>
              <w:rPr>
                <w:rFonts w:ascii="Arial Narrow" w:hAnsi="Arial Narrow"/>
                <w:sz w:val="20"/>
                <w:szCs w:val="20"/>
              </w:rPr>
            </w:pPr>
            <w:proofErr w:type="spellStart"/>
            <w:r w:rsidRPr="00192045">
              <w:rPr>
                <w:rFonts w:ascii="Arial Narrow" w:hAnsi="Arial Narrow"/>
                <w:sz w:val="20"/>
                <w:szCs w:val="20"/>
              </w:rPr>
              <w:t>Rpts</w:t>
            </w:r>
            <w:proofErr w:type="spellEnd"/>
          </w:p>
        </w:tc>
        <w:tc>
          <w:tcPr>
            <w:tcW w:w="459" w:type="dxa"/>
            <w:tcBorders>
              <w:bottom w:val="single" w:sz="4" w:space="0" w:color="auto"/>
            </w:tcBorders>
          </w:tcPr>
          <w:p w:rsidR="007358E8" w:rsidRPr="00192045" w:rsidRDefault="007358E8" w:rsidP="002D08FB">
            <w:pPr>
              <w:keepNext/>
              <w:ind w:left="-108"/>
              <w:rPr>
                <w:rFonts w:ascii="Arial Narrow" w:hAnsi="Arial Narrow"/>
                <w:sz w:val="20"/>
                <w:szCs w:val="20"/>
              </w:rPr>
            </w:pPr>
          </w:p>
        </w:tc>
        <w:tc>
          <w:tcPr>
            <w:tcW w:w="3827" w:type="dxa"/>
            <w:gridSpan w:val="2"/>
            <w:tcBorders>
              <w:bottom w:val="single" w:sz="4" w:space="0" w:color="auto"/>
            </w:tcBorders>
          </w:tcPr>
          <w:p w:rsidR="007358E8" w:rsidRPr="00192045" w:rsidRDefault="007358E8" w:rsidP="002D08FB">
            <w:pPr>
              <w:keepNext/>
              <w:rPr>
                <w:rFonts w:ascii="Arial Narrow" w:hAnsi="Arial Narrow"/>
                <w:sz w:val="20"/>
                <w:szCs w:val="20"/>
              </w:rPr>
            </w:pPr>
            <w:r w:rsidRPr="00192045">
              <w:rPr>
                <w:rFonts w:ascii="Arial Narrow" w:hAnsi="Arial Narrow"/>
                <w:sz w:val="20"/>
                <w:szCs w:val="20"/>
              </w:rPr>
              <w:t>Proprietary Name and Manufacturer</w:t>
            </w:r>
          </w:p>
        </w:tc>
      </w:tr>
      <w:tr w:rsidR="007358E8" w:rsidRPr="00192045" w:rsidTr="003E48F8">
        <w:trPr>
          <w:cantSplit/>
          <w:trHeight w:val="565"/>
        </w:trPr>
        <w:tc>
          <w:tcPr>
            <w:tcW w:w="3544" w:type="dxa"/>
            <w:gridSpan w:val="2"/>
          </w:tcPr>
          <w:p w:rsidR="005C33AD" w:rsidRPr="00192045" w:rsidRDefault="007358E8" w:rsidP="002D08FB">
            <w:pPr>
              <w:keepNext/>
              <w:ind w:left="-108"/>
              <w:rPr>
                <w:rFonts w:ascii="Arial Narrow" w:hAnsi="Arial Narrow"/>
                <w:sz w:val="20"/>
              </w:rPr>
            </w:pPr>
            <w:proofErr w:type="spellStart"/>
            <w:r w:rsidRPr="00192045">
              <w:rPr>
                <w:rFonts w:ascii="Arial Narrow" w:hAnsi="Arial Narrow"/>
                <w:smallCaps/>
                <w:sz w:val="20"/>
              </w:rPr>
              <w:t>brivaracetam</w:t>
            </w:r>
            <w:proofErr w:type="spellEnd"/>
            <w:r w:rsidRPr="00192045">
              <w:rPr>
                <w:rFonts w:ascii="Arial Narrow" w:hAnsi="Arial Narrow"/>
                <w:smallCaps/>
                <w:sz w:val="20"/>
              </w:rPr>
              <w:br/>
            </w:r>
            <w:r w:rsidRPr="00192045">
              <w:rPr>
                <w:rFonts w:ascii="Arial Narrow" w:hAnsi="Arial Narrow"/>
                <w:sz w:val="20"/>
              </w:rPr>
              <w:t>Tablets 25 mg, 50 mg, 75 mg and 100 mg</w:t>
            </w:r>
          </w:p>
          <w:p w:rsidR="007358E8" w:rsidRPr="00192045" w:rsidRDefault="007358E8" w:rsidP="002D08FB">
            <w:pPr>
              <w:keepNext/>
              <w:ind w:left="-108"/>
              <w:rPr>
                <w:rFonts w:ascii="Arial Narrow" w:hAnsi="Arial Narrow"/>
                <w:sz w:val="20"/>
                <w:szCs w:val="20"/>
              </w:rPr>
            </w:pPr>
          </w:p>
        </w:tc>
        <w:tc>
          <w:tcPr>
            <w:tcW w:w="567" w:type="dxa"/>
            <w:vAlign w:val="center"/>
          </w:tcPr>
          <w:p w:rsidR="007358E8" w:rsidRPr="00192045" w:rsidRDefault="007358E8" w:rsidP="003E48F8">
            <w:pPr>
              <w:keepNext/>
              <w:ind w:left="-108"/>
              <w:jc w:val="left"/>
              <w:rPr>
                <w:rFonts w:ascii="Arial Narrow" w:hAnsi="Arial Narrow"/>
                <w:sz w:val="20"/>
              </w:rPr>
            </w:pPr>
            <w:r w:rsidRPr="00192045">
              <w:rPr>
                <w:rFonts w:ascii="Arial Narrow" w:hAnsi="Arial Narrow"/>
                <w:sz w:val="20"/>
              </w:rPr>
              <w:t>56</w:t>
            </w:r>
          </w:p>
        </w:tc>
        <w:tc>
          <w:tcPr>
            <w:tcW w:w="567" w:type="dxa"/>
            <w:vAlign w:val="center"/>
          </w:tcPr>
          <w:p w:rsidR="007358E8" w:rsidRPr="00192045" w:rsidRDefault="007358E8" w:rsidP="003E48F8">
            <w:pPr>
              <w:keepNext/>
              <w:ind w:left="-108"/>
              <w:jc w:val="left"/>
              <w:rPr>
                <w:rFonts w:ascii="Arial Narrow" w:hAnsi="Arial Narrow"/>
                <w:sz w:val="20"/>
              </w:rPr>
            </w:pPr>
            <w:r w:rsidRPr="00192045">
              <w:rPr>
                <w:rFonts w:ascii="Arial Narrow" w:hAnsi="Arial Narrow"/>
                <w:sz w:val="20"/>
              </w:rPr>
              <w:t>5</w:t>
            </w:r>
          </w:p>
        </w:tc>
        <w:tc>
          <w:tcPr>
            <w:tcW w:w="459" w:type="dxa"/>
            <w:vAlign w:val="center"/>
          </w:tcPr>
          <w:p w:rsidR="007358E8" w:rsidRPr="00192045" w:rsidRDefault="007358E8" w:rsidP="002D08FB">
            <w:pPr>
              <w:keepNext/>
              <w:jc w:val="center"/>
              <w:rPr>
                <w:rFonts w:ascii="Arial Narrow" w:hAnsi="Arial Narrow"/>
                <w:sz w:val="20"/>
                <w:vertAlign w:val="superscript"/>
              </w:rPr>
            </w:pPr>
          </w:p>
        </w:tc>
        <w:tc>
          <w:tcPr>
            <w:tcW w:w="992" w:type="dxa"/>
            <w:vAlign w:val="center"/>
          </w:tcPr>
          <w:p w:rsidR="007358E8" w:rsidRPr="00192045" w:rsidRDefault="007358E8" w:rsidP="00C918D9">
            <w:pPr>
              <w:keepNext/>
              <w:jc w:val="left"/>
              <w:rPr>
                <w:rFonts w:ascii="Arial Narrow" w:hAnsi="Arial Narrow"/>
                <w:sz w:val="20"/>
              </w:rPr>
            </w:pPr>
            <w:proofErr w:type="spellStart"/>
            <w:r w:rsidRPr="00192045">
              <w:rPr>
                <w:rFonts w:ascii="Arial Narrow" w:hAnsi="Arial Narrow"/>
                <w:sz w:val="20"/>
              </w:rPr>
              <w:t>Briviact</w:t>
            </w:r>
            <w:proofErr w:type="spellEnd"/>
            <w:r w:rsidRPr="00192045">
              <w:rPr>
                <w:rFonts w:ascii="Arial Narrow" w:hAnsi="Arial Narrow"/>
                <w:sz w:val="20"/>
                <w:vertAlign w:val="superscript"/>
              </w:rPr>
              <w:t>®</w:t>
            </w:r>
          </w:p>
        </w:tc>
        <w:tc>
          <w:tcPr>
            <w:tcW w:w="2835" w:type="dxa"/>
            <w:vAlign w:val="center"/>
          </w:tcPr>
          <w:p w:rsidR="007358E8" w:rsidRPr="00192045" w:rsidRDefault="007358E8" w:rsidP="00C918D9">
            <w:pPr>
              <w:keepNext/>
              <w:jc w:val="left"/>
              <w:rPr>
                <w:rFonts w:ascii="Arial Narrow" w:hAnsi="Arial Narrow"/>
                <w:sz w:val="20"/>
              </w:rPr>
            </w:pPr>
            <w:r w:rsidRPr="00192045">
              <w:rPr>
                <w:rFonts w:ascii="Arial Narrow" w:hAnsi="Arial Narrow"/>
                <w:sz w:val="20"/>
              </w:rPr>
              <w:t>UCB Pharma</w:t>
            </w:r>
          </w:p>
        </w:tc>
      </w:tr>
      <w:tr w:rsidR="007358E8" w:rsidRPr="00192045" w:rsidTr="002D08FB">
        <w:trPr>
          <w:cantSplit/>
          <w:trHeight w:val="360"/>
        </w:trPr>
        <w:tc>
          <w:tcPr>
            <w:tcW w:w="8964" w:type="dxa"/>
            <w:gridSpan w:val="7"/>
            <w:tcBorders>
              <w:bottom w:val="single" w:sz="4" w:space="0" w:color="auto"/>
            </w:tcBorders>
          </w:tcPr>
          <w:p w:rsidR="007358E8" w:rsidRPr="00192045" w:rsidRDefault="007358E8" w:rsidP="007358E8">
            <w:pPr>
              <w:rPr>
                <w:rFonts w:ascii="Arial Narrow" w:hAnsi="Arial Narrow"/>
                <w:sz w:val="16"/>
                <w:szCs w:val="20"/>
              </w:rPr>
            </w:pPr>
          </w:p>
        </w:tc>
      </w:tr>
      <w:tr w:rsidR="007358E8" w:rsidRPr="00192045" w:rsidTr="002D08FB">
        <w:trPr>
          <w:cantSplit/>
          <w:trHeight w:val="265"/>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Category / Program</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GENERAL – General Schedule (Code GE)</w:t>
            </w:r>
          </w:p>
        </w:tc>
      </w:tr>
      <w:tr w:rsidR="007358E8" w:rsidRPr="00192045" w:rsidTr="002D08FB">
        <w:trPr>
          <w:cantSplit/>
          <w:trHeight w:val="36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Prescriber type:</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Optometrists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358E8" w:rsidRPr="00192045" w:rsidTr="002D08FB">
        <w:trPr>
          <w:cantSplit/>
          <w:trHeight w:val="149"/>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PBS Indication:</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124D07">
            <w:pPr>
              <w:rPr>
                <w:rFonts w:ascii="Arial Narrow" w:hAnsi="Arial Narrow"/>
                <w:sz w:val="20"/>
              </w:rPr>
            </w:pPr>
            <w:r w:rsidRPr="00192045">
              <w:rPr>
                <w:rFonts w:ascii="Arial Narrow" w:hAnsi="Arial Narrow"/>
                <w:sz w:val="20"/>
              </w:rPr>
              <w:t>Intractable partial epileptic seizures</w:t>
            </w:r>
          </w:p>
        </w:tc>
      </w:tr>
      <w:tr w:rsidR="007358E8" w:rsidRPr="00192045" w:rsidTr="002D08FB">
        <w:trPr>
          <w:cantSplit/>
          <w:trHeight w:val="7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Treatment phase:</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Initial treatment</w:t>
            </w:r>
          </w:p>
        </w:tc>
      </w:tr>
      <w:tr w:rsidR="007358E8" w:rsidRPr="00192045" w:rsidTr="002D08FB">
        <w:trPr>
          <w:cantSplit/>
          <w:trHeight w:val="36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lastRenderedPageBreak/>
              <w:t>Restriction Level / Method:</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358E8" w:rsidRPr="00192045" w:rsidTr="002D08FB">
        <w:trPr>
          <w:cantSplit/>
          <w:trHeight w:val="119"/>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Must be treated by a neurologist</w:t>
            </w:r>
          </w:p>
        </w:tc>
      </w:tr>
      <w:tr w:rsidR="007358E8" w:rsidRPr="00192045" w:rsidTr="002D08FB">
        <w:trPr>
          <w:cantSplit/>
          <w:trHeight w:val="36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7229" w:type="dxa"/>
            <w:gridSpan w:val="6"/>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Treatment must be in combination with two or more anti-epileptic drugs which includes one second-line adjunctive agent,</w:t>
            </w:r>
          </w:p>
          <w:p w:rsidR="007358E8" w:rsidRPr="00192045" w:rsidRDefault="007358E8" w:rsidP="002D08FB">
            <w:pPr>
              <w:rPr>
                <w:rFonts w:ascii="Arial Narrow" w:hAnsi="Arial Narrow"/>
                <w:sz w:val="20"/>
                <w:szCs w:val="20"/>
              </w:rPr>
            </w:pPr>
            <w:r w:rsidRPr="00192045">
              <w:rPr>
                <w:rFonts w:ascii="Arial Narrow" w:hAnsi="Arial Narrow"/>
                <w:sz w:val="20"/>
                <w:szCs w:val="20"/>
              </w:rPr>
              <w:t>AND</w:t>
            </w:r>
          </w:p>
          <w:p w:rsidR="007358E8" w:rsidRPr="00192045" w:rsidRDefault="007358E8" w:rsidP="002D08FB">
            <w:pPr>
              <w:rPr>
                <w:rFonts w:ascii="Arial Narrow" w:hAnsi="Arial Narrow"/>
                <w:sz w:val="20"/>
                <w:szCs w:val="20"/>
              </w:rPr>
            </w:pPr>
            <w:r w:rsidRPr="00192045">
              <w:rPr>
                <w:rFonts w:ascii="Arial Narrow" w:hAnsi="Arial Narrow"/>
                <w:sz w:val="20"/>
                <w:szCs w:val="20"/>
              </w:rPr>
              <w:t>The condition must have failed to be controlled satisfactorily by other anti-epileptic drugs, which includes at least one first-line anti-epileptic agent and at least two second-line adjunctive anti-epileptic agents,</w:t>
            </w:r>
          </w:p>
          <w:p w:rsidR="007358E8" w:rsidRPr="00192045" w:rsidRDefault="007358E8" w:rsidP="002D08FB">
            <w:pPr>
              <w:rPr>
                <w:rFonts w:ascii="Arial Narrow" w:hAnsi="Arial Narrow"/>
                <w:sz w:val="20"/>
                <w:szCs w:val="20"/>
              </w:rPr>
            </w:pPr>
            <w:r w:rsidRPr="00192045">
              <w:rPr>
                <w:rFonts w:ascii="Arial Narrow" w:hAnsi="Arial Narrow"/>
                <w:sz w:val="20"/>
                <w:szCs w:val="20"/>
              </w:rPr>
              <w:t>AND</w:t>
            </w:r>
          </w:p>
          <w:p w:rsidR="007358E8" w:rsidRPr="00192045" w:rsidRDefault="007358E8" w:rsidP="002D08FB">
            <w:pPr>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 except for cross titration.</w:t>
            </w:r>
          </w:p>
        </w:tc>
      </w:tr>
    </w:tbl>
    <w:p w:rsidR="007358E8" w:rsidRPr="00192045" w:rsidRDefault="007358E8" w:rsidP="007358E8"/>
    <w:tbl>
      <w:tblPr>
        <w:tblW w:w="8959" w:type="dxa"/>
        <w:tblInd w:w="108" w:type="dxa"/>
        <w:tblLayout w:type="fixed"/>
        <w:tblLook w:val="0000" w:firstRow="0" w:lastRow="0" w:firstColumn="0" w:lastColumn="0" w:noHBand="0" w:noVBand="0"/>
      </w:tblPr>
      <w:tblGrid>
        <w:gridCol w:w="1730"/>
        <w:gridCol w:w="7229"/>
      </w:tblGrid>
      <w:tr w:rsidR="007358E8" w:rsidRPr="00192045" w:rsidTr="002D08FB">
        <w:trPr>
          <w:cantSplit/>
          <w:trHeight w:val="252"/>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GENERAL – General Schedule (Code GE)</w:t>
            </w:r>
          </w:p>
        </w:tc>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003E48F8" w:rsidRPr="00192045">
              <w:rPr>
                <w:rFonts w:ascii="Arial Narrow" w:hAnsi="Arial Narrow"/>
                <w:sz w:val="20"/>
                <w:szCs w:val="20"/>
              </w:rPr>
              <w:fldChar w:fldCharType="begin">
                <w:ffData>
                  <w:name w:val=""/>
                  <w:enabled/>
                  <w:calcOnExit w:val="0"/>
                  <w:checkBox>
                    <w:sizeAuto/>
                    <w:default w:val="1"/>
                  </w:checkBox>
                </w:ffData>
              </w:fldChar>
            </w:r>
            <w:r w:rsidR="003E48F8"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003E48F8"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358E8" w:rsidRPr="00192045" w:rsidTr="002D08FB">
        <w:trPr>
          <w:cantSplit/>
          <w:trHeight w:val="219"/>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124D07">
            <w:pPr>
              <w:rPr>
                <w:rFonts w:ascii="Arial Narrow" w:hAnsi="Arial Narrow"/>
                <w:sz w:val="20"/>
              </w:rPr>
            </w:pPr>
            <w:r w:rsidRPr="00192045">
              <w:rPr>
                <w:rFonts w:ascii="Arial Narrow" w:hAnsi="Arial Narrow"/>
                <w:sz w:val="20"/>
              </w:rPr>
              <w:t>Intractable partial epileptic seizures</w:t>
            </w:r>
          </w:p>
        </w:tc>
      </w:tr>
      <w:tr w:rsidR="007358E8" w:rsidRPr="00192045" w:rsidTr="002D08FB">
        <w:trPr>
          <w:cantSplit/>
          <w:trHeight w:val="123"/>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Continuing treatment</w:t>
            </w:r>
          </w:p>
        </w:tc>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Restriction Level / Method:</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 xml:space="preserve">Patient must have previously been treated with PBS-subsidised treatment with this drug for this condition, </w:t>
            </w:r>
          </w:p>
          <w:p w:rsidR="007358E8" w:rsidRPr="00192045" w:rsidRDefault="007358E8" w:rsidP="002D08FB">
            <w:pPr>
              <w:rPr>
                <w:rFonts w:ascii="Arial Narrow" w:hAnsi="Arial Narrow"/>
                <w:sz w:val="20"/>
                <w:szCs w:val="20"/>
              </w:rPr>
            </w:pPr>
            <w:r w:rsidRPr="00192045">
              <w:rPr>
                <w:rFonts w:ascii="Arial Narrow" w:hAnsi="Arial Narrow"/>
                <w:sz w:val="20"/>
                <w:szCs w:val="20"/>
              </w:rPr>
              <w:t>AND</w:t>
            </w:r>
          </w:p>
          <w:p w:rsidR="007358E8" w:rsidRPr="00192045" w:rsidRDefault="007358E8" w:rsidP="002D08FB">
            <w:pPr>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w:t>
            </w:r>
          </w:p>
        </w:tc>
      </w:tr>
    </w:tbl>
    <w:p w:rsidR="007358E8" w:rsidRPr="00192045" w:rsidRDefault="007358E8" w:rsidP="007358E8"/>
    <w:tbl>
      <w:tblPr>
        <w:tblW w:w="8964" w:type="dxa"/>
        <w:tblInd w:w="108" w:type="dxa"/>
        <w:tblLayout w:type="fixed"/>
        <w:tblLook w:val="0000" w:firstRow="0" w:lastRow="0" w:firstColumn="0" w:lastColumn="0" w:noHBand="0" w:noVBand="0"/>
      </w:tblPr>
      <w:tblGrid>
        <w:gridCol w:w="1735"/>
        <w:gridCol w:w="1526"/>
        <w:gridCol w:w="567"/>
        <w:gridCol w:w="850"/>
        <w:gridCol w:w="1168"/>
        <w:gridCol w:w="3118"/>
      </w:tblGrid>
      <w:tr w:rsidR="006C3747" w:rsidRPr="00192045" w:rsidTr="003E48F8">
        <w:trPr>
          <w:cantSplit/>
          <w:trHeight w:val="471"/>
        </w:trPr>
        <w:tc>
          <w:tcPr>
            <w:tcW w:w="3261" w:type="dxa"/>
            <w:gridSpan w:val="2"/>
            <w:tcBorders>
              <w:bottom w:val="single" w:sz="4" w:space="0" w:color="auto"/>
            </w:tcBorders>
          </w:tcPr>
          <w:p w:rsidR="006C3747" w:rsidRPr="00192045" w:rsidRDefault="006C3747" w:rsidP="002D08FB">
            <w:pPr>
              <w:keepNext/>
              <w:ind w:left="-108"/>
              <w:rPr>
                <w:rFonts w:ascii="Arial Narrow" w:hAnsi="Arial Narrow"/>
                <w:sz w:val="20"/>
                <w:szCs w:val="20"/>
              </w:rPr>
            </w:pPr>
            <w:r w:rsidRPr="00192045">
              <w:rPr>
                <w:rFonts w:ascii="Arial Narrow" w:hAnsi="Arial Narrow"/>
                <w:sz w:val="20"/>
                <w:szCs w:val="20"/>
              </w:rPr>
              <w:t>Name, Restriction,</w:t>
            </w:r>
          </w:p>
          <w:p w:rsidR="006C3747" w:rsidRPr="00192045" w:rsidRDefault="006C3747" w:rsidP="002D08FB">
            <w:pPr>
              <w:keepNext/>
              <w:ind w:left="-108"/>
              <w:rPr>
                <w:rFonts w:ascii="Arial Narrow" w:hAnsi="Arial Narrow"/>
                <w:sz w:val="20"/>
                <w:szCs w:val="20"/>
              </w:rPr>
            </w:pPr>
            <w:r w:rsidRPr="00192045">
              <w:rPr>
                <w:rFonts w:ascii="Arial Narrow" w:hAnsi="Arial Narrow"/>
                <w:sz w:val="20"/>
                <w:szCs w:val="20"/>
              </w:rPr>
              <w:t>Manner of administration and form</w:t>
            </w:r>
          </w:p>
        </w:tc>
        <w:tc>
          <w:tcPr>
            <w:tcW w:w="567" w:type="dxa"/>
            <w:tcBorders>
              <w:bottom w:val="single" w:sz="4" w:space="0" w:color="auto"/>
            </w:tcBorders>
            <w:vAlign w:val="center"/>
          </w:tcPr>
          <w:p w:rsidR="006C3747" w:rsidRPr="00192045" w:rsidRDefault="006C3747" w:rsidP="003E48F8">
            <w:pPr>
              <w:keepNext/>
              <w:ind w:left="-108"/>
              <w:jc w:val="left"/>
              <w:rPr>
                <w:rFonts w:ascii="Arial Narrow" w:hAnsi="Arial Narrow"/>
                <w:sz w:val="20"/>
                <w:szCs w:val="20"/>
              </w:rPr>
            </w:pPr>
            <w:r w:rsidRPr="00192045">
              <w:rPr>
                <w:rFonts w:ascii="Arial Narrow" w:hAnsi="Arial Narrow"/>
                <w:sz w:val="20"/>
                <w:szCs w:val="20"/>
              </w:rPr>
              <w:t>Max.</w:t>
            </w:r>
          </w:p>
          <w:p w:rsidR="006C3747" w:rsidRPr="00192045" w:rsidRDefault="006C3747" w:rsidP="003E48F8">
            <w:pPr>
              <w:keepNext/>
              <w:ind w:left="-108"/>
              <w:jc w:val="left"/>
              <w:rPr>
                <w:rFonts w:ascii="Arial Narrow" w:hAnsi="Arial Narrow"/>
                <w:sz w:val="20"/>
                <w:szCs w:val="20"/>
              </w:rPr>
            </w:pPr>
            <w:proofErr w:type="spellStart"/>
            <w:r w:rsidRPr="00192045">
              <w:rPr>
                <w:rFonts w:ascii="Arial Narrow" w:hAnsi="Arial Narrow"/>
                <w:sz w:val="20"/>
                <w:szCs w:val="20"/>
              </w:rPr>
              <w:t>Qty</w:t>
            </w:r>
            <w:proofErr w:type="spellEnd"/>
          </w:p>
        </w:tc>
        <w:tc>
          <w:tcPr>
            <w:tcW w:w="850" w:type="dxa"/>
            <w:tcBorders>
              <w:bottom w:val="single" w:sz="4" w:space="0" w:color="auto"/>
            </w:tcBorders>
            <w:vAlign w:val="center"/>
          </w:tcPr>
          <w:p w:rsidR="006C3747" w:rsidRPr="00192045" w:rsidRDefault="006C3747" w:rsidP="003E48F8">
            <w:pPr>
              <w:keepNext/>
              <w:ind w:left="-108"/>
              <w:jc w:val="left"/>
              <w:rPr>
                <w:rFonts w:ascii="Arial Narrow" w:hAnsi="Arial Narrow"/>
                <w:sz w:val="20"/>
                <w:szCs w:val="20"/>
              </w:rPr>
            </w:pPr>
            <w:r w:rsidRPr="00192045">
              <w:rPr>
                <w:rFonts w:ascii="Arial Narrow" w:hAnsi="Arial Narrow"/>
                <w:sz w:val="20"/>
                <w:szCs w:val="20"/>
              </w:rPr>
              <w:t>№.of</w:t>
            </w:r>
          </w:p>
          <w:p w:rsidR="006C3747" w:rsidRPr="00192045" w:rsidRDefault="006C3747" w:rsidP="003E48F8">
            <w:pPr>
              <w:keepNext/>
              <w:ind w:left="-108"/>
              <w:jc w:val="left"/>
              <w:rPr>
                <w:rFonts w:ascii="Arial Narrow" w:hAnsi="Arial Narrow"/>
                <w:sz w:val="20"/>
                <w:szCs w:val="20"/>
              </w:rPr>
            </w:pPr>
            <w:proofErr w:type="spellStart"/>
            <w:r w:rsidRPr="00192045">
              <w:rPr>
                <w:rFonts w:ascii="Arial Narrow" w:hAnsi="Arial Narrow"/>
                <w:sz w:val="20"/>
                <w:szCs w:val="20"/>
              </w:rPr>
              <w:t>Rpts</w:t>
            </w:r>
            <w:proofErr w:type="spellEnd"/>
          </w:p>
        </w:tc>
        <w:tc>
          <w:tcPr>
            <w:tcW w:w="4286" w:type="dxa"/>
            <w:gridSpan w:val="2"/>
            <w:tcBorders>
              <w:bottom w:val="single" w:sz="4" w:space="0" w:color="auto"/>
            </w:tcBorders>
          </w:tcPr>
          <w:p w:rsidR="006C3747" w:rsidRPr="00192045" w:rsidRDefault="006C3747" w:rsidP="002D08FB">
            <w:pPr>
              <w:keepNext/>
              <w:rPr>
                <w:rFonts w:ascii="Arial Narrow" w:hAnsi="Arial Narrow"/>
                <w:sz w:val="20"/>
                <w:szCs w:val="20"/>
              </w:rPr>
            </w:pPr>
            <w:r w:rsidRPr="00192045">
              <w:rPr>
                <w:rFonts w:ascii="Arial Narrow" w:hAnsi="Arial Narrow"/>
                <w:sz w:val="20"/>
                <w:szCs w:val="20"/>
              </w:rPr>
              <w:t>Proprietary Name and Manufacturer</w:t>
            </w:r>
          </w:p>
        </w:tc>
      </w:tr>
      <w:tr w:rsidR="006C3747" w:rsidRPr="00192045" w:rsidTr="003E48F8">
        <w:trPr>
          <w:cantSplit/>
          <w:trHeight w:val="577"/>
        </w:trPr>
        <w:tc>
          <w:tcPr>
            <w:tcW w:w="3261" w:type="dxa"/>
            <w:gridSpan w:val="2"/>
          </w:tcPr>
          <w:p w:rsidR="006C3747" w:rsidRPr="00192045" w:rsidRDefault="006C3747" w:rsidP="003E48F8">
            <w:pPr>
              <w:keepNext/>
              <w:ind w:left="-108"/>
              <w:rPr>
                <w:rFonts w:ascii="Arial Narrow" w:hAnsi="Arial Narrow"/>
                <w:sz w:val="20"/>
                <w:vertAlign w:val="superscript"/>
              </w:rPr>
            </w:pPr>
            <w:proofErr w:type="spellStart"/>
            <w:r w:rsidRPr="00192045">
              <w:rPr>
                <w:rFonts w:ascii="Arial Narrow" w:hAnsi="Arial Narrow"/>
                <w:smallCaps/>
                <w:sz w:val="20"/>
              </w:rPr>
              <w:t>brivaracetam</w:t>
            </w:r>
            <w:proofErr w:type="spellEnd"/>
            <w:r w:rsidRPr="00192045">
              <w:rPr>
                <w:rFonts w:ascii="Arial Narrow" w:hAnsi="Arial Narrow"/>
                <w:smallCaps/>
                <w:sz w:val="20"/>
              </w:rPr>
              <w:br/>
            </w:r>
            <w:r w:rsidRPr="00192045">
              <w:rPr>
                <w:rFonts w:ascii="Arial Narrow" w:hAnsi="Arial Narrow"/>
                <w:sz w:val="20"/>
              </w:rPr>
              <w:t>Oral solution, 10 mg/mL, 300 mL</w:t>
            </w:r>
          </w:p>
        </w:tc>
        <w:tc>
          <w:tcPr>
            <w:tcW w:w="567" w:type="dxa"/>
            <w:vAlign w:val="center"/>
          </w:tcPr>
          <w:p w:rsidR="006C3747" w:rsidRPr="00192045" w:rsidRDefault="006C3747" w:rsidP="003E48F8">
            <w:pPr>
              <w:keepNext/>
              <w:jc w:val="left"/>
              <w:rPr>
                <w:rFonts w:ascii="Arial Narrow" w:hAnsi="Arial Narrow"/>
                <w:sz w:val="20"/>
              </w:rPr>
            </w:pPr>
            <w:r w:rsidRPr="00192045">
              <w:rPr>
                <w:rFonts w:ascii="Arial Narrow" w:hAnsi="Arial Narrow"/>
                <w:sz w:val="20"/>
              </w:rPr>
              <w:t>1</w:t>
            </w:r>
          </w:p>
        </w:tc>
        <w:tc>
          <w:tcPr>
            <w:tcW w:w="850" w:type="dxa"/>
            <w:vAlign w:val="center"/>
          </w:tcPr>
          <w:p w:rsidR="006C3747" w:rsidRPr="00192045" w:rsidRDefault="006C3747" w:rsidP="003E48F8">
            <w:pPr>
              <w:keepNext/>
              <w:ind w:left="-108"/>
              <w:jc w:val="left"/>
              <w:rPr>
                <w:rFonts w:ascii="Arial Narrow" w:hAnsi="Arial Narrow"/>
                <w:sz w:val="20"/>
              </w:rPr>
            </w:pPr>
            <w:r w:rsidRPr="00192045">
              <w:rPr>
                <w:rFonts w:ascii="Arial Narrow" w:hAnsi="Arial Narrow"/>
                <w:sz w:val="20"/>
              </w:rPr>
              <w:t>5</w:t>
            </w:r>
          </w:p>
        </w:tc>
        <w:tc>
          <w:tcPr>
            <w:tcW w:w="1168" w:type="dxa"/>
            <w:vAlign w:val="center"/>
          </w:tcPr>
          <w:p w:rsidR="006C3747" w:rsidRPr="00192045" w:rsidRDefault="006C3747" w:rsidP="002D08FB">
            <w:pPr>
              <w:keepNext/>
              <w:jc w:val="center"/>
              <w:rPr>
                <w:rFonts w:ascii="Arial Narrow" w:hAnsi="Arial Narrow"/>
                <w:sz w:val="20"/>
              </w:rPr>
            </w:pPr>
            <w:proofErr w:type="spellStart"/>
            <w:r w:rsidRPr="00192045">
              <w:rPr>
                <w:rFonts w:ascii="Arial Narrow" w:hAnsi="Arial Narrow"/>
                <w:sz w:val="20"/>
              </w:rPr>
              <w:t>Briviact</w:t>
            </w:r>
            <w:proofErr w:type="spellEnd"/>
            <w:r w:rsidRPr="00192045">
              <w:rPr>
                <w:rFonts w:ascii="Arial Narrow" w:hAnsi="Arial Narrow"/>
                <w:sz w:val="20"/>
                <w:vertAlign w:val="superscript"/>
              </w:rPr>
              <w:t>®</w:t>
            </w:r>
          </w:p>
        </w:tc>
        <w:tc>
          <w:tcPr>
            <w:tcW w:w="3118" w:type="dxa"/>
            <w:vAlign w:val="center"/>
          </w:tcPr>
          <w:p w:rsidR="006C3747" w:rsidRPr="00192045" w:rsidRDefault="006C3747" w:rsidP="006C3747">
            <w:pPr>
              <w:keepNext/>
              <w:jc w:val="left"/>
              <w:rPr>
                <w:rFonts w:ascii="Arial Narrow" w:hAnsi="Arial Narrow"/>
                <w:sz w:val="20"/>
              </w:rPr>
            </w:pPr>
            <w:r w:rsidRPr="00192045">
              <w:rPr>
                <w:rFonts w:ascii="Arial Narrow" w:hAnsi="Arial Narrow"/>
                <w:sz w:val="20"/>
              </w:rPr>
              <w:t>UCB Pharma</w:t>
            </w:r>
          </w:p>
        </w:tc>
      </w:tr>
      <w:tr w:rsidR="007358E8" w:rsidRPr="00192045" w:rsidTr="002D08FB">
        <w:trPr>
          <w:cantSplit/>
          <w:trHeight w:val="360"/>
        </w:trPr>
        <w:tc>
          <w:tcPr>
            <w:tcW w:w="8964" w:type="dxa"/>
            <w:gridSpan w:val="6"/>
            <w:tcBorders>
              <w:bottom w:val="single" w:sz="4" w:space="0" w:color="auto"/>
            </w:tcBorders>
          </w:tcPr>
          <w:p w:rsidR="007358E8" w:rsidRPr="00192045" w:rsidRDefault="007358E8" w:rsidP="005C33AD">
            <w:pPr>
              <w:rPr>
                <w:rFonts w:ascii="Arial Narrow" w:hAnsi="Arial Narrow"/>
                <w:sz w:val="20"/>
                <w:szCs w:val="20"/>
              </w:rPr>
            </w:pPr>
          </w:p>
        </w:tc>
      </w:tr>
      <w:tr w:rsidR="007358E8" w:rsidRPr="00192045" w:rsidTr="002D08FB">
        <w:trPr>
          <w:cantSplit/>
          <w:trHeight w:val="23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Category / Program</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GENERAL – General Schedule (Code GE)</w:t>
            </w:r>
          </w:p>
        </w:tc>
      </w:tr>
      <w:tr w:rsidR="007358E8" w:rsidRPr="00192045" w:rsidTr="002D08FB">
        <w:trPr>
          <w:cantSplit/>
          <w:trHeight w:val="36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Prescriber type:</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Optometrists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358E8" w:rsidRPr="00192045" w:rsidTr="002D08FB">
        <w:trPr>
          <w:cantSplit/>
          <w:trHeight w:val="225"/>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PBS Indication:</w:t>
            </w:r>
          </w:p>
        </w:tc>
        <w:tc>
          <w:tcPr>
            <w:tcW w:w="7229" w:type="dxa"/>
            <w:gridSpan w:val="5"/>
            <w:tcBorders>
              <w:top w:val="single" w:sz="4" w:space="0" w:color="auto"/>
              <w:left w:val="single" w:sz="4" w:space="0" w:color="auto"/>
              <w:bottom w:val="single" w:sz="4" w:space="0" w:color="auto"/>
              <w:right w:val="single" w:sz="4" w:space="0" w:color="auto"/>
            </w:tcBorders>
          </w:tcPr>
          <w:p w:rsidR="003E48F8" w:rsidRPr="00192045" w:rsidRDefault="003E48F8" w:rsidP="002D08FB">
            <w:pPr>
              <w:rPr>
                <w:rFonts w:ascii="Arial Narrow" w:hAnsi="Arial Narrow"/>
                <w:sz w:val="20"/>
              </w:rPr>
            </w:pPr>
            <w:r w:rsidRPr="00192045">
              <w:rPr>
                <w:rFonts w:ascii="Arial Narrow" w:hAnsi="Arial Narrow"/>
                <w:sz w:val="20"/>
              </w:rPr>
              <w:t>Intractable partial epileptic seizures</w:t>
            </w:r>
          </w:p>
        </w:tc>
      </w:tr>
      <w:tr w:rsidR="007358E8" w:rsidRPr="00192045" w:rsidTr="002D08FB">
        <w:trPr>
          <w:cantSplit/>
          <w:trHeight w:val="129"/>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Treatment phase:</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Initial treatment</w:t>
            </w:r>
          </w:p>
        </w:tc>
      </w:tr>
      <w:tr w:rsidR="007358E8" w:rsidRPr="00192045" w:rsidTr="002D08FB">
        <w:trPr>
          <w:cantSplit/>
          <w:trHeight w:val="360"/>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Restriction Level / Method:</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tr>
      <w:tr w:rsidR="007358E8" w:rsidRPr="00192045" w:rsidTr="002D08FB">
        <w:trPr>
          <w:cantSplit/>
          <w:trHeight w:val="229"/>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t>Treatment criteria:</w:t>
            </w:r>
            <w:r w:rsidRPr="00192045">
              <w:rPr>
                <w:rFonts w:ascii="Arial Narrow" w:hAnsi="Arial Narrow"/>
                <w:sz w:val="20"/>
                <w:szCs w:val="20"/>
              </w:rPr>
              <w:t xml:space="preserve"> </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Must be treated by a neurologist</w:t>
            </w:r>
          </w:p>
        </w:tc>
      </w:tr>
      <w:tr w:rsidR="007358E8" w:rsidRPr="00192045" w:rsidTr="002D08FB">
        <w:trPr>
          <w:cantSplit/>
          <w:trHeight w:val="47"/>
        </w:trPr>
        <w:tc>
          <w:tcPr>
            <w:tcW w:w="1735"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lastRenderedPageBreak/>
              <w:t>Clinical criteria:</w:t>
            </w:r>
            <w:r w:rsidRPr="00192045">
              <w:rPr>
                <w:rFonts w:ascii="Arial Narrow" w:hAnsi="Arial Narrow"/>
                <w:sz w:val="20"/>
                <w:szCs w:val="20"/>
              </w:rPr>
              <w:t xml:space="preserve"> </w:t>
            </w:r>
          </w:p>
        </w:tc>
        <w:tc>
          <w:tcPr>
            <w:tcW w:w="7229" w:type="dxa"/>
            <w:gridSpan w:val="5"/>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rPr>
            </w:pPr>
            <w:r w:rsidRPr="00192045">
              <w:rPr>
                <w:rFonts w:ascii="Arial Narrow" w:hAnsi="Arial Narrow"/>
                <w:sz w:val="20"/>
              </w:rPr>
              <w:t>Treatment must be in combination with two or more anti-epileptic drugs which includes one second-line adjunctive agent,</w:t>
            </w:r>
          </w:p>
          <w:p w:rsidR="007358E8" w:rsidRPr="00192045" w:rsidRDefault="007358E8" w:rsidP="002D08FB">
            <w:pPr>
              <w:rPr>
                <w:rFonts w:ascii="Arial Narrow" w:hAnsi="Arial Narrow"/>
                <w:sz w:val="20"/>
              </w:rPr>
            </w:pPr>
            <w:r w:rsidRPr="00192045">
              <w:rPr>
                <w:rFonts w:ascii="Arial Narrow" w:hAnsi="Arial Narrow"/>
                <w:sz w:val="20"/>
              </w:rPr>
              <w:t>AND</w:t>
            </w:r>
          </w:p>
          <w:p w:rsidR="007358E8" w:rsidRPr="00192045" w:rsidRDefault="007358E8" w:rsidP="002D08FB">
            <w:pPr>
              <w:rPr>
                <w:rFonts w:ascii="Arial Narrow" w:hAnsi="Arial Narrow"/>
                <w:sz w:val="20"/>
              </w:rPr>
            </w:pPr>
            <w:r w:rsidRPr="00192045">
              <w:rPr>
                <w:rFonts w:ascii="Arial Narrow" w:hAnsi="Arial Narrow"/>
                <w:sz w:val="20"/>
              </w:rPr>
              <w:t>The condition must have failed to be controlled satisfactorily by other anti-epileptic drugs, which includes at least one first-line anti-epileptic agent and at least two second-line adjunctive anti-epileptic agents,</w:t>
            </w:r>
          </w:p>
          <w:p w:rsidR="007358E8" w:rsidRPr="00192045" w:rsidRDefault="007358E8" w:rsidP="002D08FB">
            <w:pPr>
              <w:rPr>
                <w:rFonts w:ascii="Arial Narrow" w:hAnsi="Arial Narrow"/>
                <w:sz w:val="20"/>
              </w:rPr>
            </w:pPr>
            <w:r w:rsidRPr="00192045">
              <w:rPr>
                <w:rFonts w:ascii="Arial Narrow" w:hAnsi="Arial Narrow"/>
                <w:sz w:val="20"/>
              </w:rPr>
              <w:t>AND</w:t>
            </w:r>
          </w:p>
          <w:p w:rsidR="007358E8" w:rsidRPr="00192045" w:rsidRDefault="007358E8" w:rsidP="002D08FB">
            <w:pPr>
              <w:rPr>
                <w:rFonts w:ascii="Arial Narrow" w:hAnsi="Arial Narrow"/>
                <w:sz w:val="20"/>
              </w:rPr>
            </w:pPr>
            <w:r w:rsidRPr="00192045">
              <w:rPr>
                <w:rFonts w:ascii="Arial Narrow" w:hAnsi="Arial Narrow"/>
                <w:sz w:val="20"/>
              </w:rPr>
              <w:t>Patient must be unable to take a solid dose form of this drug,</w:t>
            </w:r>
          </w:p>
          <w:p w:rsidR="007358E8" w:rsidRPr="00192045" w:rsidRDefault="007358E8" w:rsidP="002D08FB">
            <w:pPr>
              <w:rPr>
                <w:rFonts w:ascii="Arial Narrow" w:hAnsi="Arial Narrow"/>
                <w:sz w:val="20"/>
              </w:rPr>
            </w:pPr>
            <w:r w:rsidRPr="00192045">
              <w:rPr>
                <w:rFonts w:ascii="Arial Narrow" w:hAnsi="Arial Narrow"/>
                <w:sz w:val="20"/>
              </w:rPr>
              <w:t>AND</w:t>
            </w:r>
          </w:p>
          <w:p w:rsidR="007358E8" w:rsidRPr="00192045" w:rsidRDefault="007358E8" w:rsidP="002D08FB">
            <w:pPr>
              <w:rPr>
                <w:rFonts w:ascii="Arial Narrow" w:hAnsi="Arial Narrow"/>
                <w:sz w:val="20"/>
                <w:szCs w:val="20"/>
              </w:rPr>
            </w:pPr>
            <w:r w:rsidRPr="00192045">
              <w:rPr>
                <w:rFonts w:ascii="Arial Narrow" w:hAnsi="Arial Narrow"/>
                <w:sz w:val="20"/>
              </w:rPr>
              <w:t xml:space="preserve">The treatment must not be given concomitantly with </w:t>
            </w:r>
            <w:proofErr w:type="spellStart"/>
            <w:r w:rsidRPr="00192045">
              <w:rPr>
                <w:rFonts w:ascii="Arial Narrow" w:hAnsi="Arial Narrow"/>
                <w:sz w:val="20"/>
              </w:rPr>
              <w:t>levetiracetam</w:t>
            </w:r>
            <w:proofErr w:type="spellEnd"/>
            <w:r w:rsidRPr="00192045">
              <w:rPr>
                <w:rFonts w:ascii="Arial Narrow" w:hAnsi="Arial Narrow"/>
                <w:sz w:val="20"/>
              </w:rPr>
              <w:t>, except for cross titration.</w:t>
            </w:r>
          </w:p>
        </w:tc>
      </w:tr>
    </w:tbl>
    <w:p w:rsidR="007358E8" w:rsidRPr="00192045" w:rsidRDefault="007358E8" w:rsidP="007358E8"/>
    <w:tbl>
      <w:tblPr>
        <w:tblW w:w="8959" w:type="dxa"/>
        <w:tblInd w:w="108" w:type="dxa"/>
        <w:tblLayout w:type="fixed"/>
        <w:tblLook w:val="0000" w:firstRow="0" w:lastRow="0" w:firstColumn="0" w:lastColumn="0" w:noHBand="0" w:noVBand="0"/>
      </w:tblPr>
      <w:tblGrid>
        <w:gridCol w:w="1730"/>
        <w:gridCol w:w="7229"/>
      </w:tblGrid>
      <w:tr w:rsidR="007358E8" w:rsidRPr="00192045" w:rsidTr="002D08FB">
        <w:trPr>
          <w:cantSplit/>
          <w:trHeight w:val="273"/>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GENERAL – General Schedule (Code GE)</w:t>
            </w:r>
          </w:p>
        </w:tc>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b/>
                <w:sz w:val="20"/>
                <w:szCs w:val="20"/>
              </w:rPr>
            </w:pPr>
            <w:r w:rsidRPr="00192045">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3E48F8">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Dental  </w:t>
            </w:r>
            <w:r w:rsidRPr="00192045">
              <w:rPr>
                <w:rFonts w:ascii="Arial Narrow" w:hAnsi="Arial Narrow"/>
                <w:sz w:val="20"/>
                <w:szCs w:val="20"/>
              </w:rPr>
              <w:fldChar w:fldCharType="begin">
                <w:ffData>
                  <w:name w:val=""/>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 xml:space="preserve">Medical Practitioners  </w:t>
            </w:r>
            <w:r w:rsidR="003E48F8" w:rsidRPr="00192045">
              <w:rPr>
                <w:rFonts w:ascii="Arial Narrow" w:hAnsi="Arial Narrow"/>
                <w:sz w:val="20"/>
                <w:szCs w:val="20"/>
              </w:rPr>
              <w:fldChar w:fldCharType="begin">
                <w:ffData>
                  <w:name w:val=""/>
                  <w:enabled/>
                  <w:calcOnExit w:val="0"/>
                  <w:checkBox>
                    <w:sizeAuto/>
                    <w:default w:val="1"/>
                  </w:checkBox>
                </w:ffData>
              </w:fldChar>
            </w:r>
            <w:r w:rsidR="003E48F8"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003E48F8" w:rsidRPr="00192045">
              <w:rPr>
                <w:rFonts w:ascii="Arial Narrow" w:hAnsi="Arial Narrow"/>
                <w:sz w:val="20"/>
                <w:szCs w:val="20"/>
              </w:rPr>
              <w:fldChar w:fldCharType="end"/>
            </w:r>
            <w:r w:rsidRPr="00192045">
              <w:rPr>
                <w:rFonts w:ascii="Arial Narrow" w:hAnsi="Arial Narrow"/>
                <w:sz w:val="20"/>
                <w:szCs w:val="20"/>
              </w:rPr>
              <w:t xml:space="preserve">Nurse practitioners  </w:t>
            </w: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Optometrists</w:t>
            </w:r>
            <w:r w:rsidR="00035E13">
              <w:rPr>
                <w:rFonts w:ascii="Arial Narrow" w:hAnsi="Arial Narrow"/>
                <w:sz w:val="20"/>
                <w:szCs w:val="20"/>
              </w:rPr>
              <w:t xml:space="preserve"> </w:t>
            </w:r>
            <w:r w:rsidRPr="00192045">
              <w:rPr>
                <w:rFonts w:ascii="Arial Narrow" w:hAnsi="Arial Narrow"/>
                <w:sz w:val="20"/>
                <w:szCs w:val="20"/>
              </w:rPr>
              <w:t xml:space="preserve"> </w:t>
            </w: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Midwives</w:t>
            </w:r>
          </w:p>
        </w:tc>
      </w:tr>
      <w:tr w:rsidR="007358E8" w:rsidRPr="00192045" w:rsidTr="002D08FB">
        <w:trPr>
          <w:cantSplit/>
          <w:trHeight w:val="281"/>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3E48F8" w:rsidRPr="00192045" w:rsidRDefault="003E48F8" w:rsidP="002D08FB">
            <w:pPr>
              <w:rPr>
                <w:rFonts w:ascii="Arial Narrow" w:hAnsi="Arial Narrow"/>
                <w:sz w:val="20"/>
              </w:rPr>
            </w:pPr>
            <w:r w:rsidRPr="00192045">
              <w:rPr>
                <w:rFonts w:ascii="Arial Narrow" w:hAnsi="Arial Narrow"/>
                <w:sz w:val="20"/>
              </w:rPr>
              <w:t>Intractable partial epileptic seizures</w:t>
            </w:r>
          </w:p>
        </w:tc>
      </w:tr>
      <w:tr w:rsidR="007358E8" w:rsidRPr="00192045" w:rsidTr="002D08FB">
        <w:trPr>
          <w:cantSplit/>
          <w:trHeight w:val="271"/>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Continuing treatment</w:t>
            </w:r>
          </w:p>
        </w:tc>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i/>
                <w:sz w:val="20"/>
                <w:szCs w:val="20"/>
              </w:rPr>
            </w:pPr>
            <w:r w:rsidRPr="00192045">
              <w:rPr>
                <w:rFonts w:ascii="Arial Narrow" w:hAnsi="Arial Narrow"/>
                <w:b/>
                <w:sz w:val="20"/>
                <w:szCs w:val="20"/>
              </w:rPr>
              <w:t>Restriction Level / Method:</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1"/>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Restricted benefit</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In Writing</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3"/>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Telephone</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Emergency</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0"/>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Authority Required - Electronic</w:t>
            </w:r>
          </w:p>
          <w:p w:rsidR="007358E8" w:rsidRPr="00192045" w:rsidRDefault="007358E8" w:rsidP="002D08FB">
            <w:pPr>
              <w:rPr>
                <w:rFonts w:ascii="Arial Narrow" w:hAnsi="Arial Narrow"/>
                <w:sz w:val="20"/>
                <w:szCs w:val="20"/>
              </w:rPr>
            </w:pPr>
            <w:r w:rsidRPr="00192045">
              <w:rPr>
                <w:rFonts w:ascii="Arial Narrow" w:hAnsi="Arial Narrow"/>
                <w:sz w:val="20"/>
                <w:szCs w:val="20"/>
              </w:rPr>
              <w:fldChar w:fldCharType="begin">
                <w:ffData>
                  <w:name w:val="Check5"/>
                  <w:enabled/>
                  <w:calcOnExit w:val="0"/>
                  <w:checkBox>
                    <w:sizeAuto/>
                    <w:default w:val="1"/>
                  </w:checkBox>
                </w:ffData>
              </w:fldChar>
            </w:r>
            <w:r w:rsidRPr="00192045">
              <w:rPr>
                <w:rFonts w:ascii="Arial Narrow" w:hAnsi="Arial Narrow"/>
                <w:sz w:val="20"/>
                <w:szCs w:val="20"/>
              </w:rPr>
              <w:instrText xml:space="preserve"> FORMCHECKBOX </w:instrText>
            </w:r>
            <w:r w:rsidR="00035E13">
              <w:rPr>
                <w:rFonts w:ascii="Arial Narrow" w:hAnsi="Arial Narrow"/>
                <w:sz w:val="20"/>
                <w:szCs w:val="20"/>
              </w:rPr>
            </w:r>
            <w:r w:rsidR="00035E13">
              <w:rPr>
                <w:rFonts w:ascii="Arial Narrow" w:hAnsi="Arial Narrow"/>
                <w:sz w:val="20"/>
                <w:szCs w:val="20"/>
              </w:rPr>
              <w:fldChar w:fldCharType="separate"/>
            </w:r>
            <w:r w:rsidRPr="00192045">
              <w:rPr>
                <w:rFonts w:ascii="Arial Narrow" w:hAnsi="Arial Narrow"/>
                <w:sz w:val="20"/>
                <w:szCs w:val="20"/>
              </w:rPr>
              <w:fldChar w:fldCharType="end"/>
            </w:r>
            <w:r w:rsidRPr="00192045">
              <w:rPr>
                <w:rFonts w:ascii="Arial Narrow" w:hAnsi="Arial Narrow"/>
                <w:sz w:val="20"/>
                <w:szCs w:val="20"/>
              </w:rPr>
              <w:t>Streamlined</w:t>
            </w:r>
          </w:p>
        </w:tc>
        <w:bookmarkStart w:id="20" w:name="_GoBack"/>
        <w:bookmarkEnd w:id="20"/>
      </w:tr>
      <w:tr w:rsidR="007358E8" w:rsidRPr="00192045" w:rsidTr="002D08FB">
        <w:trPr>
          <w:cantSplit/>
          <w:trHeight w:val="360"/>
        </w:trPr>
        <w:tc>
          <w:tcPr>
            <w:tcW w:w="1730"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b/>
                <w:sz w:val="20"/>
                <w:szCs w:val="20"/>
              </w:rPr>
              <w:t>Clinical criteria:</w:t>
            </w:r>
            <w:r w:rsidRPr="00192045">
              <w:rPr>
                <w:rFonts w:ascii="Arial Narrow" w:hAnsi="Arial Narrow"/>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rsidR="007358E8" w:rsidRPr="00192045" w:rsidRDefault="007358E8" w:rsidP="002D08FB">
            <w:pPr>
              <w:rPr>
                <w:rFonts w:ascii="Arial Narrow" w:hAnsi="Arial Narrow"/>
                <w:sz w:val="20"/>
                <w:szCs w:val="20"/>
              </w:rPr>
            </w:pPr>
            <w:r w:rsidRPr="00192045">
              <w:rPr>
                <w:rFonts w:ascii="Arial Narrow" w:hAnsi="Arial Narrow"/>
                <w:sz w:val="20"/>
                <w:szCs w:val="20"/>
              </w:rPr>
              <w:t>Patient must have previously been treated with PBS-subsidised treatment with this drug for this condition,</w:t>
            </w:r>
          </w:p>
          <w:p w:rsidR="007358E8" w:rsidRPr="00192045" w:rsidRDefault="007358E8" w:rsidP="002D08FB">
            <w:pPr>
              <w:rPr>
                <w:rFonts w:ascii="Arial Narrow" w:hAnsi="Arial Narrow"/>
                <w:sz w:val="20"/>
                <w:szCs w:val="20"/>
              </w:rPr>
            </w:pPr>
            <w:r w:rsidRPr="00192045">
              <w:rPr>
                <w:rFonts w:ascii="Arial Narrow" w:hAnsi="Arial Narrow"/>
                <w:sz w:val="20"/>
                <w:szCs w:val="20"/>
              </w:rPr>
              <w:t>AND</w:t>
            </w:r>
          </w:p>
          <w:p w:rsidR="007358E8" w:rsidRPr="00192045" w:rsidRDefault="007358E8" w:rsidP="002D08FB">
            <w:pPr>
              <w:rPr>
                <w:rFonts w:ascii="Arial Narrow" w:hAnsi="Arial Narrow"/>
                <w:sz w:val="20"/>
                <w:szCs w:val="20"/>
              </w:rPr>
            </w:pPr>
            <w:r w:rsidRPr="00192045">
              <w:rPr>
                <w:rFonts w:ascii="Arial Narrow" w:hAnsi="Arial Narrow"/>
                <w:sz w:val="20"/>
                <w:szCs w:val="20"/>
              </w:rPr>
              <w:t xml:space="preserve">Patient must be unable to take a solid dose form of this drug, </w:t>
            </w:r>
          </w:p>
          <w:p w:rsidR="007358E8" w:rsidRPr="00192045" w:rsidRDefault="007358E8" w:rsidP="002D08FB">
            <w:pPr>
              <w:rPr>
                <w:rFonts w:ascii="Arial Narrow" w:hAnsi="Arial Narrow"/>
                <w:sz w:val="20"/>
                <w:szCs w:val="20"/>
              </w:rPr>
            </w:pPr>
            <w:r w:rsidRPr="00192045">
              <w:rPr>
                <w:rFonts w:ascii="Arial Narrow" w:hAnsi="Arial Narrow"/>
                <w:sz w:val="20"/>
                <w:szCs w:val="20"/>
              </w:rPr>
              <w:t>AND</w:t>
            </w:r>
          </w:p>
          <w:p w:rsidR="007358E8" w:rsidRPr="00192045" w:rsidRDefault="007358E8" w:rsidP="002D08FB">
            <w:pPr>
              <w:rPr>
                <w:rFonts w:ascii="Arial Narrow" w:hAnsi="Arial Narrow"/>
                <w:sz w:val="20"/>
                <w:szCs w:val="20"/>
              </w:rPr>
            </w:pPr>
            <w:r w:rsidRPr="00192045">
              <w:rPr>
                <w:rFonts w:ascii="Arial Narrow" w:hAnsi="Arial Narrow"/>
                <w:sz w:val="20"/>
                <w:szCs w:val="20"/>
              </w:rPr>
              <w:t xml:space="preserve">The treatment must not be given concomitantly with </w:t>
            </w:r>
            <w:proofErr w:type="spellStart"/>
            <w:r w:rsidRPr="00192045">
              <w:rPr>
                <w:rFonts w:ascii="Arial Narrow" w:hAnsi="Arial Narrow"/>
                <w:sz w:val="20"/>
                <w:szCs w:val="20"/>
              </w:rPr>
              <w:t>levetiracetam</w:t>
            </w:r>
            <w:proofErr w:type="spellEnd"/>
            <w:r w:rsidRPr="00192045">
              <w:rPr>
                <w:rFonts w:ascii="Arial Narrow" w:hAnsi="Arial Narrow"/>
                <w:sz w:val="20"/>
                <w:szCs w:val="20"/>
              </w:rPr>
              <w:t>.</w:t>
            </w:r>
          </w:p>
        </w:tc>
      </w:tr>
    </w:tbl>
    <w:p w:rsidR="007358E8" w:rsidRPr="00192045" w:rsidRDefault="007358E8" w:rsidP="007358E8"/>
    <w:p w:rsidR="008D1F89" w:rsidRPr="00232B8E" w:rsidRDefault="000439C3" w:rsidP="00232B8E">
      <w:pPr>
        <w:spacing w:after="120"/>
        <w:rPr>
          <w:rFonts w:asciiTheme="minorHAnsi" w:hAnsiTheme="minorHAnsi"/>
          <w:bCs/>
          <w:i/>
          <w:szCs w:val="24"/>
        </w:rPr>
      </w:pPr>
      <w:r w:rsidRPr="00192045">
        <w:rPr>
          <w:i/>
        </w:rPr>
        <w:t>This restriction may be subject to further review. Should there be any changes made to the restriction the Sponsor will be informed.</w:t>
      </w:r>
    </w:p>
    <w:p w:rsidR="00232B8E" w:rsidRPr="00232B8E" w:rsidRDefault="00232B8E" w:rsidP="00232B8E">
      <w:pPr>
        <w:pStyle w:val="Heading1"/>
      </w:pPr>
      <w:r w:rsidRPr="00232B8E">
        <w:t>Context for Decision</w:t>
      </w:r>
    </w:p>
    <w:p w:rsidR="007A4F1D" w:rsidRPr="00232B8E" w:rsidRDefault="009E28D3" w:rsidP="00232B8E">
      <w:pPr>
        <w:widowControl/>
        <w:spacing w:line="276" w:lineRule="auto"/>
        <w:rPr>
          <w:rFonts w:asciiTheme="minorHAnsi" w:eastAsiaTheme="minorHAnsi" w:hAnsiTheme="minorHAnsi"/>
          <w:snapToGrid/>
        </w:rPr>
      </w:pPr>
      <w:r w:rsidRPr="009E28D3">
        <w:rPr>
          <w:rFonts w:asciiTheme="minorHAnsi" w:eastAsiaTheme="minorHAnsi" w:hAnsiTheme="minorHAns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32B8E" w:rsidRPr="00232B8E" w:rsidRDefault="00232B8E" w:rsidP="00232B8E">
      <w:pPr>
        <w:pStyle w:val="Heading1"/>
      </w:pPr>
      <w:r w:rsidRPr="00232B8E">
        <w:t>Sponsor’s Comment</w:t>
      </w:r>
    </w:p>
    <w:p w:rsidR="00232B8E" w:rsidRPr="00232B8E" w:rsidRDefault="00232B8E" w:rsidP="00232B8E">
      <w:pPr>
        <w:widowControl/>
        <w:spacing w:after="120" w:line="276" w:lineRule="auto"/>
        <w:rPr>
          <w:rFonts w:asciiTheme="minorHAnsi" w:eastAsiaTheme="minorHAnsi" w:hAnsiTheme="minorHAnsi"/>
          <w:bCs/>
          <w:snapToGrid/>
        </w:rPr>
      </w:pPr>
      <w:r w:rsidRPr="00232B8E">
        <w:rPr>
          <w:rFonts w:asciiTheme="minorHAnsi" w:eastAsiaTheme="minorHAnsi" w:hAnsiTheme="minorHAnsi"/>
          <w:bCs/>
          <w:snapToGrid/>
        </w:rPr>
        <w:t>The sponsor had no comment.</w:t>
      </w:r>
    </w:p>
    <w:p w:rsidR="004E43B2" w:rsidRPr="00192045" w:rsidRDefault="004E43B2" w:rsidP="00822BA5"/>
    <w:sectPr w:rsidR="004E43B2" w:rsidRPr="00192045" w:rsidSect="009B673B">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7182F" w16cid:durableId="211CF9EC"/>
  <w16cid:commentId w16cid:paraId="328EEB17" w16cid:durableId="21232CCA"/>
  <w16cid:commentId w16cid:paraId="74AA50E1" w16cid:durableId="21232CCB"/>
  <w16cid:commentId w16cid:paraId="5B18E514" w16cid:durableId="21224073"/>
  <w16cid:commentId w16cid:paraId="4760C42D" w16cid:durableId="211CF9ED"/>
  <w16cid:commentId w16cid:paraId="7A2AC463" w16cid:durableId="211CF9EE"/>
  <w16cid:commentId w16cid:paraId="3002B968" w16cid:durableId="211CF9EF"/>
  <w16cid:commentId w16cid:paraId="440B768B" w16cid:durableId="212114CB"/>
  <w16cid:commentId w16cid:paraId="6B1BC188" w16cid:durableId="211CF9F0"/>
  <w16cid:commentId w16cid:paraId="74D82A5C" w16cid:durableId="211CF9F1"/>
  <w16cid:commentId w16cid:paraId="67C655CC" w16cid:durableId="21235078"/>
  <w16cid:commentId w16cid:paraId="66A2AFBF" w16cid:durableId="211D052C"/>
  <w16cid:commentId w16cid:paraId="52A60094" w16cid:durableId="211CF9F2"/>
  <w16cid:commentId w16cid:paraId="4F8ED798" w16cid:durableId="211D059E"/>
  <w16cid:commentId w16cid:paraId="5B001B12" w16cid:durableId="211CF9F3"/>
  <w16cid:commentId w16cid:paraId="141B5B87" w16cid:durableId="211CF9F4"/>
  <w16cid:commentId w16cid:paraId="0089B869" w16cid:durableId="211D0653"/>
  <w16cid:commentId w16cid:paraId="3009C9D9" w16cid:durableId="21232CDA"/>
  <w16cid:commentId w16cid:paraId="5EEDBF06" w16cid:durableId="2123677F"/>
  <w16cid:commentId w16cid:paraId="2CF708C5" w16cid:durableId="211CF9F6"/>
  <w16cid:commentId w16cid:paraId="24A75BAE" w16cid:durableId="211CF9F7"/>
  <w16cid:commentId w16cid:paraId="71718F19" w16cid:durableId="211CF9F8"/>
  <w16cid:commentId w16cid:paraId="54752543" w16cid:durableId="211CF9F9"/>
  <w16cid:commentId w16cid:paraId="57D078E5" w16cid:durableId="212367A7"/>
  <w16cid:commentId w16cid:paraId="1B0C5E4C" w16cid:durableId="211CF9FA"/>
  <w16cid:commentId w16cid:paraId="77928981" w16cid:durableId="211D06FC"/>
  <w16cid:commentId w16cid:paraId="510DB4D3" w16cid:durableId="211CF9FB"/>
  <w16cid:commentId w16cid:paraId="04BD1184" w16cid:durableId="2120AC79"/>
  <w16cid:commentId w16cid:paraId="3CBA5C99" w16cid:durableId="21209A5C"/>
  <w16cid:commentId w16cid:paraId="42C5F6ED" w16cid:durableId="212354DB"/>
  <w16cid:commentId w16cid:paraId="5211933D" w16cid:durableId="212350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8C" w:rsidRDefault="00BB1A8C" w:rsidP="00124A51">
      <w:r>
        <w:separator/>
      </w:r>
    </w:p>
    <w:p w:rsidR="00BB1A8C" w:rsidRDefault="00BB1A8C"/>
  </w:endnote>
  <w:endnote w:type="continuationSeparator" w:id="0">
    <w:p w:rsidR="00BB1A8C" w:rsidRDefault="00BB1A8C" w:rsidP="00124A51">
      <w:r>
        <w:continuationSeparator/>
      </w:r>
    </w:p>
    <w:p w:rsidR="00BB1A8C" w:rsidRDefault="00BB1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8E" w:rsidRPr="008E0D56" w:rsidRDefault="00232B8E" w:rsidP="00015886">
    <w:pPr>
      <w:ind w:right="360"/>
      <w:jc w:val="center"/>
      <w:rPr>
        <w:b/>
        <w:szCs w:val="24"/>
      </w:rPr>
    </w:pPr>
  </w:p>
  <w:p w:rsidR="00232B8E" w:rsidRPr="008923F7" w:rsidRDefault="00232B8E" w:rsidP="00015886">
    <w:pPr>
      <w:ind w:right="360"/>
      <w:jc w:val="center"/>
      <w:rPr>
        <w:b/>
        <w:szCs w:val="24"/>
      </w:rPr>
    </w:pPr>
    <w:r w:rsidRPr="008923F7">
      <w:rPr>
        <w:b/>
        <w:szCs w:val="24"/>
      </w:rPr>
      <w:fldChar w:fldCharType="begin"/>
    </w:r>
    <w:r w:rsidRPr="008923F7">
      <w:rPr>
        <w:b/>
        <w:szCs w:val="24"/>
      </w:rPr>
      <w:instrText xml:space="preserve"> PAGE   \* MERGEFORMAT </w:instrText>
    </w:r>
    <w:r w:rsidRPr="008923F7">
      <w:rPr>
        <w:b/>
        <w:szCs w:val="24"/>
      </w:rPr>
      <w:fldChar w:fldCharType="separate"/>
    </w:r>
    <w:r w:rsidR="00035E13">
      <w:rPr>
        <w:b/>
        <w:noProof/>
        <w:szCs w:val="24"/>
      </w:rPr>
      <w:t>20</w:t>
    </w:r>
    <w:r w:rsidRPr="008923F7">
      <w:rPr>
        <w:b/>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8C" w:rsidRDefault="00BB1A8C" w:rsidP="00124A51">
      <w:r>
        <w:separator/>
      </w:r>
    </w:p>
    <w:p w:rsidR="00BB1A8C" w:rsidRDefault="00BB1A8C"/>
  </w:footnote>
  <w:footnote w:type="continuationSeparator" w:id="0">
    <w:p w:rsidR="00BB1A8C" w:rsidRDefault="00BB1A8C" w:rsidP="00124A51">
      <w:r>
        <w:continuationSeparator/>
      </w:r>
    </w:p>
    <w:p w:rsidR="00BB1A8C" w:rsidRDefault="00BB1A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8E" w:rsidRPr="004411AE" w:rsidRDefault="00232B8E" w:rsidP="008923F7">
    <w:pPr>
      <w:widowControl/>
      <w:tabs>
        <w:tab w:val="center" w:pos="4153"/>
        <w:tab w:val="right" w:pos="8306"/>
      </w:tabs>
      <w:autoSpaceDE w:val="0"/>
      <w:autoSpaceDN w:val="0"/>
      <w:adjustRightInd w:val="0"/>
      <w:ind w:left="360"/>
      <w:jc w:val="center"/>
      <w:rPr>
        <w:rFonts w:asciiTheme="minorHAnsi" w:hAnsiTheme="minorHAnsi" w:cstheme="minorHAnsi"/>
        <w:i/>
        <w:iCs/>
        <w:snapToGrid/>
        <w:szCs w:val="24"/>
        <w:lang w:eastAsia="en-AU"/>
      </w:rPr>
    </w:pPr>
    <w:r>
      <w:rPr>
        <w:rFonts w:asciiTheme="minorHAnsi" w:hAnsiTheme="minorHAnsi" w:cstheme="minorHAnsi"/>
        <w:i/>
        <w:iCs/>
        <w:snapToGrid/>
        <w:szCs w:val="24"/>
        <w:lang w:eastAsia="en-AU"/>
      </w:rPr>
      <w:t>Public Summary Document – November</w:t>
    </w:r>
    <w:r w:rsidRPr="004411AE">
      <w:rPr>
        <w:rFonts w:asciiTheme="minorHAnsi" w:hAnsiTheme="minorHAnsi" w:cstheme="minorHAnsi"/>
        <w:i/>
        <w:iCs/>
        <w:snapToGrid/>
        <w:szCs w:val="24"/>
        <w:lang w:eastAsia="en-AU"/>
      </w:rPr>
      <w:t xml:space="preserve"> 2019 PBAC Meeting</w:t>
    </w:r>
  </w:p>
  <w:p w:rsidR="00232B8E" w:rsidRPr="008C7ECB" w:rsidRDefault="0023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1375C9"/>
    <w:multiLevelType w:val="hybridMultilevel"/>
    <w:tmpl w:val="DBFCE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B2675"/>
    <w:multiLevelType w:val="hybridMultilevel"/>
    <w:tmpl w:val="42DA0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F6F78"/>
    <w:multiLevelType w:val="hybridMultilevel"/>
    <w:tmpl w:val="4ABE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521D7"/>
    <w:multiLevelType w:val="hybridMultilevel"/>
    <w:tmpl w:val="BDA61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C34E2"/>
    <w:multiLevelType w:val="hybridMultilevel"/>
    <w:tmpl w:val="9304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601F7"/>
    <w:multiLevelType w:val="hybridMultilevel"/>
    <w:tmpl w:val="081EA2B4"/>
    <w:lvl w:ilvl="0" w:tplc="7B2CBC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671124"/>
    <w:multiLevelType w:val="hybridMultilevel"/>
    <w:tmpl w:val="A45E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9131B"/>
    <w:multiLevelType w:val="hybridMultilevel"/>
    <w:tmpl w:val="F7B8D1D0"/>
    <w:lvl w:ilvl="0" w:tplc="847E7164">
      <w:start w:val="1"/>
      <w:numFmt w:val="lowerRoman"/>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94972"/>
    <w:multiLevelType w:val="hybridMultilevel"/>
    <w:tmpl w:val="C2CA7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47641"/>
    <w:multiLevelType w:val="hybridMultilevel"/>
    <w:tmpl w:val="96B4E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C269C3"/>
    <w:multiLevelType w:val="hybridMultilevel"/>
    <w:tmpl w:val="3EFEE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737A9E"/>
    <w:multiLevelType w:val="hybridMultilevel"/>
    <w:tmpl w:val="986AA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9226A"/>
    <w:multiLevelType w:val="hybridMultilevel"/>
    <w:tmpl w:val="0FB634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E093B30"/>
    <w:multiLevelType w:val="hybridMultilevel"/>
    <w:tmpl w:val="2BCE0CCE"/>
    <w:lvl w:ilvl="0" w:tplc="7372701C">
      <w:start w:val="1"/>
      <w:numFmt w:val="decimal"/>
      <w:lvlText w:val="%1."/>
      <w:lvlJc w:val="left"/>
      <w:pPr>
        <w:ind w:left="720" w:hanging="360"/>
      </w:pPr>
      <w:rPr>
        <w:color w:val="000000" w:themeColor="text1"/>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797FBB"/>
    <w:multiLevelType w:val="hybridMultilevel"/>
    <w:tmpl w:val="EC0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C05E7"/>
    <w:multiLevelType w:val="hybridMultilevel"/>
    <w:tmpl w:val="305A6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F310A"/>
    <w:multiLevelType w:val="hybridMultilevel"/>
    <w:tmpl w:val="336E8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51E059A"/>
    <w:multiLevelType w:val="hybridMultilevel"/>
    <w:tmpl w:val="117890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6A75F4F"/>
    <w:multiLevelType w:val="hybridMultilevel"/>
    <w:tmpl w:val="4F26D6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7142E30"/>
    <w:multiLevelType w:val="hybridMultilevel"/>
    <w:tmpl w:val="8CDAF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9293E"/>
    <w:multiLevelType w:val="hybridMultilevel"/>
    <w:tmpl w:val="0C0EB20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C9016B0"/>
    <w:multiLevelType w:val="hybridMultilevel"/>
    <w:tmpl w:val="12D6F91E"/>
    <w:lvl w:ilvl="0" w:tplc="AB56983A">
      <w:start w:val="1"/>
      <w:numFmt w:val="bullet"/>
      <w:lvlText w:val=""/>
      <w:lvlJc w:val="left"/>
      <w:pPr>
        <w:ind w:left="1113" w:hanging="360"/>
      </w:pPr>
      <w:rPr>
        <w:rFonts w:ascii="Symbol" w:hAnsi="Symbol" w:hint="default"/>
        <w:color w:val="auto"/>
      </w:rPr>
    </w:lvl>
    <w:lvl w:ilvl="1" w:tplc="0C090003" w:tentative="1">
      <w:start w:val="1"/>
      <w:numFmt w:val="bullet"/>
      <w:lvlText w:val="o"/>
      <w:lvlJc w:val="left"/>
      <w:pPr>
        <w:ind w:left="1833" w:hanging="360"/>
      </w:pPr>
      <w:rPr>
        <w:rFonts w:ascii="Courier New" w:hAnsi="Courier New" w:cs="Courier New" w:hint="default"/>
      </w:rPr>
    </w:lvl>
    <w:lvl w:ilvl="2" w:tplc="0C090005" w:tentative="1">
      <w:start w:val="1"/>
      <w:numFmt w:val="bullet"/>
      <w:lvlText w:val=""/>
      <w:lvlJc w:val="left"/>
      <w:pPr>
        <w:ind w:left="2553" w:hanging="360"/>
      </w:pPr>
      <w:rPr>
        <w:rFonts w:ascii="Wingdings" w:hAnsi="Wingdings" w:hint="default"/>
      </w:rPr>
    </w:lvl>
    <w:lvl w:ilvl="3" w:tplc="0C090001" w:tentative="1">
      <w:start w:val="1"/>
      <w:numFmt w:val="bullet"/>
      <w:lvlText w:val=""/>
      <w:lvlJc w:val="left"/>
      <w:pPr>
        <w:ind w:left="3273" w:hanging="360"/>
      </w:pPr>
      <w:rPr>
        <w:rFonts w:ascii="Symbol" w:hAnsi="Symbol" w:hint="default"/>
      </w:rPr>
    </w:lvl>
    <w:lvl w:ilvl="4" w:tplc="0C090003" w:tentative="1">
      <w:start w:val="1"/>
      <w:numFmt w:val="bullet"/>
      <w:lvlText w:val="o"/>
      <w:lvlJc w:val="left"/>
      <w:pPr>
        <w:ind w:left="3993" w:hanging="360"/>
      </w:pPr>
      <w:rPr>
        <w:rFonts w:ascii="Courier New" w:hAnsi="Courier New" w:cs="Courier New" w:hint="default"/>
      </w:rPr>
    </w:lvl>
    <w:lvl w:ilvl="5" w:tplc="0C090005" w:tentative="1">
      <w:start w:val="1"/>
      <w:numFmt w:val="bullet"/>
      <w:lvlText w:val=""/>
      <w:lvlJc w:val="left"/>
      <w:pPr>
        <w:ind w:left="4713" w:hanging="360"/>
      </w:pPr>
      <w:rPr>
        <w:rFonts w:ascii="Wingdings" w:hAnsi="Wingdings" w:hint="default"/>
      </w:rPr>
    </w:lvl>
    <w:lvl w:ilvl="6" w:tplc="0C090001" w:tentative="1">
      <w:start w:val="1"/>
      <w:numFmt w:val="bullet"/>
      <w:lvlText w:val=""/>
      <w:lvlJc w:val="left"/>
      <w:pPr>
        <w:ind w:left="5433" w:hanging="360"/>
      </w:pPr>
      <w:rPr>
        <w:rFonts w:ascii="Symbol" w:hAnsi="Symbol" w:hint="default"/>
      </w:rPr>
    </w:lvl>
    <w:lvl w:ilvl="7" w:tplc="0C090003" w:tentative="1">
      <w:start w:val="1"/>
      <w:numFmt w:val="bullet"/>
      <w:lvlText w:val="o"/>
      <w:lvlJc w:val="left"/>
      <w:pPr>
        <w:ind w:left="6153" w:hanging="360"/>
      </w:pPr>
      <w:rPr>
        <w:rFonts w:ascii="Courier New" w:hAnsi="Courier New" w:cs="Courier New" w:hint="default"/>
      </w:rPr>
    </w:lvl>
    <w:lvl w:ilvl="8" w:tplc="0C090005" w:tentative="1">
      <w:start w:val="1"/>
      <w:numFmt w:val="bullet"/>
      <w:lvlText w:val=""/>
      <w:lvlJc w:val="left"/>
      <w:pPr>
        <w:ind w:left="6873" w:hanging="360"/>
      </w:pPr>
      <w:rPr>
        <w:rFonts w:ascii="Wingdings" w:hAnsi="Wingdings" w:hint="default"/>
      </w:rPr>
    </w:lvl>
  </w:abstractNum>
  <w:abstractNum w:abstractNumId="35" w15:restartNumberingAfterBreak="0">
    <w:nsid w:val="6C9B47B1"/>
    <w:multiLevelType w:val="hybridMultilevel"/>
    <w:tmpl w:val="4C2E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330CB9"/>
    <w:multiLevelType w:val="hybridMultilevel"/>
    <w:tmpl w:val="6D70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5849AB"/>
    <w:multiLevelType w:val="hybridMultilevel"/>
    <w:tmpl w:val="C7EAE6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84D033C"/>
    <w:multiLevelType w:val="multilevel"/>
    <w:tmpl w:val="090C5384"/>
    <w:lvl w:ilvl="0">
      <w:start w:val="1"/>
      <w:numFmt w:val="decimal"/>
      <w:pStyle w:val="Heading1"/>
      <w:lvlText w:val="%1"/>
      <w:lvlJc w:val="left"/>
      <w:pPr>
        <w:ind w:left="720" w:hanging="720"/>
      </w:pPr>
      <w:rPr>
        <w:rFonts w:hint="default"/>
        <w:b/>
        <w:i w:val="0"/>
      </w:rPr>
    </w:lvl>
    <w:lvl w:ilvl="1">
      <w:start w:val="1"/>
      <w:numFmt w:val="decimal"/>
      <w:pStyle w:val="numberedbulletstyle"/>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B7AA0"/>
    <w:multiLevelType w:val="hybridMultilevel"/>
    <w:tmpl w:val="63CE608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
  </w:num>
  <w:num w:numId="3">
    <w:abstractNumId w:val="38"/>
  </w:num>
  <w:num w:numId="4">
    <w:abstractNumId w:val="39"/>
  </w:num>
  <w:num w:numId="5">
    <w:abstractNumId w:val="24"/>
  </w:num>
  <w:num w:numId="6">
    <w:abstractNumId w:val="18"/>
  </w:num>
  <w:num w:numId="7">
    <w:abstractNumId w:val="15"/>
  </w:num>
  <w:num w:numId="8">
    <w:abstractNumId w:val="16"/>
  </w:num>
  <w:num w:numId="9">
    <w:abstractNumId w:val="8"/>
  </w:num>
  <w:num w:numId="10">
    <w:abstractNumId w:val="9"/>
  </w:num>
  <w:num w:numId="11">
    <w:abstractNumId w:val="33"/>
  </w:num>
  <w:num w:numId="12">
    <w:abstractNumId w:val="40"/>
  </w:num>
  <w:num w:numId="13">
    <w:abstractNumId w:val="13"/>
  </w:num>
  <w:num w:numId="14">
    <w:abstractNumId w:val="19"/>
  </w:num>
  <w:num w:numId="15">
    <w:abstractNumId w:val="29"/>
  </w:num>
  <w:num w:numId="16">
    <w:abstractNumId w:val="36"/>
  </w:num>
  <w:num w:numId="17">
    <w:abstractNumId w:val="14"/>
  </w:num>
  <w:num w:numId="18">
    <w:abstractNumId w:val="17"/>
  </w:num>
  <w:num w:numId="19">
    <w:abstractNumId w:val="12"/>
  </w:num>
  <w:num w:numId="20">
    <w:abstractNumId w:val="23"/>
  </w:num>
  <w:num w:numId="21">
    <w:abstractNumId w:val="10"/>
  </w:num>
  <w:num w:numId="22">
    <w:abstractNumId w:val="30"/>
  </w:num>
  <w:num w:numId="23">
    <w:abstractNumId w:val="27"/>
  </w:num>
  <w:num w:numId="24">
    <w:abstractNumId w:val="35"/>
  </w:num>
  <w:num w:numId="25">
    <w:abstractNumId w:val="34"/>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32"/>
  </w:num>
  <w:num w:numId="31">
    <w:abstractNumId w:val="7"/>
  </w:num>
  <w:num w:numId="32">
    <w:abstractNumId w:val="28"/>
  </w:num>
  <w:num w:numId="33">
    <w:abstractNumId w:val="37"/>
  </w:num>
  <w:num w:numId="34">
    <w:abstractNumId w:val="5"/>
  </w:num>
  <w:num w:numId="35">
    <w:abstractNumId w:val="26"/>
  </w:num>
  <w:num w:numId="36">
    <w:abstractNumId w:val="21"/>
  </w:num>
  <w:num w:numId="37">
    <w:abstractNumId w:val="22"/>
  </w:num>
  <w:num w:numId="38">
    <w:abstractNumId w:val="2"/>
  </w:num>
  <w:num w:numId="39">
    <w:abstractNumId w:val="0"/>
  </w:num>
  <w:num w:numId="40">
    <w:abstractNumId w:val="4"/>
  </w:num>
  <w:num w:numId="41">
    <w:abstractNumId w:val="6"/>
  </w:num>
  <w:num w:numId="42">
    <w:abstractNumId w:val="3"/>
  </w:num>
  <w:num w:numId="43">
    <w:abstractNumId w:val="25"/>
  </w:num>
  <w:num w:numId="44">
    <w:abstractNumId w:val="38"/>
  </w:num>
  <w:num w:numId="45">
    <w:abstractNumId w:val="38"/>
  </w:num>
  <w:num w:numId="46">
    <w:abstractNumId w:val="38"/>
  </w:num>
  <w:num w:numId="47">
    <w:abstractNumId w:val="38"/>
  </w:num>
  <w:num w:numId="48">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81"/>
    <w:rsid w:val="00000790"/>
    <w:rsid w:val="0000110B"/>
    <w:rsid w:val="000022B1"/>
    <w:rsid w:val="000025DA"/>
    <w:rsid w:val="000030BE"/>
    <w:rsid w:val="0000321D"/>
    <w:rsid w:val="00003402"/>
    <w:rsid w:val="00003499"/>
    <w:rsid w:val="000039B7"/>
    <w:rsid w:val="00003C52"/>
    <w:rsid w:val="00004119"/>
    <w:rsid w:val="00005007"/>
    <w:rsid w:val="00005C96"/>
    <w:rsid w:val="0000686D"/>
    <w:rsid w:val="00007349"/>
    <w:rsid w:val="0000771F"/>
    <w:rsid w:val="000110FC"/>
    <w:rsid w:val="000119BD"/>
    <w:rsid w:val="00013247"/>
    <w:rsid w:val="0001389F"/>
    <w:rsid w:val="00015886"/>
    <w:rsid w:val="00015C82"/>
    <w:rsid w:val="00016051"/>
    <w:rsid w:val="0001612D"/>
    <w:rsid w:val="000162EF"/>
    <w:rsid w:val="00016690"/>
    <w:rsid w:val="00016B07"/>
    <w:rsid w:val="00017792"/>
    <w:rsid w:val="00020BC6"/>
    <w:rsid w:val="00021ADF"/>
    <w:rsid w:val="0002225F"/>
    <w:rsid w:val="000228CA"/>
    <w:rsid w:val="00022E21"/>
    <w:rsid w:val="00023763"/>
    <w:rsid w:val="00023A23"/>
    <w:rsid w:val="00024D83"/>
    <w:rsid w:val="00025A48"/>
    <w:rsid w:val="00025F5A"/>
    <w:rsid w:val="000306F8"/>
    <w:rsid w:val="00030A4D"/>
    <w:rsid w:val="00033863"/>
    <w:rsid w:val="0003436D"/>
    <w:rsid w:val="00035DC0"/>
    <w:rsid w:val="00035E13"/>
    <w:rsid w:val="00035EC8"/>
    <w:rsid w:val="00036469"/>
    <w:rsid w:val="00036829"/>
    <w:rsid w:val="00037CE7"/>
    <w:rsid w:val="00040529"/>
    <w:rsid w:val="00040807"/>
    <w:rsid w:val="00040895"/>
    <w:rsid w:val="0004258E"/>
    <w:rsid w:val="00042F2F"/>
    <w:rsid w:val="000439C3"/>
    <w:rsid w:val="00043C37"/>
    <w:rsid w:val="00044A40"/>
    <w:rsid w:val="00044BF9"/>
    <w:rsid w:val="00045017"/>
    <w:rsid w:val="00045A2B"/>
    <w:rsid w:val="0004625D"/>
    <w:rsid w:val="0004698F"/>
    <w:rsid w:val="000477DC"/>
    <w:rsid w:val="000518A8"/>
    <w:rsid w:val="00051BB4"/>
    <w:rsid w:val="00051EBB"/>
    <w:rsid w:val="00051F7C"/>
    <w:rsid w:val="00053717"/>
    <w:rsid w:val="00053942"/>
    <w:rsid w:val="000539D0"/>
    <w:rsid w:val="00053A57"/>
    <w:rsid w:val="00054621"/>
    <w:rsid w:val="000546D7"/>
    <w:rsid w:val="0005488E"/>
    <w:rsid w:val="00054B65"/>
    <w:rsid w:val="00054EA8"/>
    <w:rsid w:val="00055882"/>
    <w:rsid w:val="00056C63"/>
    <w:rsid w:val="00060F29"/>
    <w:rsid w:val="00063791"/>
    <w:rsid w:val="00064A69"/>
    <w:rsid w:val="00066360"/>
    <w:rsid w:val="00066F91"/>
    <w:rsid w:val="00067972"/>
    <w:rsid w:val="00067CFA"/>
    <w:rsid w:val="00071248"/>
    <w:rsid w:val="000720B9"/>
    <w:rsid w:val="000737F7"/>
    <w:rsid w:val="00074ACB"/>
    <w:rsid w:val="00074FD6"/>
    <w:rsid w:val="0007672F"/>
    <w:rsid w:val="000774F0"/>
    <w:rsid w:val="00080909"/>
    <w:rsid w:val="00080940"/>
    <w:rsid w:val="00080D42"/>
    <w:rsid w:val="00080E0E"/>
    <w:rsid w:val="00081000"/>
    <w:rsid w:val="000812CA"/>
    <w:rsid w:val="00082089"/>
    <w:rsid w:val="00082187"/>
    <w:rsid w:val="0008258D"/>
    <w:rsid w:val="00082777"/>
    <w:rsid w:val="00083E99"/>
    <w:rsid w:val="00083F19"/>
    <w:rsid w:val="000856C5"/>
    <w:rsid w:val="00090C7E"/>
    <w:rsid w:val="00091DC4"/>
    <w:rsid w:val="000921B0"/>
    <w:rsid w:val="00092600"/>
    <w:rsid w:val="0009262B"/>
    <w:rsid w:val="00093310"/>
    <w:rsid w:val="0009445C"/>
    <w:rsid w:val="000944AD"/>
    <w:rsid w:val="00094FE7"/>
    <w:rsid w:val="00095262"/>
    <w:rsid w:val="00095496"/>
    <w:rsid w:val="00095B06"/>
    <w:rsid w:val="00095FE5"/>
    <w:rsid w:val="00096284"/>
    <w:rsid w:val="000964B5"/>
    <w:rsid w:val="000968A5"/>
    <w:rsid w:val="000A0B8A"/>
    <w:rsid w:val="000A0FCA"/>
    <w:rsid w:val="000A2F60"/>
    <w:rsid w:val="000A3333"/>
    <w:rsid w:val="000A56BF"/>
    <w:rsid w:val="000A6EB7"/>
    <w:rsid w:val="000A7D08"/>
    <w:rsid w:val="000A7DAE"/>
    <w:rsid w:val="000B0670"/>
    <w:rsid w:val="000B0E75"/>
    <w:rsid w:val="000B4E25"/>
    <w:rsid w:val="000B5DFA"/>
    <w:rsid w:val="000B6CAC"/>
    <w:rsid w:val="000B7046"/>
    <w:rsid w:val="000B7612"/>
    <w:rsid w:val="000C0060"/>
    <w:rsid w:val="000C221D"/>
    <w:rsid w:val="000C2A39"/>
    <w:rsid w:val="000C2BE2"/>
    <w:rsid w:val="000C3DF9"/>
    <w:rsid w:val="000C418B"/>
    <w:rsid w:val="000C4721"/>
    <w:rsid w:val="000C6713"/>
    <w:rsid w:val="000C69B7"/>
    <w:rsid w:val="000C73E5"/>
    <w:rsid w:val="000D11E1"/>
    <w:rsid w:val="000D1BFC"/>
    <w:rsid w:val="000D281A"/>
    <w:rsid w:val="000D326A"/>
    <w:rsid w:val="000D4FC9"/>
    <w:rsid w:val="000D51FB"/>
    <w:rsid w:val="000D5C3F"/>
    <w:rsid w:val="000D5D98"/>
    <w:rsid w:val="000D6349"/>
    <w:rsid w:val="000D7639"/>
    <w:rsid w:val="000E135D"/>
    <w:rsid w:val="000E19CF"/>
    <w:rsid w:val="000E4AA1"/>
    <w:rsid w:val="000E5893"/>
    <w:rsid w:val="000E6A25"/>
    <w:rsid w:val="000F00BA"/>
    <w:rsid w:val="000F316A"/>
    <w:rsid w:val="000F3C74"/>
    <w:rsid w:val="000F4BB8"/>
    <w:rsid w:val="000F7127"/>
    <w:rsid w:val="000F7C50"/>
    <w:rsid w:val="00100F8A"/>
    <w:rsid w:val="00105476"/>
    <w:rsid w:val="00105934"/>
    <w:rsid w:val="00105AE2"/>
    <w:rsid w:val="00105BB0"/>
    <w:rsid w:val="001067B5"/>
    <w:rsid w:val="00106B80"/>
    <w:rsid w:val="00107221"/>
    <w:rsid w:val="0010790E"/>
    <w:rsid w:val="0011032E"/>
    <w:rsid w:val="00110C0C"/>
    <w:rsid w:val="001128AC"/>
    <w:rsid w:val="0011348B"/>
    <w:rsid w:val="0011374E"/>
    <w:rsid w:val="0011588A"/>
    <w:rsid w:val="00115982"/>
    <w:rsid w:val="00116583"/>
    <w:rsid w:val="00116C4F"/>
    <w:rsid w:val="00116C53"/>
    <w:rsid w:val="00117523"/>
    <w:rsid w:val="0011787E"/>
    <w:rsid w:val="00120427"/>
    <w:rsid w:val="00120446"/>
    <w:rsid w:val="001215AC"/>
    <w:rsid w:val="00121799"/>
    <w:rsid w:val="00121AFB"/>
    <w:rsid w:val="001222FC"/>
    <w:rsid w:val="00124152"/>
    <w:rsid w:val="001241EB"/>
    <w:rsid w:val="00124A51"/>
    <w:rsid w:val="00124D07"/>
    <w:rsid w:val="00125DDD"/>
    <w:rsid w:val="00126621"/>
    <w:rsid w:val="001278DB"/>
    <w:rsid w:val="001301E9"/>
    <w:rsid w:val="00131D82"/>
    <w:rsid w:val="00133D36"/>
    <w:rsid w:val="00134608"/>
    <w:rsid w:val="001348AE"/>
    <w:rsid w:val="00135E36"/>
    <w:rsid w:val="0013628F"/>
    <w:rsid w:val="00136458"/>
    <w:rsid w:val="00136A9D"/>
    <w:rsid w:val="00136B79"/>
    <w:rsid w:val="00137645"/>
    <w:rsid w:val="0014015A"/>
    <w:rsid w:val="00140E99"/>
    <w:rsid w:val="001437E4"/>
    <w:rsid w:val="00145540"/>
    <w:rsid w:val="001456B0"/>
    <w:rsid w:val="00145A98"/>
    <w:rsid w:val="00146836"/>
    <w:rsid w:val="0014698D"/>
    <w:rsid w:val="001477F7"/>
    <w:rsid w:val="0015231B"/>
    <w:rsid w:val="001533F3"/>
    <w:rsid w:val="001544CD"/>
    <w:rsid w:val="0015542E"/>
    <w:rsid w:val="001560F9"/>
    <w:rsid w:val="00157130"/>
    <w:rsid w:val="001576B1"/>
    <w:rsid w:val="00160A4C"/>
    <w:rsid w:val="0016278B"/>
    <w:rsid w:val="00162913"/>
    <w:rsid w:val="00162AB1"/>
    <w:rsid w:val="00162BB2"/>
    <w:rsid w:val="00163EFF"/>
    <w:rsid w:val="00164814"/>
    <w:rsid w:val="00165D7D"/>
    <w:rsid w:val="001661FB"/>
    <w:rsid w:val="00166E79"/>
    <w:rsid w:val="00167666"/>
    <w:rsid w:val="0017187F"/>
    <w:rsid w:val="00173565"/>
    <w:rsid w:val="001738C5"/>
    <w:rsid w:val="001738C9"/>
    <w:rsid w:val="00173B07"/>
    <w:rsid w:val="00174E21"/>
    <w:rsid w:val="0017508E"/>
    <w:rsid w:val="00181D9C"/>
    <w:rsid w:val="001825B8"/>
    <w:rsid w:val="00183DE9"/>
    <w:rsid w:val="0018752F"/>
    <w:rsid w:val="00190C26"/>
    <w:rsid w:val="0019123D"/>
    <w:rsid w:val="00192045"/>
    <w:rsid w:val="00193607"/>
    <w:rsid w:val="00195222"/>
    <w:rsid w:val="00195E55"/>
    <w:rsid w:val="001975D8"/>
    <w:rsid w:val="001A24F9"/>
    <w:rsid w:val="001A3EA4"/>
    <w:rsid w:val="001A438B"/>
    <w:rsid w:val="001A43FA"/>
    <w:rsid w:val="001A59FB"/>
    <w:rsid w:val="001A6354"/>
    <w:rsid w:val="001A7669"/>
    <w:rsid w:val="001A7AE8"/>
    <w:rsid w:val="001B167F"/>
    <w:rsid w:val="001B204E"/>
    <w:rsid w:val="001B3443"/>
    <w:rsid w:val="001B4D20"/>
    <w:rsid w:val="001B6596"/>
    <w:rsid w:val="001B7CBB"/>
    <w:rsid w:val="001C076B"/>
    <w:rsid w:val="001C12A5"/>
    <w:rsid w:val="001C23C7"/>
    <w:rsid w:val="001C2A9B"/>
    <w:rsid w:val="001C2B7E"/>
    <w:rsid w:val="001C3624"/>
    <w:rsid w:val="001C4299"/>
    <w:rsid w:val="001C54C3"/>
    <w:rsid w:val="001C5F94"/>
    <w:rsid w:val="001C6E66"/>
    <w:rsid w:val="001C747E"/>
    <w:rsid w:val="001D0199"/>
    <w:rsid w:val="001D108A"/>
    <w:rsid w:val="001D33FD"/>
    <w:rsid w:val="001D3D6A"/>
    <w:rsid w:val="001D77C0"/>
    <w:rsid w:val="001D7B7E"/>
    <w:rsid w:val="001E08CA"/>
    <w:rsid w:val="001E238E"/>
    <w:rsid w:val="001E2483"/>
    <w:rsid w:val="001E28BE"/>
    <w:rsid w:val="001E2B1E"/>
    <w:rsid w:val="001E30D4"/>
    <w:rsid w:val="001E4249"/>
    <w:rsid w:val="001E52EB"/>
    <w:rsid w:val="001E61D2"/>
    <w:rsid w:val="001E740C"/>
    <w:rsid w:val="001F1054"/>
    <w:rsid w:val="001F1235"/>
    <w:rsid w:val="001F1CB3"/>
    <w:rsid w:val="001F38B5"/>
    <w:rsid w:val="001F5A64"/>
    <w:rsid w:val="001F7361"/>
    <w:rsid w:val="001F793C"/>
    <w:rsid w:val="001F7C48"/>
    <w:rsid w:val="002011B0"/>
    <w:rsid w:val="002015DF"/>
    <w:rsid w:val="00203181"/>
    <w:rsid w:val="002031D6"/>
    <w:rsid w:val="00203783"/>
    <w:rsid w:val="0020385F"/>
    <w:rsid w:val="002042BC"/>
    <w:rsid w:val="00204B90"/>
    <w:rsid w:val="00207021"/>
    <w:rsid w:val="0020732F"/>
    <w:rsid w:val="00207D00"/>
    <w:rsid w:val="002105C1"/>
    <w:rsid w:val="00210A5B"/>
    <w:rsid w:val="00212A65"/>
    <w:rsid w:val="00214C39"/>
    <w:rsid w:val="00214DFC"/>
    <w:rsid w:val="0021515C"/>
    <w:rsid w:val="00215C77"/>
    <w:rsid w:val="00217676"/>
    <w:rsid w:val="00220D14"/>
    <w:rsid w:val="00222A19"/>
    <w:rsid w:val="00223B49"/>
    <w:rsid w:val="002248D7"/>
    <w:rsid w:val="00224DD4"/>
    <w:rsid w:val="00225138"/>
    <w:rsid w:val="00226625"/>
    <w:rsid w:val="002309CC"/>
    <w:rsid w:val="00231CEA"/>
    <w:rsid w:val="0023209F"/>
    <w:rsid w:val="002320AE"/>
    <w:rsid w:val="00232B8E"/>
    <w:rsid w:val="002355EB"/>
    <w:rsid w:val="00235911"/>
    <w:rsid w:val="0023629D"/>
    <w:rsid w:val="00237255"/>
    <w:rsid w:val="00237875"/>
    <w:rsid w:val="00237C88"/>
    <w:rsid w:val="00240035"/>
    <w:rsid w:val="00240B36"/>
    <w:rsid w:val="00241288"/>
    <w:rsid w:val="002424AF"/>
    <w:rsid w:val="00242975"/>
    <w:rsid w:val="00242CEF"/>
    <w:rsid w:val="002439DC"/>
    <w:rsid w:val="00244587"/>
    <w:rsid w:val="00244DC8"/>
    <w:rsid w:val="002454BD"/>
    <w:rsid w:val="002458BA"/>
    <w:rsid w:val="00246220"/>
    <w:rsid w:val="0024636C"/>
    <w:rsid w:val="002463A5"/>
    <w:rsid w:val="00246966"/>
    <w:rsid w:val="00247925"/>
    <w:rsid w:val="002547F2"/>
    <w:rsid w:val="00254D69"/>
    <w:rsid w:val="00254DCF"/>
    <w:rsid w:val="0025534B"/>
    <w:rsid w:val="00255BB7"/>
    <w:rsid w:val="00256AB7"/>
    <w:rsid w:val="00257541"/>
    <w:rsid w:val="00261042"/>
    <w:rsid w:val="00261DA2"/>
    <w:rsid w:val="00262321"/>
    <w:rsid w:val="0026245D"/>
    <w:rsid w:val="00262A1A"/>
    <w:rsid w:val="00262A87"/>
    <w:rsid w:val="00263128"/>
    <w:rsid w:val="002644E1"/>
    <w:rsid w:val="00264B2F"/>
    <w:rsid w:val="00264D26"/>
    <w:rsid w:val="0026686A"/>
    <w:rsid w:val="002671C9"/>
    <w:rsid w:val="00267642"/>
    <w:rsid w:val="00267AEA"/>
    <w:rsid w:val="002700E6"/>
    <w:rsid w:val="002712C6"/>
    <w:rsid w:val="0027294B"/>
    <w:rsid w:val="002729BC"/>
    <w:rsid w:val="00272E13"/>
    <w:rsid w:val="002736CF"/>
    <w:rsid w:val="00274D3C"/>
    <w:rsid w:val="00275C5A"/>
    <w:rsid w:val="00276EBA"/>
    <w:rsid w:val="00277C73"/>
    <w:rsid w:val="00281014"/>
    <w:rsid w:val="002815A8"/>
    <w:rsid w:val="00281619"/>
    <w:rsid w:val="00285122"/>
    <w:rsid w:val="002857D0"/>
    <w:rsid w:val="00285828"/>
    <w:rsid w:val="002875D6"/>
    <w:rsid w:val="00287D3B"/>
    <w:rsid w:val="00287FA0"/>
    <w:rsid w:val="002900C9"/>
    <w:rsid w:val="002928D6"/>
    <w:rsid w:val="00293101"/>
    <w:rsid w:val="002934D3"/>
    <w:rsid w:val="00294FE9"/>
    <w:rsid w:val="0029732B"/>
    <w:rsid w:val="002A087D"/>
    <w:rsid w:val="002A08F2"/>
    <w:rsid w:val="002A0FAF"/>
    <w:rsid w:val="002A14AB"/>
    <w:rsid w:val="002A159C"/>
    <w:rsid w:val="002A2D2C"/>
    <w:rsid w:val="002A2F50"/>
    <w:rsid w:val="002A5C2A"/>
    <w:rsid w:val="002B09A4"/>
    <w:rsid w:val="002B1554"/>
    <w:rsid w:val="002B1C1F"/>
    <w:rsid w:val="002B3738"/>
    <w:rsid w:val="002B432F"/>
    <w:rsid w:val="002B62B3"/>
    <w:rsid w:val="002B62CA"/>
    <w:rsid w:val="002B6754"/>
    <w:rsid w:val="002B689C"/>
    <w:rsid w:val="002B6ACB"/>
    <w:rsid w:val="002B6CCE"/>
    <w:rsid w:val="002B791A"/>
    <w:rsid w:val="002C15D9"/>
    <w:rsid w:val="002C171C"/>
    <w:rsid w:val="002C2510"/>
    <w:rsid w:val="002C2775"/>
    <w:rsid w:val="002C27C1"/>
    <w:rsid w:val="002C4313"/>
    <w:rsid w:val="002C5099"/>
    <w:rsid w:val="002C55A5"/>
    <w:rsid w:val="002C5889"/>
    <w:rsid w:val="002C61B0"/>
    <w:rsid w:val="002C6EB9"/>
    <w:rsid w:val="002C71CE"/>
    <w:rsid w:val="002D08FB"/>
    <w:rsid w:val="002D14E8"/>
    <w:rsid w:val="002D2C52"/>
    <w:rsid w:val="002D4437"/>
    <w:rsid w:val="002D577C"/>
    <w:rsid w:val="002D5AA1"/>
    <w:rsid w:val="002D66A9"/>
    <w:rsid w:val="002D7F2C"/>
    <w:rsid w:val="002D7F5C"/>
    <w:rsid w:val="002E0D06"/>
    <w:rsid w:val="002E15B9"/>
    <w:rsid w:val="002E19D1"/>
    <w:rsid w:val="002E212E"/>
    <w:rsid w:val="002E2158"/>
    <w:rsid w:val="002E2624"/>
    <w:rsid w:val="002E2728"/>
    <w:rsid w:val="002E3632"/>
    <w:rsid w:val="002E67F0"/>
    <w:rsid w:val="002E7722"/>
    <w:rsid w:val="002E77E2"/>
    <w:rsid w:val="002E7D50"/>
    <w:rsid w:val="002F00B1"/>
    <w:rsid w:val="002F07BA"/>
    <w:rsid w:val="002F0DA9"/>
    <w:rsid w:val="002F21D6"/>
    <w:rsid w:val="002F233D"/>
    <w:rsid w:val="002F3C8A"/>
    <w:rsid w:val="002F486B"/>
    <w:rsid w:val="002F4F54"/>
    <w:rsid w:val="002F643C"/>
    <w:rsid w:val="002F647B"/>
    <w:rsid w:val="002F6485"/>
    <w:rsid w:val="002F68BF"/>
    <w:rsid w:val="002F6F1C"/>
    <w:rsid w:val="002F71C0"/>
    <w:rsid w:val="00301017"/>
    <w:rsid w:val="003013EF"/>
    <w:rsid w:val="0030155F"/>
    <w:rsid w:val="003016B9"/>
    <w:rsid w:val="00302CB5"/>
    <w:rsid w:val="00303054"/>
    <w:rsid w:val="0030587B"/>
    <w:rsid w:val="00306877"/>
    <w:rsid w:val="00306D98"/>
    <w:rsid w:val="00307843"/>
    <w:rsid w:val="0030786C"/>
    <w:rsid w:val="0031031A"/>
    <w:rsid w:val="003104E1"/>
    <w:rsid w:val="00310981"/>
    <w:rsid w:val="003129CC"/>
    <w:rsid w:val="003133EF"/>
    <w:rsid w:val="00313991"/>
    <w:rsid w:val="003140E7"/>
    <w:rsid w:val="00314B36"/>
    <w:rsid w:val="00315498"/>
    <w:rsid w:val="003164D1"/>
    <w:rsid w:val="00317112"/>
    <w:rsid w:val="00320140"/>
    <w:rsid w:val="00321137"/>
    <w:rsid w:val="00322107"/>
    <w:rsid w:val="00322846"/>
    <w:rsid w:val="00325CB9"/>
    <w:rsid w:val="003260BA"/>
    <w:rsid w:val="00326153"/>
    <w:rsid w:val="00326DA7"/>
    <w:rsid w:val="003270E4"/>
    <w:rsid w:val="0032748F"/>
    <w:rsid w:val="00330DAC"/>
    <w:rsid w:val="00330F5C"/>
    <w:rsid w:val="00332B91"/>
    <w:rsid w:val="003334E8"/>
    <w:rsid w:val="003338DC"/>
    <w:rsid w:val="00334D47"/>
    <w:rsid w:val="00335B9C"/>
    <w:rsid w:val="003366C9"/>
    <w:rsid w:val="003371B0"/>
    <w:rsid w:val="003375A3"/>
    <w:rsid w:val="00337E64"/>
    <w:rsid w:val="00340DF1"/>
    <w:rsid w:val="0034677C"/>
    <w:rsid w:val="00350F5E"/>
    <w:rsid w:val="0035118A"/>
    <w:rsid w:val="003517F9"/>
    <w:rsid w:val="00351811"/>
    <w:rsid w:val="003529FF"/>
    <w:rsid w:val="00354F08"/>
    <w:rsid w:val="0035543E"/>
    <w:rsid w:val="00355513"/>
    <w:rsid w:val="0035620E"/>
    <w:rsid w:val="0035672C"/>
    <w:rsid w:val="003602F0"/>
    <w:rsid w:val="00360CE1"/>
    <w:rsid w:val="00360E98"/>
    <w:rsid w:val="00361260"/>
    <w:rsid w:val="003624C4"/>
    <w:rsid w:val="00362A3A"/>
    <w:rsid w:val="003640CE"/>
    <w:rsid w:val="003654AC"/>
    <w:rsid w:val="00365A67"/>
    <w:rsid w:val="00366A79"/>
    <w:rsid w:val="003710CF"/>
    <w:rsid w:val="0037358A"/>
    <w:rsid w:val="00373846"/>
    <w:rsid w:val="003750F6"/>
    <w:rsid w:val="00375917"/>
    <w:rsid w:val="003760FC"/>
    <w:rsid w:val="00380BC0"/>
    <w:rsid w:val="00382A3F"/>
    <w:rsid w:val="003831AF"/>
    <w:rsid w:val="0038365C"/>
    <w:rsid w:val="0038369B"/>
    <w:rsid w:val="003838A1"/>
    <w:rsid w:val="00383B78"/>
    <w:rsid w:val="00383EF6"/>
    <w:rsid w:val="00385A9D"/>
    <w:rsid w:val="00385BEE"/>
    <w:rsid w:val="003902B1"/>
    <w:rsid w:val="00390E00"/>
    <w:rsid w:val="00391F02"/>
    <w:rsid w:val="0039235B"/>
    <w:rsid w:val="003924C8"/>
    <w:rsid w:val="00393745"/>
    <w:rsid w:val="00396896"/>
    <w:rsid w:val="00396FD0"/>
    <w:rsid w:val="00397083"/>
    <w:rsid w:val="003A1A7A"/>
    <w:rsid w:val="003A1C56"/>
    <w:rsid w:val="003A2392"/>
    <w:rsid w:val="003A2831"/>
    <w:rsid w:val="003A2A1E"/>
    <w:rsid w:val="003A2A3B"/>
    <w:rsid w:val="003A3ED1"/>
    <w:rsid w:val="003A4E4E"/>
    <w:rsid w:val="003A59E8"/>
    <w:rsid w:val="003A5A19"/>
    <w:rsid w:val="003A634E"/>
    <w:rsid w:val="003A78C9"/>
    <w:rsid w:val="003B07EA"/>
    <w:rsid w:val="003B1076"/>
    <w:rsid w:val="003B17DB"/>
    <w:rsid w:val="003B1CA8"/>
    <w:rsid w:val="003B30C9"/>
    <w:rsid w:val="003B3481"/>
    <w:rsid w:val="003B3835"/>
    <w:rsid w:val="003B4416"/>
    <w:rsid w:val="003B4FCB"/>
    <w:rsid w:val="003B593D"/>
    <w:rsid w:val="003B5A49"/>
    <w:rsid w:val="003B5B61"/>
    <w:rsid w:val="003B6102"/>
    <w:rsid w:val="003B6902"/>
    <w:rsid w:val="003B6C8D"/>
    <w:rsid w:val="003C0182"/>
    <w:rsid w:val="003C05B7"/>
    <w:rsid w:val="003C1654"/>
    <w:rsid w:val="003C1A57"/>
    <w:rsid w:val="003C4790"/>
    <w:rsid w:val="003C5086"/>
    <w:rsid w:val="003C678A"/>
    <w:rsid w:val="003C69C5"/>
    <w:rsid w:val="003C6B7A"/>
    <w:rsid w:val="003C7D19"/>
    <w:rsid w:val="003D0692"/>
    <w:rsid w:val="003D1828"/>
    <w:rsid w:val="003D1DE4"/>
    <w:rsid w:val="003D1E1E"/>
    <w:rsid w:val="003D2422"/>
    <w:rsid w:val="003D2CBC"/>
    <w:rsid w:val="003D39A1"/>
    <w:rsid w:val="003D3FBF"/>
    <w:rsid w:val="003D454C"/>
    <w:rsid w:val="003D4A30"/>
    <w:rsid w:val="003D79BB"/>
    <w:rsid w:val="003D7C98"/>
    <w:rsid w:val="003E0543"/>
    <w:rsid w:val="003E0F25"/>
    <w:rsid w:val="003E169D"/>
    <w:rsid w:val="003E24D8"/>
    <w:rsid w:val="003E48F8"/>
    <w:rsid w:val="003E58F5"/>
    <w:rsid w:val="003F21AB"/>
    <w:rsid w:val="003F2580"/>
    <w:rsid w:val="003F384B"/>
    <w:rsid w:val="003F3C45"/>
    <w:rsid w:val="003F4156"/>
    <w:rsid w:val="003F61DE"/>
    <w:rsid w:val="003F63F5"/>
    <w:rsid w:val="003F69A1"/>
    <w:rsid w:val="00400B29"/>
    <w:rsid w:val="0040504B"/>
    <w:rsid w:val="00405638"/>
    <w:rsid w:val="004079DA"/>
    <w:rsid w:val="00410708"/>
    <w:rsid w:val="00410EC7"/>
    <w:rsid w:val="00411334"/>
    <w:rsid w:val="00411B39"/>
    <w:rsid w:val="00412BC5"/>
    <w:rsid w:val="00413A1E"/>
    <w:rsid w:val="00414476"/>
    <w:rsid w:val="00414C2E"/>
    <w:rsid w:val="004151CF"/>
    <w:rsid w:val="00415A75"/>
    <w:rsid w:val="00415B24"/>
    <w:rsid w:val="00416364"/>
    <w:rsid w:val="00420AA6"/>
    <w:rsid w:val="00420B9F"/>
    <w:rsid w:val="00422260"/>
    <w:rsid w:val="004228B2"/>
    <w:rsid w:val="00423AB7"/>
    <w:rsid w:val="00423B20"/>
    <w:rsid w:val="0042413F"/>
    <w:rsid w:val="00427831"/>
    <w:rsid w:val="00430E8A"/>
    <w:rsid w:val="004319F8"/>
    <w:rsid w:val="00431DC9"/>
    <w:rsid w:val="00431E55"/>
    <w:rsid w:val="004321F6"/>
    <w:rsid w:val="00433044"/>
    <w:rsid w:val="00435B70"/>
    <w:rsid w:val="004375B9"/>
    <w:rsid w:val="0044004B"/>
    <w:rsid w:val="004411AE"/>
    <w:rsid w:val="00441D02"/>
    <w:rsid w:val="004428D0"/>
    <w:rsid w:val="004443A7"/>
    <w:rsid w:val="0044442C"/>
    <w:rsid w:val="00444AA2"/>
    <w:rsid w:val="00445941"/>
    <w:rsid w:val="00445BD9"/>
    <w:rsid w:val="004464EB"/>
    <w:rsid w:val="00446BC3"/>
    <w:rsid w:val="00447D26"/>
    <w:rsid w:val="0045048E"/>
    <w:rsid w:val="00452F8F"/>
    <w:rsid w:val="00453EC7"/>
    <w:rsid w:val="00454AFC"/>
    <w:rsid w:val="00455D45"/>
    <w:rsid w:val="004567F0"/>
    <w:rsid w:val="00457178"/>
    <w:rsid w:val="00457469"/>
    <w:rsid w:val="00457AC2"/>
    <w:rsid w:val="00464595"/>
    <w:rsid w:val="00465088"/>
    <w:rsid w:val="0046519B"/>
    <w:rsid w:val="0046529C"/>
    <w:rsid w:val="004706DF"/>
    <w:rsid w:val="00471888"/>
    <w:rsid w:val="00472329"/>
    <w:rsid w:val="00472649"/>
    <w:rsid w:val="00472A79"/>
    <w:rsid w:val="00473F19"/>
    <w:rsid w:val="00473F67"/>
    <w:rsid w:val="00475E22"/>
    <w:rsid w:val="00477B3F"/>
    <w:rsid w:val="0048088E"/>
    <w:rsid w:val="00480BAE"/>
    <w:rsid w:val="0048147C"/>
    <w:rsid w:val="00482720"/>
    <w:rsid w:val="004835E7"/>
    <w:rsid w:val="004867E2"/>
    <w:rsid w:val="00490722"/>
    <w:rsid w:val="00490A88"/>
    <w:rsid w:val="00491A89"/>
    <w:rsid w:val="00491B3A"/>
    <w:rsid w:val="00492CFD"/>
    <w:rsid w:val="00492EE5"/>
    <w:rsid w:val="004935E0"/>
    <w:rsid w:val="0049372D"/>
    <w:rsid w:val="0049419E"/>
    <w:rsid w:val="00494DD5"/>
    <w:rsid w:val="00495047"/>
    <w:rsid w:val="00495B5F"/>
    <w:rsid w:val="00496073"/>
    <w:rsid w:val="004962D2"/>
    <w:rsid w:val="00496FDD"/>
    <w:rsid w:val="004970E3"/>
    <w:rsid w:val="004A0DA1"/>
    <w:rsid w:val="004A0E29"/>
    <w:rsid w:val="004A52E9"/>
    <w:rsid w:val="004A6597"/>
    <w:rsid w:val="004A737F"/>
    <w:rsid w:val="004A7848"/>
    <w:rsid w:val="004B0D32"/>
    <w:rsid w:val="004B1653"/>
    <w:rsid w:val="004B1CB4"/>
    <w:rsid w:val="004B2F18"/>
    <w:rsid w:val="004B37D5"/>
    <w:rsid w:val="004B3DDB"/>
    <w:rsid w:val="004B40D5"/>
    <w:rsid w:val="004B44FD"/>
    <w:rsid w:val="004B48A9"/>
    <w:rsid w:val="004B54DB"/>
    <w:rsid w:val="004B5CFC"/>
    <w:rsid w:val="004B61B6"/>
    <w:rsid w:val="004B6341"/>
    <w:rsid w:val="004B774D"/>
    <w:rsid w:val="004C0BB5"/>
    <w:rsid w:val="004C1A07"/>
    <w:rsid w:val="004C1B14"/>
    <w:rsid w:val="004C1ED2"/>
    <w:rsid w:val="004C2C52"/>
    <w:rsid w:val="004C4AED"/>
    <w:rsid w:val="004C4D18"/>
    <w:rsid w:val="004C5217"/>
    <w:rsid w:val="004D17DB"/>
    <w:rsid w:val="004D2433"/>
    <w:rsid w:val="004D2C2D"/>
    <w:rsid w:val="004D470F"/>
    <w:rsid w:val="004D53D3"/>
    <w:rsid w:val="004D7227"/>
    <w:rsid w:val="004D7863"/>
    <w:rsid w:val="004E0E7F"/>
    <w:rsid w:val="004E0EB8"/>
    <w:rsid w:val="004E1EFB"/>
    <w:rsid w:val="004E2ADC"/>
    <w:rsid w:val="004E3457"/>
    <w:rsid w:val="004E3CEA"/>
    <w:rsid w:val="004E4003"/>
    <w:rsid w:val="004E43B2"/>
    <w:rsid w:val="004E4856"/>
    <w:rsid w:val="004E5322"/>
    <w:rsid w:val="004E5C7B"/>
    <w:rsid w:val="004E678D"/>
    <w:rsid w:val="004E7A5D"/>
    <w:rsid w:val="004F0A93"/>
    <w:rsid w:val="004F1D02"/>
    <w:rsid w:val="004F2679"/>
    <w:rsid w:val="004F2B3E"/>
    <w:rsid w:val="004F2F21"/>
    <w:rsid w:val="004F304B"/>
    <w:rsid w:val="004F4244"/>
    <w:rsid w:val="004F5AC8"/>
    <w:rsid w:val="004F6913"/>
    <w:rsid w:val="004F6C9D"/>
    <w:rsid w:val="004F70EE"/>
    <w:rsid w:val="004F7865"/>
    <w:rsid w:val="004F796D"/>
    <w:rsid w:val="00500B84"/>
    <w:rsid w:val="0050219B"/>
    <w:rsid w:val="005030F7"/>
    <w:rsid w:val="00503F17"/>
    <w:rsid w:val="00504A69"/>
    <w:rsid w:val="00505505"/>
    <w:rsid w:val="00506928"/>
    <w:rsid w:val="005102CA"/>
    <w:rsid w:val="00510DD6"/>
    <w:rsid w:val="00510F90"/>
    <w:rsid w:val="00511312"/>
    <w:rsid w:val="00512B41"/>
    <w:rsid w:val="00513E3C"/>
    <w:rsid w:val="0051417E"/>
    <w:rsid w:val="00514F34"/>
    <w:rsid w:val="005152B5"/>
    <w:rsid w:val="005162E7"/>
    <w:rsid w:val="005163FD"/>
    <w:rsid w:val="00516AAC"/>
    <w:rsid w:val="00516DA8"/>
    <w:rsid w:val="00516E03"/>
    <w:rsid w:val="0052002E"/>
    <w:rsid w:val="00520DEE"/>
    <w:rsid w:val="00521319"/>
    <w:rsid w:val="005228FD"/>
    <w:rsid w:val="00522BC8"/>
    <w:rsid w:val="0052381B"/>
    <w:rsid w:val="00523C28"/>
    <w:rsid w:val="005242A5"/>
    <w:rsid w:val="005278FE"/>
    <w:rsid w:val="005326E9"/>
    <w:rsid w:val="0053421B"/>
    <w:rsid w:val="0053484E"/>
    <w:rsid w:val="00536F42"/>
    <w:rsid w:val="00537182"/>
    <w:rsid w:val="00537E14"/>
    <w:rsid w:val="0054049A"/>
    <w:rsid w:val="00542743"/>
    <w:rsid w:val="00542C2D"/>
    <w:rsid w:val="00543BE6"/>
    <w:rsid w:val="00543FB8"/>
    <w:rsid w:val="00544415"/>
    <w:rsid w:val="00546023"/>
    <w:rsid w:val="005469F8"/>
    <w:rsid w:val="00551985"/>
    <w:rsid w:val="005520C1"/>
    <w:rsid w:val="00552BD3"/>
    <w:rsid w:val="00554A7C"/>
    <w:rsid w:val="00555109"/>
    <w:rsid w:val="005564B7"/>
    <w:rsid w:val="00556E6D"/>
    <w:rsid w:val="005616B6"/>
    <w:rsid w:val="00563EFC"/>
    <w:rsid w:val="005647B5"/>
    <w:rsid w:val="00565AB5"/>
    <w:rsid w:val="00566714"/>
    <w:rsid w:val="0056696F"/>
    <w:rsid w:val="00566DE5"/>
    <w:rsid w:val="0057052E"/>
    <w:rsid w:val="00570627"/>
    <w:rsid w:val="00571046"/>
    <w:rsid w:val="00571BAE"/>
    <w:rsid w:val="00571DA2"/>
    <w:rsid w:val="00572269"/>
    <w:rsid w:val="0057244A"/>
    <w:rsid w:val="0057258F"/>
    <w:rsid w:val="0057278B"/>
    <w:rsid w:val="0057290F"/>
    <w:rsid w:val="00572B25"/>
    <w:rsid w:val="005740B3"/>
    <w:rsid w:val="00574336"/>
    <w:rsid w:val="005746CF"/>
    <w:rsid w:val="00575D8D"/>
    <w:rsid w:val="005761CC"/>
    <w:rsid w:val="00576972"/>
    <w:rsid w:val="00577E51"/>
    <w:rsid w:val="0058001D"/>
    <w:rsid w:val="00580B51"/>
    <w:rsid w:val="00582431"/>
    <w:rsid w:val="00583699"/>
    <w:rsid w:val="005840DF"/>
    <w:rsid w:val="00584C6C"/>
    <w:rsid w:val="00585CDD"/>
    <w:rsid w:val="00586276"/>
    <w:rsid w:val="00587058"/>
    <w:rsid w:val="0058706D"/>
    <w:rsid w:val="00587595"/>
    <w:rsid w:val="00587740"/>
    <w:rsid w:val="00591957"/>
    <w:rsid w:val="00591972"/>
    <w:rsid w:val="00591CDF"/>
    <w:rsid w:val="00592B06"/>
    <w:rsid w:val="00595C01"/>
    <w:rsid w:val="005969EB"/>
    <w:rsid w:val="00597771"/>
    <w:rsid w:val="00597BF9"/>
    <w:rsid w:val="005A1D9A"/>
    <w:rsid w:val="005A22E2"/>
    <w:rsid w:val="005A2612"/>
    <w:rsid w:val="005A2721"/>
    <w:rsid w:val="005A2996"/>
    <w:rsid w:val="005A2B33"/>
    <w:rsid w:val="005A373D"/>
    <w:rsid w:val="005A5265"/>
    <w:rsid w:val="005A5772"/>
    <w:rsid w:val="005A5A40"/>
    <w:rsid w:val="005B3853"/>
    <w:rsid w:val="005B5857"/>
    <w:rsid w:val="005B6349"/>
    <w:rsid w:val="005B63D7"/>
    <w:rsid w:val="005B6E43"/>
    <w:rsid w:val="005C1B83"/>
    <w:rsid w:val="005C2995"/>
    <w:rsid w:val="005C2C64"/>
    <w:rsid w:val="005C2D55"/>
    <w:rsid w:val="005C33AD"/>
    <w:rsid w:val="005C346B"/>
    <w:rsid w:val="005C5635"/>
    <w:rsid w:val="005C5E66"/>
    <w:rsid w:val="005C7EB1"/>
    <w:rsid w:val="005D044D"/>
    <w:rsid w:val="005D0ABD"/>
    <w:rsid w:val="005D187A"/>
    <w:rsid w:val="005D18AD"/>
    <w:rsid w:val="005D26B4"/>
    <w:rsid w:val="005D5096"/>
    <w:rsid w:val="005D712A"/>
    <w:rsid w:val="005E034C"/>
    <w:rsid w:val="005E132E"/>
    <w:rsid w:val="005E141F"/>
    <w:rsid w:val="005E2418"/>
    <w:rsid w:val="005E3B6F"/>
    <w:rsid w:val="005E4C99"/>
    <w:rsid w:val="005E53DB"/>
    <w:rsid w:val="005E56DE"/>
    <w:rsid w:val="005E5913"/>
    <w:rsid w:val="005E5CED"/>
    <w:rsid w:val="005E6CBC"/>
    <w:rsid w:val="005E73C0"/>
    <w:rsid w:val="005E7829"/>
    <w:rsid w:val="005E797A"/>
    <w:rsid w:val="005F07D2"/>
    <w:rsid w:val="005F12FA"/>
    <w:rsid w:val="005F1612"/>
    <w:rsid w:val="005F2706"/>
    <w:rsid w:val="005F2D1C"/>
    <w:rsid w:val="005F3260"/>
    <w:rsid w:val="005F6319"/>
    <w:rsid w:val="005F6329"/>
    <w:rsid w:val="005F6A8F"/>
    <w:rsid w:val="006033A5"/>
    <w:rsid w:val="00603DB9"/>
    <w:rsid w:val="006048C0"/>
    <w:rsid w:val="00605224"/>
    <w:rsid w:val="00607669"/>
    <w:rsid w:val="00607AFD"/>
    <w:rsid w:val="006126FA"/>
    <w:rsid w:val="00612F97"/>
    <w:rsid w:val="00613382"/>
    <w:rsid w:val="0061345D"/>
    <w:rsid w:val="006162FE"/>
    <w:rsid w:val="00616802"/>
    <w:rsid w:val="00617E12"/>
    <w:rsid w:val="0062038B"/>
    <w:rsid w:val="00621477"/>
    <w:rsid w:val="006219E5"/>
    <w:rsid w:val="0062416A"/>
    <w:rsid w:val="006255D1"/>
    <w:rsid w:val="00625AB7"/>
    <w:rsid w:val="006261CA"/>
    <w:rsid w:val="00627FF8"/>
    <w:rsid w:val="006303E1"/>
    <w:rsid w:val="00630A91"/>
    <w:rsid w:val="0063158F"/>
    <w:rsid w:val="00631D6B"/>
    <w:rsid w:val="0063237A"/>
    <w:rsid w:val="006326D9"/>
    <w:rsid w:val="00632F32"/>
    <w:rsid w:val="006330A1"/>
    <w:rsid w:val="00633454"/>
    <w:rsid w:val="00633A84"/>
    <w:rsid w:val="006342DC"/>
    <w:rsid w:val="00634429"/>
    <w:rsid w:val="0063479F"/>
    <w:rsid w:val="006353F0"/>
    <w:rsid w:val="0063544D"/>
    <w:rsid w:val="00635507"/>
    <w:rsid w:val="00635CC3"/>
    <w:rsid w:val="006364A1"/>
    <w:rsid w:val="00637BFD"/>
    <w:rsid w:val="006402BF"/>
    <w:rsid w:val="006407CC"/>
    <w:rsid w:val="00641C4E"/>
    <w:rsid w:val="0064286E"/>
    <w:rsid w:val="00644A02"/>
    <w:rsid w:val="006452A0"/>
    <w:rsid w:val="006471CC"/>
    <w:rsid w:val="0065079F"/>
    <w:rsid w:val="0065379F"/>
    <w:rsid w:val="0065602B"/>
    <w:rsid w:val="00656AF8"/>
    <w:rsid w:val="00660FB0"/>
    <w:rsid w:val="0066153F"/>
    <w:rsid w:val="00661C6B"/>
    <w:rsid w:val="00663439"/>
    <w:rsid w:val="00664620"/>
    <w:rsid w:val="0066787F"/>
    <w:rsid w:val="00671C4E"/>
    <w:rsid w:val="00672136"/>
    <w:rsid w:val="006721A5"/>
    <w:rsid w:val="006745B7"/>
    <w:rsid w:val="00674E42"/>
    <w:rsid w:val="006761AD"/>
    <w:rsid w:val="00680112"/>
    <w:rsid w:val="00680B63"/>
    <w:rsid w:val="00681BB7"/>
    <w:rsid w:val="00682112"/>
    <w:rsid w:val="00683532"/>
    <w:rsid w:val="00684293"/>
    <w:rsid w:val="00686325"/>
    <w:rsid w:val="00686957"/>
    <w:rsid w:val="00686F16"/>
    <w:rsid w:val="006872BA"/>
    <w:rsid w:val="00691648"/>
    <w:rsid w:val="006917D7"/>
    <w:rsid w:val="006918BB"/>
    <w:rsid w:val="00691A41"/>
    <w:rsid w:val="00692C01"/>
    <w:rsid w:val="006934E3"/>
    <w:rsid w:val="00694BBD"/>
    <w:rsid w:val="00694F44"/>
    <w:rsid w:val="00695E59"/>
    <w:rsid w:val="00696376"/>
    <w:rsid w:val="00696AE3"/>
    <w:rsid w:val="006A26D1"/>
    <w:rsid w:val="006A39F5"/>
    <w:rsid w:val="006A6316"/>
    <w:rsid w:val="006A78DB"/>
    <w:rsid w:val="006A7E5F"/>
    <w:rsid w:val="006B037F"/>
    <w:rsid w:val="006B0607"/>
    <w:rsid w:val="006B1609"/>
    <w:rsid w:val="006B261B"/>
    <w:rsid w:val="006B2C90"/>
    <w:rsid w:val="006B4509"/>
    <w:rsid w:val="006B6DD0"/>
    <w:rsid w:val="006B7D4C"/>
    <w:rsid w:val="006C0911"/>
    <w:rsid w:val="006C2498"/>
    <w:rsid w:val="006C2A8E"/>
    <w:rsid w:val="006C3747"/>
    <w:rsid w:val="006C3CC5"/>
    <w:rsid w:val="006C4D2B"/>
    <w:rsid w:val="006C63D1"/>
    <w:rsid w:val="006C65F4"/>
    <w:rsid w:val="006C7B47"/>
    <w:rsid w:val="006C7ED9"/>
    <w:rsid w:val="006D10F3"/>
    <w:rsid w:val="006D1851"/>
    <w:rsid w:val="006D3C7D"/>
    <w:rsid w:val="006D4222"/>
    <w:rsid w:val="006D472B"/>
    <w:rsid w:val="006D472E"/>
    <w:rsid w:val="006D5D5F"/>
    <w:rsid w:val="006D7B6C"/>
    <w:rsid w:val="006D7C9B"/>
    <w:rsid w:val="006E0A14"/>
    <w:rsid w:val="006E2254"/>
    <w:rsid w:val="006E2C67"/>
    <w:rsid w:val="006E3DF4"/>
    <w:rsid w:val="006F12AC"/>
    <w:rsid w:val="006F2C38"/>
    <w:rsid w:val="006F306C"/>
    <w:rsid w:val="006F3453"/>
    <w:rsid w:val="006F438A"/>
    <w:rsid w:val="006F63A5"/>
    <w:rsid w:val="006F6AAC"/>
    <w:rsid w:val="00700679"/>
    <w:rsid w:val="0070142B"/>
    <w:rsid w:val="0070276E"/>
    <w:rsid w:val="00702E57"/>
    <w:rsid w:val="00702F8F"/>
    <w:rsid w:val="00703E85"/>
    <w:rsid w:val="00703F28"/>
    <w:rsid w:val="00705D2C"/>
    <w:rsid w:val="007103D1"/>
    <w:rsid w:val="00711A36"/>
    <w:rsid w:val="0071367B"/>
    <w:rsid w:val="0071529C"/>
    <w:rsid w:val="007157DA"/>
    <w:rsid w:val="007161F7"/>
    <w:rsid w:val="0071664D"/>
    <w:rsid w:val="007172AD"/>
    <w:rsid w:val="0071773B"/>
    <w:rsid w:val="00717F49"/>
    <w:rsid w:val="00720154"/>
    <w:rsid w:val="007225AA"/>
    <w:rsid w:val="00722B1B"/>
    <w:rsid w:val="0072416F"/>
    <w:rsid w:val="00724EB1"/>
    <w:rsid w:val="007265D9"/>
    <w:rsid w:val="00727C94"/>
    <w:rsid w:val="007313A7"/>
    <w:rsid w:val="00731EAE"/>
    <w:rsid w:val="007331D1"/>
    <w:rsid w:val="00733C32"/>
    <w:rsid w:val="00734C46"/>
    <w:rsid w:val="00735033"/>
    <w:rsid w:val="00735328"/>
    <w:rsid w:val="007356EF"/>
    <w:rsid w:val="007358E8"/>
    <w:rsid w:val="007367BD"/>
    <w:rsid w:val="0073685B"/>
    <w:rsid w:val="00736EE6"/>
    <w:rsid w:val="00736F4C"/>
    <w:rsid w:val="007377E3"/>
    <w:rsid w:val="0074029C"/>
    <w:rsid w:val="00740846"/>
    <w:rsid w:val="007428C6"/>
    <w:rsid w:val="00745836"/>
    <w:rsid w:val="0074620F"/>
    <w:rsid w:val="007478CB"/>
    <w:rsid w:val="00750E74"/>
    <w:rsid w:val="00751118"/>
    <w:rsid w:val="00751B41"/>
    <w:rsid w:val="00752142"/>
    <w:rsid w:val="007523F9"/>
    <w:rsid w:val="0075259C"/>
    <w:rsid w:val="00752F11"/>
    <w:rsid w:val="00754E2E"/>
    <w:rsid w:val="007550B1"/>
    <w:rsid w:val="007555D9"/>
    <w:rsid w:val="007572FC"/>
    <w:rsid w:val="007573E8"/>
    <w:rsid w:val="007574DA"/>
    <w:rsid w:val="00760C4E"/>
    <w:rsid w:val="00760D85"/>
    <w:rsid w:val="00761EFD"/>
    <w:rsid w:val="00763AA5"/>
    <w:rsid w:val="00764A6D"/>
    <w:rsid w:val="00765B1A"/>
    <w:rsid w:val="0077430A"/>
    <w:rsid w:val="00774672"/>
    <w:rsid w:val="00774F2A"/>
    <w:rsid w:val="0077636F"/>
    <w:rsid w:val="0077755E"/>
    <w:rsid w:val="00780E8D"/>
    <w:rsid w:val="00781E19"/>
    <w:rsid w:val="00782281"/>
    <w:rsid w:val="0078243B"/>
    <w:rsid w:val="00783418"/>
    <w:rsid w:val="007843F2"/>
    <w:rsid w:val="00787218"/>
    <w:rsid w:val="007933C4"/>
    <w:rsid w:val="00793A45"/>
    <w:rsid w:val="00794ADD"/>
    <w:rsid w:val="00795FEB"/>
    <w:rsid w:val="00797047"/>
    <w:rsid w:val="00797CF2"/>
    <w:rsid w:val="007A0A12"/>
    <w:rsid w:val="007A132D"/>
    <w:rsid w:val="007A4F1D"/>
    <w:rsid w:val="007A5B17"/>
    <w:rsid w:val="007A5C4C"/>
    <w:rsid w:val="007A66CE"/>
    <w:rsid w:val="007B024C"/>
    <w:rsid w:val="007B0D68"/>
    <w:rsid w:val="007B251D"/>
    <w:rsid w:val="007B2B28"/>
    <w:rsid w:val="007B3DCE"/>
    <w:rsid w:val="007B4F58"/>
    <w:rsid w:val="007B5190"/>
    <w:rsid w:val="007B528D"/>
    <w:rsid w:val="007B531A"/>
    <w:rsid w:val="007B77D1"/>
    <w:rsid w:val="007C1CD9"/>
    <w:rsid w:val="007C2AF9"/>
    <w:rsid w:val="007C3430"/>
    <w:rsid w:val="007C361D"/>
    <w:rsid w:val="007C3C26"/>
    <w:rsid w:val="007C4687"/>
    <w:rsid w:val="007C4AAB"/>
    <w:rsid w:val="007C4B84"/>
    <w:rsid w:val="007D004F"/>
    <w:rsid w:val="007D0B38"/>
    <w:rsid w:val="007D0DD6"/>
    <w:rsid w:val="007D2999"/>
    <w:rsid w:val="007D3371"/>
    <w:rsid w:val="007D4266"/>
    <w:rsid w:val="007D5440"/>
    <w:rsid w:val="007D6003"/>
    <w:rsid w:val="007D76B3"/>
    <w:rsid w:val="007E062E"/>
    <w:rsid w:val="007E0B38"/>
    <w:rsid w:val="007E0D80"/>
    <w:rsid w:val="007E36CD"/>
    <w:rsid w:val="007E379C"/>
    <w:rsid w:val="007E6309"/>
    <w:rsid w:val="007E6657"/>
    <w:rsid w:val="007F0529"/>
    <w:rsid w:val="007F1017"/>
    <w:rsid w:val="007F38DD"/>
    <w:rsid w:val="007F3B22"/>
    <w:rsid w:val="007F3C80"/>
    <w:rsid w:val="007F4600"/>
    <w:rsid w:val="007F4A3F"/>
    <w:rsid w:val="007F4A61"/>
    <w:rsid w:val="007F4D30"/>
    <w:rsid w:val="007F5453"/>
    <w:rsid w:val="007F61C2"/>
    <w:rsid w:val="007F6724"/>
    <w:rsid w:val="007F67A7"/>
    <w:rsid w:val="007F70C2"/>
    <w:rsid w:val="00800A39"/>
    <w:rsid w:val="00804840"/>
    <w:rsid w:val="00805142"/>
    <w:rsid w:val="00807A8B"/>
    <w:rsid w:val="0081017D"/>
    <w:rsid w:val="0081037E"/>
    <w:rsid w:val="00810C94"/>
    <w:rsid w:val="00810DCB"/>
    <w:rsid w:val="00811007"/>
    <w:rsid w:val="00811383"/>
    <w:rsid w:val="00812149"/>
    <w:rsid w:val="00812CAC"/>
    <w:rsid w:val="00813321"/>
    <w:rsid w:val="00813BE0"/>
    <w:rsid w:val="00814F91"/>
    <w:rsid w:val="008166EF"/>
    <w:rsid w:val="00817ED0"/>
    <w:rsid w:val="008205F5"/>
    <w:rsid w:val="00822574"/>
    <w:rsid w:val="00822893"/>
    <w:rsid w:val="00822BA5"/>
    <w:rsid w:val="00823EEA"/>
    <w:rsid w:val="00825751"/>
    <w:rsid w:val="008264EB"/>
    <w:rsid w:val="00833B05"/>
    <w:rsid w:val="00834016"/>
    <w:rsid w:val="00835AFC"/>
    <w:rsid w:val="008362B4"/>
    <w:rsid w:val="00836C79"/>
    <w:rsid w:val="00837496"/>
    <w:rsid w:val="00837C53"/>
    <w:rsid w:val="00840639"/>
    <w:rsid w:val="00840CA2"/>
    <w:rsid w:val="00841A3F"/>
    <w:rsid w:val="008431A5"/>
    <w:rsid w:val="0084374F"/>
    <w:rsid w:val="00843C41"/>
    <w:rsid w:val="008443CE"/>
    <w:rsid w:val="008447AC"/>
    <w:rsid w:val="00847DF5"/>
    <w:rsid w:val="00847F21"/>
    <w:rsid w:val="0085002A"/>
    <w:rsid w:val="00850039"/>
    <w:rsid w:val="00850812"/>
    <w:rsid w:val="0085309D"/>
    <w:rsid w:val="00855D9C"/>
    <w:rsid w:val="00856897"/>
    <w:rsid w:val="00856E9A"/>
    <w:rsid w:val="0085724A"/>
    <w:rsid w:val="0086075D"/>
    <w:rsid w:val="00860EE7"/>
    <w:rsid w:val="00861F36"/>
    <w:rsid w:val="00862502"/>
    <w:rsid w:val="00862622"/>
    <w:rsid w:val="00863E2E"/>
    <w:rsid w:val="00865597"/>
    <w:rsid w:val="008660D4"/>
    <w:rsid w:val="00866F21"/>
    <w:rsid w:val="00866FC0"/>
    <w:rsid w:val="008672B6"/>
    <w:rsid w:val="00871FA9"/>
    <w:rsid w:val="0087277D"/>
    <w:rsid w:val="008728E9"/>
    <w:rsid w:val="0087372C"/>
    <w:rsid w:val="00880582"/>
    <w:rsid w:val="0088191D"/>
    <w:rsid w:val="00882874"/>
    <w:rsid w:val="00883038"/>
    <w:rsid w:val="00883787"/>
    <w:rsid w:val="00884F53"/>
    <w:rsid w:val="00886296"/>
    <w:rsid w:val="00886CD2"/>
    <w:rsid w:val="008901A6"/>
    <w:rsid w:val="008902A7"/>
    <w:rsid w:val="0089073F"/>
    <w:rsid w:val="00890C56"/>
    <w:rsid w:val="00891CD4"/>
    <w:rsid w:val="008922C4"/>
    <w:rsid w:val="008923F7"/>
    <w:rsid w:val="00892A36"/>
    <w:rsid w:val="00892E5A"/>
    <w:rsid w:val="00892EB5"/>
    <w:rsid w:val="00893239"/>
    <w:rsid w:val="00893B07"/>
    <w:rsid w:val="00894489"/>
    <w:rsid w:val="00894C00"/>
    <w:rsid w:val="00894D16"/>
    <w:rsid w:val="008963A5"/>
    <w:rsid w:val="0089650C"/>
    <w:rsid w:val="008966E6"/>
    <w:rsid w:val="00896AFC"/>
    <w:rsid w:val="008A0693"/>
    <w:rsid w:val="008A26C8"/>
    <w:rsid w:val="008A3363"/>
    <w:rsid w:val="008A3371"/>
    <w:rsid w:val="008A3C3E"/>
    <w:rsid w:val="008A4689"/>
    <w:rsid w:val="008A63F5"/>
    <w:rsid w:val="008A79DE"/>
    <w:rsid w:val="008A7DDE"/>
    <w:rsid w:val="008B1757"/>
    <w:rsid w:val="008B2378"/>
    <w:rsid w:val="008B2C8F"/>
    <w:rsid w:val="008B37D5"/>
    <w:rsid w:val="008B40FB"/>
    <w:rsid w:val="008B56AB"/>
    <w:rsid w:val="008B667D"/>
    <w:rsid w:val="008B7865"/>
    <w:rsid w:val="008B7D7E"/>
    <w:rsid w:val="008C122A"/>
    <w:rsid w:val="008C2E39"/>
    <w:rsid w:val="008C3E9D"/>
    <w:rsid w:val="008C6C48"/>
    <w:rsid w:val="008C6E1E"/>
    <w:rsid w:val="008C74D4"/>
    <w:rsid w:val="008C757B"/>
    <w:rsid w:val="008C7ECB"/>
    <w:rsid w:val="008D1CDB"/>
    <w:rsid w:val="008D1F89"/>
    <w:rsid w:val="008D2D1C"/>
    <w:rsid w:val="008D4755"/>
    <w:rsid w:val="008D4C3D"/>
    <w:rsid w:val="008D4E93"/>
    <w:rsid w:val="008D508E"/>
    <w:rsid w:val="008D70CA"/>
    <w:rsid w:val="008D7C0B"/>
    <w:rsid w:val="008E04FE"/>
    <w:rsid w:val="008E0D3C"/>
    <w:rsid w:val="008E0D56"/>
    <w:rsid w:val="008E1256"/>
    <w:rsid w:val="008E1B9E"/>
    <w:rsid w:val="008E20AF"/>
    <w:rsid w:val="008E225C"/>
    <w:rsid w:val="008E3E44"/>
    <w:rsid w:val="008E47FB"/>
    <w:rsid w:val="008E55AB"/>
    <w:rsid w:val="008F120A"/>
    <w:rsid w:val="008F1E00"/>
    <w:rsid w:val="008F1FD0"/>
    <w:rsid w:val="008F23FE"/>
    <w:rsid w:val="008F27E0"/>
    <w:rsid w:val="008F2DC7"/>
    <w:rsid w:val="008F2E30"/>
    <w:rsid w:val="008F3A2C"/>
    <w:rsid w:val="008F48EB"/>
    <w:rsid w:val="008F4F0B"/>
    <w:rsid w:val="008F5827"/>
    <w:rsid w:val="008F5CF2"/>
    <w:rsid w:val="008F793A"/>
    <w:rsid w:val="00901D75"/>
    <w:rsid w:val="0090340B"/>
    <w:rsid w:val="009046C4"/>
    <w:rsid w:val="00904757"/>
    <w:rsid w:val="00904DD1"/>
    <w:rsid w:val="009062A5"/>
    <w:rsid w:val="00911272"/>
    <w:rsid w:val="0091173D"/>
    <w:rsid w:val="00912585"/>
    <w:rsid w:val="0091280B"/>
    <w:rsid w:val="009132D4"/>
    <w:rsid w:val="00913366"/>
    <w:rsid w:val="009135D6"/>
    <w:rsid w:val="00914C77"/>
    <w:rsid w:val="0091635B"/>
    <w:rsid w:val="00917BD0"/>
    <w:rsid w:val="00921B5F"/>
    <w:rsid w:val="0092369B"/>
    <w:rsid w:val="0092517D"/>
    <w:rsid w:val="0092601A"/>
    <w:rsid w:val="0092760D"/>
    <w:rsid w:val="00931A67"/>
    <w:rsid w:val="00931BE8"/>
    <w:rsid w:val="00932C95"/>
    <w:rsid w:val="00933F8A"/>
    <w:rsid w:val="0093400A"/>
    <w:rsid w:val="00934903"/>
    <w:rsid w:val="009374E0"/>
    <w:rsid w:val="00937665"/>
    <w:rsid w:val="009415F8"/>
    <w:rsid w:val="00942011"/>
    <w:rsid w:val="009420CF"/>
    <w:rsid w:val="00942D3A"/>
    <w:rsid w:val="00943D4E"/>
    <w:rsid w:val="00945E56"/>
    <w:rsid w:val="009467E5"/>
    <w:rsid w:val="00947AFE"/>
    <w:rsid w:val="009508D3"/>
    <w:rsid w:val="009510A2"/>
    <w:rsid w:val="009513B5"/>
    <w:rsid w:val="009522C0"/>
    <w:rsid w:val="00953257"/>
    <w:rsid w:val="00954116"/>
    <w:rsid w:val="009557E9"/>
    <w:rsid w:val="009567FB"/>
    <w:rsid w:val="00957B41"/>
    <w:rsid w:val="00961A5F"/>
    <w:rsid w:val="009626A4"/>
    <w:rsid w:val="00962CB9"/>
    <w:rsid w:val="00964312"/>
    <w:rsid w:val="00965602"/>
    <w:rsid w:val="00965B8A"/>
    <w:rsid w:val="00966569"/>
    <w:rsid w:val="0096730D"/>
    <w:rsid w:val="00967A68"/>
    <w:rsid w:val="009700F9"/>
    <w:rsid w:val="00970C46"/>
    <w:rsid w:val="00971047"/>
    <w:rsid w:val="009717AC"/>
    <w:rsid w:val="009721A9"/>
    <w:rsid w:val="009724D0"/>
    <w:rsid w:val="0097402E"/>
    <w:rsid w:val="0097529D"/>
    <w:rsid w:val="00983B28"/>
    <w:rsid w:val="00983E57"/>
    <w:rsid w:val="0098449E"/>
    <w:rsid w:val="0098675D"/>
    <w:rsid w:val="00986A67"/>
    <w:rsid w:val="00987FDC"/>
    <w:rsid w:val="009907AD"/>
    <w:rsid w:val="00990E7D"/>
    <w:rsid w:val="00992E0B"/>
    <w:rsid w:val="0099489E"/>
    <w:rsid w:val="00995A57"/>
    <w:rsid w:val="00996773"/>
    <w:rsid w:val="00996B1A"/>
    <w:rsid w:val="009A0109"/>
    <w:rsid w:val="009A031A"/>
    <w:rsid w:val="009A08A6"/>
    <w:rsid w:val="009A2DB7"/>
    <w:rsid w:val="009A377E"/>
    <w:rsid w:val="009A5659"/>
    <w:rsid w:val="009A5FA7"/>
    <w:rsid w:val="009A7F10"/>
    <w:rsid w:val="009B0141"/>
    <w:rsid w:val="009B0824"/>
    <w:rsid w:val="009B2BAF"/>
    <w:rsid w:val="009B3E26"/>
    <w:rsid w:val="009B66FE"/>
    <w:rsid w:val="009B673B"/>
    <w:rsid w:val="009B7399"/>
    <w:rsid w:val="009B77D3"/>
    <w:rsid w:val="009B7D19"/>
    <w:rsid w:val="009C1FD9"/>
    <w:rsid w:val="009C2535"/>
    <w:rsid w:val="009C284C"/>
    <w:rsid w:val="009C5069"/>
    <w:rsid w:val="009C5FB0"/>
    <w:rsid w:val="009C6CEA"/>
    <w:rsid w:val="009C7B85"/>
    <w:rsid w:val="009D14FE"/>
    <w:rsid w:val="009D1ECB"/>
    <w:rsid w:val="009D246B"/>
    <w:rsid w:val="009D2676"/>
    <w:rsid w:val="009D5165"/>
    <w:rsid w:val="009D5B91"/>
    <w:rsid w:val="009D792E"/>
    <w:rsid w:val="009E09E8"/>
    <w:rsid w:val="009E0DFE"/>
    <w:rsid w:val="009E1416"/>
    <w:rsid w:val="009E28D3"/>
    <w:rsid w:val="009E447E"/>
    <w:rsid w:val="009E4C07"/>
    <w:rsid w:val="009F18C1"/>
    <w:rsid w:val="009F41FB"/>
    <w:rsid w:val="009F4426"/>
    <w:rsid w:val="009F539F"/>
    <w:rsid w:val="009F5556"/>
    <w:rsid w:val="009F5996"/>
    <w:rsid w:val="009F7CEF"/>
    <w:rsid w:val="00A0047E"/>
    <w:rsid w:val="00A01184"/>
    <w:rsid w:val="00A02106"/>
    <w:rsid w:val="00A03D43"/>
    <w:rsid w:val="00A03EC1"/>
    <w:rsid w:val="00A04380"/>
    <w:rsid w:val="00A04BE9"/>
    <w:rsid w:val="00A06C31"/>
    <w:rsid w:val="00A06E63"/>
    <w:rsid w:val="00A0751E"/>
    <w:rsid w:val="00A078A8"/>
    <w:rsid w:val="00A11CD0"/>
    <w:rsid w:val="00A12BBC"/>
    <w:rsid w:val="00A13948"/>
    <w:rsid w:val="00A13FC7"/>
    <w:rsid w:val="00A14A15"/>
    <w:rsid w:val="00A1555B"/>
    <w:rsid w:val="00A155C5"/>
    <w:rsid w:val="00A16AD8"/>
    <w:rsid w:val="00A16B26"/>
    <w:rsid w:val="00A17291"/>
    <w:rsid w:val="00A17967"/>
    <w:rsid w:val="00A17B85"/>
    <w:rsid w:val="00A208E9"/>
    <w:rsid w:val="00A21CF3"/>
    <w:rsid w:val="00A23E27"/>
    <w:rsid w:val="00A2441F"/>
    <w:rsid w:val="00A26B9F"/>
    <w:rsid w:val="00A2768A"/>
    <w:rsid w:val="00A27AEC"/>
    <w:rsid w:val="00A27DAF"/>
    <w:rsid w:val="00A31F1C"/>
    <w:rsid w:val="00A320DB"/>
    <w:rsid w:val="00A34B6B"/>
    <w:rsid w:val="00A34D5B"/>
    <w:rsid w:val="00A35D16"/>
    <w:rsid w:val="00A37BCD"/>
    <w:rsid w:val="00A4088E"/>
    <w:rsid w:val="00A430E8"/>
    <w:rsid w:val="00A43A83"/>
    <w:rsid w:val="00A43C59"/>
    <w:rsid w:val="00A461FF"/>
    <w:rsid w:val="00A50ECD"/>
    <w:rsid w:val="00A5126C"/>
    <w:rsid w:val="00A518F3"/>
    <w:rsid w:val="00A52032"/>
    <w:rsid w:val="00A52729"/>
    <w:rsid w:val="00A5278D"/>
    <w:rsid w:val="00A53675"/>
    <w:rsid w:val="00A53ED5"/>
    <w:rsid w:val="00A550C4"/>
    <w:rsid w:val="00A5593F"/>
    <w:rsid w:val="00A55DD6"/>
    <w:rsid w:val="00A56384"/>
    <w:rsid w:val="00A564D7"/>
    <w:rsid w:val="00A56B6A"/>
    <w:rsid w:val="00A578DC"/>
    <w:rsid w:val="00A57B97"/>
    <w:rsid w:val="00A62EA5"/>
    <w:rsid w:val="00A6645B"/>
    <w:rsid w:val="00A66667"/>
    <w:rsid w:val="00A66D5C"/>
    <w:rsid w:val="00A6725B"/>
    <w:rsid w:val="00A67FD9"/>
    <w:rsid w:val="00A70605"/>
    <w:rsid w:val="00A70C42"/>
    <w:rsid w:val="00A711C6"/>
    <w:rsid w:val="00A72F50"/>
    <w:rsid w:val="00A73134"/>
    <w:rsid w:val="00A734D5"/>
    <w:rsid w:val="00A74144"/>
    <w:rsid w:val="00A75050"/>
    <w:rsid w:val="00A75747"/>
    <w:rsid w:val="00A75DFC"/>
    <w:rsid w:val="00A76BC3"/>
    <w:rsid w:val="00A7751B"/>
    <w:rsid w:val="00A777B2"/>
    <w:rsid w:val="00A811A0"/>
    <w:rsid w:val="00A81D76"/>
    <w:rsid w:val="00A820BC"/>
    <w:rsid w:val="00A83058"/>
    <w:rsid w:val="00A85766"/>
    <w:rsid w:val="00A8587F"/>
    <w:rsid w:val="00A85B03"/>
    <w:rsid w:val="00A85E09"/>
    <w:rsid w:val="00A86E8B"/>
    <w:rsid w:val="00A87164"/>
    <w:rsid w:val="00A87DDD"/>
    <w:rsid w:val="00A93072"/>
    <w:rsid w:val="00A93953"/>
    <w:rsid w:val="00A959AB"/>
    <w:rsid w:val="00A959D8"/>
    <w:rsid w:val="00AA1013"/>
    <w:rsid w:val="00AA113D"/>
    <w:rsid w:val="00AA3834"/>
    <w:rsid w:val="00AA3B45"/>
    <w:rsid w:val="00AA6C7D"/>
    <w:rsid w:val="00AA7FD6"/>
    <w:rsid w:val="00AB042A"/>
    <w:rsid w:val="00AB16BA"/>
    <w:rsid w:val="00AB2D34"/>
    <w:rsid w:val="00AB3430"/>
    <w:rsid w:val="00AB4AD1"/>
    <w:rsid w:val="00AB7CFA"/>
    <w:rsid w:val="00AC1B35"/>
    <w:rsid w:val="00AC2D18"/>
    <w:rsid w:val="00AC36AC"/>
    <w:rsid w:val="00AC5901"/>
    <w:rsid w:val="00AC5B48"/>
    <w:rsid w:val="00AC5F7D"/>
    <w:rsid w:val="00AC63F2"/>
    <w:rsid w:val="00AC7E94"/>
    <w:rsid w:val="00AD071D"/>
    <w:rsid w:val="00AD3163"/>
    <w:rsid w:val="00AD4904"/>
    <w:rsid w:val="00AD6088"/>
    <w:rsid w:val="00AD6502"/>
    <w:rsid w:val="00AE01BC"/>
    <w:rsid w:val="00AE04D7"/>
    <w:rsid w:val="00AE07D6"/>
    <w:rsid w:val="00AE0D0B"/>
    <w:rsid w:val="00AE1406"/>
    <w:rsid w:val="00AE42C1"/>
    <w:rsid w:val="00AE5442"/>
    <w:rsid w:val="00AF094E"/>
    <w:rsid w:val="00AF1315"/>
    <w:rsid w:val="00AF19BF"/>
    <w:rsid w:val="00AF2DC3"/>
    <w:rsid w:val="00AF36AD"/>
    <w:rsid w:val="00AF4A89"/>
    <w:rsid w:val="00AF7D5C"/>
    <w:rsid w:val="00B02160"/>
    <w:rsid w:val="00B033E5"/>
    <w:rsid w:val="00B03A63"/>
    <w:rsid w:val="00B07F61"/>
    <w:rsid w:val="00B11B1A"/>
    <w:rsid w:val="00B1562B"/>
    <w:rsid w:val="00B15E94"/>
    <w:rsid w:val="00B16722"/>
    <w:rsid w:val="00B17B49"/>
    <w:rsid w:val="00B201A4"/>
    <w:rsid w:val="00B213A6"/>
    <w:rsid w:val="00B21916"/>
    <w:rsid w:val="00B21A6E"/>
    <w:rsid w:val="00B24DF6"/>
    <w:rsid w:val="00B24F15"/>
    <w:rsid w:val="00B25DE8"/>
    <w:rsid w:val="00B2696E"/>
    <w:rsid w:val="00B30FB7"/>
    <w:rsid w:val="00B312D1"/>
    <w:rsid w:val="00B31414"/>
    <w:rsid w:val="00B31CAE"/>
    <w:rsid w:val="00B34D54"/>
    <w:rsid w:val="00B34ECE"/>
    <w:rsid w:val="00B34FE2"/>
    <w:rsid w:val="00B357D8"/>
    <w:rsid w:val="00B37BFC"/>
    <w:rsid w:val="00B40358"/>
    <w:rsid w:val="00B41614"/>
    <w:rsid w:val="00B42851"/>
    <w:rsid w:val="00B42AF8"/>
    <w:rsid w:val="00B42F80"/>
    <w:rsid w:val="00B435CB"/>
    <w:rsid w:val="00B45224"/>
    <w:rsid w:val="00B46946"/>
    <w:rsid w:val="00B4782E"/>
    <w:rsid w:val="00B50DB8"/>
    <w:rsid w:val="00B51243"/>
    <w:rsid w:val="00B53654"/>
    <w:rsid w:val="00B53905"/>
    <w:rsid w:val="00B54B5B"/>
    <w:rsid w:val="00B5562E"/>
    <w:rsid w:val="00B56C42"/>
    <w:rsid w:val="00B57000"/>
    <w:rsid w:val="00B60764"/>
    <w:rsid w:val="00B60939"/>
    <w:rsid w:val="00B60AFD"/>
    <w:rsid w:val="00B613DA"/>
    <w:rsid w:val="00B62155"/>
    <w:rsid w:val="00B62715"/>
    <w:rsid w:val="00B63A0E"/>
    <w:rsid w:val="00B64462"/>
    <w:rsid w:val="00B64A4B"/>
    <w:rsid w:val="00B714D5"/>
    <w:rsid w:val="00B71E72"/>
    <w:rsid w:val="00B72B3E"/>
    <w:rsid w:val="00B72C5D"/>
    <w:rsid w:val="00B734EA"/>
    <w:rsid w:val="00B7408D"/>
    <w:rsid w:val="00B74DF7"/>
    <w:rsid w:val="00B7657C"/>
    <w:rsid w:val="00B77829"/>
    <w:rsid w:val="00B818A4"/>
    <w:rsid w:val="00B84117"/>
    <w:rsid w:val="00B856B7"/>
    <w:rsid w:val="00B85AA2"/>
    <w:rsid w:val="00B8649C"/>
    <w:rsid w:val="00B86DB7"/>
    <w:rsid w:val="00B87A9E"/>
    <w:rsid w:val="00B87F0A"/>
    <w:rsid w:val="00B90E5B"/>
    <w:rsid w:val="00B92D0B"/>
    <w:rsid w:val="00B93333"/>
    <w:rsid w:val="00B93CB0"/>
    <w:rsid w:val="00B93D88"/>
    <w:rsid w:val="00B9452C"/>
    <w:rsid w:val="00B94945"/>
    <w:rsid w:val="00B95CA6"/>
    <w:rsid w:val="00B9785A"/>
    <w:rsid w:val="00BA0654"/>
    <w:rsid w:val="00BA122B"/>
    <w:rsid w:val="00BA1745"/>
    <w:rsid w:val="00BA322D"/>
    <w:rsid w:val="00BB0BDD"/>
    <w:rsid w:val="00BB0DFC"/>
    <w:rsid w:val="00BB0E53"/>
    <w:rsid w:val="00BB1A8C"/>
    <w:rsid w:val="00BB2A73"/>
    <w:rsid w:val="00BB2C11"/>
    <w:rsid w:val="00BB487B"/>
    <w:rsid w:val="00BB4ACC"/>
    <w:rsid w:val="00BB703E"/>
    <w:rsid w:val="00BB7405"/>
    <w:rsid w:val="00BB7971"/>
    <w:rsid w:val="00BC2A33"/>
    <w:rsid w:val="00BC2C9E"/>
    <w:rsid w:val="00BC3631"/>
    <w:rsid w:val="00BD0CD1"/>
    <w:rsid w:val="00BD1136"/>
    <w:rsid w:val="00BD1CF6"/>
    <w:rsid w:val="00BD1F44"/>
    <w:rsid w:val="00BD25BB"/>
    <w:rsid w:val="00BD4AB5"/>
    <w:rsid w:val="00BD4C45"/>
    <w:rsid w:val="00BD4CAB"/>
    <w:rsid w:val="00BD4EC8"/>
    <w:rsid w:val="00BD5002"/>
    <w:rsid w:val="00BD523A"/>
    <w:rsid w:val="00BD5D5A"/>
    <w:rsid w:val="00BD64F6"/>
    <w:rsid w:val="00BD661A"/>
    <w:rsid w:val="00BD68A3"/>
    <w:rsid w:val="00BD6938"/>
    <w:rsid w:val="00BD6CF3"/>
    <w:rsid w:val="00BD7A5D"/>
    <w:rsid w:val="00BE085B"/>
    <w:rsid w:val="00BE2180"/>
    <w:rsid w:val="00BE21F2"/>
    <w:rsid w:val="00BE22B4"/>
    <w:rsid w:val="00BE26B5"/>
    <w:rsid w:val="00BE3423"/>
    <w:rsid w:val="00BE3424"/>
    <w:rsid w:val="00BE3884"/>
    <w:rsid w:val="00BE4275"/>
    <w:rsid w:val="00BE4C4C"/>
    <w:rsid w:val="00BE5BDC"/>
    <w:rsid w:val="00BF0A46"/>
    <w:rsid w:val="00BF0F95"/>
    <w:rsid w:val="00BF164D"/>
    <w:rsid w:val="00BF2433"/>
    <w:rsid w:val="00BF2DCE"/>
    <w:rsid w:val="00BF43F0"/>
    <w:rsid w:val="00BF61C9"/>
    <w:rsid w:val="00BF6C94"/>
    <w:rsid w:val="00BF7601"/>
    <w:rsid w:val="00C002C7"/>
    <w:rsid w:val="00C00424"/>
    <w:rsid w:val="00C02C83"/>
    <w:rsid w:val="00C034D8"/>
    <w:rsid w:val="00C057A8"/>
    <w:rsid w:val="00C0629F"/>
    <w:rsid w:val="00C10C59"/>
    <w:rsid w:val="00C11489"/>
    <w:rsid w:val="00C1165D"/>
    <w:rsid w:val="00C12C14"/>
    <w:rsid w:val="00C12ED8"/>
    <w:rsid w:val="00C130B3"/>
    <w:rsid w:val="00C14BC6"/>
    <w:rsid w:val="00C1512A"/>
    <w:rsid w:val="00C16A8B"/>
    <w:rsid w:val="00C179EA"/>
    <w:rsid w:val="00C200AA"/>
    <w:rsid w:val="00C237ED"/>
    <w:rsid w:val="00C243BF"/>
    <w:rsid w:val="00C24632"/>
    <w:rsid w:val="00C2484F"/>
    <w:rsid w:val="00C25418"/>
    <w:rsid w:val="00C25D64"/>
    <w:rsid w:val="00C25D9C"/>
    <w:rsid w:val="00C2778B"/>
    <w:rsid w:val="00C2786E"/>
    <w:rsid w:val="00C31649"/>
    <w:rsid w:val="00C31783"/>
    <w:rsid w:val="00C3216D"/>
    <w:rsid w:val="00C33C63"/>
    <w:rsid w:val="00C33D56"/>
    <w:rsid w:val="00C354EF"/>
    <w:rsid w:val="00C35FAB"/>
    <w:rsid w:val="00C36BBC"/>
    <w:rsid w:val="00C36D39"/>
    <w:rsid w:val="00C36E25"/>
    <w:rsid w:val="00C40245"/>
    <w:rsid w:val="00C40385"/>
    <w:rsid w:val="00C4051D"/>
    <w:rsid w:val="00C408E4"/>
    <w:rsid w:val="00C43927"/>
    <w:rsid w:val="00C442E9"/>
    <w:rsid w:val="00C475AA"/>
    <w:rsid w:val="00C53C56"/>
    <w:rsid w:val="00C5491E"/>
    <w:rsid w:val="00C54B69"/>
    <w:rsid w:val="00C55F89"/>
    <w:rsid w:val="00C560D0"/>
    <w:rsid w:val="00C5633D"/>
    <w:rsid w:val="00C569ED"/>
    <w:rsid w:val="00C56F5D"/>
    <w:rsid w:val="00C60452"/>
    <w:rsid w:val="00C64840"/>
    <w:rsid w:val="00C65576"/>
    <w:rsid w:val="00C66165"/>
    <w:rsid w:val="00C66C35"/>
    <w:rsid w:val="00C7151A"/>
    <w:rsid w:val="00C71F60"/>
    <w:rsid w:val="00C72241"/>
    <w:rsid w:val="00C739AE"/>
    <w:rsid w:val="00C743FC"/>
    <w:rsid w:val="00C750C8"/>
    <w:rsid w:val="00C7560F"/>
    <w:rsid w:val="00C7754B"/>
    <w:rsid w:val="00C77D0B"/>
    <w:rsid w:val="00C804C6"/>
    <w:rsid w:val="00C80A0E"/>
    <w:rsid w:val="00C8213F"/>
    <w:rsid w:val="00C82B24"/>
    <w:rsid w:val="00C83DA1"/>
    <w:rsid w:val="00C85023"/>
    <w:rsid w:val="00C85599"/>
    <w:rsid w:val="00C859EA"/>
    <w:rsid w:val="00C86394"/>
    <w:rsid w:val="00C866D2"/>
    <w:rsid w:val="00C8797A"/>
    <w:rsid w:val="00C900B8"/>
    <w:rsid w:val="00C90B75"/>
    <w:rsid w:val="00C90C71"/>
    <w:rsid w:val="00C918D9"/>
    <w:rsid w:val="00C931CF"/>
    <w:rsid w:val="00C933F5"/>
    <w:rsid w:val="00C938CF"/>
    <w:rsid w:val="00C940EB"/>
    <w:rsid w:val="00C95076"/>
    <w:rsid w:val="00C9624D"/>
    <w:rsid w:val="00C969DA"/>
    <w:rsid w:val="00CA160C"/>
    <w:rsid w:val="00CA2C77"/>
    <w:rsid w:val="00CA444F"/>
    <w:rsid w:val="00CA4753"/>
    <w:rsid w:val="00CA520D"/>
    <w:rsid w:val="00CA5245"/>
    <w:rsid w:val="00CA71F4"/>
    <w:rsid w:val="00CA7B09"/>
    <w:rsid w:val="00CB0A02"/>
    <w:rsid w:val="00CB1120"/>
    <w:rsid w:val="00CB2232"/>
    <w:rsid w:val="00CB2F2A"/>
    <w:rsid w:val="00CB39DE"/>
    <w:rsid w:val="00CB5B1A"/>
    <w:rsid w:val="00CB613D"/>
    <w:rsid w:val="00CB6B22"/>
    <w:rsid w:val="00CB7F5F"/>
    <w:rsid w:val="00CC0B68"/>
    <w:rsid w:val="00CC1126"/>
    <w:rsid w:val="00CC16BE"/>
    <w:rsid w:val="00CC1B39"/>
    <w:rsid w:val="00CC2366"/>
    <w:rsid w:val="00CC31E5"/>
    <w:rsid w:val="00CC558F"/>
    <w:rsid w:val="00CC78EA"/>
    <w:rsid w:val="00CC7A7A"/>
    <w:rsid w:val="00CC7C47"/>
    <w:rsid w:val="00CD0AFE"/>
    <w:rsid w:val="00CD2842"/>
    <w:rsid w:val="00CD2C49"/>
    <w:rsid w:val="00CD33C4"/>
    <w:rsid w:val="00CD3D98"/>
    <w:rsid w:val="00CD4075"/>
    <w:rsid w:val="00CD49B8"/>
    <w:rsid w:val="00CD56D2"/>
    <w:rsid w:val="00CD5E10"/>
    <w:rsid w:val="00CD6ADC"/>
    <w:rsid w:val="00CE0830"/>
    <w:rsid w:val="00CE11AE"/>
    <w:rsid w:val="00CE426A"/>
    <w:rsid w:val="00CE4712"/>
    <w:rsid w:val="00CE4D70"/>
    <w:rsid w:val="00CE53FD"/>
    <w:rsid w:val="00CE6274"/>
    <w:rsid w:val="00CE658D"/>
    <w:rsid w:val="00CF12FF"/>
    <w:rsid w:val="00CF174F"/>
    <w:rsid w:val="00CF1C9E"/>
    <w:rsid w:val="00CF2B8D"/>
    <w:rsid w:val="00CF36F7"/>
    <w:rsid w:val="00CF456B"/>
    <w:rsid w:val="00CF5020"/>
    <w:rsid w:val="00CF5972"/>
    <w:rsid w:val="00CF5A22"/>
    <w:rsid w:val="00CF618E"/>
    <w:rsid w:val="00CF6B70"/>
    <w:rsid w:val="00CF72ED"/>
    <w:rsid w:val="00D016D9"/>
    <w:rsid w:val="00D0262E"/>
    <w:rsid w:val="00D03F6F"/>
    <w:rsid w:val="00D06024"/>
    <w:rsid w:val="00D06F2F"/>
    <w:rsid w:val="00D07787"/>
    <w:rsid w:val="00D110BD"/>
    <w:rsid w:val="00D119CA"/>
    <w:rsid w:val="00D11DDF"/>
    <w:rsid w:val="00D13675"/>
    <w:rsid w:val="00D141E1"/>
    <w:rsid w:val="00D17D6C"/>
    <w:rsid w:val="00D20021"/>
    <w:rsid w:val="00D203A8"/>
    <w:rsid w:val="00D20BC0"/>
    <w:rsid w:val="00D218E8"/>
    <w:rsid w:val="00D2228D"/>
    <w:rsid w:val="00D230DD"/>
    <w:rsid w:val="00D2357A"/>
    <w:rsid w:val="00D24BC0"/>
    <w:rsid w:val="00D2754D"/>
    <w:rsid w:val="00D27935"/>
    <w:rsid w:val="00D27B27"/>
    <w:rsid w:val="00D27E1E"/>
    <w:rsid w:val="00D30548"/>
    <w:rsid w:val="00D32E80"/>
    <w:rsid w:val="00D3329B"/>
    <w:rsid w:val="00D33BE9"/>
    <w:rsid w:val="00D33D12"/>
    <w:rsid w:val="00D34DE8"/>
    <w:rsid w:val="00D357FF"/>
    <w:rsid w:val="00D36707"/>
    <w:rsid w:val="00D36B26"/>
    <w:rsid w:val="00D36DE1"/>
    <w:rsid w:val="00D402A6"/>
    <w:rsid w:val="00D40991"/>
    <w:rsid w:val="00D41B92"/>
    <w:rsid w:val="00D422EE"/>
    <w:rsid w:val="00D424C7"/>
    <w:rsid w:val="00D428B5"/>
    <w:rsid w:val="00D43B2A"/>
    <w:rsid w:val="00D46D61"/>
    <w:rsid w:val="00D47575"/>
    <w:rsid w:val="00D52F45"/>
    <w:rsid w:val="00D53648"/>
    <w:rsid w:val="00D56C3F"/>
    <w:rsid w:val="00D572DB"/>
    <w:rsid w:val="00D60319"/>
    <w:rsid w:val="00D61CAF"/>
    <w:rsid w:val="00D61D41"/>
    <w:rsid w:val="00D6530E"/>
    <w:rsid w:val="00D6539C"/>
    <w:rsid w:val="00D70F16"/>
    <w:rsid w:val="00D71FE6"/>
    <w:rsid w:val="00D72C16"/>
    <w:rsid w:val="00D7326D"/>
    <w:rsid w:val="00D73EB2"/>
    <w:rsid w:val="00D7451B"/>
    <w:rsid w:val="00D74C2A"/>
    <w:rsid w:val="00D764E4"/>
    <w:rsid w:val="00D76A44"/>
    <w:rsid w:val="00D77398"/>
    <w:rsid w:val="00D802E7"/>
    <w:rsid w:val="00D815EF"/>
    <w:rsid w:val="00D81A9F"/>
    <w:rsid w:val="00D84F05"/>
    <w:rsid w:val="00D850AF"/>
    <w:rsid w:val="00D87EC3"/>
    <w:rsid w:val="00D90F54"/>
    <w:rsid w:val="00D91923"/>
    <w:rsid w:val="00D93753"/>
    <w:rsid w:val="00D9376B"/>
    <w:rsid w:val="00D94D77"/>
    <w:rsid w:val="00D96C5B"/>
    <w:rsid w:val="00D970AD"/>
    <w:rsid w:val="00D97550"/>
    <w:rsid w:val="00DA06BB"/>
    <w:rsid w:val="00DA070C"/>
    <w:rsid w:val="00DA27EF"/>
    <w:rsid w:val="00DA3167"/>
    <w:rsid w:val="00DA36DC"/>
    <w:rsid w:val="00DA4DC3"/>
    <w:rsid w:val="00DA4F26"/>
    <w:rsid w:val="00DA6785"/>
    <w:rsid w:val="00DA6B3E"/>
    <w:rsid w:val="00DA77A5"/>
    <w:rsid w:val="00DB1B08"/>
    <w:rsid w:val="00DB3252"/>
    <w:rsid w:val="00DB3663"/>
    <w:rsid w:val="00DB484F"/>
    <w:rsid w:val="00DB4F02"/>
    <w:rsid w:val="00DB4F1D"/>
    <w:rsid w:val="00DB6999"/>
    <w:rsid w:val="00DC04F6"/>
    <w:rsid w:val="00DC363F"/>
    <w:rsid w:val="00DC3C57"/>
    <w:rsid w:val="00DC3CAA"/>
    <w:rsid w:val="00DC3F3D"/>
    <w:rsid w:val="00DC4183"/>
    <w:rsid w:val="00DC5501"/>
    <w:rsid w:val="00DD273C"/>
    <w:rsid w:val="00DD35C7"/>
    <w:rsid w:val="00DD3F28"/>
    <w:rsid w:val="00DD430E"/>
    <w:rsid w:val="00DD4537"/>
    <w:rsid w:val="00DD4E15"/>
    <w:rsid w:val="00DE169D"/>
    <w:rsid w:val="00DE3138"/>
    <w:rsid w:val="00DE3472"/>
    <w:rsid w:val="00DE37F8"/>
    <w:rsid w:val="00DE41D7"/>
    <w:rsid w:val="00DE464A"/>
    <w:rsid w:val="00DE4FCB"/>
    <w:rsid w:val="00DE5471"/>
    <w:rsid w:val="00DE5A9E"/>
    <w:rsid w:val="00DE7832"/>
    <w:rsid w:val="00DF13D1"/>
    <w:rsid w:val="00DF18FC"/>
    <w:rsid w:val="00DF299C"/>
    <w:rsid w:val="00DF2E1B"/>
    <w:rsid w:val="00DF394F"/>
    <w:rsid w:val="00DF46FE"/>
    <w:rsid w:val="00DF5D2B"/>
    <w:rsid w:val="00DF76AB"/>
    <w:rsid w:val="00E00E8E"/>
    <w:rsid w:val="00E031F6"/>
    <w:rsid w:val="00E05008"/>
    <w:rsid w:val="00E05630"/>
    <w:rsid w:val="00E0599A"/>
    <w:rsid w:val="00E05E56"/>
    <w:rsid w:val="00E06DBB"/>
    <w:rsid w:val="00E10149"/>
    <w:rsid w:val="00E104EF"/>
    <w:rsid w:val="00E16372"/>
    <w:rsid w:val="00E16A67"/>
    <w:rsid w:val="00E17EAA"/>
    <w:rsid w:val="00E2012A"/>
    <w:rsid w:val="00E20E4D"/>
    <w:rsid w:val="00E20ED6"/>
    <w:rsid w:val="00E21062"/>
    <w:rsid w:val="00E21358"/>
    <w:rsid w:val="00E21C71"/>
    <w:rsid w:val="00E2249B"/>
    <w:rsid w:val="00E22A0D"/>
    <w:rsid w:val="00E2387A"/>
    <w:rsid w:val="00E241E3"/>
    <w:rsid w:val="00E24BF2"/>
    <w:rsid w:val="00E26198"/>
    <w:rsid w:val="00E2695C"/>
    <w:rsid w:val="00E269DE"/>
    <w:rsid w:val="00E26B55"/>
    <w:rsid w:val="00E2771E"/>
    <w:rsid w:val="00E302B9"/>
    <w:rsid w:val="00E3225C"/>
    <w:rsid w:val="00E33190"/>
    <w:rsid w:val="00E33ADA"/>
    <w:rsid w:val="00E34948"/>
    <w:rsid w:val="00E349DA"/>
    <w:rsid w:val="00E36195"/>
    <w:rsid w:val="00E37157"/>
    <w:rsid w:val="00E37569"/>
    <w:rsid w:val="00E410FE"/>
    <w:rsid w:val="00E41E30"/>
    <w:rsid w:val="00E43562"/>
    <w:rsid w:val="00E43CE0"/>
    <w:rsid w:val="00E43D70"/>
    <w:rsid w:val="00E45B72"/>
    <w:rsid w:val="00E466F3"/>
    <w:rsid w:val="00E47B2C"/>
    <w:rsid w:val="00E505A4"/>
    <w:rsid w:val="00E51560"/>
    <w:rsid w:val="00E525A8"/>
    <w:rsid w:val="00E53E70"/>
    <w:rsid w:val="00E54276"/>
    <w:rsid w:val="00E54347"/>
    <w:rsid w:val="00E551EB"/>
    <w:rsid w:val="00E55424"/>
    <w:rsid w:val="00E55BB5"/>
    <w:rsid w:val="00E56158"/>
    <w:rsid w:val="00E62B1E"/>
    <w:rsid w:val="00E65E79"/>
    <w:rsid w:val="00E65F48"/>
    <w:rsid w:val="00E66BA2"/>
    <w:rsid w:val="00E6705D"/>
    <w:rsid w:val="00E67416"/>
    <w:rsid w:val="00E718B6"/>
    <w:rsid w:val="00E723BA"/>
    <w:rsid w:val="00E72A88"/>
    <w:rsid w:val="00E73581"/>
    <w:rsid w:val="00E74474"/>
    <w:rsid w:val="00E76964"/>
    <w:rsid w:val="00E77162"/>
    <w:rsid w:val="00E8099A"/>
    <w:rsid w:val="00E81E34"/>
    <w:rsid w:val="00E833F7"/>
    <w:rsid w:val="00E8370C"/>
    <w:rsid w:val="00E83BDF"/>
    <w:rsid w:val="00E84ABF"/>
    <w:rsid w:val="00E87955"/>
    <w:rsid w:val="00E87A1D"/>
    <w:rsid w:val="00E914A4"/>
    <w:rsid w:val="00E91BE9"/>
    <w:rsid w:val="00E91DDB"/>
    <w:rsid w:val="00E9219E"/>
    <w:rsid w:val="00E926A5"/>
    <w:rsid w:val="00E93082"/>
    <w:rsid w:val="00E9501A"/>
    <w:rsid w:val="00E96513"/>
    <w:rsid w:val="00EA0FD1"/>
    <w:rsid w:val="00EA15EF"/>
    <w:rsid w:val="00EA17C3"/>
    <w:rsid w:val="00EA2CAA"/>
    <w:rsid w:val="00EA3864"/>
    <w:rsid w:val="00EA6385"/>
    <w:rsid w:val="00EA6707"/>
    <w:rsid w:val="00EB1552"/>
    <w:rsid w:val="00EB15B6"/>
    <w:rsid w:val="00EB27CD"/>
    <w:rsid w:val="00EB374D"/>
    <w:rsid w:val="00EB4745"/>
    <w:rsid w:val="00EB4916"/>
    <w:rsid w:val="00EB50BC"/>
    <w:rsid w:val="00EC00C9"/>
    <w:rsid w:val="00EC2649"/>
    <w:rsid w:val="00EC30FA"/>
    <w:rsid w:val="00EC5A55"/>
    <w:rsid w:val="00EC692D"/>
    <w:rsid w:val="00EC7F58"/>
    <w:rsid w:val="00ED3FFE"/>
    <w:rsid w:val="00ED5532"/>
    <w:rsid w:val="00ED57EA"/>
    <w:rsid w:val="00EE07D3"/>
    <w:rsid w:val="00EE22AF"/>
    <w:rsid w:val="00EE3C7E"/>
    <w:rsid w:val="00EF0171"/>
    <w:rsid w:val="00EF159C"/>
    <w:rsid w:val="00EF1B25"/>
    <w:rsid w:val="00EF2399"/>
    <w:rsid w:val="00EF2880"/>
    <w:rsid w:val="00EF3A4A"/>
    <w:rsid w:val="00EF4747"/>
    <w:rsid w:val="00EF4B58"/>
    <w:rsid w:val="00EF4BF8"/>
    <w:rsid w:val="00EF59F4"/>
    <w:rsid w:val="00EF6848"/>
    <w:rsid w:val="00EF796E"/>
    <w:rsid w:val="00F02253"/>
    <w:rsid w:val="00F02B74"/>
    <w:rsid w:val="00F03C2E"/>
    <w:rsid w:val="00F04A66"/>
    <w:rsid w:val="00F0516C"/>
    <w:rsid w:val="00F05896"/>
    <w:rsid w:val="00F067A2"/>
    <w:rsid w:val="00F10A8D"/>
    <w:rsid w:val="00F125D2"/>
    <w:rsid w:val="00F1263A"/>
    <w:rsid w:val="00F156F0"/>
    <w:rsid w:val="00F167B3"/>
    <w:rsid w:val="00F16E4A"/>
    <w:rsid w:val="00F1729E"/>
    <w:rsid w:val="00F210F8"/>
    <w:rsid w:val="00F21792"/>
    <w:rsid w:val="00F24837"/>
    <w:rsid w:val="00F2575F"/>
    <w:rsid w:val="00F265A5"/>
    <w:rsid w:val="00F26BD5"/>
    <w:rsid w:val="00F26F00"/>
    <w:rsid w:val="00F273F5"/>
    <w:rsid w:val="00F27565"/>
    <w:rsid w:val="00F310D4"/>
    <w:rsid w:val="00F31D5A"/>
    <w:rsid w:val="00F32562"/>
    <w:rsid w:val="00F33B54"/>
    <w:rsid w:val="00F33DE9"/>
    <w:rsid w:val="00F34D23"/>
    <w:rsid w:val="00F3619A"/>
    <w:rsid w:val="00F366B7"/>
    <w:rsid w:val="00F36774"/>
    <w:rsid w:val="00F36C38"/>
    <w:rsid w:val="00F40AAA"/>
    <w:rsid w:val="00F40BA7"/>
    <w:rsid w:val="00F43C47"/>
    <w:rsid w:val="00F4437E"/>
    <w:rsid w:val="00F453AD"/>
    <w:rsid w:val="00F45F89"/>
    <w:rsid w:val="00F46CB6"/>
    <w:rsid w:val="00F47DE8"/>
    <w:rsid w:val="00F503E9"/>
    <w:rsid w:val="00F53B5A"/>
    <w:rsid w:val="00F542C1"/>
    <w:rsid w:val="00F55E73"/>
    <w:rsid w:val="00F55EDA"/>
    <w:rsid w:val="00F55FB6"/>
    <w:rsid w:val="00F60092"/>
    <w:rsid w:val="00F61D2A"/>
    <w:rsid w:val="00F62F69"/>
    <w:rsid w:val="00F631E2"/>
    <w:rsid w:val="00F6393E"/>
    <w:rsid w:val="00F64255"/>
    <w:rsid w:val="00F644CE"/>
    <w:rsid w:val="00F64689"/>
    <w:rsid w:val="00F64B59"/>
    <w:rsid w:val="00F64DA9"/>
    <w:rsid w:val="00F65F4B"/>
    <w:rsid w:val="00F67651"/>
    <w:rsid w:val="00F67BCF"/>
    <w:rsid w:val="00F70C9D"/>
    <w:rsid w:val="00F737B1"/>
    <w:rsid w:val="00F7391A"/>
    <w:rsid w:val="00F739EA"/>
    <w:rsid w:val="00F74CD9"/>
    <w:rsid w:val="00F77789"/>
    <w:rsid w:val="00F80A7B"/>
    <w:rsid w:val="00F80E5D"/>
    <w:rsid w:val="00F8169A"/>
    <w:rsid w:val="00F84810"/>
    <w:rsid w:val="00F84BF7"/>
    <w:rsid w:val="00F84FA3"/>
    <w:rsid w:val="00F851CE"/>
    <w:rsid w:val="00F85996"/>
    <w:rsid w:val="00F85FFB"/>
    <w:rsid w:val="00F87847"/>
    <w:rsid w:val="00F90D2B"/>
    <w:rsid w:val="00F911B9"/>
    <w:rsid w:val="00F91219"/>
    <w:rsid w:val="00F91C03"/>
    <w:rsid w:val="00F936E6"/>
    <w:rsid w:val="00F94FA1"/>
    <w:rsid w:val="00F97213"/>
    <w:rsid w:val="00F97A78"/>
    <w:rsid w:val="00F97BE7"/>
    <w:rsid w:val="00FA0B20"/>
    <w:rsid w:val="00FA24E7"/>
    <w:rsid w:val="00FA295C"/>
    <w:rsid w:val="00FB2FCB"/>
    <w:rsid w:val="00FB7543"/>
    <w:rsid w:val="00FB7F91"/>
    <w:rsid w:val="00FC020D"/>
    <w:rsid w:val="00FC04DA"/>
    <w:rsid w:val="00FC0A63"/>
    <w:rsid w:val="00FC1074"/>
    <w:rsid w:val="00FC16D8"/>
    <w:rsid w:val="00FC17B6"/>
    <w:rsid w:val="00FC1884"/>
    <w:rsid w:val="00FC32CD"/>
    <w:rsid w:val="00FC371D"/>
    <w:rsid w:val="00FC59FD"/>
    <w:rsid w:val="00FC5F0B"/>
    <w:rsid w:val="00FD1E7F"/>
    <w:rsid w:val="00FD2100"/>
    <w:rsid w:val="00FD280E"/>
    <w:rsid w:val="00FD329E"/>
    <w:rsid w:val="00FD436C"/>
    <w:rsid w:val="00FD446D"/>
    <w:rsid w:val="00FD4B2A"/>
    <w:rsid w:val="00FD4B75"/>
    <w:rsid w:val="00FD5636"/>
    <w:rsid w:val="00FD6394"/>
    <w:rsid w:val="00FD705E"/>
    <w:rsid w:val="00FE0E6C"/>
    <w:rsid w:val="00FE5EEF"/>
    <w:rsid w:val="00FE648B"/>
    <w:rsid w:val="00FE6AD3"/>
    <w:rsid w:val="00FE70C3"/>
    <w:rsid w:val="00FE79FB"/>
    <w:rsid w:val="00FF04B8"/>
    <w:rsid w:val="00FF3DCF"/>
    <w:rsid w:val="00FF4879"/>
    <w:rsid w:val="00FF492C"/>
    <w:rsid w:val="00FF4A21"/>
    <w:rsid w:val="00FF567A"/>
    <w:rsid w:val="00FF5AA3"/>
    <w:rsid w:val="00FF5AD8"/>
    <w:rsid w:val="00FF7349"/>
    <w:rsid w:val="00FF7B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2F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7D"/>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9"/>
    <w:qFormat/>
    <w:rsid w:val="00B46946"/>
    <w:pPr>
      <w:keepNext/>
      <w:widowControl/>
      <w:numPr>
        <w:numId w:val="3"/>
      </w:numPr>
      <w:spacing w:before="240" w:after="120"/>
      <w:jc w:val="left"/>
      <w:outlineLvl w:val="0"/>
    </w:pPr>
    <w:rPr>
      <w:rFonts w:asciiTheme="minorHAnsi" w:hAnsiTheme="minorHAnsi"/>
      <w:b/>
      <w:bCs/>
      <w:sz w:val="32"/>
      <w:szCs w:val="24"/>
    </w:rPr>
  </w:style>
  <w:style w:type="paragraph" w:styleId="Heading2">
    <w:name w:val="heading 2"/>
    <w:basedOn w:val="Normal"/>
    <w:next w:val="Normal"/>
    <w:link w:val="Heading2Char"/>
    <w:qFormat/>
    <w:rsid w:val="00427831"/>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7831"/>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Section heading,BulletPoints,List Paragraph1,Bullet point,List Paragraph11,Recommendation,Footnote"/>
    <w:basedOn w:val="Normal"/>
    <w:link w:val="ListParagraphChar"/>
    <w:uiPriority w:val="34"/>
    <w:qFormat/>
    <w:rsid w:val="00591957"/>
    <w:pPr>
      <w:spacing w:after="160"/>
      <w:ind w:left="720"/>
    </w:pPr>
  </w:style>
  <w:style w:type="character" w:customStyle="1" w:styleId="ListParagraphChar">
    <w:name w:val="List Paragraph Char"/>
    <w:aliases w:val="Numbered para Char,Section heading Char,BulletPoints Char,List Paragraph1 Char,Bullet point Char,List Paragraph11 Char,Recommendation Char,Footnote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val="0"/>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next w:val="BodyText"/>
    <w:qFormat/>
    <w:rsid w:val="000C0060"/>
    <w:pPr>
      <w:keepNext/>
      <w:spacing w:before="240" w:after="120"/>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9907AD"/>
    <w:pPr>
      <w:keepNext/>
      <w:widowControl/>
      <w:spacing w:before="40" w:after="40"/>
      <w:jc w:val="left"/>
    </w:pPr>
    <w:rPr>
      <w:rFonts w:ascii="Arial Narrow" w:eastAsiaTheme="minorHAnsi" w:hAnsi="Arial Narrow" w:cstheme="minorBidi"/>
      <w:snapToGrid/>
      <w:sz w:val="20"/>
    </w:rPr>
  </w:style>
  <w:style w:type="character" w:customStyle="1" w:styleId="UnresolvedMention1">
    <w:name w:val="Unresolved Mention1"/>
    <w:basedOn w:val="DefaultParagraphFont"/>
    <w:uiPriority w:val="99"/>
    <w:semiHidden/>
    <w:unhideWhenUsed/>
    <w:rsid w:val="008B40FB"/>
    <w:rPr>
      <w:color w:val="605E5C"/>
      <w:shd w:val="clear" w:color="auto" w:fill="E1DFDD"/>
    </w:rPr>
  </w:style>
  <w:style w:type="character" w:customStyle="1" w:styleId="UnresolvedMention2">
    <w:name w:val="Unresolved Mention2"/>
    <w:basedOn w:val="DefaultParagraphFont"/>
    <w:uiPriority w:val="99"/>
    <w:semiHidden/>
    <w:unhideWhenUsed/>
    <w:rsid w:val="008C74D4"/>
    <w:rPr>
      <w:color w:val="605E5C"/>
      <w:shd w:val="clear" w:color="auto" w:fill="E1DFDD"/>
    </w:rPr>
  </w:style>
  <w:style w:type="table" w:customStyle="1" w:styleId="TableGrid1">
    <w:name w:val="Table Grid1"/>
    <w:basedOn w:val="TableNormal"/>
    <w:next w:val="TableGrid"/>
    <w:uiPriority w:val="59"/>
    <w:rsid w:val="001544C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basedOn w:val="Normal"/>
    <w:link w:val="TableLeftChar"/>
    <w:uiPriority w:val="99"/>
    <w:qFormat/>
    <w:rsid w:val="00382A3F"/>
    <w:pPr>
      <w:widowControl/>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382A3F"/>
    <w:rPr>
      <w:rFonts w:ascii="Calibri" w:eastAsiaTheme="majorEastAsia" w:hAnsi="Calibri" w:cstheme="majorBidi"/>
      <w:sz w:val="18"/>
      <w:szCs w:val="22"/>
      <w:lang w:eastAsia="en-US" w:bidi="en-US"/>
    </w:rPr>
  </w:style>
  <w:style w:type="table" w:customStyle="1" w:styleId="TableGridbeth1">
    <w:name w:val="Table Gridbeth1"/>
    <w:basedOn w:val="TableNormal"/>
    <w:uiPriority w:val="59"/>
    <w:rsid w:val="00F43C47"/>
    <w:pPr>
      <w:spacing w:after="240"/>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013EF"/>
    <w:rPr>
      <w:sz w:val="20"/>
      <w:szCs w:val="20"/>
    </w:rPr>
  </w:style>
  <w:style w:type="character" w:customStyle="1" w:styleId="FootnoteTextChar">
    <w:name w:val="Footnote Text Char"/>
    <w:basedOn w:val="DefaultParagraphFont"/>
    <w:link w:val="FootnoteText"/>
    <w:semiHidden/>
    <w:rsid w:val="003013EF"/>
    <w:rPr>
      <w:rFonts w:ascii="Calibri" w:hAnsi="Calibri" w:cs="Arial"/>
      <w:snapToGrid w:val="0"/>
      <w:lang w:eastAsia="en-US"/>
    </w:rPr>
  </w:style>
  <w:style w:type="character" w:styleId="FootnoteReference">
    <w:name w:val="footnote reference"/>
    <w:basedOn w:val="DefaultParagraphFont"/>
    <w:semiHidden/>
    <w:unhideWhenUsed/>
    <w:rsid w:val="003013EF"/>
    <w:rPr>
      <w:vertAlign w:val="superscript"/>
    </w:rPr>
  </w:style>
  <w:style w:type="character" w:styleId="PlaceholderText">
    <w:name w:val="Placeholder Text"/>
    <w:basedOn w:val="DefaultParagraphFont"/>
    <w:uiPriority w:val="99"/>
    <w:semiHidden/>
    <w:rsid w:val="003013EF"/>
    <w:rPr>
      <w:color w:val="808080"/>
    </w:rPr>
  </w:style>
  <w:style w:type="paragraph" w:customStyle="1" w:styleId="Default">
    <w:name w:val="Default"/>
    <w:rsid w:val="00C12ED8"/>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B46946"/>
    <w:rPr>
      <w:rFonts w:asciiTheme="minorHAnsi" w:hAnsiTheme="minorHAnsi" w:cs="Arial"/>
      <w:b/>
      <w:bCs/>
      <w:snapToGrid w:val="0"/>
      <w:sz w:val="32"/>
      <w:szCs w:val="24"/>
      <w:lang w:eastAsia="en-US"/>
    </w:rPr>
  </w:style>
  <w:style w:type="paragraph" w:customStyle="1" w:styleId="numberedbulletstyle">
    <w:name w:val="numbered bullet style"/>
    <w:basedOn w:val="ListParagraph"/>
    <w:link w:val="numberedbulletstyleChar"/>
    <w:qFormat/>
    <w:rsid w:val="003104E1"/>
    <w:pPr>
      <w:widowControl/>
      <w:numPr>
        <w:ilvl w:val="1"/>
        <w:numId w:val="3"/>
      </w:numPr>
    </w:pPr>
  </w:style>
  <w:style w:type="character" w:customStyle="1" w:styleId="numberedbulletstyleChar">
    <w:name w:val="numbered bullet style Char"/>
    <w:basedOn w:val="ListParagraphChar"/>
    <w:link w:val="numberedbulletstyle"/>
    <w:rsid w:val="003104E1"/>
    <w:rPr>
      <w:rFonts w:ascii="Calibri" w:hAnsi="Calibri" w:cs="Arial"/>
      <w:snapToGrid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394">
      <w:bodyDiv w:val="1"/>
      <w:marLeft w:val="0"/>
      <w:marRight w:val="0"/>
      <w:marTop w:val="0"/>
      <w:marBottom w:val="0"/>
      <w:divBdr>
        <w:top w:val="none" w:sz="0" w:space="0" w:color="auto"/>
        <w:left w:val="none" w:sz="0" w:space="0" w:color="auto"/>
        <w:bottom w:val="none" w:sz="0" w:space="0" w:color="auto"/>
        <w:right w:val="none" w:sz="0" w:space="0" w:color="auto"/>
      </w:divBdr>
    </w:div>
    <w:div w:id="360056377">
      <w:bodyDiv w:val="1"/>
      <w:marLeft w:val="0"/>
      <w:marRight w:val="0"/>
      <w:marTop w:val="0"/>
      <w:marBottom w:val="0"/>
      <w:divBdr>
        <w:top w:val="none" w:sz="0" w:space="0" w:color="auto"/>
        <w:left w:val="none" w:sz="0" w:space="0" w:color="auto"/>
        <w:bottom w:val="none" w:sz="0" w:space="0" w:color="auto"/>
        <w:right w:val="none" w:sz="0" w:space="0" w:color="auto"/>
      </w:divBdr>
    </w:div>
    <w:div w:id="469245565">
      <w:bodyDiv w:val="1"/>
      <w:marLeft w:val="0"/>
      <w:marRight w:val="0"/>
      <w:marTop w:val="0"/>
      <w:marBottom w:val="0"/>
      <w:divBdr>
        <w:top w:val="none" w:sz="0" w:space="0" w:color="auto"/>
        <w:left w:val="none" w:sz="0" w:space="0" w:color="auto"/>
        <w:bottom w:val="none" w:sz="0" w:space="0" w:color="auto"/>
        <w:right w:val="none" w:sz="0" w:space="0" w:color="auto"/>
      </w:divBdr>
    </w:div>
    <w:div w:id="481897408">
      <w:bodyDiv w:val="1"/>
      <w:marLeft w:val="0"/>
      <w:marRight w:val="0"/>
      <w:marTop w:val="0"/>
      <w:marBottom w:val="0"/>
      <w:divBdr>
        <w:top w:val="none" w:sz="0" w:space="0" w:color="auto"/>
        <w:left w:val="none" w:sz="0" w:space="0" w:color="auto"/>
        <w:bottom w:val="none" w:sz="0" w:space="0" w:color="auto"/>
        <w:right w:val="none" w:sz="0" w:space="0" w:color="auto"/>
      </w:divBdr>
    </w:div>
    <w:div w:id="565721243">
      <w:bodyDiv w:val="1"/>
      <w:marLeft w:val="0"/>
      <w:marRight w:val="0"/>
      <w:marTop w:val="0"/>
      <w:marBottom w:val="0"/>
      <w:divBdr>
        <w:top w:val="none" w:sz="0" w:space="0" w:color="auto"/>
        <w:left w:val="none" w:sz="0" w:space="0" w:color="auto"/>
        <w:bottom w:val="none" w:sz="0" w:space="0" w:color="auto"/>
        <w:right w:val="none" w:sz="0" w:space="0" w:color="auto"/>
      </w:divBdr>
    </w:div>
    <w:div w:id="609970136">
      <w:bodyDiv w:val="1"/>
      <w:marLeft w:val="0"/>
      <w:marRight w:val="0"/>
      <w:marTop w:val="0"/>
      <w:marBottom w:val="0"/>
      <w:divBdr>
        <w:top w:val="none" w:sz="0" w:space="0" w:color="auto"/>
        <w:left w:val="none" w:sz="0" w:space="0" w:color="auto"/>
        <w:bottom w:val="none" w:sz="0" w:space="0" w:color="auto"/>
        <w:right w:val="none" w:sz="0" w:space="0" w:color="auto"/>
      </w:divBdr>
    </w:div>
    <w:div w:id="642125698">
      <w:bodyDiv w:val="1"/>
      <w:marLeft w:val="0"/>
      <w:marRight w:val="0"/>
      <w:marTop w:val="0"/>
      <w:marBottom w:val="0"/>
      <w:divBdr>
        <w:top w:val="none" w:sz="0" w:space="0" w:color="auto"/>
        <w:left w:val="none" w:sz="0" w:space="0" w:color="auto"/>
        <w:bottom w:val="none" w:sz="0" w:space="0" w:color="auto"/>
        <w:right w:val="none" w:sz="0" w:space="0" w:color="auto"/>
      </w:divBdr>
    </w:div>
    <w:div w:id="695623734">
      <w:bodyDiv w:val="1"/>
      <w:marLeft w:val="0"/>
      <w:marRight w:val="0"/>
      <w:marTop w:val="0"/>
      <w:marBottom w:val="0"/>
      <w:divBdr>
        <w:top w:val="none" w:sz="0" w:space="0" w:color="auto"/>
        <w:left w:val="none" w:sz="0" w:space="0" w:color="auto"/>
        <w:bottom w:val="none" w:sz="0" w:space="0" w:color="auto"/>
        <w:right w:val="none" w:sz="0" w:space="0" w:color="auto"/>
      </w:divBdr>
    </w:div>
    <w:div w:id="724597187">
      <w:bodyDiv w:val="1"/>
      <w:marLeft w:val="0"/>
      <w:marRight w:val="0"/>
      <w:marTop w:val="0"/>
      <w:marBottom w:val="0"/>
      <w:divBdr>
        <w:top w:val="none" w:sz="0" w:space="0" w:color="auto"/>
        <w:left w:val="none" w:sz="0" w:space="0" w:color="auto"/>
        <w:bottom w:val="none" w:sz="0" w:space="0" w:color="auto"/>
        <w:right w:val="none" w:sz="0" w:space="0" w:color="auto"/>
      </w:divBdr>
    </w:div>
    <w:div w:id="835148615">
      <w:bodyDiv w:val="1"/>
      <w:marLeft w:val="0"/>
      <w:marRight w:val="0"/>
      <w:marTop w:val="0"/>
      <w:marBottom w:val="0"/>
      <w:divBdr>
        <w:top w:val="none" w:sz="0" w:space="0" w:color="auto"/>
        <w:left w:val="none" w:sz="0" w:space="0" w:color="auto"/>
        <w:bottom w:val="none" w:sz="0" w:space="0" w:color="auto"/>
        <w:right w:val="none" w:sz="0" w:space="0" w:color="auto"/>
      </w:divBdr>
    </w:div>
    <w:div w:id="869345555">
      <w:bodyDiv w:val="1"/>
      <w:marLeft w:val="0"/>
      <w:marRight w:val="0"/>
      <w:marTop w:val="0"/>
      <w:marBottom w:val="0"/>
      <w:divBdr>
        <w:top w:val="none" w:sz="0" w:space="0" w:color="auto"/>
        <w:left w:val="none" w:sz="0" w:space="0" w:color="auto"/>
        <w:bottom w:val="none" w:sz="0" w:space="0" w:color="auto"/>
        <w:right w:val="none" w:sz="0" w:space="0" w:color="auto"/>
      </w:divBdr>
    </w:div>
    <w:div w:id="873617463">
      <w:bodyDiv w:val="1"/>
      <w:marLeft w:val="0"/>
      <w:marRight w:val="0"/>
      <w:marTop w:val="0"/>
      <w:marBottom w:val="0"/>
      <w:divBdr>
        <w:top w:val="none" w:sz="0" w:space="0" w:color="auto"/>
        <w:left w:val="none" w:sz="0" w:space="0" w:color="auto"/>
        <w:bottom w:val="none" w:sz="0" w:space="0" w:color="auto"/>
        <w:right w:val="none" w:sz="0" w:space="0" w:color="auto"/>
      </w:divBdr>
    </w:div>
    <w:div w:id="875041117">
      <w:bodyDiv w:val="1"/>
      <w:marLeft w:val="0"/>
      <w:marRight w:val="0"/>
      <w:marTop w:val="0"/>
      <w:marBottom w:val="0"/>
      <w:divBdr>
        <w:top w:val="none" w:sz="0" w:space="0" w:color="auto"/>
        <w:left w:val="none" w:sz="0" w:space="0" w:color="auto"/>
        <w:bottom w:val="none" w:sz="0" w:space="0" w:color="auto"/>
        <w:right w:val="none" w:sz="0" w:space="0" w:color="auto"/>
      </w:divBdr>
    </w:div>
    <w:div w:id="1009721647">
      <w:bodyDiv w:val="1"/>
      <w:marLeft w:val="0"/>
      <w:marRight w:val="0"/>
      <w:marTop w:val="0"/>
      <w:marBottom w:val="0"/>
      <w:divBdr>
        <w:top w:val="none" w:sz="0" w:space="0" w:color="auto"/>
        <w:left w:val="none" w:sz="0" w:space="0" w:color="auto"/>
        <w:bottom w:val="none" w:sz="0" w:space="0" w:color="auto"/>
        <w:right w:val="none" w:sz="0" w:space="0" w:color="auto"/>
      </w:divBdr>
    </w:div>
    <w:div w:id="1052195731">
      <w:bodyDiv w:val="1"/>
      <w:marLeft w:val="0"/>
      <w:marRight w:val="0"/>
      <w:marTop w:val="0"/>
      <w:marBottom w:val="0"/>
      <w:divBdr>
        <w:top w:val="none" w:sz="0" w:space="0" w:color="auto"/>
        <w:left w:val="none" w:sz="0" w:space="0" w:color="auto"/>
        <w:bottom w:val="none" w:sz="0" w:space="0" w:color="auto"/>
        <w:right w:val="none" w:sz="0" w:space="0" w:color="auto"/>
      </w:divBdr>
    </w:div>
    <w:div w:id="1078333396">
      <w:bodyDiv w:val="1"/>
      <w:marLeft w:val="0"/>
      <w:marRight w:val="0"/>
      <w:marTop w:val="0"/>
      <w:marBottom w:val="0"/>
      <w:divBdr>
        <w:top w:val="none" w:sz="0" w:space="0" w:color="auto"/>
        <w:left w:val="none" w:sz="0" w:space="0" w:color="auto"/>
        <w:bottom w:val="none" w:sz="0" w:space="0" w:color="auto"/>
        <w:right w:val="none" w:sz="0" w:space="0" w:color="auto"/>
      </w:divBdr>
    </w:div>
    <w:div w:id="1091582015">
      <w:bodyDiv w:val="1"/>
      <w:marLeft w:val="0"/>
      <w:marRight w:val="0"/>
      <w:marTop w:val="0"/>
      <w:marBottom w:val="0"/>
      <w:divBdr>
        <w:top w:val="none" w:sz="0" w:space="0" w:color="auto"/>
        <w:left w:val="none" w:sz="0" w:space="0" w:color="auto"/>
        <w:bottom w:val="none" w:sz="0" w:space="0" w:color="auto"/>
        <w:right w:val="none" w:sz="0" w:space="0" w:color="auto"/>
      </w:divBdr>
    </w:div>
    <w:div w:id="1115562408">
      <w:bodyDiv w:val="1"/>
      <w:marLeft w:val="0"/>
      <w:marRight w:val="0"/>
      <w:marTop w:val="0"/>
      <w:marBottom w:val="0"/>
      <w:divBdr>
        <w:top w:val="none" w:sz="0" w:space="0" w:color="auto"/>
        <w:left w:val="none" w:sz="0" w:space="0" w:color="auto"/>
        <w:bottom w:val="none" w:sz="0" w:space="0" w:color="auto"/>
        <w:right w:val="none" w:sz="0" w:space="0" w:color="auto"/>
      </w:divBdr>
    </w:div>
    <w:div w:id="1151361626">
      <w:bodyDiv w:val="1"/>
      <w:marLeft w:val="0"/>
      <w:marRight w:val="0"/>
      <w:marTop w:val="0"/>
      <w:marBottom w:val="0"/>
      <w:divBdr>
        <w:top w:val="none" w:sz="0" w:space="0" w:color="auto"/>
        <w:left w:val="none" w:sz="0" w:space="0" w:color="auto"/>
        <w:bottom w:val="none" w:sz="0" w:space="0" w:color="auto"/>
        <w:right w:val="none" w:sz="0" w:space="0" w:color="auto"/>
      </w:divBdr>
    </w:div>
    <w:div w:id="1207571386">
      <w:bodyDiv w:val="1"/>
      <w:marLeft w:val="0"/>
      <w:marRight w:val="0"/>
      <w:marTop w:val="0"/>
      <w:marBottom w:val="0"/>
      <w:divBdr>
        <w:top w:val="none" w:sz="0" w:space="0" w:color="auto"/>
        <w:left w:val="none" w:sz="0" w:space="0" w:color="auto"/>
        <w:bottom w:val="none" w:sz="0" w:space="0" w:color="auto"/>
        <w:right w:val="none" w:sz="0" w:space="0" w:color="auto"/>
      </w:divBdr>
    </w:div>
    <w:div w:id="1259487846">
      <w:bodyDiv w:val="1"/>
      <w:marLeft w:val="0"/>
      <w:marRight w:val="0"/>
      <w:marTop w:val="0"/>
      <w:marBottom w:val="0"/>
      <w:divBdr>
        <w:top w:val="none" w:sz="0" w:space="0" w:color="auto"/>
        <w:left w:val="none" w:sz="0" w:space="0" w:color="auto"/>
        <w:bottom w:val="none" w:sz="0" w:space="0" w:color="auto"/>
        <w:right w:val="none" w:sz="0" w:space="0" w:color="auto"/>
      </w:divBdr>
    </w:div>
    <w:div w:id="1355692145">
      <w:bodyDiv w:val="1"/>
      <w:marLeft w:val="0"/>
      <w:marRight w:val="0"/>
      <w:marTop w:val="0"/>
      <w:marBottom w:val="0"/>
      <w:divBdr>
        <w:top w:val="none" w:sz="0" w:space="0" w:color="auto"/>
        <w:left w:val="none" w:sz="0" w:space="0" w:color="auto"/>
        <w:bottom w:val="none" w:sz="0" w:space="0" w:color="auto"/>
        <w:right w:val="none" w:sz="0" w:space="0" w:color="auto"/>
      </w:divBdr>
    </w:div>
    <w:div w:id="1393772298">
      <w:bodyDiv w:val="1"/>
      <w:marLeft w:val="0"/>
      <w:marRight w:val="0"/>
      <w:marTop w:val="0"/>
      <w:marBottom w:val="0"/>
      <w:divBdr>
        <w:top w:val="none" w:sz="0" w:space="0" w:color="auto"/>
        <w:left w:val="none" w:sz="0" w:space="0" w:color="auto"/>
        <w:bottom w:val="none" w:sz="0" w:space="0" w:color="auto"/>
        <w:right w:val="none" w:sz="0" w:space="0" w:color="auto"/>
      </w:divBdr>
    </w:div>
    <w:div w:id="1445416153">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829050612">
      <w:bodyDiv w:val="1"/>
      <w:marLeft w:val="0"/>
      <w:marRight w:val="0"/>
      <w:marTop w:val="0"/>
      <w:marBottom w:val="0"/>
      <w:divBdr>
        <w:top w:val="none" w:sz="0" w:space="0" w:color="auto"/>
        <w:left w:val="none" w:sz="0" w:space="0" w:color="auto"/>
        <w:bottom w:val="none" w:sz="0" w:space="0" w:color="auto"/>
        <w:right w:val="none" w:sz="0" w:space="0" w:color="auto"/>
      </w:divBdr>
    </w:div>
    <w:div w:id="1899122136">
      <w:bodyDiv w:val="1"/>
      <w:marLeft w:val="0"/>
      <w:marRight w:val="0"/>
      <w:marTop w:val="0"/>
      <w:marBottom w:val="0"/>
      <w:divBdr>
        <w:top w:val="none" w:sz="0" w:space="0" w:color="auto"/>
        <w:left w:val="none" w:sz="0" w:space="0" w:color="auto"/>
        <w:bottom w:val="none" w:sz="0" w:space="0" w:color="auto"/>
        <w:right w:val="none" w:sz="0" w:space="0" w:color="auto"/>
      </w:divBdr>
    </w:div>
    <w:div w:id="1990748214">
      <w:bodyDiv w:val="1"/>
      <w:marLeft w:val="0"/>
      <w:marRight w:val="0"/>
      <w:marTop w:val="0"/>
      <w:marBottom w:val="0"/>
      <w:divBdr>
        <w:top w:val="none" w:sz="0" w:space="0" w:color="auto"/>
        <w:left w:val="none" w:sz="0" w:space="0" w:color="auto"/>
        <w:bottom w:val="none" w:sz="0" w:space="0" w:color="auto"/>
        <w:right w:val="none" w:sz="0" w:space="0" w:color="auto"/>
      </w:divBdr>
    </w:div>
    <w:div w:id="2011177149">
      <w:bodyDiv w:val="1"/>
      <w:marLeft w:val="0"/>
      <w:marRight w:val="0"/>
      <w:marTop w:val="0"/>
      <w:marBottom w:val="0"/>
      <w:divBdr>
        <w:top w:val="none" w:sz="0" w:space="0" w:color="auto"/>
        <w:left w:val="none" w:sz="0" w:space="0" w:color="auto"/>
        <w:bottom w:val="none" w:sz="0" w:space="0" w:color="auto"/>
        <w:right w:val="none" w:sz="0" w:space="0" w:color="auto"/>
      </w:divBdr>
    </w:div>
    <w:div w:id="21438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6CC8-44A0-437B-8BFB-EE368274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8188</Words>
  <Characters>48266</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2020-02-19T04:11:00Z</dcterms:created>
  <dcterms:modified xsi:type="dcterms:W3CDTF">2020-02-26T02:12:00Z</dcterms:modified>
</cp:coreProperties>
</file>