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593" w:rsidRPr="00DE09CB" w:rsidRDefault="00F47022" w:rsidP="00DE09CB">
      <w:pPr>
        <w:pStyle w:val="Title"/>
        <w:widowControl/>
        <w:spacing w:before="0" w:after="0"/>
        <w:ind w:left="720" w:hanging="720"/>
        <w:contextualSpacing/>
        <w:jc w:val="left"/>
        <w:rPr>
          <w:rFonts w:asciiTheme="minorHAnsi" w:hAnsiTheme="minorHAnsi"/>
          <w:b w:val="0"/>
          <w:sz w:val="36"/>
          <w:szCs w:val="36"/>
        </w:rPr>
      </w:pPr>
      <w:r w:rsidRPr="00DE09CB">
        <w:rPr>
          <w:rFonts w:asciiTheme="minorHAnsi" w:eastAsia="Calibri" w:hAnsiTheme="minorHAnsi" w:cs="Times New Roman"/>
          <w:snapToGrid/>
          <w:sz w:val="36"/>
          <w:szCs w:val="36"/>
        </w:rPr>
        <w:t>5.03</w:t>
      </w:r>
      <w:r w:rsidR="00DE09CB" w:rsidRPr="00DE09CB">
        <w:rPr>
          <w:rFonts w:asciiTheme="minorHAnsi" w:eastAsia="Calibri" w:hAnsiTheme="minorHAnsi" w:cs="Times New Roman"/>
          <w:snapToGrid/>
          <w:sz w:val="36"/>
          <w:szCs w:val="36"/>
        </w:rPr>
        <w:t xml:space="preserve"> </w:t>
      </w:r>
      <w:r w:rsidR="00605A55" w:rsidRPr="00DE09CB">
        <w:rPr>
          <w:rFonts w:asciiTheme="minorHAnsi" w:eastAsia="Calibri" w:hAnsiTheme="minorHAnsi" w:cs="Times New Roman"/>
          <w:snapToGrid/>
          <w:sz w:val="36"/>
          <w:szCs w:val="36"/>
        </w:rPr>
        <w:t>BROLUCIZUMAB</w:t>
      </w:r>
      <w:r w:rsidR="00B60939" w:rsidRPr="00DE09CB">
        <w:rPr>
          <w:rFonts w:asciiTheme="minorHAnsi" w:hAnsiTheme="minorHAnsi"/>
          <w:sz w:val="36"/>
          <w:szCs w:val="36"/>
        </w:rPr>
        <w:t xml:space="preserve">, </w:t>
      </w:r>
    </w:p>
    <w:p w:rsidR="002B7048" w:rsidRPr="00DE09CB" w:rsidRDefault="002B7048" w:rsidP="002B7048">
      <w:pPr>
        <w:ind w:firstLine="720"/>
        <w:rPr>
          <w:rFonts w:asciiTheme="minorHAnsi" w:hAnsiTheme="minorHAnsi"/>
          <w:b/>
          <w:sz w:val="36"/>
          <w:szCs w:val="36"/>
        </w:rPr>
      </w:pPr>
      <w:r w:rsidRPr="00DE09CB">
        <w:rPr>
          <w:rFonts w:asciiTheme="minorHAnsi" w:eastAsia="Calibri" w:hAnsiTheme="minorHAnsi" w:cs="Times New Roman"/>
          <w:b/>
          <w:snapToGrid/>
          <w:sz w:val="36"/>
          <w:szCs w:val="36"/>
        </w:rPr>
        <w:t>S</w:t>
      </w:r>
      <w:r w:rsidR="00605A55" w:rsidRPr="00DE09CB">
        <w:rPr>
          <w:rFonts w:asciiTheme="minorHAnsi" w:eastAsia="Calibri" w:hAnsiTheme="minorHAnsi" w:cs="Times New Roman"/>
          <w:b/>
          <w:snapToGrid/>
          <w:sz w:val="36"/>
          <w:szCs w:val="36"/>
        </w:rPr>
        <w:t>olution</w:t>
      </w:r>
      <w:r w:rsidR="00605A55" w:rsidRPr="00DE09CB">
        <w:rPr>
          <w:rFonts w:asciiTheme="minorHAnsi" w:hAnsiTheme="minorHAnsi"/>
          <w:b/>
          <w:sz w:val="36"/>
          <w:szCs w:val="36"/>
        </w:rPr>
        <w:t xml:space="preserve"> for intravitreal </w:t>
      </w:r>
      <w:r w:rsidRPr="00DE09CB">
        <w:rPr>
          <w:rFonts w:asciiTheme="minorHAnsi" w:hAnsiTheme="minorHAnsi"/>
          <w:b/>
          <w:sz w:val="36"/>
          <w:szCs w:val="36"/>
        </w:rPr>
        <w:t>injection</w:t>
      </w:r>
      <w:r w:rsidR="00C7455A" w:rsidRPr="00DE09CB">
        <w:rPr>
          <w:rFonts w:asciiTheme="minorHAnsi" w:hAnsiTheme="minorHAnsi"/>
          <w:b/>
          <w:sz w:val="36"/>
          <w:szCs w:val="36"/>
        </w:rPr>
        <w:t xml:space="preserve"> 19.8</w:t>
      </w:r>
      <w:r w:rsidR="00C25AE1" w:rsidRPr="00DE09CB">
        <w:rPr>
          <w:rFonts w:asciiTheme="minorHAnsi" w:hAnsiTheme="minorHAnsi"/>
          <w:b/>
          <w:sz w:val="36"/>
          <w:szCs w:val="36"/>
        </w:rPr>
        <w:t> </w:t>
      </w:r>
      <w:r w:rsidR="00C7455A" w:rsidRPr="00DE09CB">
        <w:rPr>
          <w:rFonts w:asciiTheme="minorHAnsi" w:hAnsiTheme="minorHAnsi"/>
          <w:b/>
          <w:sz w:val="36"/>
          <w:szCs w:val="36"/>
        </w:rPr>
        <w:t>mg in 0.165</w:t>
      </w:r>
      <w:r w:rsidR="00C25AE1" w:rsidRPr="00DE09CB">
        <w:rPr>
          <w:rFonts w:asciiTheme="minorHAnsi" w:hAnsiTheme="minorHAnsi"/>
          <w:b/>
          <w:sz w:val="36"/>
          <w:szCs w:val="36"/>
        </w:rPr>
        <w:t> </w:t>
      </w:r>
      <w:r w:rsidR="0057237D" w:rsidRPr="00DE09CB">
        <w:rPr>
          <w:rFonts w:asciiTheme="minorHAnsi" w:hAnsiTheme="minorHAnsi"/>
          <w:b/>
          <w:sz w:val="36"/>
          <w:szCs w:val="36"/>
        </w:rPr>
        <w:t>mL</w:t>
      </w:r>
    </w:p>
    <w:p w:rsidR="008E4593" w:rsidRPr="00DE09CB" w:rsidRDefault="008E4593" w:rsidP="002B7048">
      <w:pPr>
        <w:ind w:firstLine="720"/>
        <w:rPr>
          <w:rFonts w:asciiTheme="minorHAnsi" w:hAnsiTheme="minorHAnsi"/>
          <w:b/>
          <w:sz w:val="36"/>
          <w:szCs w:val="36"/>
        </w:rPr>
      </w:pPr>
      <w:r w:rsidRPr="00DE09CB">
        <w:rPr>
          <w:rFonts w:asciiTheme="minorHAnsi" w:hAnsiTheme="minorHAnsi"/>
          <w:b/>
          <w:sz w:val="36"/>
          <w:szCs w:val="36"/>
        </w:rPr>
        <w:t xml:space="preserve">pre-filled </w:t>
      </w:r>
      <w:r w:rsidR="00C7455A" w:rsidRPr="00DE09CB">
        <w:rPr>
          <w:rFonts w:asciiTheme="minorHAnsi" w:hAnsiTheme="minorHAnsi"/>
          <w:b/>
          <w:sz w:val="36"/>
          <w:szCs w:val="36"/>
        </w:rPr>
        <w:t>syringe</w:t>
      </w:r>
      <w:r w:rsidR="00B60939" w:rsidRPr="00DE09CB">
        <w:rPr>
          <w:rFonts w:asciiTheme="minorHAnsi" w:hAnsiTheme="minorHAnsi"/>
          <w:b/>
          <w:sz w:val="36"/>
          <w:szCs w:val="36"/>
        </w:rPr>
        <w:t xml:space="preserve">, </w:t>
      </w:r>
    </w:p>
    <w:p w:rsidR="002B7048" w:rsidRPr="00DE09CB" w:rsidRDefault="00C7455A" w:rsidP="008E4593">
      <w:pPr>
        <w:ind w:firstLine="720"/>
        <w:rPr>
          <w:rFonts w:asciiTheme="minorHAnsi" w:hAnsiTheme="minorHAnsi"/>
          <w:b/>
          <w:sz w:val="36"/>
          <w:szCs w:val="36"/>
        </w:rPr>
      </w:pPr>
      <w:r w:rsidRPr="00DE09CB">
        <w:rPr>
          <w:rFonts w:asciiTheme="minorHAnsi" w:hAnsiTheme="minorHAnsi"/>
          <w:b/>
          <w:sz w:val="36"/>
          <w:szCs w:val="36"/>
        </w:rPr>
        <w:t>Beovu®</w:t>
      </w:r>
      <w:r w:rsidR="00B60939" w:rsidRPr="00DE09CB">
        <w:rPr>
          <w:rFonts w:asciiTheme="minorHAnsi" w:hAnsiTheme="minorHAnsi"/>
          <w:b/>
          <w:sz w:val="36"/>
          <w:szCs w:val="36"/>
        </w:rPr>
        <w:t xml:space="preserve">, </w:t>
      </w:r>
    </w:p>
    <w:p w:rsidR="00B60939" w:rsidRPr="00DE09CB" w:rsidRDefault="00C7455A" w:rsidP="008E4593">
      <w:pPr>
        <w:ind w:firstLine="720"/>
        <w:rPr>
          <w:rFonts w:asciiTheme="minorHAnsi" w:hAnsiTheme="minorHAnsi"/>
          <w:b/>
          <w:sz w:val="36"/>
          <w:szCs w:val="36"/>
        </w:rPr>
      </w:pPr>
      <w:r w:rsidRPr="00DE09CB">
        <w:rPr>
          <w:rFonts w:asciiTheme="minorHAnsi" w:hAnsiTheme="minorHAnsi"/>
          <w:b/>
          <w:sz w:val="36"/>
          <w:szCs w:val="36"/>
        </w:rPr>
        <w:t>Novartis Australia Pty Ltd</w:t>
      </w:r>
      <w:r w:rsidR="00B60939" w:rsidRPr="00DE09CB">
        <w:rPr>
          <w:rFonts w:asciiTheme="minorHAnsi" w:hAnsiTheme="minorHAnsi"/>
          <w:b/>
          <w:sz w:val="36"/>
          <w:szCs w:val="36"/>
        </w:rPr>
        <w:t>.</w:t>
      </w:r>
    </w:p>
    <w:p w:rsidR="00854A4A" w:rsidRDefault="00854A4A" w:rsidP="00281014">
      <w:pPr>
        <w:pStyle w:val="BodyText"/>
      </w:pPr>
    </w:p>
    <w:p w:rsidR="0080791A" w:rsidRDefault="008B7FA5" w:rsidP="00CE620B">
      <w:pPr>
        <w:pStyle w:val="PBACHeading1"/>
        <w:keepNext/>
        <w:keepLines/>
        <w:spacing w:after="120"/>
        <w:outlineLvl w:val="0"/>
      </w:pPr>
      <w:bookmarkStart w:id="0" w:name="_Toc19712615"/>
      <w:r w:rsidRPr="00ED7E3E">
        <w:t>Purpose of Application</w:t>
      </w:r>
      <w:bookmarkEnd w:id="0"/>
    </w:p>
    <w:p w:rsidR="0080791A" w:rsidRPr="008B1757" w:rsidRDefault="0080791A" w:rsidP="00CE620B">
      <w:pPr>
        <w:pStyle w:val="ListParagraph"/>
        <w:keepNext/>
        <w:keepLines/>
        <w:widowControl/>
        <w:numPr>
          <w:ilvl w:val="1"/>
          <w:numId w:val="1"/>
        </w:numPr>
        <w:spacing w:after="120"/>
      </w:pPr>
      <w:r>
        <w:t xml:space="preserve">The submission requested a Section 85, </w:t>
      </w:r>
      <w:r w:rsidRPr="004B3DDB">
        <w:t>Authority Required</w:t>
      </w:r>
      <w:r>
        <w:t xml:space="preserve"> </w:t>
      </w:r>
      <w:r w:rsidRPr="004B3DDB">
        <w:t xml:space="preserve">listing for </w:t>
      </w:r>
      <w:r>
        <w:t>brolucizumab f</w:t>
      </w:r>
      <w:r w:rsidRPr="004B3DDB">
        <w:t xml:space="preserve">or treatment of </w:t>
      </w:r>
      <w:r>
        <w:t xml:space="preserve">subfoveal choroidal neovascularisation (CNV) due to </w:t>
      </w:r>
      <w:r w:rsidR="003925D5">
        <w:t>age-related macular degeneration (AMD)</w:t>
      </w:r>
      <w:r>
        <w:t xml:space="preserve">. Brolucizumab has not previously been considered by the PBAC. </w:t>
      </w:r>
    </w:p>
    <w:p w:rsidR="0080791A" w:rsidRDefault="0080791A" w:rsidP="00CE620B">
      <w:pPr>
        <w:pStyle w:val="ListParagraph"/>
        <w:widowControl/>
        <w:numPr>
          <w:ilvl w:val="1"/>
          <w:numId w:val="1"/>
        </w:numPr>
        <w:spacing w:after="120"/>
      </w:pPr>
      <w:r>
        <w:t>The requested listing was based on a cost-minimisation analysis of brolucizumab to aflibercept in the proposed target population. The key components of the clinical issue addressed by the submission are summarised below</w:t>
      </w:r>
      <w:r w:rsidR="00062CBF">
        <w:t xml:space="preserve"> (Table 1)</w:t>
      </w:r>
      <w:r>
        <w:t>.</w:t>
      </w:r>
    </w:p>
    <w:p w:rsidR="0080791A" w:rsidRPr="00DC6110" w:rsidRDefault="0080791A" w:rsidP="00364719">
      <w:pPr>
        <w:pStyle w:val="Caption"/>
        <w:rPr>
          <w:rStyle w:val="CommentReference"/>
          <w:b/>
          <w:szCs w:val="18"/>
        </w:rPr>
      </w:pPr>
      <w:r w:rsidRPr="00DC6110">
        <w:t xml:space="preserve">Table </w:t>
      </w:r>
      <w:r w:rsidR="0060797A">
        <w:rPr>
          <w:noProof/>
        </w:rPr>
        <w:t>1</w:t>
      </w:r>
      <w:r w:rsidRPr="00DC6110">
        <w:t xml:space="preserve">: </w:t>
      </w:r>
      <w:r w:rsidRPr="00DC6110">
        <w:rPr>
          <w:rStyle w:val="CommentReference"/>
          <w:b/>
          <w:szCs w:val="18"/>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68"/>
        <w:gridCol w:w="7488"/>
      </w:tblGrid>
      <w:tr w:rsidR="0080791A" w:rsidRPr="00A518F3" w:rsidTr="00116BBB">
        <w:tc>
          <w:tcPr>
            <w:tcW w:w="1668" w:type="dxa"/>
            <w:vAlign w:val="center"/>
          </w:tcPr>
          <w:p w:rsidR="0080791A" w:rsidRPr="00A518F3" w:rsidRDefault="0080791A" w:rsidP="00364719">
            <w:pPr>
              <w:pStyle w:val="Tabletext"/>
              <w:keepNext/>
              <w:rPr>
                <w:b/>
              </w:rPr>
            </w:pPr>
            <w:r w:rsidRPr="00A518F3">
              <w:rPr>
                <w:b/>
              </w:rPr>
              <w:t>Component</w:t>
            </w:r>
          </w:p>
        </w:tc>
        <w:tc>
          <w:tcPr>
            <w:tcW w:w="7488" w:type="dxa"/>
            <w:vAlign w:val="center"/>
          </w:tcPr>
          <w:p w:rsidR="0080791A" w:rsidRPr="00A518F3" w:rsidRDefault="0080791A" w:rsidP="00364719">
            <w:pPr>
              <w:pStyle w:val="Tabletext"/>
              <w:keepNext/>
              <w:jc w:val="center"/>
              <w:rPr>
                <w:b/>
              </w:rPr>
            </w:pPr>
            <w:r w:rsidRPr="00A518F3">
              <w:rPr>
                <w:b/>
              </w:rPr>
              <w:t>Description</w:t>
            </w:r>
          </w:p>
        </w:tc>
      </w:tr>
      <w:tr w:rsidR="0080791A" w:rsidTr="00116BBB">
        <w:tc>
          <w:tcPr>
            <w:tcW w:w="1668" w:type="dxa"/>
            <w:vAlign w:val="center"/>
          </w:tcPr>
          <w:p w:rsidR="0080791A" w:rsidRDefault="0080791A" w:rsidP="00364719">
            <w:pPr>
              <w:pStyle w:val="Tabletext"/>
              <w:keepNext/>
            </w:pPr>
            <w:r>
              <w:t>Population</w:t>
            </w:r>
          </w:p>
        </w:tc>
        <w:tc>
          <w:tcPr>
            <w:tcW w:w="7488" w:type="dxa"/>
            <w:tcBorders>
              <w:top w:val="single" w:sz="4" w:space="0" w:color="auto"/>
            </w:tcBorders>
          </w:tcPr>
          <w:p w:rsidR="0080791A" w:rsidRDefault="0080791A" w:rsidP="003925D5">
            <w:pPr>
              <w:pStyle w:val="Tabletext"/>
              <w:keepNext/>
            </w:pPr>
            <w:r w:rsidRPr="00CD4F2C">
              <w:t>Patient</w:t>
            </w:r>
            <w:r>
              <w:t xml:space="preserve">s with neovascular (wet) </w:t>
            </w:r>
            <w:r w:rsidRPr="00CD4F2C">
              <w:t xml:space="preserve"> </w:t>
            </w:r>
            <w:r>
              <w:t>AMD</w:t>
            </w:r>
          </w:p>
        </w:tc>
      </w:tr>
      <w:tr w:rsidR="0080791A" w:rsidTr="00116BBB">
        <w:tc>
          <w:tcPr>
            <w:tcW w:w="1668" w:type="dxa"/>
            <w:vAlign w:val="center"/>
          </w:tcPr>
          <w:p w:rsidR="0080791A" w:rsidRDefault="0080791A" w:rsidP="00364719">
            <w:pPr>
              <w:pStyle w:val="Tabletext"/>
              <w:keepNext/>
            </w:pPr>
            <w:r>
              <w:t>Intervention</w:t>
            </w:r>
          </w:p>
        </w:tc>
        <w:tc>
          <w:tcPr>
            <w:tcW w:w="7488" w:type="dxa"/>
          </w:tcPr>
          <w:p w:rsidR="0080791A" w:rsidRPr="0067090B" w:rsidRDefault="0080791A" w:rsidP="00364719">
            <w:pPr>
              <w:pStyle w:val="Tabletext"/>
              <w:keepNext/>
              <w:rPr>
                <w:vertAlign w:val="superscript"/>
              </w:rPr>
            </w:pPr>
            <w:r w:rsidRPr="00CD4F2C">
              <w:t xml:space="preserve">Brolucizumab </w:t>
            </w:r>
          </w:p>
        </w:tc>
      </w:tr>
      <w:tr w:rsidR="0080791A" w:rsidTr="00116BBB">
        <w:tc>
          <w:tcPr>
            <w:tcW w:w="1668" w:type="dxa"/>
            <w:vAlign w:val="center"/>
          </w:tcPr>
          <w:p w:rsidR="0080791A" w:rsidRDefault="0080791A" w:rsidP="00364719">
            <w:pPr>
              <w:pStyle w:val="Tabletext"/>
              <w:keepNext/>
            </w:pPr>
            <w:r>
              <w:t>Comparator</w:t>
            </w:r>
          </w:p>
        </w:tc>
        <w:tc>
          <w:tcPr>
            <w:tcW w:w="7488" w:type="dxa"/>
          </w:tcPr>
          <w:p w:rsidR="0080791A" w:rsidRPr="00233212" w:rsidRDefault="0080791A" w:rsidP="00364719">
            <w:pPr>
              <w:pStyle w:val="Tabletext"/>
              <w:keepNext/>
            </w:pPr>
            <w:r>
              <w:t>Aflibercept and ranibizumab</w:t>
            </w:r>
            <w:r>
              <w:rPr>
                <w:vertAlign w:val="superscript"/>
              </w:rPr>
              <w:t>a</w:t>
            </w:r>
            <w:r>
              <w:t xml:space="preserve"> </w:t>
            </w:r>
          </w:p>
        </w:tc>
      </w:tr>
      <w:tr w:rsidR="0080791A" w:rsidTr="00116BBB">
        <w:trPr>
          <w:trHeight w:val="209"/>
        </w:trPr>
        <w:tc>
          <w:tcPr>
            <w:tcW w:w="1668" w:type="dxa"/>
            <w:vAlign w:val="center"/>
          </w:tcPr>
          <w:p w:rsidR="0080791A" w:rsidRDefault="0080791A" w:rsidP="00364719">
            <w:pPr>
              <w:pStyle w:val="Tabletext"/>
              <w:keepNext/>
            </w:pPr>
            <w:r>
              <w:t>Outcomes</w:t>
            </w:r>
          </w:p>
        </w:tc>
        <w:tc>
          <w:tcPr>
            <w:tcW w:w="7488" w:type="dxa"/>
          </w:tcPr>
          <w:p w:rsidR="0080791A" w:rsidRPr="005D56CD" w:rsidRDefault="0080791A" w:rsidP="00364719">
            <w:pPr>
              <w:pStyle w:val="PBACTableText"/>
              <w:keepNext/>
              <w:spacing w:before="0" w:after="0"/>
            </w:pPr>
            <w:r w:rsidRPr="005D56CD">
              <w:t>Improvement in BCVA in the affected eye</w:t>
            </w:r>
          </w:p>
          <w:p w:rsidR="0080791A" w:rsidRPr="005D56CD" w:rsidRDefault="0080791A" w:rsidP="00364719">
            <w:pPr>
              <w:pStyle w:val="PBACTableText"/>
              <w:keepNext/>
              <w:spacing w:before="0" w:after="0"/>
            </w:pPr>
            <w:r w:rsidRPr="005D56CD">
              <w:t xml:space="preserve">Proportion of eyes with ≥15 letter gains in BCVA or </w:t>
            </w:r>
            <w:r>
              <w:t xml:space="preserve">BCVA of </w:t>
            </w:r>
            <w:r w:rsidRPr="005D56CD">
              <w:t>≥84 letters in the affected eye</w:t>
            </w:r>
          </w:p>
          <w:p w:rsidR="0080791A" w:rsidRPr="005D56CD" w:rsidRDefault="0080791A" w:rsidP="00364719">
            <w:pPr>
              <w:pStyle w:val="PBACTableText"/>
              <w:keepNext/>
              <w:spacing w:before="0" w:after="0"/>
            </w:pPr>
            <w:r w:rsidRPr="005D56CD">
              <w:t>Proportion of eyes with ≥15 letter loss in BCVA in the affected eye</w:t>
            </w:r>
          </w:p>
          <w:p w:rsidR="0080791A" w:rsidRPr="005D56CD" w:rsidRDefault="0080791A" w:rsidP="00364719">
            <w:pPr>
              <w:pStyle w:val="PBACTableText"/>
              <w:keepNext/>
              <w:spacing w:before="0" w:after="0"/>
            </w:pPr>
            <w:r w:rsidRPr="005D56CD">
              <w:t xml:space="preserve">Reduction of disease activity </w:t>
            </w:r>
          </w:p>
          <w:p w:rsidR="0080791A" w:rsidRPr="005D56CD" w:rsidRDefault="0080791A" w:rsidP="00364719">
            <w:pPr>
              <w:pStyle w:val="PBACTableText"/>
              <w:keepNext/>
              <w:spacing w:before="0" w:after="0"/>
            </w:pPr>
            <w:r w:rsidRPr="005D56CD">
              <w:t>Quality of life (Visual Function Questionnaire-25)</w:t>
            </w:r>
            <w:r>
              <w:br/>
              <w:t>Change from baseline in Central Subfield Thickness</w:t>
            </w:r>
            <w:r>
              <w:br/>
              <w:t>Percent of patients who need 8-weekly injections</w:t>
            </w:r>
          </w:p>
          <w:p w:rsidR="0080791A" w:rsidRDefault="0080791A" w:rsidP="00364719">
            <w:pPr>
              <w:pStyle w:val="Tabletext"/>
              <w:keepNext/>
            </w:pPr>
            <w:r w:rsidRPr="005D56CD">
              <w:t>Adverse events</w:t>
            </w:r>
          </w:p>
        </w:tc>
      </w:tr>
      <w:tr w:rsidR="0080791A" w:rsidTr="00116BBB">
        <w:tc>
          <w:tcPr>
            <w:tcW w:w="1668" w:type="dxa"/>
            <w:vAlign w:val="center"/>
          </w:tcPr>
          <w:p w:rsidR="0080791A" w:rsidRDefault="0080791A" w:rsidP="00364719">
            <w:pPr>
              <w:pStyle w:val="Tabletext"/>
              <w:keepNext/>
            </w:pPr>
            <w:r>
              <w:t>Clinical claim</w:t>
            </w:r>
          </w:p>
        </w:tc>
        <w:tc>
          <w:tcPr>
            <w:tcW w:w="7488" w:type="dxa"/>
            <w:vAlign w:val="center"/>
          </w:tcPr>
          <w:p w:rsidR="0080791A" w:rsidRDefault="0080791A" w:rsidP="00364719">
            <w:pPr>
              <w:pStyle w:val="Tabletext"/>
              <w:keepNext/>
            </w:pPr>
            <w:r w:rsidRPr="0063552A">
              <w:t xml:space="preserve">Brolucizumab is non-inferior in terms of efficacy and equivalent in terms of safety compared to </w:t>
            </w:r>
            <w:r>
              <w:t xml:space="preserve">the VEGF inhibitors </w:t>
            </w:r>
            <w:r w:rsidRPr="0063552A">
              <w:t>aflibercept and ranibizumab when used in the treatment of wet AMD.</w:t>
            </w:r>
          </w:p>
        </w:tc>
      </w:tr>
    </w:tbl>
    <w:p w:rsidR="00343181" w:rsidRPr="00343181" w:rsidRDefault="003925D5" w:rsidP="0080791A">
      <w:pPr>
        <w:pStyle w:val="TableFooter"/>
      </w:pPr>
      <w:r>
        <w:t xml:space="preserve">AMD = age-related macular degeneration; BCVA = best corrected visual acuity; </w:t>
      </w:r>
      <w:r w:rsidR="00343181">
        <w:t>VEGF = vascular endothelial growth factor.</w:t>
      </w:r>
    </w:p>
    <w:p w:rsidR="0080791A" w:rsidRPr="00233212" w:rsidRDefault="0080791A" w:rsidP="0080791A">
      <w:pPr>
        <w:pStyle w:val="TableFooter"/>
      </w:pPr>
      <w:r>
        <w:rPr>
          <w:vertAlign w:val="superscript"/>
        </w:rPr>
        <w:t>a</w:t>
      </w:r>
      <w:r>
        <w:t xml:space="preserve"> Aflibercept was proposed as the main comparator, and ranibizumab was considered a secondary comparator </w:t>
      </w:r>
    </w:p>
    <w:p w:rsidR="0080791A" w:rsidRDefault="0080791A" w:rsidP="0080791A">
      <w:pPr>
        <w:pStyle w:val="TableFooter"/>
        <w:rPr>
          <w:rStyle w:val="CommentReference"/>
        </w:rPr>
      </w:pPr>
      <w:r>
        <w:t>Source: Table 1.1</w:t>
      </w:r>
      <w:r w:rsidR="004D229F">
        <w:t>, Section 1</w:t>
      </w:r>
      <w:r>
        <w:t xml:space="preserve"> of the submission.</w:t>
      </w:r>
    </w:p>
    <w:p w:rsidR="001A02A5" w:rsidRDefault="001A02A5" w:rsidP="00CE620B">
      <w:pPr>
        <w:pStyle w:val="PBACHeading1"/>
        <w:keepNext/>
        <w:keepLines/>
        <w:spacing w:after="120"/>
        <w:outlineLvl w:val="0"/>
      </w:pPr>
      <w:bookmarkStart w:id="1" w:name="_Toc19712616"/>
      <w:r w:rsidRPr="00ED7E3E">
        <w:t>Requested listing</w:t>
      </w:r>
      <w:bookmarkEnd w:id="1"/>
    </w:p>
    <w:p w:rsidR="003B45A0" w:rsidRPr="00977639" w:rsidRDefault="003B45A0" w:rsidP="00CE620B">
      <w:pPr>
        <w:pStyle w:val="ListParagraph"/>
        <w:keepNext/>
        <w:keepLines/>
        <w:widowControl/>
        <w:numPr>
          <w:ilvl w:val="1"/>
          <w:numId w:val="1"/>
        </w:numPr>
        <w:spacing w:after="120"/>
      </w:pPr>
      <w:r>
        <w:t>The proposed listing is summarised below. Suggested additions are in italics and suggested deletions are in strikethrough.</w:t>
      </w:r>
    </w:p>
    <w:tbl>
      <w:tblPr>
        <w:tblW w:w="9356" w:type="dxa"/>
        <w:tblInd w:w="142" w:type="dxa"/>
        <w:tblLayout w:type="fixed"/>
        <w:tblLook w:val="0000" w:firstRow="0" w:lastRow="0" w:firstColumn="0" w:lastColumn="0" w:noHBand="0" w:noVBand="0"/>
      </w:tblPr>
      <w:tblGrid>
        <w:gridCol w:w="3119"/>
        <w:gridCol w:w="567"/>
        <w:gridCol w:w="850"/>
        <w:gridCol w:w="1701"/>
        <w:gridCol w:w="1559"/>
        <w:gridCol w:w="1560"/>
      </w:tblGrid>
      <w:tr w:rsidR="002D7E08" w:rsidRPr="00F23947" w:rsidTr="00A447A9">
        <w:trPr>
          <w:cantSplit/>
          <w:trHeight w:val="538"/>
        </w:trPr>
        <w:tc>
          <w:tcPr>
            <w:tcW w:w="3119" w:type="dxa"/>
            <w:tcBorders>
              <w:bottom w:val="single" w:sz="4" w:space="0" w:color="auto"/>
            </w:tcBorders>
          </w:tcPr>
          <w:p w:rsidR="002D7E08" w:rsidRPr="00F23947" w:rsidRDefault="002D7E08" w:rsidP="002D7E08">
            <w:pPr>
              <w:keepNext/>
              <w:ind w:left="-108"/>
              <w:rPr>
                <w:rFonts w:ascii="Arial Narrow" w:hAnsi="Arial Narrow"/>
                <w:b/>
                <w:sz w:val="20"/>
              </w:rPr>
            </w:pPr>
            <w:r w:rsidRPr="00F23947">
              <w:rPr>
                <w:rFonts w:ascii="Arial Narrow" w:hAnsi="Arial Narrow"/>
                <w:b/>
                <w:sz w:val="20"/>
              </w:rPr>
              <w:t>Name, Restriction,</w:t>
            </w:r>
          </w:p>
          <w:p w:rsidR="002D7E08" w:rsidRPr="00F23947" w:rsidRDefault="002D7E08" w:rsidP="002D7E08">
            <w:pPr>
              <w:keepNext/>
              <w:ind w:left="-108"/>
              <w:rPr>
                <w:rFonts w:ascii="Arial Narrow" w:hAnsi="Arial Narrow"/>
                <w:b/>
                <w:sz w:val="20"/>
              </w:rPr>
            </w:pPr>
            <w:r w:rsidRPr="00F23947">
              <w:rPr>
                <w:rFonts w:ascii="Arial Narrow" w:hAnsi="Arial Narrow"/>
                <w:b/>
                <w:sz w:val="20"/>
              </w:rPr>
              <w:t>Manner of administration and form</w:t>
            </w:r>
          </w:p>
        </w:tc>
        <w:tc>
          <w:tcPr>
            <w:tcW w:w="567" w:type="dxa"/>
            <w:tcBorders>
              <w:bottom w:val="single" w:sz="4" w:space="0" w:color="auto"/>
            </w:tcBorders>
          </w:tcPr>
          <w:p w:rsidR="002D7E08" w:rsidRPr="00F23947" w:rsidRDefault="002D7E08" w:rsidP="002D7E08">
            <w:pPr>
              <w:keepNext/>
              <w:ind w:left="-108"/>
              <w:rPr>
                <w:rFonts w:ascii="Arial Narrow" w:hAnsi="Arial Narrow"/>
                <w:b/>
                <w:sz w:val="20"/>
              </w:rPr>
            </w:pPr>
            <w:r w:rsidRPr="00F23947">
              <w:rPr>
                <w:rFonts w:ascii="Arial Narrow" w:hAnsi="Arial Narrow"/>
                <w:b/>
                <w:sz w:val="20"/>
              </w:rPr>
              <w:t>Max.</w:t>
            </w:r>
          </w:p>
          <w:p w:rsidR="002D7E08" w:rsidRPr="00F23947" w:rsidRDefault="002D7E08" w:rsidP="002D7E08">
            <w:pPr>
              <w:keepNext/>
              <w:ind w:left="-108"/>
              <w:rPr>
                <w:rFonts w:ascii="Arial Narrow" w:hAnsi="Arial Narrow"/>
                <w:b/>
                <w:sz w:val="20"/>
              </w:rPr>
            </w:pPr>
            <w:r w:rsidRPr="00F23947">
              <w:rPr>
                <w:rFonts w:ascii="Arial Narrow" w:hAnsi="Arial Narrow"/>
                <w:b/>
                <w:sz w:val="20"/>
              </w:rPr>
              <w:t>Qty</w:t>
            </w:r>
          </w:p>
        </w:tc>
        <w:tc>
          <w:tcPr>
            <w:tcW w:w="850" w:type="dxa"/>
            <w:tcBorders>
              <w:bottom w:val="single" w:sz="4" w:space="0" w:color="auto"/>
            </w:tcBorders>
          </w:tcPr>
          <w:p w:rsidR="002D7E08" w:rsidRPr="00F23947" w:rsidRDefault="002D7E08" w:rsidP="002D7E08">
            <w:pPr>
              <w:keepNext/>
              <w:ind w:left="-108"/>
              <w:rPr>
                <w:rFonts w:ascii="Arial Narrow" w:hAnsi="Arial Narrow"/>
                <w:b/>
                <w:sz w:val="20"/>
              </w:rPr>
            </w:pPr>
            <w:r w:rsidRPr="00F23947">
              <w:rPr>
                <w:rFonts w:ascii="Arial Narrow" w:hAnsi="Arial Narrow"/>
                <w:b/>
                <w:sz w:val="20"/>
              </w:rPr>
              <w:t>№.of</w:t>
            </w:r>
          </w:p>
          <w:p w:rsidR="002D7E08" w:rsidRPr="00F23947" w:rsidRDefault="002D7E08" w:rsidP="002D7E08">
            <w:pPr>
              <w:keepNext/>
              <w:ind w:left="-108"/>
              <w:rPr>
                <w:rFonts w:ascii="Arial Narrow" w:hAnsi="Arial Narrow"/>
                <w:b/>
                <w:sz w:val="20"/>
              </w:rPr>
            </w:pPr>
            <w:r w:rsidRPr="00F23947">
              <w:rPr>
                <w:rFonts w:ascii="Arial Narrow" w:hAnsi="Arial Narrow"/>
                <w:b/>
                <w:sz w:val="20"/>
              </w:rPr>
              <w:t>Rpts</w:t>
            </w:r>
          </w:p>
        </w:tc>
        <w:tc>
          <w:tcPr>
            <w:tcW w:w="1701" w:type="dxa"/>
            <w:tcBorders>
              <w:bottom w:val="single" w:sz="4" w:space="0" w:color="auto"/>
            </w:tcBorders>
          </w:tcPr>
          <w:p w:rsidR="002D7E08" w:rsidRPr="00F23947" w:rsidRDefault="002D7E08" w:rsidP="002D7E08">
            <w:pPr>
              <w:keepNext/>
              <w:ind w:left="-108"/>
              <w:jc w:val="left"/>
              <w:rPr>
                <w:rFonts w:ascii="Arial Narrow" w:hAnsi="Arial Narrow"/>
                <w:b/>
                <w:sz w:val="20"/>
              </w:rPr>
            </w:pPr>
            <w:r w:rsidRPr="00F23947">
              <w:rPr>
                <w:rFonts w:ascii="Arial Narrow" w:hAnsi="Arial Narrow"/>
                <w:b/>
                <w:sz w:val="20"/>
              </w:rPr>
              <w:t>Dispensed Price for Max. Qty</w:t>
            </w:r>
          </w:p>
        </w:tc>
        <w:tc>
          <w:tcPr>
            <w:tcW w:w="3119" w:type="dxa"/>
            <w:gridSpan w:val="2"/>
            <w:tcBorders>
              <w:bottom w:val="single" w:sz="4" w:space="0" w:color="auto"/>
            </w:tcBorders>
          </w:tcPr>
          <w:p w:rsidR="002D7E08" w:rsidRPr="00F23947" w:rsidRDefault="002D7E08" w:rsidP="002D7E08">
            <w:pPr>
              <w:keepNext/>
              <w:jc w:val="left"/>
              <w:rPr>
                <w:rFonts w:ascii="Arial Narrow" w:hAnsi="Arial Narrow"/>
                <w:b/>
                <w:sz w:val="20"/>
                <w:lang w:val="fr-FR"/>
              </w:rPr>
            </w:pPr>
            <w:r w:rsidRPr="00F23947">
              <w:rPr>
                <w:rFonts w:ascii="Arial Narrow" w:hAnsi="Arial Narrow"/>
                <w:b/>
                <w:sz w:val="20"/>
              </w:rPr>
              <w:t>Proprietary Name and Manufacturer</w:t>
            </w:r>
          </w:p>
        </w:tc>
      </w:tr>
      <w:tr w:rsidR="002D7E08" w:rsidRPr="00C254D9" w:rsidTr="00A447A9">
        <w:trPr>
          <w:cantSplit/>
          <w:trHeight w:val="577"/>
        </w:trPr>
        <w:tc>
          <w:tcPr>
            <w:tcW w:w="3119" w:type="dxa"/>
          </w:tcPr>
          <w:p w:rsidR="002D7E08" w:rsidRDefault="002D7E08" w:rsidP="002D7E08">
            <w:pPr>
              <w:keepNext/>
              <w:ind w:left="-108"/>
              <w:rPr>
                <w:rFonts w:ascii="Arial Narrow" w:hAnsi="Arial Narrow"/>
                <w:smallCaps/>
                <w:color w:val="FF0000"/>
                <w:sz w:val="20"/>
              </w:rPr>
            </w:pPr>
            <w:r>
              <w:rPr>
                <w:rFonts w:ascii="Arial Narrow" w:hAnsi="Arial Narrow"/>
                <w:smallCaps/>
                <w:sz w:val="20"/>
              </w:rPr>
              <w:t>Brolucizumab</w:t>
            </w:r>
          </w:p>
          <w:p w:rsidR="002D7E08" w:rsidRPr="008B3257" w:rsidRDefault="002D7E08" w:rsidP="002D7E08">
            <w:pPr>
              <w:keepNext/>
              <w:ind w:left="-108"/>
              <w:rPr>
                <w:rFonts w:ascii="Arial Narrow" w:hAnsi="Arial Narrow"/>
                <w:color w:val="FF0000"/>
                <w:sz w:val="20"/>
              </w:rPr>
            </w:pPr>
            <w:r w:rsidRPr="00EE630C">
              <w:rPr>
                <w:rFonts w:ascii="Arial Narrow" w:hAnsi="Arial Narrow" w:cstheme="minorHAnsi"/>
                <w:sz w:val="20"/>
              </w:rPr>
              <w:t>19.8</w:t>
            </w:r>
            <w:r>
              <w:rPr>
                <w:rFonts w:ascii="Arial Narrow" w:hAnsi="Arial Narrow" w:cstheme="minorHAnsi"/>
                <w:sz w:val="20"/>
              </w:rPr>
              <w:t xml:space="preserve"> </w:t>
            </w:r>
            <w:r w:rsidRPr="00EE630C">
              <w:rPr>
                <w:rFonts w:ascii="Arial Narrow" w:hAnsi="Arial Narrow" w:cstheme="minorHAnsi"/>
                <w:sz w:val="20"/>
              </w:rPr>
              <w:t>mg in 0.165</w:t>
            </w:r>
            <w:r>
              <w:rPr>
                <w:rFonts w:ascii="Arial Narrow" w:hAnsi="Arial Narrow" w:cstheme="minorHAnsi"/>
                <w:sz w:val="20"/>
              </w:rPr>
              <w:t xml:space="preserve"> </w:t>
            </w:r>
            <w:r w:rsidRPr="00EE630C">
              <w:rPr>
                <w:rFonts w:ascii="Arial Narrow" w:hAnsi="Arial Narrow" w:cstheme="minorHAnsi"/>
                <w:sz w:val="20"/>
              </w:rPr>
              <w:t>mL syringe</w:t>
            </w:r>
          </w:p>
        </w:tc>
        <w:tc>
          <w:tcPr>
            <w:tcW w:w="567" w:type="dxa"/>
          </w:tcPr>
          <w:p w:rsidR="002D7E08" w:rsidRPr="00C254D9" w:rsidRDefault="002D7E08" w:rsidP="002D7E08">
            <w:pPr>
              <w:keepNext/>
              <w:ind w:left="-108"/>
              <w:rPr>
                <w:rFonts w:ascii="Arial Narrow" w:hAnsi="Arial Narrow"/>
                <w:sz w:val="20"/>
              </w:rPr>
            </w:pPr>
          </w:p>
          <w:p w:rsidR="002D7E08" w:rsidRPr="00C254D9" w:rsidRDefault="002D7E08" w:rsidP="002D7E08">
            <w:pPr>
              <w:keepNext/>
              <w:ind w:left="-108"/>
              <w:rPr>
                <w:rFonts w:ascii="Arial Narrow" w:hAnsi="Arial Narrow"/>
                <w:sz w:val="20"/>
              </w:rPr>
            </w:pPr>
            <w:r>
              <w:rPr>
                <w:rFonts w:ascii="Arial Narrow" w:hAnsi="Arial Narrow"/>
                <w:sz w:val="20"/>
              </w:rPr>
              <w:t>1</w:t>
            </w:r>
          </w:p>
        </w:tc>
        <w:tc>
          <w:tcPr>
            <w:tcW w:w="850" w:type="dxa"/>
          </w:tcPr>
          <w:p w:rsidR="002D7E08" w:rsidRPr="00C254D9" w:rsidRDefault="002D7E08" w:rsidP="002D7E08">
            <w:pPr>
              <w:keepNext/>
              <w:ind w:left="-108"/>
              <w:rPr>
                <w:rFonts w:ascii="Arial Narrow" w:hAnsi="Arial Narrow"/>
                <w:sz w:val="20"/>
              </w:rPr>
            </w:pPr>
          </w:p>
          <w:p w:rsidR="002D7E08" w:rsidRPr="00C254D9" w:rsidRDefault="002D7E08" w:rsidP="002D7E08">
            <w:pPr>
              <w:keepNext/>
              <w:ind w:left="-108"/>
              <w:rPr>
                <w:rFonts w:ascii="Arial Narrow" w:hAnsi="Arial Narrow"/>
                <w:sz w:val="20"/>
              </w:rPr>
            </w:pPr>
            <w:r>
              <w:rPr>
                <w:rFonts w:ascii="Arial Narrow" w:hAnsi="Arial Narrow"/>
                <w:sz w:val="20"/>
              </w:rPr>
              <w:t>2</w:t>
            </w:r>
          </w:p>
        </w:tc>
        <w:tc>
          <w:tcPr>
            <w:tcW w:w="1701" w:type="dxa"/>
          </w:tcPr>
          <w:p w:rsidR="002D7E08" w:rsidRPr="00EE630C" w:rsidRDefault="002D7E08" w:rsidP="002D7E08">
            <w:pPr>
              <w:keepNext/>
              <w:ind w:left="-108"/>
              <w:rPr>
                <w:rFonts w:ascii="Arial Narrow" w:hAnsi="Arial Narrow"/>
                <w:sz w:val="20"/>
              </w:rPr>
            </w:pPr>
            <w:r>
              <w:rPr>
                <w:rFonts w:ascii="Arial Narrow" w:hAnsi="Arial Narrow"/>
                <w:sz w:val="20"/>
              </w:rPr>
              <w:t>Effective: $</w:t>
            </w:r>
            <w:r w:rsidR="005D7DE1">
              <w:rPr>
                <w:rFonts w:ascii="Arial Narrow" w:hAnsi="Arial Narrow"/>
                <w:noProof/>
                <w:color w:val="000000"/>
                <w:sz w:val="20"/>
                <w:highlight w:val="black"/>
              </w:rPr>
              <w:t>''''''''''''''''</w:t>
            </w:r>
          </w:p>
          <w:p w:rsidR="002D7E08" w:rsidRPr="00C254D9" w:rsidRDefault="002D7E08" w:rsidP="002D7E08">
            <w:pPr>
              <w:keepNext/>
              <w:ind w:left="-108"/>
              <w:rPr>
                <w:rFonts w:ascii="Arial Narrow" w:hAnsi="Arial Narrow"/>
                <w:sz w:val="20"/>
              </w:rPr>
            </w:pPr>
            <w:r w:rsidRPr="00EE630C">
              <w:rPr>
                <w:rFonts w:ascii="Arial Narrow" w:hAnsi="Arial Narrow" w:cstheme="minorHAnsi"/>
                <w:sz w:val="20"/>
              </w:rPr>
              <w:t>Published:</w:t>
            </w:r>
            <w:r>
              <w:rPr>
                <w:rFonts w:ascii="Arial Narrow" w:hAnsi="Arial Narrow" w:cstheme="minorHAnsi"/>
                <w:sz w:val="20"/>
              </w:rPr>
              <w:t xml:space="preserve"> $</w:t>
            </w:r>
            <w:r w:rsidR="005D7DE1">
              <w:rPr>
                <w:rFonts w:ascii="Arial Narrow" w:hAnsi="Arial Narrow" w:cstheme="minorHAnsi"/>
                <w:noProof/>
                <w:color w:val="000000"/>
                <w:sz w:val="20"/>
                <w:highlight w:val="black"/>
              </w:rPr>
              <w:t>''''''''''''''''''</w:t>
            </w:r>
          </w:p>
        </w:tc>
        <w:tc>
          <w:tcPr>
            <w:tcW w:w="1559" w:type="dxa"/>
          </w:tcPr>
          <w:p w:rsidR="002D7E08" w:rsidRPr="00C254D9" w:rsidRDefault="002D7E08" w:rsidP="002D7E08">
            <w:pPr>
              <w:keepNext/>
              <w:rPr>
                <w:rFonts w:ascii="Arial Narrow" w:hAnsi="Arial Narrow"/>
                <w:sz w:val="20"/>
              </w:rPr>
            </w:pPr>
            <w:r>
              <w:rPr>
                <w:rFonts w:ascii="Arial Narrow" w:hAnsi="Arial Narrow"/>
                <w:sz w:val="20"/>
              </w:rPr>
              <w:t>B</w:t>
            </w:r>
            <w:r w:rsidRPr="00EE630C">
              <w:rPr>
                <w:rFonts w:ascii="Arial Narrow" w:hAnsi="Arial Narrow" w:cstheme="minorHAnsi"/>
                <w:sz w:val="20"/>
              </w:rPr>
              <w:t>eovu</w:t>
            </w:r>
          </w:p>
        </w:tc>
        <w:tc>
          <w:tcPr>
            <w:tcW w:w="1560" w:type="dxa"/>
          </w:tcPr>
          <w:p w:rsidR="002D7E08" w:rsidRPr="00C254D9" w:rsidRDefault="002D7E08" w:rsidP="00012F56">
            <w:pPr>
              <w:keepNext/>
              <w:jc w:val="left"/>
              <w:rPr>
                <w:rFonts w:ascii="Arial Narrow" w:hAnsi="Arial Narrow"/>
                <w:sz w:val="20"/>
              </w:rPr>
            </w:pPr>
            <w:r>
              <w:rPr>
                <w:rFonts w:ascii="Arial Narrow" w:hAnsi="Arial Narrow"/>
                <w:sz w:val="20"/>
              </w:rPr>
              <w:t>Novartis Australia Pty Ltd</w:t>
            </w:r>
          </w:p>
        </w:tc>
      </w:tr>
    </w:tbl>
    <w:p w:rsidR="002D7E08" w:rsidRPr="00EE630C" w:rsidRDefault="002D7E08" w:rsidP="002D7E08">
      <w:pPr>
        <w:pStyle w:val="PBACcaption"/>
        <w:rPr>
          <w:rFonts w:ascii="Arial Narrow" w:hAnsi="Arial Narrow" w:cstheme="minorHAnsi"/>
          <w:b w:val="0"/>
          <w:sz w:val="20"/>
          <w:szCs w:val="20"/>
        </w:rPr>
      </w:pPr>
    </w:p>
    <w:tbl>
      <w:tblPr>
        <w:tblW w:w="9390" w:type="dxa"/>
        <w:tblInd w:w="103" w:type="dxa"/>
        <w:tblLayout w:type="fixed"/>
        <w:tblLook w:val="0000" w:firstRow="0" w:lastRow="0" w:firstColumn="0" w:lastColumn="0" w:noHBand="0" w:noVBand="0"/>
      </w:tblPr>
      <w:tblGrid>
        <w:gridCol w:w="1877"/>
        <w:gridCol w:w="7513"/>
      </w:tblGrid>
      <w:tr w:rsidR="002D7E08" w:rsidRPr="00EE630C" w:rsidTr="002D7E08">
        <w:trPr>
          <w:cantSplit/>
          <w:trHeight w:val="360"/>
        </w:trPr>
        <w:tc>
          <w:tcPr>
            <w:tcW w:w="1877"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b/>
                <w:sz w:val="20"/>
              </w:rPr>
              <w:t>Category / Program:</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sz w:val="20"/>
              </w:rPr>
              <w:t>GENERAL – General Schedule (Code GE)</w:t>
            </w:r>
          </w:p>
        </w:tc>
      </w:tr>
      <w:tr w:rsidR="002D7E08" w:rsidRPr="00EE630C" w:rsidTr="002D7E08">
        <w:trPr>
          <w:cantSplit/>
          <w:trHeight w:val="360"/>
        </w:trPr>
        <w:tc>
          <w:tcPr>
            <w:tcW w:w="1877" w:type="dxa"/>
            <w:tcBorders>
              <w:top w:val="single" w:sz="4" w:space="0" w:color="auto"/>
              <w:left w:val="single" w:sz="4" w:space="0" w:color="auto"/>
              <w:bottom w:val="single" w:sz="4" w:space="0" w:color="auto"/>
              <w:right w:val="single" w:sz="4" w:space="0" w:color="auto"/>
            </w:tcBorders>
          </w:tcPr>
          <w:p w:rsidR="002D7E08" w:rsidRPr="008E4593" w:rsidRDefault="002D7E08" w:rsidP="002D7E08">
            <w:pPr>
              <w:rPr>
                <w:rFonts w:ascii="Arial Narrow" w:hAnsi="Arial Narrow"/>
                <w:b/>
                <w:sz w:val="20"/>
              </w:rPr>
            </w:pPr>
            <w:r w:rsidRPr="00EE630C">
              <w:rPr>
                <w:rFonts w:ascii="Arial Narrow" w:hAnsi="Arial Narrow"/>
                <w:b/>
                <w:sz w:val="20"/>
              </w:rPr>
              <w:lastRenderedPageBreak/>
              <w:t>Prescriber type:</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sz w:val="20"/>
              </w:rPr>
              <w:fldChar w:fldCharType="begin">
                <w:ffData>
                  <w:name w:val="Check1"/>
                  <w:enabled/>
                  <w:calcOnExit w:val="0"/>
                  <w:checkBox>
                    <w:sizeAuto/>
                    <w:default w:val="0"/>
                  </w:checkBox>
                </w:ffData>
              </w:fldChar>
            </w:r>
            <w:r w:rsidRPr="00EE630C">
              <w:rPr>
                <w:rFonts w:ascii="Arial Narrow" w:hAnsi="Arial Narrow"/>
                <w:sz w:val="20"/>
              </w:rPr>
              <w:instrText xml:space="preserve"> FORMCHECKBOX </w:instrText>
            </w:r>
            <w:r w:rsidR="008872C1">
              <w:rPr>
                <w:rFonts w:ascii="Arial Narrow" w:hAnsi="Arial Narrow"/>
                <w:sz w:val="20"/>
              </w:rPr>
            </w:r>
            <w:r w:rsidR="008872C1">
              <w:rPr>
                <w:rFonts w:ascii="Arial Narrow" w:hAnsi="Arial Narrow"/>
                <w:sz w:val="20"/>
              </w:rPr>
              <w:fldChar w:fldCharType="separate"/>
            </w:r>
            <w:r w:rsidRPr="00EE630C">
              <w:rPr>
                <w:rFonts w:ascii="Arial Narrow" w:hAnsi="Arial Narrow"/>
                <w:sz w:val="20"/>
              </w:rPr>
              <w:fldChar w:fldCharType="end"/>
            </w:r>
            <w:r w:rsidRPr="00EE630C">
              <w:rPr>
                <w:rFonts w:ascii="Arial Narrow" w:hAnsi="Arial Narrow"/>
                <w:sz w:val="20"/>
              </w:rPr>
              <w:t xml:space="preserve">Dental  </w:t>
            </w:r>
            <w:r w:rsidRPr="00EE630C">
              <w:rPr>
                <w:rFonts w:ascii="Arial Narrow" w:hAnsi="Arial Narrow"/>
                <w:sz w:val="20"/>
              </w:rPr>
              <w:fldChar w:fldCharType="begin">
                <w:ffData>
                  <w:name w:val=""/>
                  <w:enabled/>
                  <w:calcOnExit w:val="0"/>
                  <w:checkBox>
                    <w:sizeAuto/>
                    <w:default w:val="1"/>
                  </w:checkBox>
                </w:ffData>
              </w:fldChar>
            </w:r>
            <w:r w:rsidRPr="00EE630C">
              <w:rPr>
                <w:rFonts w:ascii="Arial Narrow" w:hAnsi="Arial Narrow"/>
                <w:sz w:val="20"/>
              </w:rPr>
              <w:instrText xml:space="preserve"> FORMCHECKBOX </w:instrText>
            </w:r>
            <w:r w:rsidR="008872C1">
              <w:rPr>
                <w:rFonts w:ascii="Arial Narrow" w:hAnsi="Arial Narrow"/>
                <w:sz w:val="20"/>
              </w:rPr>
            </w:r>
            <w:r w:rsidR="008872C1">
              <w:rPr>
                <w:rFonts w:ascii="Arial Narrow" w:hAnsi="Arial Narrow"/>
                <w:sz w:val="20"/>
              </w:rPr>
              <w:fldChar w:fldCharType="separate"/>
            </w:r>
            <w:r w:rsidRPr="00EE630C">
              <w:rPr>
                <w:rFonts w:ascii="Arial Narrow" w:hAnsi="Arial Narrow"/>
                <w:sz w:val="20"/>
              </w:rPr>
              <w:fldChar w:fldCharType="end"/>
            </w:r>
            <w:r w:rsidRPr="00EE630C">
              <w:rPr>
                <w:rFonts w:ascii="Arial Narrow" w:hAnsi="Arial Narrow"/>
                <w:sz w:val="20"/>
              </w:rPr>
              <w:t xml:space="preserve">Medical Practitioners  </w:t>
            </w:r>
            <w:r w:rsidRPr="00EE630C">
              <w:rPr>
                <w:rFonts w:ascii="Arial Narrow" w:hAnsi="Arial Narrow"/>
                <w:sz w:val="20"/>
              </w:rPr>
              <w:fldChar w:fldCharType="begin">
                <w:ffData>
                  <w:name w:val="Check3"/>
                  <w:enabled/>
                  <w:calcOnExit w:val="0"/>
                  <w:checkBox>
                    <w:sizeAuto/>
                    <w:default w:val="0"/>
                  </w:checkBox>
                </w:ffData>
              </w:fldChar>
            </w:r>
            <w:r w:rsidRPr="00EE630C">
              <w:rPr>
                <w:rFonts w:ascii="Arial Narrow" w:hAnsi="Arial Narrow"/>
                <w:sz w:val="20"/>
              </w:rPr>
              <w:instrText xml:space="preserve"> FORMCHECKBOX </w:instrText>
            </w:r>
            <w:r w:rsidR="008872C1">
              <w:rPr>
                <w:rFonts w:ascii="Arial Narrow" w:hAnsi="Arial Narrow"/>
                <w:sz w:val="20"/>
              </w:rPr>
            </w:r>
            <w:r w:rsidR="008872C1">
              <w:rPr>
                <w:rFonts w:ascii="Arial Narrow" w:hAnsi="Arial Narrow"/>
                <w:sz w:val="20"/>
              </w:rPr>
              <w:fldChar w:fldCharType="separate"/>
            </w:r>
            <w:r w:rsidRPr="00EE630C">
              <w:rPr>
                <w:rFonts w:ascii="Arial Narrow" w:hAnsi="Arial Narrow"/>
                <w:sz w:val="20"/>
              </w:rPr>
              <w:fldChar w:fldCharType="end"/>
            </w:r>
            <w:r w:rsidRPr="00EE630C">
              <w:rPr>
                <w:rFonts w:ascii="Arial Narrow" w:hAnsi="Arial Narrow"/>
                <w:sz w:val="20"/>
              </w:rPr>
              <w:t xml:space="preserve">Nurse practitioners  </w:t>
            </w:r>
            <w:r w:rsidRPr="00EE630C">
              <w:rPr>
                <w:rFonts w:ascii="Arial Narrow" w:hAnsi="Arial Narrow"/>
                <w:sz w:val="20"/>
              </w:rPr>
              <w:fldChar w:fldCharType="begin">
                <w:ffData>
                  <w:name w:val=""/>
                  <w:enabled/>
                  <w:calcOnExit w:val="0"/>
                  <w:checkBox>
                    <w:sizeAuto/>
                    <w:default w:val="0"/>
                  </w:checkBox>
                </w:ffData>
              </w:fldChar>
            </w:r>
            <w:r w:rsidRPr="00EE630C">
              <w:rPr>
                <w:rFonts w:ascii="Arial Narrow" w:hAnsi="Arial Narrow"/>
                <w:sz w:val="20"/>
              </w:rPr>
              <w:instrText xml:space="preserve"> FORMCHECKBOX </w:instrText>
            </w:r>
            <w:r w:rsidR="008872C1">
              <w:rPr>
                <w:rFonts w:ascii="Arial Narrow" w:hAnsi="Arial Narrow"/>
                <w:sz w:val="20"/>
              </w:rPr>
            </w:r>
            <w:r w:rsidR="008872C1">
              <w:rPr>
                <w:rFonts w:ascii="Arial Narrow" w:hAnsi="Arial Narrow"/>
                <w:sz w:val="20"/>
              </w:rPr>
              <w:fldChar w:fldCharType="separate"/>
            </w:r>
            <w:r w:rsidRPr="00EE630C">
              <w:rPr>
                <w:rFonts w:ascii="Arial Narrow" w:hAnsi="Arial Narrow"/>
                <w:sz w:val="20"/>
              </w:rPr>
              <w:fldChar w:fldCharType="end"/>
            </w:r>
            <w:r w:rsidRPr="00EE630C">
              <w:rPr>
                <w:rFonts w:ascii="Arial Narrow" w:hAnsi="Arial Narrow"/>
                <w:sz w:val="20"/>
              </w:rPr>
              <w:t>Optometrists</w:t>
            </w:r>
            <w:r>
              <w:rPr>
                <w:rFonts w:ascii="Arial Narrow" w:hAnsi="Arial Narrow"/>
                <w:sz w:val="20"/>
              </w:rPr>
              <w:t xml:space="preserve"> </w:t>
            </w:r>
            <w:r w:rsidRPr="00EE630C">
              <w:rPr>
                <w:rFonts w:ascii="Arial Narrow" w:hAnsi="Arial Narrow"/>
                <w:sz w:val="20"/>
              </w:rPr>
              <w:fldChar w:fldCharType="begin">
                <w:ffData>
                  <w:name w:val="Check5"/>
                  <w:enabled/>
                  <w:calcOnExit w:val="0"/>
                  <w:checkBox>
                    <w:sizeAuto/>
                    <w:default w:val="0"/>
                  </w:checkBox>
                </w:ffData>
              </w:fldChar>
            </w:r>
            <w:r w:rsidRPr="00EE630C">
              <w:rPr>
                <w:rFonts w:ascii="Arial Narrow" w:hAnsi="Arial Narrow"/>
                <w:sz w:val="20"/>
              </w:rPr>
              <w:instrText xml:space="preserve"> FORMCHECKBOX </w:instrText>
            </w:r>
            <w:r w:rsidR="008872C1">
              <w:rPr>
                <w:rFonts w:ascii="Arial Narrow" w:hAnsi="Arial Narrow"/>
                <w:sz w:val="20"/>
              </w:rPr>
            </w:r>
            <w:r w:rsidR="008872C1">
              <w:rPr>
                <w:rFonts w:ascii="Arial Narrow" w:hAnsi="Arial Narrow"/>
                <w:sz w:val="20"/>
              </w:rPr>
              <w:fldChar w:fldCharType="separate"/>
            </w:r>
            <w:r w:rsidRPr="00EE630C">
              <w:rPr>
                <w:rFonts w:ascii="Arial Narrow" w:hAnsi="Arial Narrow"/>
                <w:sz w:val="20"/>
              </w:rPr>
              <w:fldChar w:fldCharType="end"/>
            </w:r>
            <w:r w:rsidRPr="00EE630C">
              <w:rPr>
                <w:rFonts w:ascii="Arial Narrow" w:hAnsi="Arial Narrow"/>
                <w:sz w:val="20"/>
              </w:rPr>
              <w:t>Midwives</w:t>
            </w:r>
          </w:p>
        </w:tc>
      </w:tr>
      <w:tr w:rsidR="002D7E08" w:rsidRPr="00EE630C" w:rsidTr="002D7E08">
        <w:trPr>
          <w:cantSplit/>
          <w:trHeight w:val="360"/>
        </w:trPr>
        <w:tc>
          <w:tcPr>
            <w:tcW w:w="1877"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b/>
                <w:sz w:val="20"/>
              </w:rPr>
              <w:t>Condition:</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sz w:val="20"/>
              </w:rPr>
              <w:t>Subfoveal choroidal neovascularisation</w:t>
            </w:r>
          </w:p>
        </w:tc>
      </w:tr>
      <w:tr w:rsidR="002D7E08" w:rsidRPr="00EE630C" w:rsidTr="002D7E08">
        <w:trPr>
          <w:cantSplit/>
          <w:trHeight w:val="360"/>
        </w:trPr>
        <w:tc>
          <w:tcPr>
            <w:tcW w:w="1877"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b/>
                <w:sz w:val="20"/>
              </w:rPr>
              <w:t>PBS Indication:</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sz w:val="20"/>
              </w:rPr>
              <w:t>Subfoveal choroidal neovascularisation</w:t>
            </w:r>
          </w:p>
        </w:tc>
      </w:tr>
      <w:tr w:rsidR="002D7E08" w:rsidRPr="00EE630C" w:rsidTr="002D7E08">
        <w:trPr>
          <w:cantSplit/>
          <w:trHeight w:val="360"/>
        </w:trPr>
        <w:tc>
          <w:tcPr>
            <w:tcW w:w="1877"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b/>
                <w:sz w:val="20"/>
              </w:rPr>
            </w:pPr>
            <w:r w:rsidRPr="00EE630C">
              <w:rPr>
                <w:rFonts w:ascii="Arial Narrow" w:hAnsi="Arial Narrow" w:cstheme="minorHAnsi"/>
                <w:b/>
                <w:sz w:val="20"/>
              </w:rPr>
              <w:t>Treatment phase:</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cstheme="minorHAnsi"/>
                <w:sz w:val="20"/>
              </w:rPr>
              <w:t xml:space="preserve">Initial </w:t>
            </w:r>
            <w:r w:rsidRPr="00EE630C">
              <w:rPr>
                <w:rFonts w:ascii="Arial Narrow" w:hAnsi="Arial Narrow" w:cstheme="minorHAnsi"/>
                <w:i/>
                <w:sz w:val="20"/>
              </w:rPr>
              <w:t>treatment</w:t>
            </w:r>
          </w:p>
        </w:tc>
      </w:tr>
      <w:tr w:rsidR="002D7E08" w:rsidRPr="00EE630C" w:rsidTr="002D7E08">
        <w:trPr>
          <w:cantSplit/>
          <w:trHeight w:val="360"/>
        </w:trPr>
        <w:tc>
          <w:tcPr>
            <w:tcW w:w="1877"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b/>
                <w:sz w:val="20"/>
              </w:rPr>
            </w:pPr>
            <w:r w:rsidRPr="00EE630C">
              <w:rPr>
                <w:rFonts w:ascii="Arial Narrow" w:hAnsi="Arial Narrow" w:cstheme="minorHAnsi"/>
                <w:b/>
                <w:sz w:val="20"/>
              </w:rPr>
              <w:t>Restriction Level:</w:t>
            </w:r>
          </w:p>
          <w:p w:rsidR="002D7E08" w:rsidRPr="00EE630C" w:rsidRDefault="002D7E08" w:rsidP="002D7E08">
            <w:pPr>
              <w:rPr>
                <w:rFonts w:ascii="Arial Narrow" w:hAnsi="Arial Narrow" w:cstheme="minorHAnsi"/>
                <w:sz w:val="20"/>
              </w:rPr>
            </w:pP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cstheme="minorHAnsi"/>
                <w:sz w:val="20"/>
              </w:rPr>
              <w:fldChar w:fldCharType="begin">
                <w:ffData>
                  <w:name w:val=""/>
                  <w:enabled/>
                  <w:calcOnExit w:val="0"/>
                  <w:checkBox>
                    <w:sizeAuto/>
                    <w:default w:val="1"/>
                  </w:checkBox>
                </w:ffData>
              </w:fldChar>
            </w:r>
            <w:r w:rsidRPr="00EE630C">
              <w:rPr>
                <w:rFonts w:ascii="Arial Narrow" w:hAnsi="Arial Narrow" w:cstheme="minorHAnsi"/>
                <w:sz w:val="20"/>
              </w:rPr>
              <w:instrText xml:space="preserve"> FORMCHECKBOX </w:instrText>
            </w:r>
            <w:r w:rsidR="008872C1">
              <w:rPr>
                <w:rFonts w:ascii="Arial Narrow" w:hAnsi="Arial Narrow" w:cstheme="minorHAnsi"/>
                <w:sz w:val="20"/>
              </w:rPr>
            </w:r>
            <w:r w:rsidR="008872C1">
              <w:rPr>
                <w:rFonts w:ascii="Arial Narrow" w:hAnsi="Arial Narrow" w:cstheme="minorHAnsi"/>
                <w:sz w:val="20"/>
              </w:rPr>
              <w:fldChar w:fldCharType="separate"/>
            </w:r>
            <w:r w:rsidRPr="00EE630C">
              <w:rPr>
                <w:rFonts w:ascii="Arial Narrow" w:hAnsi="Arial Narrow" w:cstheme="minorHAnsi"/>
                <w:sz w:val="20"/>
              </w:rPr>
              <w:fldChar w:fldCharType="end"/>
            </w:r>
            <w:r w:rsidRPr="00EE630C">
              <w:rPr>
                <w:rFonts w:ascii="Arial Narrow" w:hAnsi="Arial Narrow" w:cstheme="minorHAnsi"/>
                <w:sz w:val="20"/>
              </w:rPr>
              <w:t>Authority Required - In Writing</w:t>
            </w:r>
          </w:p>
          <w:p w:rsidR="002D7E08" w:rsidRPr="008E4593" w:rsidRDefault="002D7E08" w:rsidP="002D7E08">
            <w:pPr>
              <w:rPr>
                <w:rFonts w:ascii="Arial Narrow" w:hAnsi="Arial Narrow" w:cstheme="minorHAnsi"/>
                <w:i/>
                <w:sz w:val="20"/>
              </w:rPr>
            </w:pPr>
            <w:r w:rsidRPr="00EE630C">
              <w:rPr>
                <w:rFonts w:ascii="Arial Narrow" w:hAnsi="Arial Narrow" w:cstheme="minorHAnsi"/>
                <w:sz w:val="20"/>
              </w:rPr>
              <w:fldChar w:fldCharType="begin">
                <w:ffData>
                  <w:name w:val="Check3"/>
                  <w:enabled/>
                  <w:calcOnExit w:val="0"/>
                  <w:checkBox>
                    <w:sizeAuto/>
                    <w:default w:val="1"/>
                  </w:checkBox>
                </w:ffData>
              </w:fldChar>
            </w:r>
            <w:r w:rsidRPr="00EE630C">
              <w:rPr>
                <w:rFonts w:ascii="Arial Narrow" w:hAnsi="Arial Narrow" w:cstheme="minorHAnsi"/>
                <w:sz w:val="20"/>
              </w:rPr>
              <w:instrText xml:space="preserve"> FORMCHECKBOX </w:instrText>
            </w:r>
            <w:r w:rsidR="008872C1">
              <w:rPr>
                <w:rFonts w:ascii="Arial Narrow" w:hAnsi="Arial Narrow" w:cstheme="minorHAnsi"/>
                <w:sz w:val="20"/>
              </w:rPr>
            </w:r>
            <w:r w:rsidR="008872C1">
              <w:rPr>
                <w:rFonts w:ascii="Arial Narrow" w:hAnsi="Arial Narrow" w:cstheme="minorHAnsi"/>
                <w:sz w:val="20"/>
              </w:rPr>
              <w:fldChar w:fldCharType="separate"/>
            </w:r>
            <w:r w:rsidRPr="00EE630C">
              <w:rPr>
                <w:rFonts w:ascii="Arial Narrow" w:hAnsi="Arial Narrow" w:cstheme="minorHAnsi"/>
                <w:sz w:val="20"/>
              </w:rPr>
              <w:fldChar w:fldCharType="end"/>
            </w:r>
            <w:r w:rsidRPr="00EE630C">
              <w:rPr>
                <w:rFonts w:ascii="Arial Narrow" w:hAnsi="Arial Narrow" w:cstheme="minorHAnsi"/>
                <w:sz w:val="20"/>
              </w:rPr>
              <w:t xml:space="preserve">Authority Required </w:t>
            </w:r>
            <w:r>
              <w:rPr>
                <w:rFonts w:ascii="Arial Narrow" w:hAnsi="Arial Narrow" w:cstheme="minorHAnsi"/>
                <w:sz w:val="20"/>
              </w:rPr>
              <w:t>-</w:t>
            </w:r>
            <w:r w:rsidRPr="00EE630C">
              <w:rPr>
                <w:rFonts w:ascii="Arial Narrow" w:hAnsi="Arial Narrow" w:cstheme="minorHAnsi"/>
                <w:sz w:val="20"/>
              </w:rPr>
              <w:t xml:space="preserve"> Telephone</w:t>
            </w:r>
          </w:p>
        </w:tc>
      </w:tr>
      <w:tr w:rsidR="002D7E08" w:rsidRPr="00EE630C" w:rsidTr="002D7E08">
        <w:trPr>
          <w:cantSplit/>
          <w:trHeight w:val="360"/>
        </w:trPr>
        <w:tc>
          <w:tcPr>
            <w:tcW w:w="1877"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b/>
                <w:sz w:val="20"/>
              </w:rPr>
            </w:pPr>
            <w:r w:rsidRPr="00EE630C">
              <w:rPr>
                <w:rFonts w:ascii="Arial Narrow" w:hAnsi="Arial Narrow" w:cstheme="minorHAnsi"/>
                <w:b/>
                <w:sz w:val="20"/>
              </w:rPr>
              <w:t>Treatment criteria:</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cstheme="minorHAnsi"/>
                <w:sz w:val="20"/>
              </w:rPr>
              <w:t>Must be treated by an ophthalmologist or in consultation with an ophthalmologist.</w:t>
            </w:r>
          </w:p>
        </w:tc>
      </w:tr>
      <w:tr w:rsidR="002D7E08" w:rsidRPr="00EE630C" w:rsidTr="002D7E08">
        <w:trPr>
          <w:cantSplit/>
          <w:trHeight w:val="360"/>
        </w:trPr>
        <w:tc>
          <w:tcPr>
            <w:tcW w:w="1877"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b/>
                <w:sz w:val="20"/>
              </w:rPr>
            </w:pPr>
            <w:r w:rsidRPr="00EE630C">
              <w:rPr>
                <w:rFonts w:ascii="Arial Narrow" w:hAnsi="Arial Narrow" w:cstheme="minorHAnsi"/>
                <w:b/>
                <w:sz w:val="20"/>
              </w:rPr>
              <w:t>Clinical criteria:</w:t>
            </w:r>
          </w:p>
          <w:p w:rsidR="002D7E08" w:rsidRPr="00EE630C" w:rsidRDefault="002D7E08" w:rsidP="002D7E08">
            <w:pPr>
              <w:rPr>
                <w:rFonts w:ascii="Arial Narrow" w:hAnsi="Arial Narrow" w:cstheme="minorHAnsi"/>
                <w:i/>
                <w:sz w:val="20"/>
              </w:rPr>
            </w:pPr>
          </w:p>
          <w:p w:rsidR="002D7E08" w:rsidRPr="00EE630C" w:rsidRDefault="002D7E08" w:rsidP="002D7E08">
            <w:pPr>
              <w:rPr>
                <w:rFonts w:ascii="Arial Narrow" w:hAnsi="Arial Narrow" w:cstheme="minorHAnsi"/>
                <w:sz w:val="20"/>
              </w:rPr>
            </w:pP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cstheme="minorHAnsi"/>
                <w:sz w:val="20"/>
              </w:rPr>
              <w:t>The condition must be due to age-related macular degeneration (AMD),</w:t>
            </w: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AND</w:t>
            </w: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The condition must be diagnosed by optical coherence tomography; OR</w:t>
            </w: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The condition must be diagnosed by fluorescein angiography,</w:t>
            </w: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AND</w:t>
            </w: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The treatment must be the sole PBS-subsidised therapy for this condition.</w:t>
            </w:r>
          </w:p>
        </w:tc>
      </w:tr>
      <w:tr w:rsidR="002D7E08" w:rsidRPr="00EE630C" w:rsidTr="002D7E08">
        <w:trPr>
          <w:cantSplit/>
          <w:trHeight w:val="360"/>
        </w:trPr>
        <w:tc>
          <w:tcPr>
            <w:tcW w:w="1877" w:type="dxa"/>
            <w:tcBorders>
              <w:top w:val="single" w:sz="4" w:space="0" w:color="auto"/>
              <w:left w:val="single" w:sz="4" w:space="0" w:color="auto"/>
              <w:bottom w:val="single" w:sz="4" w:space="0" w:color="auto"/>
              <w:right w:val="single" w:sz="4" w:space="0" w:color="auto"/>
            </w:tcBorders>
          </w:tcPr>
          <w:p w:rsidR="002D7E08" w:rsidRPr="008E4593" w:rsidRDefault="002D7E08" w:rsidP="002D7E08">
            <w:pPr>
              <w:rPr>
                <w:rFonts w:ascii="Arial Narrow" w:hAnsi="Arial Narrow" w:cstheme="minorHAnsi"/>
                <w:b/>
                <w:strike/>
                <w:sz w:val="20"/>
              </w:rPr>
            </w:pPr>
            <w:r w:rsidRPr="00EE630C">
              <w:rPr>
                <w:rFonts w:ascii="Arial Narrow" w:hAnsi="Arial Narrow" w:cstheme="minorHAnsi"/>
                <w:b/>
                <w:strike/>
                <w:sz w:val="20"/>
              </w:rPr>
              <w:t>Population criteria:</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trike/>
                <w:sz w:val="20"/>
              </w:rPr>
            </w:pPr>
            <w:r w:rsidRPr="00EE630C">
              <w:rPr>
                <w:rFonts w:ascii="Arial Narrow" w:hAnsi="Arial Narrow" w:cstheme="minorHAnsi"/>
                <w:strike/>
                <w:sz w:val="20"/>
              </w:rPr>
              <w:t>N/A</w:t>
            </w:r>
          </w:p>
        </w:tc>
      </w:tr>
      <w:tr w:rsidR="002D7E08" w:rsidRPr="00EE630C" w:rsidTr="002D7E08">
        <w:trPr>
          <w:cantSplit/>
          <w:trHeight w:val="360"/>
        </w:trPr>
        <w:tc>
          <w:tcPr>
            <w:tcW w:w="1877"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b/>
                <w:sz w:val="20"/>
              </w:rPr>
            </w:pPr>
            <w:r w:rsidRPr="00EE630C">
              <w:rPr>
                <w:rFonts w:ascii="Arial Narrow" w:hAnsi="Arial Narrow" w:cstheme="minorHAnsi"/>
                <w:b/>
                <w:sz w:val="20"/>
              </w:rPr>
              <w:t>Prescriber Instructions</w:t>
            </w:r>
          </w:p>
          <w:p w:rsidR="002D7E08" w:rsidRPr="00EE630C" w:rsidRDefault="002D7E08" w:rsidP="002D7E08">
            <w:pPr>
              <w:rPr>
                <w:rFonts w:ascii="Arial Narrow" w:hAnsi="Arial Narrow" w:cstheme="minorHAnsi"/>
                <w:sz w:val="20"/>
              </w:rPr>
            </w:pP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cstheme="minorHAnsi"/>
                <w:sz w:val="20"/>
              </w:rPr>
              <w:t>Authority approval for initial treatment of each eye must be sought.</w:t>
            </w:r>
          </w:p>
          <w:p w:rsidR="002D7E08" w:rsidRPr="00EE630C" w:rsidRDefault="002D7E08" w:rsidP="002D7E08">
            <w:pPr>
              <w:rPr>
                <w:rFonts w:ascii="Arial Narrow" w:hAnsi="Arial Narrow" w:cstheme="minorHAnsi"/>
                <w:sz w:val="20"/>
              </w:rPr>
            </w:pP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The first authority application for each eye must be made in writing or by telephone.</w:t>
            </w: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A written application must include:</w:t>
            </w: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a) a completed authority prescription form;</w:t>
            </w: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 xml:space="preserve">b) a completed Subfoveal Choroidal Neovascularisation (CNV) - PBS Supporting Information Form; and </w:t>
            </w: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c) a copy of the optical coherence tomography or fluorescein angiogram report.</w:t>
            </w:r>
          </w:p>
          <w:p w:rsidR="002D7E08" w:rsidRPr="00EE630C" w:rsidRDefault="002D7E08" w:rsidP="002D7E08">
            <w:pPr>
              <w:rPr>
                <w:rFonts w:ascii="Arial Narrow" w:hAnsi="Arial Narrow" w:cstheme="minorHAnsi"/>
                <w:sz w:val="20"/>
              </w:rPr>
            </w:pP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 xml:space="preserve">A telephone application must be made following submission by facsimile of a copy of a completed Subfoveal Choroidal Neovascularisation (CNV) - PBS Supporting Information Form and a copy of the optical coherence tomography or fluorescein angiogram report. </w:t>
            </w:r>
          </w:p>
        </w:tc>
      </w:tr>
      <w:tr w:rsidR="002D7E08" w:rsidRPr="00EE630C" w:rsidTr="002D7E08">
        <w:trPr>
          <w:cantSplit/>
          <w:trHeight w:val="360"/>
        </w:trPr>
        <w:tc>
          <w:tcPr>
            <w:tcW w:w="1877"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b/>
                <w:sz w:val="20"/>
              </w:rPr>
            </w:pPr>
            <w:r w:rsidRPr="00EE630C">
              <w:rPr>
                <w:rFonts w:ascii="Arial Narrow" w:hAnsi="Arial Narrow" w:cstheme="minorHAnsi"/>
                <w:b/>
                <w:sz w:val="20"/>
              </w:rPr>
              <w:t>Administrative Advice</w:t>
            </w:r>
          </w:p>
          <w:p w:rsidR="002D7E08" w:rsidRPr="00EE630C" w:rsidRDefault="002D7E08" w:rsidP="002D7E08">
            <w:pPr>
              <w:rPr>
                <w:rFonts w:ascii="Arial Narrow" w:hAnsi="Arial Narrow" w:cstheme="minorHAnsi"/>
                <w:i/>
                <w:sz w:val="20"/>
              </w:rPr>
            </w:pP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cstheme="minorHAnsi"/>
                <w:sz w:val="20"/>
              </w:rPr>
              <w:t>The first authority application may be faxed to the Department of Human Services on 1300 093 177 (hours of operation 8 a.m. to 5 p.m. EST Monday to Friday). The Department will then contact the prescriber by telephone.</w:t>
            </w:r>
          </w:p>
          <w:p w:rsidR="002D7E08" w:rsidRPr="00EE630C" w:rsidRDefault="002D7E08" w:rsidP="002D7E08">
            <w:pPr>
              <w:rPr>
                <w:rFonts w:ascii="Arial Narrow" w:hAnsi="Arial Narrow" w:cstheme="minorHAnsi"/>
                <w:sz w:val="20"/>
              </w:rPr>
            </w:pP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 xml:space="preserve">Any queries concerning the arrangements to prescribe may be directed to the Department of Human Services on 1800 700 270 (hours of operation 8 a.m. to 5 p.m. EST Monday to Friday). </w:t>
            </w:r>
          </w:p>
          <w:p w:rsidR="002D7E08" w:rsidRPr="00EE630C" w:rsidRDefault="002D7E08" w:rsidP="002D7E08">
            <w:pPr>
              <w:rPr>
                <w:rFonts w:ascii="Arial Narrow" w:hAnsi="Arial Narrow" w:cstheme="minorHAnsi"/>
                <w:sz w:val="20"/>
              </w:rPr>
            </w:pP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 xml:space="preserve">Prescribing information (including Authority Application forms and other relevant documentation as applicable) is available on the Department of Human Services website at www.humanservices.gov.au </w:t>
            </w:r>
          </w:p>
          <w:p w:rsidR="002D7E08" w:rsidRPr="00EE630C" w:rsidRDefault="002D7E08" w:rsidP="002D7E08">
            <w:pPr>
              <w:rPr>
                <w:rFonts w:ascii="Arial Narrow" w:hAnsi="Arial Narrow" w:cstheme="minorHAnsi"/>
                <w:sz w:val="20"/>
              </w:rPr>
            </w:pP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 xml:space="preserve">Applications for authority to prescribe should be forwarded to: </w:t>
            </w: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Department of Human Services</w:t>
            </w: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 xml:space="preserve">Complex Drugs </w:t>
            </w: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 xml:space="preserve">Reply Paid 9826 </w:t>
            </w: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HOBART TAS 7001</w:t>
            </w:r>
          </w:p>
          <w:p w:rsidR="002D7E08" w:rsidRPr="00EE630C" w:rsidRDefault="002D7E08" w:rsidP="002D7E08">
            <w:pPr>
              <w:rPr>
                <w:rFonts w:ascii="Arial Narrow" w:hAnsi="Arial Narrow" w:cstheme="minorHAnsi"/>
                <w:i/>
                <w:sz w:val="20"/>
              </w:rPr>
            </w:pP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No increase in the maximum number of repeats may be authorised.</w:t>
            </w:r>
          </w:p>
          <w:p w:rsidR="002D7E08" w:rsidRPr="00EE630C" w:rsidRDefault="002D7E08" w:rsidP="002D7E08">
            <w:pPr>
              <w:rPr>
                <w:rFonts w:ascii="Arial Narrow" w:hAnsi="Arial Narrow"/>
                <w:i/>
                <w:sz w:val="20"/>
              </w:rPr>
            </w:pPr>
            <w:r w:rsidRPr="00EE630C">
              <w:rPr>
                <w:rFonts w:ascii="Arial Narrow" w:hAnsi="Arial Narrow"/>
                <w:i/>
                <w:sz w:val="20"/>
              </w:rPr>
              <w:t xml:space="preserve">No increase in the maximum quantity or number of units may be authorised for applications for treatment of one eye. </w:t>
            </w:r>
          </w:p>
          <w:p w:rsidR="002D7E08" w:rsidRPr="00EE630C" w:rsidRDefault="002D7E08" w:rsidP="002D7E08">
            <w:pPr>
              <w:rPr>
                <w:rFonts w:ascii="Arial Narrow" w:hAnsi="Arial Narrow" w:cstheme="minorHAnsi"/>
                <w:i/>
                <w:color w:val="FF0000"/>
                <w:sz w:val="20"/>
              </w:rPr>
            </w:pPr>
            <w:r w:rsidRPr="00EE630C">
              <w:rPr>
                <w:rFonts w:ascii="Arial Narrow" w:hAnsi="Arial Narrow"/>
                <w:i/>
                <w:sz w:val="20"/>
              </w:rPr>
              <w:t>Where both eyes are being treated simultaneously, a quantity of 2 vials can be requested on the same authority prescription form.</w:t>
            </w:r>
          </w:p>
          <w:p w:rsidR="002D7E08" w:rsidRPr="00EE630C" w:rsidRDefault="002D7E08" w:rsidP="002D7E08">
            <w:pPr>
              <w:rPr>
                <w:rFonts w:ascii="Arial Narrow" w:hAnsi="Arial Narrow" w:cstheme="minorHAnsi"/>
                <w:sz w:val="20"/>
              </w:rPr>
            </w:pPr>
            <w:r w:rsidRPr="00EE630C">
              <w:rPr>
                <w:rFonts w:ascii="Arial Narrow" w:hAnsi="Arial Narrow" w:cstheme="minorHAnsi"/>
                <w:sz w:val="20"/>
              </w:rPr>
              <w:t>Special Pricing Arrangements apply.</w:t>
            </w:r>
          </w:p>
        </w:tc>
      </w:tr>
    </w:tbl>
    <w:p w:rsidR="002D7E08" w:rsidRPr="00EE630C" w:rsidRDefault="002D7E08" w:rsidP="002D7E08">
      <w:pPr>
        <w:pStyle w:val="PBACtablecaption"/>
        <w:rPr>
          <w:rFonts w:cstheme="minorHAnsi"/>
          <w:sz w:val="20"/>
          <w:szCs w:val="20"/>
        </w:rPr>
      </w:pPr>
    </w:p>
    <w:tbl>
      <w:tblPr>
        <w:tblW w:w="9356" w:type="dxa"/>
        <w:tblInd w:w="142" w:type="dxa"/>
        <w:tblLayout w:type="fixed"/>
        <w:tblLook w:val="0000" w:firstRow="0" w:lastRow="0" w:firstColumn="0" w:lastColumn="0" w:noHBand="0" w:noVBand="0"/>
      </w:tblPr>
      <w:tblGrid>
        <w:gridCol w:w="3119"/>
        <w:gridCol w:w="567"/>
        <w:gridCol w:w="850"/>
        <w:gridCol w:w="1701"/>
        <w:gridCol w:w="709"/>
        <w:gridCol w:w="2410"/>
      </w:tblGrid>
      <w:tr w:rsidR="002D7E08" w:rsidRPr="00F23947" w:rsidTr="00A447A9">
        <w:trPr>
          <w:cantSplit/>
          <w:trHeight w:val="538"/>
        </w:trPr>
        <w:tc>
          <w:tcPr>
            <w:tcW w:w="3119" w:type="dxa"/>
            <w:tcBorders>
              <w:bottom w:val="single" w:sz="4" w:space="0" w:color="auto"/>
            </w:tcBorders>
          </w:tcPr>
          <w:p w:rsidR="002D7E08" w:rsidRPr="00F23947" w:rsidRDefault="002D7E08" w:rsidP="002D7E08">
            <w:pPr>
              <w:keepNext/>
              <w:ind w:left="-108"/>
              <w:rPr>
                <w:rFonts w:ascii="Arial Narrow" w:hAnsi="Arial Narrow"/>
                <w:b/>
                <w:sz w:val="20"/>
              </w:rPr>
            </w:pPr>
            <w:r w:rsidRPr="00F23947">
              <w:rPr>
                <w:rFonts w:ascii="Arial Narrow" w:hAnsi="Arial Narrow"/>
                <w:b/>
                <w:sz w:val="20"/>
              </w:rPr>
              <w:lastRenderedPageBreak/>
              <w:t>Name, Restriction,</w:t>
            </w:r>
          </w:p>
          <w:p w:rsidR="002D7E08" w:rsidRPr="00F23947" w:rsidRDefault="002D7E08" w:rsidP="002D7E08">
            <w:pPr>
              <w:keepNext/>
              <w:ind w:left="-108"/>
              <w:rPr>
                <w:rFonts w:ascii="Arial Narrow" w:hAnsi="Arial Narrow"/>
                <w:b/>
                <w:sz w:val="20"/>
              </w:rPr>
            </w:pPr>
            <w:r w:rsidRPr="00F23947">
              <w:rPr>
                <w:rFonts w:ascii="Arial Narrow" w:hAnsi="Arial Narrow"/>
                <w:b/>
                <w:sz w:val="20"/>
              </w:rPr>
              <w:t>Manner of administration and form</w:t>
            </w:r>
          </w:p>
        </w:tc>
        <w:tc>
          <w:tcPr>
            <w:tcW w:w="567" w:type="dxa"/>
            <w:tcBorders>
              <w:bottom w:val="single" w:sz="4" w:space="0" w:color="auto"/>
            </w:tcBorders>
          </w:tcPr>
          <w:p w:rsidR="002D7E08" w:rsidRPr="00F23947" w:rsidRDefault="002D7E08" w:rsidP="002D7E08">
            <w:pPr>
              <w:keepNext/>
              <w:ind w:left="-108"/>
              <w:rPr>
                <w:rFonts w:ascii="Arial Narrow" w:hAnsi="Arial Narrow"/>
                <w:b/>
                <w:sz w:val="20"/>
              </w:rPr>
            </w:pPr>
            <w:r w:rsidRPr="00F23947">
              <w:rPr>
                <w:rFonts w:ascii="Arial Narrow" w:hAnsi="Arial Narrow"/>
                <w:b/>
                <w:sz w:val="20"/>
              </w:rPr>
              <w:t>Max.</w:t>
            </w:r>
          </w:p>
          <w:p w:rsidR="002D7E08" w:rsidRPr="00F23947" w:rsidRDefault="002D7E08" w:rsidP="002D7E08">
            <w:pPr>
              <w:keepNext/>
              <w:ind w:left="-108"/>
              <w:rPr>
                <w:rFonts w:ascii="Arial Narrow" w:hAnsi="Arial Narrow"/>
                <w:b/>
                <w:sz w:val="20"/>
              </w:rPr>
            </w:pPr>
            <w:r w:rsidRPr="00F23947">
              <w:rPr>
                <w:rFonts w:ascii="Arial Narrow" w:hAnsi="Arial Narrow"/>
                <w:b/>
                <w:sz w:val="20"/>
              </w:rPr>
              <w:t>Qty</w:t>
            </w:r>
          </w:p>
        </w:tc>
        <w:tc>
          <w:tcPr>
            <w:tcW w:w="850" w:type="dxa"/>
            <w:tcBorders>
              <w:bottom w:val="single" w:sz="4" w:space="0" w:color="auto"/>
            </w:tcBorders>
          </w:tcPr>
          <w:p w:rsidR="002D7E08" w:rsidRPr="00F23947" w:rsidRDefault="002D7E08" w:rsidP="002D7E08">
            <w:pPr>
              <w:keepNext/>
              <w:ind w:left="-108"/>
              <w:rPr>
                <w:rFonts w:ascii="Arial Narrow" w:hAnsi="Arial Narrow"/>
                <w:b/>
                <w:sz w:val="20"/>
              </w:rPr>
            </w:pPr>
            <w:r w:rsidRPr="00F23947">
              <w:rPr>
                <w:rFonts w:ascii="Arial Narrow" w:hAnsi="Arial Narrow"/>
                <w:b/>
                <w:sz w:val="20"/>
              </w:rPr>
              <w:t>№.of</w:t>
            </w:r>
          </w:p>
          <w:p w:rsidR="002D7E08" w:rsidRPr="00F23947" w:rsidRDefault="002D7E08" w:rsidP="002D7E08">
            <w:pPr>
              <w:keepNext/>
              <w:ind w:left="-108"/>
              <w:rPr>
                <w:rFonts w:ascii="Arial Narrow" w:hAnsi="Arial Narrow"/>
                <w:b/>
                <w:sz w:val="20"/>
              </w:rPr>
            </w:pPr>
            <w:r w:rsidRPr="00F23947">
              <w:rPr>
                <w:rFonts w:ascii="Arial Narrow" w:hAnsi="Arial Narrow"/>
                <w:b/>
                <w:sz w:val="20"/>
              </w:rPr>
              <w:t>Rpts</w:t>
            </w:r>
          </w:p>
        </w:tc>
        <w:tc>
          <w:tcPr>
            <w:tcW w:w="1701" w:type="dxa"/>
            <w:tcBorders>
              <w:bottom w:val="single" w:sz="4" w:space="0" w:color="auto"/>
            </w:tcBorders>
          </w:tcPr>
          <w:p w:rsidR="002D7E08" w:rsidRPr="00F23947" w:rsidRDefault="002D7E08" w:rsidP="002D7E08">
            <w:pPr>
              <w:keepNext/>
              <w:ind w:left="-108"/>
              <w:jc w:val="left"/>
              <w:rPr>
                <w:rFonts w:ascii="Arial Narrow" w:hAnsi="Arial Narrow"/>
                <w:b/>
                <w:sz w:val="20"/>
              </w:rPr>
            </w:pPr>
            <w:r w:rsidRPr="00F23947">
              <w:rPr>
                <w:rFonts w:ascii="Arial Narrow" w:hAnsi="Arial Narrow"/>
                <w:b/>
                <w:sz w:val="20"/>
              </w:rPr>
              <w:t>Dispensed Price for Max. Qty</w:t>
            </w:r>
          </w:p>
        </w:tc>
        <w:tc>
          <w:tcPr>
            <w:tcW w:w="3119" w:type="dxa"/>
            <w:gridSpan w:val="2"/>
            <w:tcBorders>
              <w:bottom w:val="single" w:sz="4" w:space="0" w:color="auto"/>
            </w:tcBorders>
          </w:tcPr>
          <w:p w:rsidR="002D7E08" w:rsidRPr="00F23947" w:rsidRDefault="002D7E08" w:rsidP="002D7E08">
            <w:pPr>
              <w:keepNext/>
              <w:jc w:val="left"/>
              <w:rPr>
                <w:rFonts w:ascii="Arial Narrow" w:hAnsi="Arial Narrow"/>
                <w:b/>
                <w:sz w:val="20"/>
                <w:lang w:val="fr-FR"/>
              </w:rPr>
            </w:pPr>
            <w:r w:rsidRPr="00F23947">
              <w:rPr>
                <w:rFonts w:ascii="Arial Narrow" w:hAnsi="Arial Narrow"/>
                <w:b/>
                <w:sz w:val="20"/>
              </w:rPr>
              <w:t>Proprietary Name and Manufacturer</w:t>
            </w:r>
          </w:p>
        </w:tc>
      </w:tr>
      <w:tr w:rsidR="002D7E08" w:rsidRPr="00C254D9" w:rsidTr="00A447A9">
        <w:trPr>
          <w:cantSplit/>
          <w:trHeight w:val="577"/>
        </w:trPr>
        <w:tc>
          <w:tcPr>
            <w:tcW w:w="3119" w:type="dxa"/>
          </w:tcPr>
          <w:p w:rsidR="002D7E08" w:rsidRDefault="002D7E08" w:rsidP="002D7E08">
            <w:pPr>
              <w:keepNext/>
              <w:ind w:left="-108"/>
              <w:rPr>
                <w:rFonts w:ascii="Arial Narrow" w:hAnsi="Arial Narrow"/>
                <w:smallCaps/>
                <w:color w:val="FF0000"/>
                <w:sz w:val="20"/>
              </w:rPr>
            </w:pPr>
            <w:r>
              <w:rPr>
                <w:rFonts w:ascii="Arial Narrow" w:hAnsi="Arial Narrow"/>
                <w:smallCaps/>
                <w:sz w:val="20"/>
              </w:rPr>
              <w:t>Brolucizumab</w:t>
            </w:r>
          </w:p>
          <w:p w:rsidR="002D7E08" w:rsidRPr="008B3257" w:rsidRDefault="002D7E08" w:rsidP="002D7E08">
            <w:pPr>
              <w:keepNext/>
              <w:ind w:left="-108"/>
              <w:rPr>
                <w:rFonts w:ascii="Arial Narrow" w:hAnsi="Arial Narrow"/>
                <w:color w:val="FF0000"/>
                <w:sz w:val="20"/>
              </w:rPr>
            </w:pPr>
            <w:r w:rsidRPr="00EE630C">
              <w:rPr>
                <w:rFonts w:ascii="Arial Narrow" w:hAnsi="Arial Narrow" w:cstheme="minorHAnsi"/>
                <w:sz w:val="20"/>
              </w:rPr>
              <w:t>19.8</w:t>
            </w:r>
            <w:r>
              <w:rPr>
                <w:rFonts w:ascii="Arial Narrow" w:hAnsi="Arial Narrow" w:cstheme="minorHAnsi"/>
                <w:sz w:val="20"/>
              </w:rPr>
              <w:t xml:space="preserve"> </w:t>
            </w:r>
            <w:r w:rsidRPr="00EE630C">
              <w:rPr>
                <w:rFonts w:ascii="Arial Narrow" w:hAnsi="Arial Narrow" w:cstheme="minorHAnsi"/>
                <w:sz w:val="20"/>
              </w:rPr>
              <w:t>mg in 0.165</w:t>
            </w:r>
            <w:r>
              <w:rPr>
                <w:rFonts w:ascii="Arial Narrow" w:hAnsi="Arial Narrow" w:cstheme="minorHAnsi"/>
                <w:sz w:val="20"/>
              </w:rPr>
              <w:t xml:space="preserve"> </w:t>
            </w:r>
            <w:r w:rsidRPr="00EE630C">
              <w:rPr>
                <w:rFonts w:ascii="Arial Narrow" w:hAnsi="Arial Narrow" w:cstheme="minorHAnsi"/>
                <w:sz w:val="20"/>
              </w:rPr>
              <w:t>mL syringe</w:t>
            </w:r>
          </w:p>
        </w:tc>
        <w:tc>
          <w:tcPr>
            <w:tcW w:w="567" w:type="dxa"/>
          </w:tcPr>
          <w:p w:rsidR="002D7E08" w:rsidRPr="00C254D9" w:rsidRDefault="002D7E08" w:rsidP="002D7E08">
            <w:pPr>
              <w:keepNext/>
              <w:ind w:left="-108"/>
              <w:rPr>
                <w:rFonts w:ascii="Arial Narrow" w:hAnsi="Arial Narrow"/>
                <w:sz w:val="20"/>
              </w:rPr>
            </w:pPr>
          </w:p>
          <w:p w:rsidR="002D7E08" w:rsidRPr="00C254D9" w:rsidRDefault="002D7E08" w:rsidP="002D7E08">
            <w:pPr>
              <w:keepNext/>
              <w:ind w:left="-108"/>
              <w:rPr>
                <w:rFonts w:ascii="Arial Narrow" w:hAnsi="Arial Narrow"/>
                <w:sz w:val="20"/>
              </w:rPr>
            </w:pPr>
            <w:r>
              <w:rPr>
                <w:rFonts w:ascii="Arial Narrow" w:hAnsi="Arial Narrow"/>
                <w:sz w:val="20"/>
              </w:rPr>
              <w:t>1</w:t>
            </w:r>
          </w:p>
        </w:tc>
        <w:tc>
          <w:tcPr>
            <w:tcW w:w="850" w:type="dxa"/>
          </w:tcPr>
          <w:p w:rsidR="002D7E08" w:rsidRPr="00C254D9" w:rsidRDefault="002D7E08" w:rsidP="002D7E08">
            <w:pPr>
              <w:keepNext/>
              <w:ind w:left="-108"/>
              <w:rPr>
                <w:rFonts w:ascii="Arial Narrow" w:hAnsi="Arial Narrow"/>
                <w:sz w:val="20"/>
              </w:rPr>
            </w:pPr>
          </w:p>
          <w:p w:rsidR="002D7E08" w:rsidRPr="00C254D9" w:rsidRDefault="002D7E08" w:rsidP="002D7E08">
            <w:pPr>
              <w:keepNext/>
              <w:ind w:left="-108"/>
              <w:rPr>
                <w:rFonts w:ascii="Arial Narrow" w:hAnsi="Arial Narrow"/>
                <w:sz w:val="20"/>
              </w:rPr>
            </w:pPr>
            <w:r>
              <w:rPr>
                <w:rFonts w:ascii="Arial Narrow" w:hAnsi="Arial Narrow"/>
                <w:sz w:val="20"/>
              </w:rPr>
              <w:t>2</w:t>
            </w:r>
          </w:p>
        </w:tc>
        <w:tc>
          <w:tcPr>
            <w:tcW w:w="1701" w:type="dxa"/>
          </w:tcPr>
          <w:p w:rsidR="002D7E08" w:rsidRPr="00EE630C" w:rsidRDefault="002D7E08" w:rsidP="002D7E08">
            <w:pPr>
              <w:keepNext/>
              <w:ind w:left="-108"/>
              <w:rPr>
                <w:rFonts w:ascii="Arial Narrow" w:hAnsi="Arial Narrow"/>
                <w:sz w:val="20"/>
              </w:rPr>
            </w:pPr>
            <w:r>
              <w:rPr>
                <w:rFonts w:ascii="Arial Narrow" w:hAnsi="Arial Narrow"/>
                <w:sz w:val="20"/>
              </w:rPr>
              <w:t xml:space="preserve">Effective: </w:t>
            </w:r>
            <w:r w:rsidR="00597182">
              <w:rPr>
                <w:rFonts w:ascii="Arial Narrow" w:hAnsi="Arial Narrow"/>
                <w:sz w:val="20"/>
              </w:rPr>
              <w:t>$</w:t>
            </w:r>
            <w:r w:rsidR="005D7DE1">
              <w:rPr>
                <w:rFonts w:ascii="Arial Narrow" w:hAnsi="Arial Narrow"/>
                <w:noProof/>
                <w:color w:val="000000"/>
                <w:sz w:val="20"/>
                <w:highlight w:val="black"/>
              </w:rPr>
              <w:t>''''''''''''''''</w:t>
            </w:r>
          </w:p>
          <w:p w:rsidR="002D7E08" w:rsidRPr="00C254D9" w:rsidRDefault="002D7E08" w:rsidP="002D7E08">
            <w:pPr>
              <w:keepNext/>
              <w:ind w:left="-108"/>
              <w:rPr>
                <w:rFonts w:ascii="Arial Narrow" w:hAnsi="Arial Narrow"/>
                <w:sz w:val="20"/>
              </w:rPr>
            </w:pPr>
            <w:r w:rsidRPr="00EE630C">
              <w:rPr>
                <w:rFonts w:ascii="Arial Narrow" w:hAnsi="Arial Narrow" w:cstheme="minorHAnsi"/>
                <w:sz w:val="20"/>
              </w:rPr>
              <w:t>Published:</w:t>
            </w:r>
            <w:r>
              <w:rPr>
                <w:rFonts w:ascii="Arial Narrow" w:hAnsi="Arial Narrow" w:cstheme="minorHAnsi"/>
                <w:sz w:val="20"/>
              </w:rPr>
              <w:t xml:space="preserve"> $</w:t>
            </w:r>
            <w:r w:rsidR="005D7DE1">
              <w:rPr>
                <w:rFonts w:ascii="Arial Narrow" w:hAnsi="Arial Narrow" w:cstheme="minorHAnsi"/>
                <w:noProof/>
                <w:color w:val="000000"/>
                <w:sz w:val="20"/>
                <w:highlight w:val="black"/>
              </w:rPr>
              <w:t>''''''''''''''''''''''</w:t>
            </w:r>
          </w:p>
        </w:tc>
        <w:tc>
          <w:tcPr>
            <w:tcW w:w="709" w:type="dxa"/>
          </w:tcPr>
          <w:p w:rsidR="002D7E08" w:rsidRPr="00C254D9" w:rsidRDefault="002D7E08" w:rsidP="002D7E08">
            <w:pPr>
              <w:keepNext/>
              <w:rPr>
                <w:rFonts w:ascii="Arial Narrow" w:hAnsi="Arial Narrow"/>
                <w:sz w:val="20"/>
              </w:rPr>
            </w:pPr>
            <w:r>
              <w:rPr>
                <w:rFonts w:ascii="Arial Narrow" w:hAnsi="Arial Narrow"/>
                <w:sz w:val="20"/>
              </w:rPr>
              <w:t>B</w:t>
            </w:r>
            <w:r w:rsidRPr="00EE630C">
              <w:rPr>
                <w:rFonts w:ascii="Arial Narrow" w:hAnsi="Arial Narrow" w:cstheme="minorHAnsi"/>
                <w:sz w:val="20"/>
              </w:rPr>
              <w:t>eovu</w:t>
            </w:r>
          </w:p>
        </w:tc>
        <w:tc>
          <w:tcPr>
            <w:tcW w:w="2410" w:type="dxa"/>
          </w:tcPr>
          <w:p w:rsidR="002D7E08" w:rsidRPr="00C254D9" w:rsidRDefault="002D7E08" w:rsidP="00012F56">
            <w:pPr>
              <w:keepNext/>
              <w:jc w:val="left"/>
              <w:rPr>
                <w:rFonts w:ascii="Arial Narrow" w:hAnsi="Arial Narrow"/>
                <w:sz w:val="20"/>
              </w:rPr>
            </w:pPr>
            <w:r>
              <w:rPr>
                <w:rFonts w:ascii="Arial Narrow" w:hAnsi="Arial Narrow"/>
                <w:sz w:val="20"/>
              </w:rPr>
              <w:t>Novartis Australia Pty Ltd</w:t>
            </w:r>
          </w:p>
        </w:tc>
      </w:tr>
    </w:tbl>
    <w:p w:rsidR="002D7E08" w:rsidRPr="00EE630C" w:rsidRDefault="002D7E08" w:rsidP="002D7E08">
      <w:pPr>
        <w:pStyle w:val="PBACtablecaption"/>
        <w:rPr>
          <w:rFonts w:cstheme="minorHAnsi"/>
          <w:sz w:val="20"/>
          <w:szCs w:val="20"/>
        </w:rPr>
      </w:pPr>
    </w:p>
    <w:tbl>
      <w:tblPr>
        <w:tblW w:w="9385" w:type="dxa"/>
        <w:tblInd w:w="108" w:type="dxa"/>
        <w:tblLayout w:type="fixed"/>
        <w:tblLook w:val="0000" w:firstRow="0" w:lastRow="0" w:firstColumn="0" w:lastColumn="0" w:noHBand="0" w:noVBand="0"/>
      </w:tblPr>
      <w:tblGrid>
        <w:gridCol w:w="1872"/>
        <w:gridCol w:w="7513"/>
      </w:tblGrid>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b/>
                <w:sz w:val="20"/>
              </w:rPr>
            </w:pPr>
            <w:r w:rsidRPr="00EE630C">
              <w:rPr>
                <w:rFonts w:ascii="Arial Narrow" w:hAnsi="Arial Narrow"/>
                <w:b/>
                <w:sz w:val="20"/>
              </w:rPr>
              <w:t>Category / Program:</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sz w:val="20"/>
              </w:rPr>
              <w:t>GENERAL – General Schedule (Code GE)</w:t>
            </w:r>
          </w:p>
        </w:tc>
      </w:tr>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8E4593" w:rsidRDefault="002D7E08" w:rsidP="002D7E08">
            <w:pPr>
              <w:rPr>
                <w:rFonts w:ascii="Arial Narrow" w:hAnsi="Arial Narrow"/>
                <w:b/>
                <w:sz w:val="20"/>
              </w:rPr>
            </w:pPr>
            <w:r w:rsidRPr="00EE630C">
              <w:rPr>
                <w:rFonts w:ascii="Arial Narrow" w:hAnsi="Arial Narrow"/>
                <w:b/>
                <w:sz w:val="20"/>
              </w:rPr>
              <w:t>Prescriber type:</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sz w:val="20"/>
              </w:rPr>
              <w:fldChar w:fldCharType="begin">
                <w:ffData>
                  <w:name w:val="Check1"/>
                  <w:enabled/>
                  <w:calcOnExit w:val="0"/>
                  <w:checkBox>
                    <w:sizeAuto/>
                    <w:default w:val="0"/>
                  </w:checkBox>
                </w:ffData>
              </w:fldChar>
            </w:r>
            <w:r w:rsidRPr="00EE630C">
              <w:rPr>
                <w:rFonts w:ascii="Arial Narrow" w:hAnsi="Arial Narrow"/>
                <w:sz w:val="20"/>
              </w:rPr>
              <w:instrText xml:space="preserve"> FORMCHECKBOX </w:instrText>
            </w:r>
            <w:r w:rsidR="008872C1">
              <w:rPr>
                <w:rFonts w:ascii="Arial Narrow" w:hAnsi="Arial Narrow"/>
                <w:sz w:val="20"/>
              </w:rPr>
            </w:r>
            <w:r w:rsidR="008872C1">
              <w:rPr>
                <w:rFonts w:ascii="Arial Narrow" w:hAnsi="Arial Narrow"/>
                <w:sz w:val="20"/>
              </w:rPr>
              <w:fldChar w:fldCharType="separate"/>
            </w:r>
            <w:r w:rsidRPr="00EE630C">
              <w:rPr>
                <w:rFonts w:ascii="Arial Narrow" w:hAnsi="Arial Narrow"/>
                <w:sz w:val="20"/>
              </w:rPr>
              <w:fldChar w:fldCharType="end"/>
            </w:r>
            <w:r w:rsidRPr="00EE630C">
              <w:rPr>
                <w:rFonts w:ascii="Arial Narrow" w:hAnsi="Arial Narrow"/>
                <w:sz w:val="20"/>
              </w:rPr>
              <w:t xml:space="preserve">Dental  </w:t>
            </w:r>
            <w:r w:rsidRPr="00EE630C">
              <w:rPr>
                <w:rFonts w:ascii="Arial Narrow" w:hAnsi="Arial Narrow"/>
                <w:sz w:val="20"/>
              </w:rPr>
              <w:fldChar w:fldCharType="begin">
                <w:ffData>
                  <w:name w:val=""/>
                  <w:enabled/>
                  <w:calcOnExit w:val="0"/>
                  <w:checkBox>
                    <w:sizeAuto/>
                    <w:default w:val="1"/>
                  </w:checkBox>
                </w:ffData>
              </w:fldChar>
            </w:r>
            <w:r w:rsidRPr="00EE630C">
              <w:rPr>
                <w:rFonts w:ascii="Arial Narrow" w:hAnsi="Arial Narrow"/>
                <w:sz w:val="20"/>
              </w:rPr>
              <w:instrText xml:space="preserve"> FORMCHECKBOX </w:instrText>
            </w:r>
            <w:r w:rsidR="008872C1">
              <w:rPr>
                <w:rFonts w:ascii="Arial Narrow" w:hAnsi="Arial Narrow"/>
                <w:sz w:val="20"/>
              </w:rPr>
            </w:r>
            <w:r w:rsidR="008872C1">
              <w:rPr>
                <w:rFonts w:ascii="Arial Narrow" w:hAnsi="Arial Narrow"/>
                <w:sz w:val="20"/>
              </w:rPr>
              <w:fldChar w:fldCharType="separate"/>
            </w:r>
            <w:r w:rsidRPr="00EE630C">
              <w:rPr>
                <w:rFonts w:ascii="Arial Narrow" w:hAnsi="Arial Narrow"/>
                <w:sz w:val="20"/>
              </w:rPr>
              <w:fldChar w:fldCharType="end"/>
            </w:r>
            <w:r w:rsidRPr="00EE630C">
              <w:rPr>
                <w:rFonts w:ascii="Arial Narrow" w:hAnsi="Arial Narrow"/>
                <w:sz w:val="20"/>
              </w:rPr>
              <w:t xml:space="preserve">Medical Practitioners  </w:t>
            </w:r>
            <w:r w:rsidRPr="00EE630C">
              <w:rPr>
                <w:rFonts w:ascii="Arial Narrow" w:hAnsi="Arial Narrow"/>
                <w:sz w:val="20"/>
              </w:rPr>
              <w:fldChar w:fldCharType="begin">
                <w:ffData>
                  <w:name w:val="Check3"/>
                  <w:enabled/>
                  <w:calcOnExit w:val="0"/>
                  <w:checkBox>
                    <w:sizeAuto/>
                    <w:default w:val="0"/>
                  </w:checkBox>
                </w:ffData>
              </w:fldChar>
            </w:r>
            <w:r w:rsidRPr="00EE630C">
              <w:rPr>
                <w:rFonts w:ascii="Arial Narrow" w:hAnsi="Arial Narrow"/>
                <w:sz w:val="20"/>
              </w:rPr>
              <w:instrText xml:space="preserve"> FORMCHECKBOX </w:instrText>
            </w:r>
            <w:r w:rsidR="008872C1">
              <w:rPr>
                <w:rFonts w:ascii="Arial Narrow" w:hAnsi="Arial Narrow"/>
                <w:sz w:val="20"/>
              </w:rPr>
            </w:r>
            <w:r w:rsidR="008872C1">
              <w:rPr>
                <w:rFonts w:ascii="Arial Narrow" w:hAnsi="Arial Narrow"/>
                <w:sz w:val="20"/>
              </w:rPr>
              <w:fldChar w:fldCharType="separate"/>
            </w:r>
            <w:r w:rsidRPr="00EE630C">
              <w:rPr>
                <w:rFonts w:ascii="Arial Narrow" w:hAnsi="Arial Narrow"/>
                <w:sz w:val="20"/>
              </w:rPr>
              <w:fldChar w:fldCharType="end"/>
            </w:r>
            <w:r w:rsidRPr="00EE630C">
              <w:rPr>
                <w:rFonts w:ascii="Arial Narrow" w:hAnsi="Arial Narrow"/>
                <w:sz w:val="20"/>
              </w:rPr>
              <w:t xml:space="preserve">Nurse practitioners  </w:t>
            </w:r>
            <w:r w:rsidRPr="00EE630C">
              <w:rPr>
                <w:rFonts w:ascii="Arial Narrow" w:hAnsi="Arial Narrow"/>
                <w:sz w:val="20"/>
              </w:rPr>
              <w:fldChar w:fldCharType="begin">
                <w:ffData>
                  <w:name w:val=""/>
                  <w:enabled/>
                  <w:calcOnExit w:val="0"/>
                  <w:checkBox>
                    <w:sizeAuto/>
                    <w:default w:val="0"/>
                  </w:checkBox>
                </w:ffData>
              </w:fldChar>
            </w:r>
            <w:r w:rsidRPr="00EE630C">
              <w:rPr>
                <w:rFonts w:ascii="Arial Narrow" w:hAnsi="Arial Narrow"/>
                <w:sz w:val="20"/>
              </w:rPr>
              <w:instrText xml:space="preserve"> FORMCHECKBOX </w:instrText>
            </w:r>
            <w:r w:rsidR="008872C1">
              <w:rPr>
                <w:rFonts w:ascii="Arial Narrow" w:hAnsi="Arial Narrow"/>
                <w:sz w:val="20"/>
              </w:rPr>
            </w:r>
            <w:r w:rsidR="008872C1">
              <w:rPr>
                <w:rFonts w:ascii="Arial Narrow" w:hAnsi="Arial Narrow"/>
                <w:sz w:val="20"/>
              </w:rPr>
              <w:fldChar w:fldCharType="separate"/>
            </w:r>
            <w:r w:rsidRPr="00EE630C">
              <w:rPr>
                <w:rFonts w:ascii="Arial Narrow" w:hAnsi="Arial Narrow"/>
                <w:sz w:val="20"/>
              </w:rPr>
              <w:fldChar w:fldCharType="end"/>
            </w:r>
            <w:r w:rsidRPr="00EE630C">
              <w:rPr>
                <w:rFonts w:ascii="Arial Narrow" w:hAnsi="Arial Narrow"/>
                <w:sz w:val="20"/>
              </w:rPr>
              <w:t>Optometrists</w:t>
            </w:r>
            <w:r>
              <w:rPr>
                <w:rFonts w:ascii="Arial Narrow" w:hAnsi="Arial Narrow"/>
                <w:sz w:val="20"/>
              </w:rPr>
              <w:t xml:space="preserve"> </w:t>
            </w:r>
            <w:r w:rsidRPr="00EE630C">
              <w:rPr>
                <w:rFonts w:ascii="Arial Narrow" w:hAnsi="Arial Narrow"/>
                <w:sz w:val="20"/>
              </w:rPr>
              <w:fldChar w:fldCharType="begin">
                <w:ffData>
                  <w:name w:val="Check5"/>
                  <w:enabled/>
                  <w:calcOnExit w:val="0"/>
                  <w:checkBox>
                    <w:sizeAuto/>
                    <w:default w:val="0"/>
                  </w:checkBox>
                </w:ffData>
              </w:fldChar>
            </w:r>
            <w:r w:rsidRPr="00EE630C">
              <w:rPr>
                <w:rFonts w:ascii="Arial Narrow" w:hAnsi="Arial Narrow"/>
                <w:sz w:val="20"/>
              </w:rPr>
              <w:instrText xml:space="preserve"> FORMCHECKBOX </w:instrText>
            </w:r>
            <w:r w:rsidR="008872C1">
              <w:rPr>
                <w:rFonts w:ascii="Arial Narrow" w:hAnsi="Arial Narrow"/>
                <w:sz w:val="20"/>
              </w:rPr>
            </w:r>
            <w:r w:rsidR="008872C1">
              <w:rPr>
                <w:rFonts w:ascii="Arial Narrow" w:hAnsi="Arial Narrow"/>
                <w:sz w:val="20"/>
              </w:rPr>
              <w:fldChar w:fldCharType="separate"/>
            </w:r>
            <w:r w:rsidRPr="00EE630C">
              <w:rPr>
                <w:rFonts w:ascii="Arial Narrow" w:hAnsi="Arial Narrow"/>
                <w:sz w:val="20"/>
              </w:rPr>
              <w:fldChar w:fldCharType="end"/>
            </w:r>
            <w:r w:rsidRPr="00EE630C">
              <w:rPr>
                <w:rFonts w:ascii="Arial Narrow" w:hAnsi="Arial Narrow"/>
                <w:sz w:val="20"/>
              </w:rPr>
              <w:t>Midwives</w:t>
            </w:r>
          </w:p>
        </w:tc>
      </w:tr>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b/>
                <w:sz w:val="20"/>
              </w:rPr>
            </w:pPr>
            <w:r w:rsidRPr="00EE630C">
              <w:rPr>
                <w:rFonts w:ascii="Arial Narrow" w:hAnsi="Arial Narrow"/>
                <w:b/>
                <w:sz w:val="20"/>
              </w:rPr>
              <w:t>Condition:</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sz w:val="20"/>
              </w:rPr>
              <w:t>Subfoveal choroidal neovascularisation</w:t>
            </w:r>
          </w:p>
        </w:tc>
      </w:tr>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b/>
                <w:sz w:val="20"/>
              </w:rPr>
            </w:pPr>
            <w:r w:rsidRPr="00EE630C">
              <w:rPr>
                <w:rFonts w:ascii="Arial Narrow" w:hAnsi="Arial Narrow"/>
                <w:b/>
                <w:sz w:val="20"/>
              </w:rPr>
              <w:t>PBS Indication:</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sz w:val="20"/>
              </w:rPr>
              <w:t>Subfoveal choroidal neovascularisation</w:t>
            </w:r>
          </w:p>
        </w:tc>
      </w:tr>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b/>
                <w:sz w:val="20"/>
              </w:rPr>
            </w:pPr>
            <w:r w:rsidRPr="00EE630C">
              <w:rPr>
                <w:rFonts w:ascii="Arial Narrow" w:hAnsi="Arial Narrow"/>
                <w:b/>
                <w:sz w:val="20"/>
              </w:rPr>
              <w:t>Treatment phase:</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sz w:val="20"/>
              </w:rPr>
              <w:t>Continuing</w:t>
            </w:r>
            <w:r w:rsidRPr="00EE630C">
              <w:rPr>
                <w:rFonts w:ascii="Arial Narrow" w:hAnsi="Arial Narrow"/>
                <w:i/>
                <w:sz w:val="20"/>
              </w:rPr>
              <w:t xml:space="preserve"> treatment</w:t>
            </w:r>
          </w:p>
        </w:tc>
      </w:tr>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b/>
                <w:sz w:val="20"/>
              </w:rPr>
            </w:pPr>
            <w:r w:rsidRPr="00EE630C">
              <w:rPr>
                <w:rFonts w:ascii="Arial Narrow" w:hAnsi="Arial Narrow" w:cstheme="minorHAnsi"/>
                <w:b/>
                <w:sz w:val="20"/>
              </w:rPr>
              <w:t>Restriction</w:t>
            </w:r>
            <w:r>
              <w:rPr>
                <w:rFonts w:ascii="Arial Narrow" w:hAnsi="Arial Narrow" w:cstheme="minorHAnsi"/>
                <w:b/>
                <w:sz w:val="20"/>
              </w:rPr>
              <w:t xml:space="preserve"> level</w:t>
            </w:r>
            <w:r w:rsidRPr="00EE630C">
              <w:rPr>
                <w:rFonts w:ascii="Arial Narrow" w:hAnsi="Arial Narrow" w:cstheme="minorHAnsi"/>
                <w:b/>
                <w:sz w:val="20"/>
              </w:rPr>
              <w:t>:</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spacing w:line="360" w:lineRule="auto"/>
              <w:rPr>
                <w:rFonts w:ascii="Arial Narrow" w:hAnsi="Arial Narrow" w:cstheme="minorHAnsi"/>
                <w:i/>
                <w:sz w:val="20"/>
              </w:rPr>
            </w:pPr>
            <w:r w:rsidRPr="00EE630C">
              <w:rPr>
                <w:rFonts w:ascii="Arial Narrow" w:hAnsi="Arial Narrow" w:cstheme="minorHAnsi"/>
                <w:sz w:val="20"/>
              </w:rPr>
              <w:fldChar w:fldCharType="begin">
                <w:ffData>
                  <w:name w:val="Check3"/>
                  <w:enabled/>
                  <w:calcOnExit w:val="0"/>
                  <w:checkBox>
                    <w:sizeAuto/>
                    <w:default w:val="1"/>
                  </w:checkBox>
                </w:ffData>
              </w:fldChar>
            </w:r>
            <w:r w:rsidRPr="00EE630C">
              <w:rPr>
                <w:rFonts w:ascii="Arial Narrow" w:hAnsi="Arial Narrow" w:cstheme="minorHAnsi"/>
                <w:sz w:val="20"/>
              </w:rPr>
              <w:instrText xml:space="preserve"> FORMCHECKBOX </w:instrText>
            </w:r>
            <w:r w:rsidR="008872C1">
              <w:rPr>
                <w:rFonts w:ascii="Arial Narrow" w:hAnsi="Arial Narrow" w:cstheme="minorHAnsi"/>
                <w:sz w:val="20"/>
              </w:rPr>
            </w:r>
            <w:r w:rsidR="008872C1">
              <w:rPr>
                <w:rFonts w:ascii="Arial Narrow" w:hAnsi="Arial Narrow" w:cstheme="minorHAnsi"/>
                <w:sz w:val="20"/>
              </w:rPr>
              <w:fldChar w:fldCharType="separate"/>
            </w:r>
            <w:r w:rsidRPr="00EE630C">
              <w:rPr>
                <w:rFonts w:ascii="Arial Narrow" w:hAnsi="Arial Narrow" w:cstheme="minorHAnsi"/>
                <w:sz w:val="20"/>
              </w:rPr>
              <w:fldChar w:fldCharType="end"/>
            </w:r>
            <w:r w:rsidRPr="00EE630C">
              <w:rPr>
                <w:rFonts w:ascii="Arial Narrow" w:hAnsi="Arial Narrow" w:cstheme="minorHAnsi"/>
                <w:sz w:val="20"/>
              </w:rPr>
              <w:t>Authority Required – Telephone/</w:t>
            </w:r>
            <w:r w:rsidRPr="00EE630C">
              <w:rPr>
                <w:rFonts w:ascii="Arial Narrow" w:hAnsi="Arial Narrow" w:cstheme="minorHAnsi"/>
                <w:i/>
                <w:sz w:val="20"/>
              </w:rPr>
              <w:t xml:space="preserve"> </w:t>
            </w:r>
            <w:r w:rsidRPr="00597182">
              <w:rPr>
                <w:rFonts w:ascii="Arial Narrow" w:hAnsi="Arial Narrow" w:cstheme="minorHAnsi"/>
                <w:i/>
                <w:sz w:val="20"/>
              </w:rPr>
              <w:t>Electronic</w:t>
            </w:r>
          </w:p>
        </w:tc>
      </w:tr>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8E4593" w:rsidRDefault="002D7E08" w:rsidP="002D7E08">
            <w:pPr>
              <w:rPr>
                <w:rFonts w:ascii="Arial Narrow" w:hAnsi="Arial Narrow" w:cstheme="minorHAnsi"/>
                <w:b/>
                <w:sz w:val="20"/>
              </w:rPr>
            </w:pPr>
            <w:r w:rsidRPr="00EE630C">
              <w:rPr>
                <w:rFonts w:ascii="Arial Narrow" w:hAnsi="Arial Narrow" w:cstheme="minorHAnsi"/>
                <w:b/>
                <w:sz w:val="20"/>
              </w:rPr>
              <w:t>Treatment criteria:</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cstheme="minorHAnsi"/>
                <w:sz w:val="20"/>
              </w:rPr>
            </w:pPr>
            <w:r w:rsidRPr="00EE630C">
              <w:rPr>
                <w:rFonts w:ascii="Arial Narrow" w:hAnsi="Arial Narrow" w:cstheme="minorHAnsi"/>
                <w:sz w:val="20"/>
              </w:rPr>
              <w:t>Must be treated by an ophthalmologist or in consultation with an ophthalmologist.</w:t>
            </w:r>
          </w:p>
        </w:tc>
      </w:tr>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b/>
                <w:sz w:val="20"/>
              </w:rPr>
            </w:pPr>
            <w:r w:rsidRPr="00EE630C">
              <w:rPr>
                <w:rFonts w:ascii="Arial Narrow" w:hAnsi="Arial Narrow"/>
                <w:b/>
                <w:sz w:val="20"/>
              </w:rPr>
              <w:t>Clinical criteria:</w:t>
            </w:r>
          </w:p>
          <w:p w:rsidR="002D7E08" w:rsidRPr="00EE630C" w:rsidRDefault="002D7E08" w:rsidP="002D7E08">
            <w:pPr>
              <w:rPr>
                <w:rFonts w:ascii="Arial Narrow" w:hAnsi="Arial Narrow"/>
                <w:i/>
                <w:sz w:val="20"/>
              </w:rPr>
            </w:pPr>
          </w:p>
          <w:p w:rsidR="002D7E08" w:rsidRPr="00EE630C" w:rsidRDefault="002D7E08" w:rsidP="002D7E08">
            <w:pPr>
              <w:rPr>
                <w:rFonts w:ascii="Arial Narrow" w:hAnsi="Arial Narrow"/>
                <w:sz w:val="20"/>
              </w:rPr>
            </w:pP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sz w:val="20"/>
              </w:rPr>
            </w:pPr>
            <w:r w:rsidRPr="00EE630C">
              <w:rPr>
                <w:rFonts w:ascii="Arial Narrow" w:hAnsi="Arial Narrow"/>
                <w:sz w:val="20"/>
              </w:rPr>
              <w:t>Patient must have previously been granted an authority prescription for the same eye.</w:t>
            </w:r>
          </w:p>
          <w:p w:rsidR="002D7E08" w:rsidRPr="00EE630C" w:rsidRDefault="002D7E08" w:rsidP="002D7E08">
            <w:pPr>
              <w:rPr>
                <w:rFonts w:ascii="Arial Narrow" w:hAnsi="Arial Narrow"/>
                <w:sz w:val="20"/>
              </w:rPr>
            </w:pPr>
            <w:r w:rsidRPr="00EE630C">
              <w:rPr>
                <w:rFonts w:ascii="Arial Narrow" w:hAnsi="Arial Narrow"/>
                <w:sz w:val="20"/>
              </w:rPr>
              <w:t>AND</w:t>
            </w:r>
          </w:p>
          <w:p w:rsidR="002D7E08" w:rsidRPr="00EE630C" w:rsidRDefault="002D7E08" w:rsidP="002D7E08">
            <w:pPr>
              <w:rPr>
                <w:rFonts w:ascii="Arial Narrow" w:hAnsi="Arial Narrow"/>
                <w:sz w:val="20"/>
              </w:rPr>
            </w:pPr>
            <w:r w:rsidRPr="00EE630C">
              <w:rPr>
                <w:rFonts w:ascii="Arial Narrow" w:hAnsi="Arial Narrow"/>
                <w:sz w:val="20"/>
              </w:rPr>
              <w:t>The condition must be due to age-related macular degeneration (AMD),</w:t>
            </w:r>
          </w:p>
          <w:p w:rsidR="002D7E08" w:rsidRPr="00EE630C" w:rsidRDefault="002D7E08" w:rsidP="002D7E08">
            <w:pPr>
              <w:rPr>
                <w:rFonts w:ascii="Arial Narrow" w:hAnsi="Arial Narrow"/>
                <w:sz w:val="20"/>
              </w:rPr>
            </w:pPr>
            <w:r w:rsidRPr="00EE630C">
              <w:rPr>
                <w:rFonts w:ascii="Arial Narrow" w:hAnsi="Arial Narrow"/>
                <w:sz w:val="20"/>
              </w:rPr>
              <w:t>AND</w:t>
            </w:r>
          </w:p>
          <w:p w:rsidR="002D7E08" w:rsidRPr="00EE630C" w:rsidRDefault="002D7E08" w:rsidP="002D7E08">
            <w:pPr>
              <w:rPr>
                <w:rFonts w:ascii="Arial Narrow" w:hAnsi="Arial Narrow"/>
                <w:sz w:val="20"/>
              </w:rPr>
            </w:pPr>
            <w:r w:rsidRPr="00EE630C">
              <w:rPr>
                <w:rFonts w:ascii="Arial Narrow" w:hAnsi="Arial Narrow"/>
                <w:sz w:val="20"/>
              </w:rPr>
              <w:t>The treatment must be the sole PBS-subsidised therapy for this condition,</w:t>
            </w:r>
          </w:p>
        </w:tc>
      </w:tr>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b/>
                <w:sz w:val="20"/>
              </w:rPr>
            </w:pPr>
            <w:r w:rsidRPr="00EE630C">
              <w:rPr>
                <w:rFonts w:ascii="Arial Narrow" w:hAnsi="Arial Narrow"/>
                <w:b/>
                <w:sz w:val="20"/>
              </w:rPr>
              <w:t>Administrative Advice</w:t>
            </w:r>
          </w:p>
          <w:p w:rsidR="002D7E08" w:rsidRPr="00EE630C" w:rsidRDefault="002D7E08" w:rsidP="002D7E08">
            <w:pPr>
              <w:rPr>
                <w:rFonts w:ascii="Arial Narrow" w:hAnsi="Arial Narrow"/>
                <w:i/>
                <w:sz w:val="20"/>
              </w:rPr>
            </w:pP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i/>
                <w:color w:val="FF0000"/>
                <w:sz w:val="20"/>
              </w:rPr>
            </w:pPr>
            <w:r w:rsidRPr="00001E40">
              <w:rPr>
                <w:rFonts w:ascii="Arial Narrow" w:hAnsi="Arial Narrow"/>
                <w:i/>
                <w:sz w:val="20"/>
              </w:rPr>
              <w:t>Authority approvals will be administered by the Complex Drugs Unit of the Department of Human Services.</w:t>
            </w:r>
          </w:p>
          <w:p w:rsidR="002D7E08" w:rsidRPr="00EE630C" w:rsidRDefault="002D7E08" w:rsidP="002D7E08">
            <w:pPr>
              <w:rPr>
                <w:rFonts w:ascii="Arial Narrow" w:hAnsi="Arial Narrow"/>
                <w:i/>
                <w:sz w:val="20"/>
              </w:rPr>
            </w:pPr>
            <w:r w:rsidRPr="00EE630C">
              <w:rPr>
                <w:rFonts w:ascii="Arial Narrow" w:hAnsi="Arial Narrow"/>
                <w:i/>
                <w:sz w:val="20"/>
              </w:rPr>
              <w:t>Authority applications for continuing treatment in the same eye may be made by telephone on 1800 700 270 (hours of operation 8 a.m. to 5 p.m. EST Monday to Friday).</w:t>
            </w:r>
          </w:p>
          <w:p w:rsidR="002D7E08" w:rsidRPr="00EE630C" w:rsidRDefault="002D7E08" w:rsidP="002D7E08">
            <w:pPr>
              <w:rPr>
                <w:rFonts w:ascii="Arial Narrow" w:hAnsi="Arial Narrow"/>
                <w:sz w:val="20"/>
              </w:rPr>
            </w:pPr>
            <w:r w:rsidRPr="00EE630C">
              <w:rPr>
                <w:rFonts w:ascii="Arial Narrow" w:hAnsi="Arial Narrow"/>
                <w:sz w:val="20"/>
              </w:rPr>
              <w:t>No increase in the maximum number of repeats may be authorised.</w:t>
            </w:r>
          </w:p>
          <w:p w:rsidR="002D7E08" w:rsidRPr="00EE630C" w:rsidRDefault="002D7E08" w:rsidP="002D7E08">
            <w:pPr>
              <w:rPr>
                <w:rFonts w:ascii="Arial Narrow" w:hAnsi="Arial Narrow"/>
                <w:i/>
                <w:sz w:val="20"/>
              </w:rPr>
            </w:pPr>
            <w:r w:rsidRPr="00EE630C">
              <w:rPr>
                <w:rFonts w:ascii="Arial Narrow" w:hAnsi="Arial Narrow"/>
                <w:i/>
                <w:sz w:val="20"/>
              </w:rPr>
              <w:t xml:space="preserve">No increase in the maximum quantity or number of units may be authorised for applications for treatment of one eye. </w:t>
            </w:r>
          </w:p>
          <w:p w:rsidR="002D7E08" w:rsidRPr="00EE630C" w:rsidRDefault="002D7E08" w:rsidP="002D7E08">
            <w:pPr>
              <w:rPr>
                <w:rFonts w:ascii="Arial Narrow" w:hAnsi="Arial Narrow"/>
                <w:i/>
                <w:strike/>
                <w:sz w:val="20"/>
              </w:rPr>
            </w:pPr>
            <w:r w:rsidRPr="00EE630C">
              <w:rPr>
                <w:rFonts w:ascii="Arial Narrow" w:hAnsi="Arial Narrow"/>
                <w:i/>
                <w:sz w:val="20"/>
              </w:rPr>
              <w:t>Where both eyes are being treated simultaneously, a quantity of 2 vials can be requested on the same authority prescription form.</w:t>
            </w:r>
          </w:p>
          <w:p w:rsidR="002D7E08" w:rsidRPr="00EE630C" w:rsidRDefault="002D7E08" w:rsidP="002D7E08">
            <w:pPr>
              <w:rPr>
                <w:rFonts w:ascii="Arial Narrow" w:hAnsi="Arial Narrow"/>
                <w:sz w:val="20"/>
              </w:rPr>
            </w:pPr>
            <w:r w:rsidRPr="00EE630C">
              <w:rPr>
                <w:rFonts w:ascii="Arial Narrow" w:hAnsi="Arial Narrow"/>
                <w:sz w:val="20"/>
              </w:rPr>
              <w:t>Special Pricing Arrangements apply.</w:t>
            </w:r>
          </w:p>
        </w:tc>
      </w:tr>
    </w:tbl>
    <w:p w:rsidR="002D7E08" w:rsidRPr="00EE630C" w:rsidRDefault="002D7E08" w:rsidP="002D7E08">
      <w:pPr>
        <w:pStyle w:val="PBACtablecaption"/>
        <w:rPr>
          <w:sz w:val="20"/>
          <w:szCs w:val="20"/>
        </w:rPr>
      </w:pPr>
    </w:p>
    <w:tbl>
      <w:tblPr>
        <w:tblW w:w="9356" w:type="dxa"/>
        <w:tblInd w:w="142" w:type="dxa"/>
        <w:tblLayout w:type="fixed"/>
        <w:tblLook w:val="0000" w:firstRow="0" w:lastRow="0" w:firstColumn="0" w:lastColumn="0" w:noHBand="0" w:noVBand="0"/>
      </w:tblPr>
      <w:tblGrid>
        <w:gridCol w:w="3119"/>
        <w:gridCol w:w="567"/>
        <w:gridCol w:w="850"/>
        <w:gridCol w:w="1701"/>
        <w:gridCol w:w="709"/>
        <w:gridCol w:w="2410"/>
      </w:tblGrid>
      <w:tr w:rsidR="002D7E08" w:rsidRPr="00C254D9" w:rsidTr="00A447A9">
        <w:trPr>
          <w:cantSplit/>
          <w:trHeight w:val="538"/>
        </w:trPr>
        <w:tc>
          <w:tcPr>
            <w:tcW w:w="3119" w:type="dxa"/>
            <w:tcBorders>
              <w:bottom w:val="single" w:sz="4" w:space="0" w:color="auto"/>
            </w:tcBorders>
          </w:tcPr>
          <w:p w:rsidR="002D7E08" w:rsidRPr="00F23947" w:rsidRDefault="002D7E08" w:rsidP="002D7E08">
            <w:pPr>
              <w:keepNext/>
              <w:ind w:left="-108"/>
              <w:rPr>
                <w:rFonts w:ascii="Arial Narrow" w:hAnsi="Arial Narrow"/>
                <w:b/>
                <w:sz w:val="20"/>
              </w:rPr>
            </w:pPr>
            <w:r w:rsidRPr="00F23947">
              <w:rPr>
                <w:rFonts w:ascii="Arial Narrow" w:hAnsi="Arial Narrow"/>
                <w:b/>
                <w:sz w:val="20"/>
              </w:rPr>
              <w:t>Name, Restriction,</w:t>
            </w:r>
          </w:p>
          <w:p w:rsidR="002D7E08" w:rsidRPr="00F23947" w:rsidRDefault="002D7E08" w:rsidP="002D7E08">
            <w:pPr>
              <w:keepNext/>
              <w:ind w:left="-108"/>
              <w:rPr>
                <w:rFonts w:ascii="Arial Narrow" w:hAnsi="Arial Narrow"/>
                <w:b/>
                <w:sz w:val="20"/>
              </w:rPr>
            </w:pPr>
            <w:r w:rsidRPr="00F23947">
              <w:rPr>
                <w:rFonts w:ascii="Arial Narrow" w:hAnsi="Arial Narrow"/>
                <w:b/>
                <w:sz w:val="20"/>
              </w:rPr>
              <w:t>Manner of administration and form</w:t>
            </w:r>
          </w:p>
        </w:tc>
        <w:tc>
          <w:tcPr>
            <w:tcW w:w="567" w:type="dxa"/>
            <w:tcBorders>
              <w:bottom w:val="single" w:sz="4" w:space="0" w:color="auto"/>
            </w:tcBorders>
          </w:tcPr>
          <w:p w:rsidR="002D7E08" w:rsidRPr="00F23947" w:rsidRDefault="002D7E08" w:rsidP="002D7E08">
            <w:pPr>
              <w:keepNext/>
              <w:ind w:left="-108"/>
              <w:rPr>
                <w:rFonts w:ascii="Arial Narrow" w:hAnsi="Arial Narrow"/>
                <w:b/>
                <w:sz w:val="20"/>
              </w:rPr>
            </w:pPr>
            <w:r w:rsidRPr="00F23947">
              <w:rPr>
                <w:rFonts w:ascii="Arial Narrow" w:hAnsi="Arial Narrow"/>
                <w:b/>
                <w:sz w:val="20"/>
              </w:rPr>
              <w:t>Max.</w:t>
            </w:r>
          </w:p>
          <w:p w:rsidR="002D7E08" w:rsidRPr="00F23947" w:rsidRDefault="002D7E08" w:rsidP="002D7E08">
            <w:pPr>
              <w:keepNext/>
              <w:ind w:left="-108"/>
              <w:rPr>
                <w:rFonts w:ascii="Arial Narrow" w:hAnsi="Arial Narrow"/>
                <w:b/>
                <w:sz w:val="20"/>
              </w:rPr>
            </w:pPr>
            <w:r w:rsidRPr="00F23947">
              <w:rPr>
                <w:rFonts w:ascii="Arial Narrow" w:hAnsi="Arial Narrow"/>
                <w:b/>
                <w:sz w:val="20"/>
              </w:rPr>
              <w:t>Qty</w:t>
            </w:r>
          </w:p>
        </w:tc>
        <w:tc>
          <w:tcPr>
            <w:tcW w:w="850" w:type="dxa"/>
            <w:tcBorders>
              <w:bottom w:val="single" w:sz="4" w:space="0" w:color="auto"/>
            </w:tcBorders>
          </w:tcPr>
          <w:p w:rsidR="002D7E08" w:rsidRPr="00F23947" w:rsidRDefault="002D7E08" w:rsidP="002D7E08">
            <w:pPr>
              <w:keepNext/>
              <w:ind w:left="-108"/>
              <w:rPr>
                <w:rFonts w:ascii="Arial Narrow" w:hAnsi="Arial Narrow"/>
                <w:b/>
                <w:sz w:val="20"/>
              </w:rPr>
            </w:pPr>
            <w:r w:rsidRPr="00F23947">
              <w:rPr>
                <w:rFonts w:ascii="Arial Narrow" w:hAnsi="Arial Narrow"/>
                <w:b/>
                <w:sz w:val="20"/>
              </w:rPr>
              <w:t>№.of</w:t>
            </w:r>
          </w:p>
          <w:p w:rsidR="002D7E08" w:rsidRPr="00F23947" w:rsidRDefault="002D7E08" w:rsidP="002D7E08">
            <w:pPr>
              <w:keepNext/>
              <w:ind w:left="-108"/>
              <w:rPr>
                <w:rFonts w:ascii="Arial Narrow" w:hAnsi="Arial Narrow"/>
                <w:b/>
                <w:sz w:val="20"/>
              </w:rPr>
            </w:pPr>
            <w:r w:rsidRPr="00F23947">
              <w:rPr>
                <w:rFonts w:ascii="Arial Narrow" w:hAnsi="Arial Narrow"/>
                <w:b/>
                <w:sz w:val="20"/>
              </w:rPr>
              <w:t>Rpts</w:t>
            </w:r>
          </w:p>
        </w:tc>
        <w:tc>
          <w:tcPr>
            <w:tcW w:w="1701" w:type="dxa"/>
            <w:tcBorders>
              <w:bottom w:val="single" w:sz="4" w:space="0" w:color="auto"/>
            </w:tcBorders>
          </w:tcPr>
          <w:p w:rsidR="002D7E08" w:rsidRPr="00F23947" w:rsidRDefault="002D7E08" w:rsidP="002D7E08">
            <w:pPr>
              <w:keepNext/>
              <w:ind w:left="-108"/>
              <w:jc w:val="left"/>
              <w:rPr>
                <w:rFonts w:ascii="Arial Narrow" w:hAnsi="Arial Narrow"/>
                <w:b/>
                <w:sz w:val="20"/>
              </w:rPr>
            </w:pPr>
            <w:r w:rsidRPr="00F23947">
              <w:rPr>
                <w:rFonts w:ascii="Arial Narrow" w:hAnsi="Arial Narrow"/>
                <w:b/>
                <w:sz w:val="20"/>
              </w:rPr>
              <w:t>Dispensed Price for Max. Qty</w:t>
            </w:r>
          </w:p>
        </w:tc>
        <w:tc>
          <w:tcPr>
            <w:tcW w:w="3119" w:type="dxa"/>
            <w:gridSpan w:val="2"/>
            <w:tcBorders>
              <w:bottom w:val="single" w:sz="4" w:space="0" w:color="auto"/>
            </w:tcBorders>
          </w:tcPr>
          <w:p w:rsidR="002D7E08" w:rsidRPr="00F23947" w:rsidRDefault="002D7E08" w:rsidP="002D7E08">
            <w:pPr>
              <w:keepNext/>
              <w:jc w:val="left"/>
              <w:rPr>
                <w:rFonts w:ascii="Arial Narrow" w:hAnsi="Arial Narrow"/>
                <w:b/>
                <w:sz w:val="20"/>
                <w:lang w:val="fr-FR"/>
              </w:rPr>
            </w:pPr>
            <w:r w:rsidRPr="00F23947">
              <w:rPr>
                <w:rFonts w:ascii="Arial Narrow" w:hAnsi="Arial Narrow"/>
                <w:b/>
                <w:sz w:val="20"/>
              </w:rPr>
              <w:t>Proprietary Name and Manufacturer</w:t>
            </w:r>
          </w:p>
        </w:tc>
      </w:tr>
      <w:tr w:rsidR="002D7E08" w:rsidRPr="00C254D9" w:rsidTr="00A447A9">
        <w:trPr>
          <w:cantSplit/>
          <w:trHeight w:val="577"/>
        </w:trPr>
        <w:tc>
          <w:tcPr>
            <w:tcW w:w="3119" w:type="dxa"/>
          </w:tcPr>
          <w:p w:rsidR="002D7E08" w:rsidRDefault="002D7E08" w:rsidP="002D7E08">
            <w:pPr>
              <w:keepNext/>
              <w:ind w:left="-108"/>
              <w:rPr>
                <w:rFonts w:ascii="Arial Narrow" w:hAnsi="Arial Narrow"/>
                <w:smallCaps/>
                <w:color w:val="FF0000"/>
                <w:sz w:val="20"/>
              </w:rPr>
            </w:pPr>
            <w:r>
              <w:rPr>
                <w:rFonts w:ascii="Arial Narrow" w:hAnsi="Arial Narrow"/>
                <w:smallCaps/>
                <w:sz w:val="20"/>
              </w:rPr>
              <w:t>Brolucizumab</w:t>
            </w:r>
          </w:p>
          <w:p w:rsidR="002D7E08" w:rsidRPr="008B3257" w:rsidRDefault="002D7E08" w:rsidP="002D7E08">
            <w:pPr>
              <w:keepNext/>
              <w:ind w:left="-108"/>
              <w:rPr>
                <w:rFonts w:ascii="Arial Narrow" w:hAnsi="Arial Narrow"/>
                <w:color w:val="FF0000"/>
                <w:sz w:val="20"/>
              </w:rPr>
            </w:pPr>
            <w:r w:rsidRPr="00EE630C">
              <w:rPr>
                <w:rFonts w:ascii="Arial Narrow" w:hAnsi="Arial Narrow" w:cstheme="minorHAnsi"/>
                <w:sz w:val="20"/>
              </w:rPr>
              <w:t>19.8</w:t>
            </w:r>
            <w:r>
              <w:rPr>
                <w:rFonts w:ascii="Arial Narrow" w:hAnsi="Arial Narrow" w:cstheme="minorHAnsi"/>
                <w:sz w:val="20"/>
              </w:rPr>
              <w:t xml:space="preserve"> </w:t>
            </w:r>
            <w:r w:rsidRPr="00EE630C">
              <w:rPr>
                <w:rFonts w:ascii="Arial Narrow" w:hAnsi="Arial Narrow" w:cstheme="minorHAnsi"/>
                <w:sz w:val="20"/>
              </w:rPr>
              <w:t>mg in 0.165</w:t>
            </w:r>
            <w:r>
              <w:rPr>
                <w:rFonts w:ascii="Arial Narrow" w:hAnsi="Arial Narrow" w:cstheme="minorHAnsi"/>
                <w:sz w:val="20"/>
              </w:rPr>
              <w:t xml:space="preserve"> </w:t>
            </w:r>
            <w:r w:rsidRPr="00EE630C">
              <w:rPr>
                <w:rFonts w:ascii="Arial Narrow" w:hAnsi="Arial Narrow" w:cstheme="minorHAnsi"/>
                <w:sz w:val="20"/>
              </w:rPr>
              <w:t>mL syringe</w:t>
            </w:r>
          </w:p>
        </w:tc>
        <w:tc>
          <w:tcPr>
            <w:tcW w:w="567" w:type="dxa"/>
          </w:tcPr>
          <w:p w:rsidR="002D7E08" w:rsidRPr="00C254D9" w:rsidRDefault="002D7E08" w:rsidP="002D7E08">
            <w:pPr>
              <w:keepNext/>
              <w:ind w:left="-108"/>
              <w:rPr>
                <w:rFonts w:ascii="Arial Narrow" w:hAnsi="Arial Narrow"/>
                <w:sz w:val="20"/>
              </w:rPr>
            </w:pPr>
          </w:p>
          <w:p w:rsidR="002D7E08" w:rsidRPr="00C254D9" w:rsidRDefault="002D7E08" w:rsidP="002D7E08">
            <w:pPr>
              <w:keepNext/>
              <w:ind w:left="-108"/>
              <w:rPr>
                <w:rFonts w:ascii="Arial Narrow" w:hAnsi="Arial Narrow"/>
                <w:sz w:val="20"/>
              </w:rPr>
            </w:pPr>
            <w:r>
              <w:rPr>
                <w:rFonts w:ascii="Arial Narrow" w:hAnsi="Arial Narrow"/>
                <w:sz w:val="20"/>
              </w:rPr>
              <w:t>1</w:t>
            </w:r>
          </w:p>
        </w:tc>
        <w:tc>
          <w:tcPr>
            <w:tcW w:w="850" w:type="dxa"/>
          </w:tcPr>
          <w:p w:rsidR="002D7E08" w:rsidRPr="00C254D9" w:rsidRDefault="002D7E08" w:rsidP="002D7E08">
            <w:pPr>
              <w:keepNext/>
              <w:ind w:left="-108"/>
              <w:rPr>
                <w:rFonts w:ascii="Arial Narrow" w:hAnsi="Arial Narrow"/>
                <w:sz w:val="20"/>
              </w:rPr>
            </w:pPr>
          </w:p>
          <w:p w:rsidR="002D7E08" w:rsidRPr="00C254D9" w:rsidRDefault="002D7E08" w:rsidP="002D7E08">
            <w:pPr>
              <w:keepNext/>
              <w:ind w:left="-108"/>
              <w:rPr>
                <w:rFonts w:ascii="Arial Narrow" w:hAnsi="Arial Narrow"/>
                <w:sz w:val="20"/>
              </w:rPr>
            </w:pPr>
            <w:r>
              <w:rPr>
                <w:rFonts w:ascii="Arial Narrow" w:hAnsi="Arial Narrow"/>
                <w:sz w:val="20"/>
              </w:rPr>
              <w:t>2</w:t>
            </w:r>
          </w:p>
        </w:tc>
        <w:tc>
          <w:tcPr>
            <w:tcW w:w="1701" w:type="dxa"/>
          </w:tcPr>
          <w:p w:rsidR="002D7E08" w:rsidRPr="00EE630C" w:rsidRDefault="002D7E08" w:rsidP="002D7E08">
            <w:pPr>
              <w:keepNext/>
              <w:ind w:left="-108"/>
              <w:rPr>
                <w:rFonts w:ascii="Arial Narrow" w:hAnsi="Arial Narrow"/>
                <w:sz w:val="20"/>
              </w:rPr>
            </w:pPr>
            <w:r>
              <w:rPr>
                <w:rFonts w:ascii="Arial Narrow" w:hAnsi="Arial Narrow"/>
                <w:sz w:val="20"/>
              </w:rPr>
              <w:t>Effective: $</w:t>
            </w:r>
            <w:r w:rsidR="005D7DE1">
              <w:rPr>
                <w:rFonts w:ascii="Arial Narrow" w:hAnsi="Arial Narrow"/>
                <w:noProof/>
                <w:color w:val="000000"/>
                <w:sz w:val="20"/>
                <w:highlight w:val="black"/>
              </w:rPr>
              <w:t>''''''''''''''''</w:t>
            </w:r>
          </w:p>
          <w:p w:rsidR="002D7E08" w:rsidRPr="00C254D9" w:rsidRDefault="002D7E08" w:rsidP="002D7E08">
            <w:pPr>
              <w:keepNext/>
              <w:ind w:left="-108"/>
              <w:rPr>
                <w:rFonts w:ascii="Arial Narrow" w:hAnsi="Arial Narrow"/>
                <w:sz w:val="20"/>
              </w:rPr>
            </w:pPr>
            <w:r w:rsidRPr="00EE630C">
              <w:rPr>
                <w:rFonts w:ascii="Arial Narrow" w:hAnsi="Arial Narrow" w:cstheme="minorHAnsi"/>
                <w:sz w:val="20"/>
              </w:rPr>
              <w:t>Published:</w:t>
            </w:r>
            <w:r>
              <w:rPr>
                <w:rFonts w:ascii="Arial Narrow" w:hAnsi="Arial Narrow" w:cstheme="minorHAnsi"/>
                <w:sz w:val="20"/>
              </w:rPr>
              <w:t xml:space="preserve"> $</w:t>
            </w:r>
            <w:r w:rsidR="005D7DE1">
              <w:rPr>
                <w:rFonts w:ascii="Arial Narrow" w:hAnsi="Arial Narrow" w:cstheme="minorHAnsi"/>
                <w:noProof/>
                <w:color w:val="000000"/>
                <w:sz w:val="20"/>
                <w:highlight w:val="black"/>
              </w:rPr>
              <w:t>''''''''''''''''''</w:t>
            </w:r>
          </w:p>
        </w:tc>
        <w:tc>
          <w:tcPr>
            <w:tcW w:w="709" w:type="dxa"/>
          </w:tcPr>
          <w:p w:rsidR="002D7E08" w:rsidRPr="00C254D9" w:rsidRDefault="002D7E08" w:rsidP="002D7E08">
            <w:pPr>
              <w:keepNext/>
              <w:rPr>
                <w:rFonts w:ascii="Arial Narrow" w:hAnsi="Arial Narrow"/>
                <w:sz w:val="20"/>
              </w:rPr>
            </w:pPr>
            <w:r>
              <w:rPr>
                <w:rFonts w:ascii="Arial Narrow" w:hAnsi="Arial Narrow"/>
                <w:sz w:val="20"/>
              </w:rPr>
              <w:t>B</w:t>
            </w:r>
            <w:r w:rsidRPr="00EE630C">
              <w:rPr>
                <w:rFonts w:ascii="Arial Narrow" w:hAnsi="Arial Narrow" w:cstheme="minorHAnsi"/>
                <w:sz w:val="20"/>
              </w:rPr>
              <w:t>eovu</w:t>
            </w:r>
          </w:p>
        </w:tc>
        <w:tc>
          <w:tcPr>
            <w:tcW w:w="2410" w:type="dxa"/>
          </w:tcPr>
          <w:p w:rsidR="002D7E08" w:rsidRPr="00C254D9" w:rsidRDefault="002D7E08" w:rsidP="002D7E08">
            <w:pPr>
              <w:keepNext/>
              <w:rPr>
                <w:rFonts w:ascii="Arial Narrow" w:hAnsi="Arial Narrow"/>
                <w:sz w:val="20"/>
              </w:rPr>
            </w:pPr>
            <w:r>
              <w:rPr>
                <w:rFonts w:ascii="Arial Narrow" w:hAnsi="Arial Narrow"/>
                <w:sz w:val="20"/>
              </w:rPr>
              <w:t>Novartis Australia Pty Ltd</w:t>
            </w:r>
          </w:p>
        </w:tc>
      </w:tr>
    </w:tbl>
    <w:p w:rsidR="002D7E08" w:rsidRPr="00EE630C" w:rsidRDefault="002D7E08" w:rsidP="002D7E08">
      <w:pPr>
        <w:pStyle w:val="PBACtablecaption"/>
        <w:rPr>
          <w:sz w:val="20"/>
          <w:szCs w:val="20"/>
        </w:rPr>
      </w:pPr>
    </w:p>
    <w:tbl>
      <w:tblPr>
        <w:tblW w:w="9385" w:type="dxa"/>
        <w:tblInd w:w="108" w:type="dxa"/>
        <w:tblLayout w:type="fixed"/>
        <w:tblLook w:val="0000" w:firstRow="0" w:lastRow="0" w:firstColumn="0" w:lastColumn="0" w:noHBand="0" w:noVBand="0"/>
      </w:tblPr>
      <w:tblGrid>
        <w:gridCol w:w="1872"/>
        <w:gridCol w:w="7513"/>
      </w:tblGrid>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b/>
                <w:sz w:val="20"/>
              </w:rPr>
            </w:pPr>
            <w:r w:rsidRPr="00EE630C">
              <w:rPr>
                <w:rFonts w:ascii="Arial Narrow" w:hAnsi="Arial Narrow"/>
                <w:b/>
                <w:sz w:val="20"/>
              </w:rPr>
              <w:t>Episodicity:</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sz w:val="20"/>
              </w:rPr>
            </w:pPr>
            <w:r w:rsidRPr="00EE630C">
              <w:rPr>
                <w:rFonts w:ascii="Arial Narrow" w:hAnsi="Arial Narrow"/>
                <w:sz w:val="20"/>
              </w:rPr>
              <w:t>Chronic</w:t>
            </w:r>
          </w:p>
        </w:tc>
      </w:tr>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b/>
                <w:sz w:val="20"/>
              </w:rPr>
            </w:pPr>
            <w:r w:rsidRPr="00EE630C">
              <w:rPr>
                <w:rFonts w:ascii="Arial Narrow" w:hAnsi="Arial Narrow"/>
                <w:b/>
                <w:sz w:val="20"/>
              </w:rPr>
              <w:t>Condition:</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sz w:val="20"/>
              </w:rPr>
            </w:pPr>
            <w:r w:rsidRPr="005F473F">
              <w:rPr>
                <w:rFonts w:ascii="Arial Narrow" w:hAnsi="Arial Narrow"/>
                <w:strike/>
                <w:sz w:val="20"/>
              </w:rPr>
              <w:t>Age-related macular degeneration</w:t>
            </w:r>
            <w:r w:rsidRPr="00EE630C">
              <w:rPr>
                <w:rFonts w:ascii="Arial Narrow" w:hAnsi="Arial Narrow"/>
                <w:sz w:val="20"/>
              </w:rPr>
              <w:t xml:space="preserve"> </w:t>
            </w:r>
            <w:r w:rsidRPr="005F473F">
              <w:rPr>
                <w:rFonts w:ascii="Arial Narrow" w:hAnsi="Arial Narrow"/>
                <w:i/>
                <w:sz w:val="20"/>
              </w:rPr>
              <w:t>Subfoveal choroidal neovascularisation</w:t>
            </w:r>
          </w:p>
        </w:tc>
      </w:tr>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b/>
                <w:sz w:val="20"/>
              </w:rPr>
            </w:pPr>
            <w:r w:rsidRPr="00EE630C">
              <w:rPr>
                <w:rFonts w:ascii="Arial Narrow" w:hAnsi="Arial Narrow"/>
                <w:b/>
                <w:sz w:val="20"/>
              </w:rPr>
              <w:t>PBS Indication:</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sz w:val="20"/>
              </w:rPr>
            </w:pPr>
            <w:r w:rsidRPr="00EE630C">
              <w:rPr>
                <w:rFonts w:ascii="Arial Narrow" w:hAnsi="Arial Narrow"/>
                <w:sz w:val="20"/>
              </w:rPr>
              <w:t xml:space="preserve">Subfoveal choroidal neovascularisation </w:t>
            </w:r>
            <w:r w:rsidRPr="005F473F">
              <w:rPr>
                <w:rFonts w:ascii="Arial Narrow" w:hAnsi="Arial Narrow"/>
                <w:strike/>
                <w:sz w:val="20"/>
              </w:rPr>
              <w:t>(CNV)</w:t>
            </w:r>
          </w:p>
        </w:tc>
      </w:tr>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b/>
                <w:sz w:val="20"/>
              </w:rPr>
            </w:pPr>
            <w:r w:rsidRPr="00EE630C">
              <w:rPr>
                <w:rFonts w:ascii="Arial Narrow" w:hAnsi="Arial Narrow"/>
                <w:b/>
                <w:sz w:val="20"/>
              </w:rPr>
              <w:t>Treatment phase:</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i/>
                <w:sz w:val="20"/>
              </w:rPr>
            </w:pPr>
            <w:r w:rsidRPr="00EE630C">
              <w:rPr>
                <w:rFonts w:ascii="Arial Narrow" w:hAnsi="Arial Narrow"/>
                <w:strike/>
                <w:sz w:val="20"/>
              </w:rPr>
              <w:t xml:space="preserve">Grandfather clause </w:t>
            </w:r>
            <w:r w:rsidRPr="00EE630C">
              <w:rPr>
                <w:rFonts w:ascii="Arial Narrow" w:hAnsi="Arial Narrow"/>
                <w:i/>
                <w:sz w:val="20"/>
              </w:rPr>
              <w:t>Grandfathered treatment</w:t>
            </w:r>
          </w:p>
        </w:tc>
      </w:tr>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b/>
                <w:sz w:val="20"/>
              </w:rPr>
            </w:pPr>
            <w:r w:rsidRPr="00EE630C">
              <w:rPr>
                <w:rFonts w:ascii="Arial Narrow" w:hAnsi="Arial Narrow"/>
                <w:b/>
                <w:sz w:val="20"/>
              </w:rPr>
              <w:t>Restriction Level:</w:t>
            </w:r>
          </w:p>
          <w:p w:rsidR="002D7E08" w:rsidRPr="00EE630C" w:rsidRDefault="002D7E08" w:rsidP="002D7E08">
            <w:pPr>
              <w:rPr>
                <w:rFonts w:ascii="Arial Narrow" w:hAnsi="Arial Narrow"/>
                <w:sz w:val="20"/>
              </w:rPr>
            </w:pP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spacing w:line="360" w:lineRule="auto"/>
              <w:rPr>
                <w:rFonts w:ascii="Arial Narrow" w:hAnsi="Arial Narrow"/>
                <w:sz w:val="20"/>
              </w:rPr>
            </w:pPr>
            <w:r w:rsidRPr="00EE630C">
              <w:rPr>
                <w:rFonts w:ascii="Arial Narrow" w:hAnsi="Arial Narrow"/>
                <w:sz w:val="20"/>
              </w:rPr>
              <w:fldChar w:fldCharType="begin">
                <w:ffData>
                  <w:name w:val="Check3"/>
                  <w:enabled/>
                  <w:calcOnExit w:val="0"/>
                  <w:checkBox>
                    <w:sizeAuto/>
                    <w:default w:val="1"/>
                  </w:checkBox>
                </w:ffData>
              </w:fldChar>
            </w:r>
            <w:r w:rsidRPr="00EE630C">
              <w:rPr>
                <w:rFonts w:ascii="Arial Narrow" w:hAnsi="Arial Narrow"/>
                <w:sz w:val="20"/>
              </w:rPr>
              <w:instrText xml:space="preserve"> FORMCHECKBOX </w:instrText>
            </w:r>
            <w:r w:rsidR="008872C1">
              <w:rPr>
                <w:rFonts w:ascii="Arial Narrow" w:hAnsi="Arial Narrow"/>
                <w:sz w:val="20"/>
              </w:rPr>
            </w:r>
            <w:r w:rsidR="008872C1">
              <w:rPr>
                <w:rFonts w:ascii="Arial Narrow" w:hAnsi="Arial Narrow"/>
                <w:sz w:val="20"/>
              </w:rPr>
              <w:fldChar w:fldCharType="separate"/>
            </w:r>
            <w:r w:rsidRPr="00EE630C">
              <w:rPr>
                <w:rFonts w:ascii="Arial Narrow" w:hAnsi="Arial Narrow"/>
                <w:sz w:val="20"/>
              </w:rPr>
              <w:fldChar w:fldCharType="end"/>
            </w:r>
            <w:r w:rsidRPr="00EE630C">
              <w:rPr>
                <w:rFonts w:ascii="Arial Narrow" w:hAnsi="Arial Narrow"/>
                <w:sz w:val="20"/>
              </w:rPr>
              <w:t>Authority Required - In Writing</w:t>
            </w:r>
          </w:p>
          <w:p w:rsidR="002D7E08" w:rsidRPr="008E4593" w:rsidRDefault="002D7E08" w:rsidP="002D7E08">
            <w:pPr>
              <w:spacing w:line="360" w:lineRule="auto"/>
              <w:rPr>
                <w:rFonts w:ascii="Arial Narrow" w:hAnsi="Arial Narrow"/>
                <w:strike/>
                <w:sz w:val="20"/>
              </w:rPr>
            </w:pPr>
            <w:r w:rsidRPr="00301758">
              <w:rPr>
                <w:rFonts w:ascii="Arial Narrow" w:hAnsi="Arial Narrow"/>
                <w:sz w:val="20"/>
              </w:rPr>
              <w:fldChar w:fldCharType="begin">
                <w:ffData>
                  <w:name w:val="Check3"/>
                  <w:enabled/>
                  <w:calcOnExit w:val="0"/>
                  <w:checkBox>
                    <w:sizeAuto/>
                    <w:default w:val="1"/>
                  </w:checkBox>
                </w:ffData>
              </w:fldChar>
            </w:r>
            <w:r w:rsidRPr="00301758">
              <w:rPr>
                <w:rFonts w:ascii="Arial Narrow" w:hAnsi="Arial Narrow"/>
                <w:sz w:val="20"/>
              </w:rPr>
              <w:instrText xml:space="preserve"> FORMCHECKBOX </w:instrText>
            </w:r>
            <w:r w:rsidR="008872C1">
              <w:rPr>
                <w:rFonts w:ascii="Arial Narrow" w:hAnsi="Arial Narrow"/>
                <w:sz w:val="20"/>
              </w:rPr>
            </w:r>
            <w:r w:rsidR="008872C1">
              <w:rPr>
                <w:rFonts w:ascii="Arial Narrow" w:hAnsi="Arial Narrow"/>
                <w:sz w:val="20"/>
              </w:rPr>
              <w:fldChar w:fldCharType="separate"/>
            </w:r>
            <w:r w:rsidRPr="00301758">
              <w:rPr>
                <w:rFonts w:ascii="Arial Narrow" w:hAnsi="Arial Narrow"/>
                <w:sz w:val="20"/>
              </w:rPr>
              <w:fldChar w:fldCharType="end"/>
            </w:r>
            <w:r w:rsidRPr="00301758">
              <w:rPr>
                <w:rFonts w:ascii="Arial Narrow" w:hAnsi="Arial Narrow"/>
                <w:sz w:val="20"/>
              </w:rPr>
              <w:t>Authority Required - Telephone</w:t>
            </w:r>
          </w:p>
        </w:tc>
      </w:tr>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8E4593" w:rsidRDefault="002D7E08" w:rsidP="002D7E08">
            <w:pPr>
              <w:rPr>
                <w:rFonts w:ascii="Arial Narrow" w:hAnsi="Arial Narrow"/>
                <w:b/>
                <w:sz w:val="20"/>
              </w:rPr>
            </w:pPr>
            <w:r w:rsidRPr="00EE630C">
              <w:rPr>
                <w:rFonts w:ascii="Arial Narrow" w:hAnsi="Arial Narrow"/>
                <w:b/>
                <w:sz w:val="20"/>
              </w:rPr>
              <w:t>Treatment criteria:</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sz w:val="20"/>
              </w:rPr>
            </w:pPr>
            <w:r w:rsidRPr="00EE630C">
              <w:rPr>
                <w:rFonts w:ascii="Arial Narrow" w:hAnsi="Arial Narrow"/>
                <w:sz w:val="20"/>
              </w:rPr>
              <w:t>Must be treated by an ophthalmologist or in consultation with an ophthalmologist.</w:t>
            </w:r>
          </w:p>
        </w:tc>
      </w:tr>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b/>
                <w:sz w:val="20"/>
              </w:rPr>
            </w:pPr>
            <w:r w:rsidRPr="00EE630C">
              <w:rPr>
                <w:rFonts w:ascii="Arial Narrow" w:hAnsi="Arial Narrow"/>
                <w:b/>
                <w:sz w:val="20"/>
              </w:rPr>
              <w:lastRenderedPageBreak/>
              <w:t>Clinical criteria:</w:t>
            </w:r>
          </w:p>
          <w:p w:rsidR="002D7E08" w:rsidRPr="00EE630C" w:rsidRDefault="002D7E08" w:rsidP="002D7E08">
            <w:pPr>
              <w:rPr>
                <w:rFonts w:ascii="Arial Narrow" w:hAnsi="Arial Narrow"/>
                <w:i/>
                <w:sz w:val="20"/>
              </w:rPr>
            </w:pPr>
          </w:p>
          <w:p w:rsidR="002D7E08" w:rsidRPr="00EE630C" w:rsidRDefault="002D7E08" w:rsidP="002D7E08">
            <w:pPr>
              <w:rPr>
                <w:rFonts w:ascii="Arial Narrow" w:hAnsi="Arial Narrow"/>
                <w:sz w:val="20"/>
              </w:rPr>
            </w:pP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sz w:val="20"/>
              </w:rPr>
            </w:pPr>
            <w:r w:rsidRPr="00EE630C">
              <w:rPr>
                <w:rFonts w:ascii="Arial Narrow" w:hAnsi="Arial Narrow"/>
                <w:sz w:val="20"/>
              </w:rPr>
              <w:t>The condition must be due to age-related macular degeneration (AMD),</w:t>
            </w:r>
          </w:p>
          <w:p w:rsidR="002D7E08" w:rsidRPr="00EE630C" w:rsidRDefault="002D7E08" w:rsidP="002D7E08">
            <w:pPr>
              <w:rPr>
                <w:rFonts w:ascii="Arial Narrow" w:hAnsi="Arial Narrow"/>
                <w:sz w:val="20"/>
              </w:rPr>
            </w:pPr>
            <w:r w:rsidRPr="00EE630C">
              <w:rPr>
                <w:rFonts w:ascii="Arial Narrow" w:hAnsi="Arial Narrow"/>
                <w:sz w:val="20"/>
              </w:rPr>
              <w:t>AND</w:t>
            </w:r>
          </w:p>
          <w:p w:rsidR="002D7E08" w:rsidRPr="00EE630C" w:rsidRDefault="002D7E08" w:rsidP="002D7E08">
            <w:pPr>
              <w:rPr>
                <w:rFonts w:ascii="Arial Narrow" w:hAnsi="Arial Narrow"/>
                <w:sz w:val="20"/>
              </w:rPr>
            </w:pPr>
            <w:r w:rsidRPr="00EE630C">
              <w:rPr>
                <w:rFonts w:ascii="Arial Narrow" w:hAnsi="Arial Narrow"/>
                <w:sz w:val="20"/>
              </w:rPr>
              <w:t>Patient must have received non-PBS subsidised treatment with this drug for this condition prior to [listing date]</w:t>
            </w:r>
            <w:r w:rsidR="0057237D">
              <w:rPr>
                <w:rFonts w:ascii="Arial Narrow" w:hAnsi="Arial Narrow"/>
                <w:sz w:val="20"/>
              </w:rPr>
              <w:t>,</w:t>
            </w:r>
          </w:p>
          <w:p w:rsidR="002D7E08" w:rsidRPr="00EE630C" w:rsidRDefault="002D7E08" w:rsidP="002D7E08">
            <w:pPr>
              <w:rPr>
                <w:rFonts w:ascii="Arial Narrow" w:hAnsi="Arial Narrow"/>
                <w:sz w:val="20"/>
              </w:rPr>
            </w:pPr>
            <w:r w:rsidRPr="00EE630C">
              <w:rPr>
                <w:rFonts w:ascii="Arial Narrow" w:hAnsi="Arial Narrow"/>
                <w:sz w:val="20"/>
              </w:rPr>
              <w:t>AND</w:t>
            </w:r>
          </w:p>
          <w:p w:rsidR="002D7E08" w:rsidRPr="00EE630C" w:rsidRDefault="002D7E08" w:rsidP="002D7E08">
            <w:pPr>
              <w:rPr>
                <w:rFonts w:ascii="Arial Narrow" w:hAnsi="Arial Narrow"/>
                <w:sz w:val="20"/>
              </w:rPr>
            </w:pPr>
            <w:r w:rsidRPr="00EE630C">
              <w:rPr>
                <w:rFonts w:ascii="Arial Narrow" w:hAnsi="Arial Narrow"/>
                <w:sz w:val="20"/>
              </w:rPr>
              <w:t>Patient must have documented history that the condition has been diagnosed by optical coherence tomography; OR fluorescein angiography</w:t>
            </w:r>
            <w:r w:rsidR="0057237D">
              <w:rPr>
                <w:rFonts w:ascii="Arial Narrow" w:hAnsi="Arial Narrow"/>
                <w:sz w:val="20"/>
              </w:rPr>
              <w:t>,</w:t>
            </w:r>
          </w:p>
          <w:p w:rsidR="002D7E08" w:rsidRPr="00EE630C" w:rsidRDefault="002D7E08" w:rsidP="002D7E08">
            <w:pPr>
              <w:rPr>
                <w:rFonts w:ascii="Arial Narrow" w:hAnsi="Arial Narrow"/>
                <w:i/>
                <w:sz w:val="20"/>
              </w:rPr>
            </w:pPr>
            <w:r w:rsidRPr="00EE630C">
              <w:rPr>
                <w:rFonts w:ascii="Arial Narrow" w:hAnsi="Arial Narrow"/>
                <w:i/>
                <w:sz w:val="20"/>
              </w:rPr>
              <w:t>AND</w:t>
            </w:r>
          </w:p>
          <w:p w:rsidR="002D7E08" w:rsidRPr="00EE630C" w:rsidRDefault="002D7E08" w:rsidP="002D7E08">
            <w:pPr>
              <w:rPr>
                <w:rFonts w:ascii="Arial Narrow" w:hAnsi="Arial Narrow"/>
                <w:i/>
                <w:sz w:val="20"/>
              </w:rPr>
            </w:pPr>
            <w:r w:rsidRPr="00EE630C">
              <w:rPr>
                <w:rFonts w:ascii="Arial Narrow" w:hAnsi="Arial Narrow"/>
                <w:i/>
                <w:sz w:val="20"/>
              </w:rPr>
              <w:t>The treatment must be the sole PBS-subsidised therapy for this condition.</w:t>
            </w:r>
          </w:p>
        </w:tc>
      </w:tr>
      <w:tr w:rsidR="002D7E08" w:rsidRPr="00EE630C" w:rsidTr="002D7E08">
        <w:trPr>
          <w:cantSplit/>
          <w:trHeight w:val="360"/>
        </w:trPr>
        <w:tc>
          <w:tcPr>
            <w:tcW w:w="1872"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b/>
                <w:sz w:val="20"/>
              </w:rPr>
            </w:pPr>
            <w:r w:rsidRPr="00EE630C">
              <w:rPr>
                <w:rFonts w:ascii="Arial Narrow" w:hAnsi="Arial Narrow"/>
                <w:b/>
                <w:sz w:val="20"/>
              </w:rPr>
              <w:t>Population criteria:</w:t>
            </w:r>
          </w:p>
        </w:tc>
        <w:tc>
          <w:tcPr>
            <w:tcW w:w="7513" w:type="dxa"/>
            <w:tcBorders>
              <w:top w:val="single" w:sz="4" w:space="0" w:color="auto"/>
              <w:left w:val="single" w:sz="4" w:space="0" w:color="auto"/>
              <w:bottom w:val="single" w:sz="4" w:space="0" w:color="auto"/>
              <w:right w:val="single" w:sz="4" w:space="0" w:color="auto"/>
            </w:tcBorders>
          </w:tcPr>
          <w:p w:rsidR="002D7E08" w:rsidRPr="00EE630C" w:rsidRDefault="002D7E08" w:rsidP="002D7E08">
            <w:pPr>
              <w:rPr>
                <w:rFonts w:ascii="Arial Narrow" w:hAnsi="Arial Narrow"/>
                <w:sz w:val="20"/>
              </w:rPr>
            </w:pPr>
            <w:r w:rsidRPr="00EE630C">
              <w:rPr>
                <w:rFonts w:ascii="Arial Narrow" w:hAnsi="Arial Narrow"/>
                <w:sz w:val="20"/>
              </w:rPr>
              <w:t>N/A</w:t>
            </w:r>
          </w:p>
        </w:tc>
      </w:tr>
    </w:tbl>
    <w:p w:rsidR="002D7E08" w:rsidRPr="00EE630C" w:rsidRDefault="002D7E08" w:rsidP="002D7E08"/>
    <w:p w:rsidR="0080791A" w:rsidRPr="00986B61" w:rsidRDefault="0080791A" w:rsidP="0057237D">
      <w:pPr>
        <w:pStyle w:val="ListParagraph"/>
        <w:widowControl/>
        <w:numPr>
          <w:ilvl w:val="1"/>
          <w:numId w:val="1"/>
        </w:numPr>
        <w:spacing w:after="120"/>
      </w:pPr>
      <w:r>
        <w:t xml:space="preserve">The submission requested a special pricing arrangement (SPA) for brolucizumab, on a cost-minimisation basis with the effective prices of aflibercept and ranibizumab, which are both currently subject to SPAs. </w:t>
      </w:r>
      <w:r w:rsidRPr="0098340F">
        <w:t xml:space="preserve">The submission </w:t>
      </w:r>
      <w:r w:rsidR="00A452F4">
        <w:t>proposed an</w:t>
      </w:r>
      <w:r w:rsidRPr="0098340F">
        <w:t xml:space="preserve"> effective price </w:t>
      </w:r>
      <w:r w:rsidR="00A452F4">
        <w:t>of</w:t>
      </w:r>
      <w:r w:rsidR="00A452F4" w:rsidRPr="0098340F">
        <w:t xml:space="preserve"> </w:t>
      </w:r>
      <w:r w:rsidRPr="0098340F">
        <w:t>$</w:t>
      </w:r>
      <w:r w:rsidR="005D7DE1">
        <w:rPr>
          <w:noProof/>
          <w:color w:val="000000"/>
          <w:highlight w:val="black"/>
        </w:rPr>
        <w:t>''''''''''''</w:t>
      </w:r>
      <w:r w:rsidRPr="0098340F">
        <w:t>, on the basis of Clause 5.7 of the Strategic Agreement between Medicines Australia and the Commonwealth</w:t>
      </w:r>
      <w:r w:rsidR="00575E48">
        <w:t xml:space="preserve"> (the Strategic Agreement)</w:t>
      </w:r>
      <w:r w:rsidRPr="0098340F">
        <w:t xml:space="preserve"> that, until expiration of the agreement 30 June 2022, brolucizumab can be listed with a price equivalent to that of the other </w:t>
      </w:r>
      <w:r w:rsidR="00FC4072">
        <w:t>a</w:t>
      </w:r>
      <w:r w:rsidRPr="0098340F">
        <w:t>nti-</w:t>
      </w:r>
      <w:r w:rsidR="00FC4072">
        <w:t>vascular endothelial growth factor (</w:t>
      </w:r>
      <w:r w:rsidR="00D6005C">
        <w:t>anti-</w:t>
      </w:r>
      <w:r w:rsidRPr="0098340F">
        <w:t>VEGF</w:t>
      </w:r>
      <w:r w:rsidR="00FC4072">
        <w:t>)</w:t>
      </w:r>
      <w:r w:rsidRPr="0098340F">
        <w:t xml:space="preserve"> drugs prior to the application of any F1 statutory cuts</w:t>
      </w:r>
      <w:r>
        <w:t>.</w:t>
      </w:r>
    </w:p>
    <w:p w:rsidR="0080791A" w:rsidRPr="00F06F57" w:rsidRDefault="0080791A" w:rsidP="0057237D">
      <w:pPr>
        <w:pStyle w:val="ListParagraph"/>
        <w:widowControl/>
        <w:numPr>
          <w:ilvl w:val="1"/>
          <w:numId w:val="1"/>
        </w:numPr>
        <w:spacing w:after="120"/>
      </w:pPr>
      <w:r w:rsidRPr="00F06F57">
        <w:t xml:space="preserve">The population in the requested listing was narrower than that in the </w:t>
      </w:r>
      <w:r w:rsidR="00EC6499" w:rsidRPr="00F06F57">
        <w:t xml:space="preserve">proposed </w:t>
      </w:r>
      <w:r w:rsidRPr="00F06F57">
        <w:t>TGA indication and the trial population</w:t>
      </w:r>
      <w:r w:rsidR="00962D8E" w:rsidRPr="00F06F57">
        <w:t>s</w:t>
      </w:r>
      <w:r w:rsidRPr="00F06F57">
        <w:t xml:space="preserve">. The proposed listing restricted eligibility to patients with subfoveal CNV, while the proposed TGA indication </w:t>
      </w:r>
      <w:r w:rsidR="00EC6499" w:rsidRPr="00F06F57">
        <w:t>was</w:t>
      </w:r>
      <w:r w:rsidRPr="00F06F57">
        <w:t xml:space="preserve"> for the treatment of </w:t>
      </w:r>
      <w:r w:rsidR="00962D8E" w:rsidRPr="00F06F57">
        <w:t>neovascular</w:t>
      </w:r>
      <w:r w:rsidRPr="00F06F57">
        <w:t xml:space="preserve"> AMD, irrespective of the location of the CNV. While the majority of the patients in two of the three brolucizumab trials presented in </w:t>
      </w:r>
      <w:r w:rsidR="00B044DD" w:rsidRPr="00F06F57">
        <w:t>t</w:t>
      </w:r>
      <w:r w:rsidR="002C6760" w:rsidRPr="00F06F57">
        <w:t>he submis</w:t>
      </w:r>
      <w:r w:rsidR="00B044DD" w:rsidRPr="00F06F57">
        <w:t>s</w:t>
      </w:r>
      <w:r w:rsidR="002C6760" w:rsidRPr="00F06F57">
        <w:t>i</w:t>
      </w:r>
      <w:r w:rsidR="00B044DD" w:rsidRPr="00F06F57">
        <w:t>on</w:t>
      </w:r>
      <w:r w:rsidRPr="00F06F57">
        <w:t xml:space="preserve"> had subfoveal CNV lesions (84% in the HAWK trial, and 100% in OSPREY), only 32% of </w:t>
      </w:r>
      <w:r w:rsidRPr="00EB3FF6">
        <w:t>participants in the HARRIER trial had subfoveal lesions.</w:t>
      </w:r>
      <w:r w:rsidR="00B044DD" w:rsidRPr="00EB3FF6">
        <w:t xml:space="preserve"> </w:t>
      </w:r>
      <w:r w:rsidR="00404660" w:rsidRPr="00EB3FF6">
        <w:t>The</w:t>
      </w:r>
      <w:r w:rsidR="001B5669">
        <w:t xml:space="preserve"> Pre-Sub-Committee Response</w:t>
      </w:r>
      <w:r w:rsidR="00404660" w:rsidRPr="00EB3FF6">
        <w:t xml:space="preserve"> </w:t>
      </w:r>
      <w:r w:rsidR="001B5669">
        <w:t>(</w:t>
      </w:r>
      <w:r w:rsidR="006E318A" w:rsidRPr="00EB3FF6">
        <w:t>PSCR</w:t>
      </w:r>
      <w:r w:rsidR="001B5669">
        <w:t>)</w:t>
      </w:r>
      <w:r w:rsidR="002F1C2D" w:rsidRPr="00EB3FF6">
        <w:t xml:space="preserve"> </w:t>
      </w:r>
      <w:r w:rsidR="006E318A" w:rsidRPr="00EB3FF6">
        <w:t>stated that while it is acknowledged that patients with subfoveal lesions in the HARRIER trial comprised a relatively smaller proportion, the extent of visual impairment in terms of best corrected visual acuity (BCVA) letters read in the HAWK and HARRIER trials were similar at baseli</w:t>
      </w:r>
      <w:r w:rsidR="00C45BD3" w:rsidRPr="00EB3FF6">
        <w:t xml:space="preserve">ne, with similar improvements in BCVA in the brolucizumab treatment arms, a similar proportion of patients achieving a </w:t>
      </w:r>
      <w:r w:rsidR="00C45BD3" w:rsidRPr="00EB3FF6">
        <w:rPr>
          <w:rFonts w:cs="Calibri"/>
        </w:rPr>
        <w:t>≥</w:t>
      </w:r>
      <w:r w:rsidR="00C45BD3" w:rsidRPr="00EB3FF6">
        <w:t xml:space="preserve">15 letter gain in BCVA or BCVA &gt;84, and a similar proportion of patients achieving </w:t>
      </w:r>
      <w:r w:rsidR="00C45BD3" w:rsidRPr="00EB3FF6">
        <w:rPr>
          <w:rFonts w:cs="Calibri"/>
        </w:rPr>
        <w:t>≥</w:t>
      </w:r>
      <w:r w:rsidR="00C45BD3" w:rsidRPr="00EB3FF6">
        <w:t>73 letters, suggesting that lesion location does not result in significant treatment effect modification.</w:t>
      </w:r>
      <w:r w:rsidR="00C45BD3" w:rsidRPr="00C45BD3">
        <w:rPr>
          <w:i/>
        </w:rPr>
        <w:t xml:space="preserve">  </w:t>
      </w:r>
    </w:p>
    <w:p w:rsidR="00354A12" w:rsidRDefault="00354A12" w:rsidP="00917BC7">
      <w:pPr>
        <w:pStyle w:val="ListParagraph"/>
        <w:widowControl/>
        <w:numPr>
          <w:ilvl w:val="1"/>
          <w:numId w:val="1"/>
        </w:numPr>
        <w:spacing w:after="120"/>
      </w:pPr>
      <w:r w:rsidRPr="00F06F57">
        <w:t xml:space="preserve">The proposed listing for brolucizumab was consistent with the </w:t>
      </w:r>
      <w:r w:rsidR="00B044DD" w:rsidRPr="00F06F57">
        <w:t xml:space="preserve">current </w:t>
      </w:r>
      <w:r w:rsidRPr="00F06F57">
        <w:t>PBS listings for aflibercept and ranibizumab</w:t>
      </w:r>
      <w:r w:rsidR="00243F34" w:rsidRPr="00F06F57">
        <w:t xml:space="preserve"> for the treatment of subfoveal CNV due to AMD</w:t>
      </w:r>
      <w:r w:rsidRPr="00F06F57">
        <w:t>.</w:t>
      </w:r>
    </w:p>
    <w:p w:rsidR="004A7A4C" w:rsidRDefault="00EC6499" w:rsidP="00917BC7">
      <w:pPr>
        <w:pStyle w:val="ListParagraph"/>
        <w:widowControl/>
        <w:numPr>
          <w:ilvl w:val="1"/>
          <w:numId w:val="1"/>
        </w:numPr>
        <w:spacing w:after="120"/>
      </w:pPr>
      <w:r w:rsidRPr="00F06F57">
        <w:t>Under the proposed restriction, patients who are intolerant or contraindicated to, or who have inadequate response to other anti-VEGF treatments, would be able to switch to brolucizumab. All of the trials presented in the submission excluded patients who had received prior treatment for neovascular AMD in the study eye</w:t>
      </w:r>
      <w:r w:rsidR="00EE28B2">
        <w:t>.</w:t>
      </w:r>
      <w:r w:rsidR="00850A8E">
        <w:t xml:space="preserve"> </w:t>
      </w:r>
      <w:r w:rsidR="00850A8E" w:rsidRPr="00597182">
        <w:t>The PSCR</w:t>
      </w:r>
      <w:r w:rsidR="00850A8E" w:rsidRPr="00D943C2">
        <w:rPr>
          <w:i/>
        </w:rPr>
        <w:t xml:space="preserve"> </w:t>
      </w:r>
      <w:r w:rsidR="00850A8E" w:rsidRPr="00EB3FF6">
        <w:t>stated</w:t>
      </w:r>
      <w:r w:rsidR="002F1C2D" w:rsidRPr="00EB3FF6">
        <w:t xml:space="preserve"> (p3)</w:t>
      </w:r>
      <w:r w:rsidR="00850A8E" w:rsidRPr="00EB3FF6">
        <w:t xml:space="preserve"> that findings from three systematic reviews of 95 studies</w:t>
      </w:r>
      <w:r w:rsidR="002F1C2D" w:rsidRPr="00EB3FF6">
        <w:t xml:space="preserve"> confirm that switching anti-VEGF therapy can offer improved anatomical benefits, and although this</w:t>
      </w:r>
      <w:r w:rsidR="00850A8E" w:rsidRPr="00EB3FF6">
        <w:t xml:space="preserve"> evidence</w:t>
      </w:r>
      <w:r w:rsidR="002F1C2D" w:rsidRPr="00EB3FF6">
        <w:t xml:space="preserve"> is</w:t>
      </w:r>
      <w:r w:rsidR="00850A8E" w:rsidRPr="00EB3FF6">
        <w:t xml:space="preserve"> not spe</w:t>
      </w:r>
      <w:r w:rsidR="0016526C" w:rsidRPr="00EB3FF6">
        <w:t xml:space="preserve">cific to brolucizumab, the similar mechanism of action would </w:t>
      </w:r>
      <w:r w:rsidR="0016526C" w:rsidRPr="00EB3FF6">
        <w:lastRenderedPageBreak/>
        <w:t xml:space="preserve">suggest it would be </w:t>
      </w:r>
      <w:r w:rsidR="002F1C2D" w:rsidRPr="00EB3FF6">
        <w:t>appropriate</w:t>
      </w:r>
      <w:r w:rsidR="0016526C" w:rsidRPr="00EB3FF6">
        <w:t xml:space="preserve"> to switch patients between anti-VEGFs.</w:t>
      </w:r>
      <w:r w:rsidR="00850A8E" w:rsidRPr="00EB3FF6">
        <w:t xml:space="preserve"> </w:t>
      </w:r>
      <w:r w:rsidR="0016526C" w:rsidRPr="00EB3FF6">
        <w:t xml:space="preserve">However, the </w:t>
      </w:r>
      <w:r w:rsidR="00476818" w:rsidRPr="00167BA5">
        <w:rPr>
          <w:rFonts w:asciiTheme="minorHAnsi" w:hAnsiTheme="minorHAnsi" w:cstheme="minorHAnsi"/>
          <w:szCs w:val="24"/>
        </w:rPr>
        <w:t>Economics Sub-Committee</w:t>
      </w:r>
      <w:r w:rsidR="00476818" w:rsidRPr="00EB3FF6">
        <w:t xml:space="preserve"> </w:t>
      </w:r>
      <w:r w:rsidR="00476818">
        <w:t>(</w:t>
      </w:r>
      <w:r w:rsidR="0016526C" w:rsidRPr="00EB3FF6">
        <w:t>ESC</w:t>
      </w:r>
      <w:r w:rsidR="00476818">
        <w:t>)</w:t>
      </w:r>
      <w:r w:rsidR="0016526C" w:rsidRPr="00EB3FF6">
        <w:t xml:space="preserve"> advised that brolucizumab is a smaller molecule that ha</w:t>
      </w:r>
      <w:r w:rsidR="00F113D0" w:rsidRPr="00EB3FF6">
        <w:t>s</w:t>
      </w:r>
      <w:r w:rsidR="0016526C" w:rsidRPr="00EB3FF6">
        <w:t xml:space="preserve"> different pharmacodynamic properties</w:t>
      </w:r>
      <w:r w:rsidR="00940BEB" w:rsidRPr="00EB3FF6">
        <w:t xml:space="preserve"> and safety profiles </w:t>
      </w:r>
      <w:r w:rsidR="00784AB2" w:rsidRPr="00EB3FF6">
        <w:t>to currently</w:t>
      </w:r>
      <w:r w:rsidR="00940BEB" w:rsidRPr="00EB3FF6">
        <w:t xml:space="preserve"> PBS listed anti-VEGFs</w:t>
      </w:r>
      <w:r w:rsidR="00516653" w:rsidRPr="00EB3FF6">
        <w:t xml:space="preserve">. </w:t>
      </w:r>
    </w:p>
    <w:p w:rsidR="00DA1D00" w:rsidRDefault="00DA1D00" w:rsidP="00917BC7">
      <w:pPr>
        <w:pStyle w:val="PBACHeading1"/>
        <w:spacing w:after="120"/>
        <w:outlineLvl w:val="0"/>
      </w:pPr>
      <w:bookmarkStart w:id="2" w:name="_Toc19712617"/>
      <w:r w:rsidRPr="00ED7E3E">
        <w:t>Background</w:t>
      </w:r>
      <w:bookmarkEnd w:id="2"/>
    </w:p>
    <w:p w:rsidR="0080791A" w:rsidRPr="00E3097C" w:rsidRDefault="0080791A" w:rsidP="00E3097C">
      <w:pPr>
        <w:pStyle w:val="Heading2"/>
        <w:keepNext/>
        <w:keepLines/>
        <w:spacing w:after="120"/>
      </w:pPr>
      <w:r w:rsidRPr="00E3097C">
        <w:t>Registration status</w:t>
      </w:r>
    </w:p>
    <w:p w:rsidR="00316039" w:rsidRDefault="0080791A" w:rsidP="00917BC7">
      <w:pPr>
        <w:pStyle w:val="ListParagraph"/>
        <w:widowControl/>
        <w:numPr>
          <w:ilvl w:val="1"/>
          <w:numId w:val="1"/>
        </w:numPr>
        <w:spacing w:after="120"/>
      </w:pPr>
      <w:r w:rsidRPr="00EB3FF6">
        <w:t>The submission was made under TGA/PBAC Parallel Process</w:t>
      </w:r>
      <w:r w:rsidR="00D943C2">
        <w:t xml:space="preserve"> and was not TGA registered at the time of PBAC consideration</w:t>
      </w:r>
      <w:r w:rsidR="001D37ED" w:rsidRPr="00EB3FF6">
        <w:t xml:space="preserve">. </w:t>
      </w:r>
      <w:r w:rsidR="00D943C2">
        <w:rPr>
          <w:rFonts w:asciiTheme="minorHAnsi" w:hAnsiTheme="minorHAnsi" w:cstheme="minorHAnsi"/>
        </w:rPr>
        <w:t xml:space="preserve">The second round Clinical </w:t>
      </w:r>
      <w:r w:rsidR="00C42E47">
        <w:rPr>
          <w:rFonts w:asciiTheme="minorHAnsi" w:hAnsiTheme="minorHAnsi" w:cstheme="minorHAnsi"/>
        </w:rPr>
        <w:t>Evaluation</w:t>
      </w:r>
      <w:r w:rsidR="00D943C2">
        <w:rPr>
          <w:rFonts w:asciiTheme="minorHAnsi" w:hAnsiTheme="minorHAnsi" w:cstheme="minorHAnsi"/>
        </w:rPr>
        <w:t xml:space="preserve"> Report and TGA </w:t>
      </w:r>
      <w:r w:rsidR="00320972">
        <w:rPr>
          <w:rFonts w:asciiTheme="minorHAnsi" w:hAnsiTheme="minorHAnsi" w:cstheme="minorHAnsi"/>
        </w:rPr>
        <w:t>D</w:t>
      </w:r>
      <w:r w:rsidR="00F741A2">
        <w:rPr>
          <w:rFonts w:asciiTheme="minorHAnsi" w:hAnsiTheme="minorHAnsi" w:cstheme="minorHAnsi"/>
        </w:rPr>
        <w:t xml:space="preserve">elegate’s </w:t>
      </w:r>
      <w:r w:rsidR="00320972">
        <w:rPr>
          <w:rFonts w:asciiTheme="minorHAnsi" w:hAnsiTheme="minorHAnsi" w:cstheme="minorHAnsi"/>
        </w:rPr>
        <w:t>O</w:t>
      </w:r>
      <w:r w:rsidR="00F741A2">
        <w:rPr>
          <w:rFonts w:asciiTheme="minorHAnsi" w:hAnsiTheme="minorHAnsi" w:cstheme="minorHAnsi"/>
        </w:rPr>
        <w:t xml:space="preserve">verview </w:t>
      </w:r>
      <w:r w:rsidR="00C42E47">
        <w:rPr>
          <w:rFonts w:asciiTheme="minorHAnsi" w:hAnsiTheme="minorHAnsi" w:cstheme="minorHAnsi"/>
        </w:rPr>
        <w:t xml:space="preserve">were provided </w:t>
      </w:r>
      <w:r w:rsidR="00320972">
        <w:rPr>
          <w:rFonts w:asciiTheme="minorHAnsi" w:hAnsiTheme="minorHAnsi" w:cstheme="minorHAnsi"/>
        </w:rPr>
        <w:t>prior to the PBAC meeting</w:t>
      </w:r>
      <w:r w:rsidR="00C42E47">
        <w:rPr>
          <w:rFonts w:asciiTheme="minorHAnsi" w:hAnsiTheme="minorHAnsi" w:cstheme="minorHAnsi"/>
        </w:rPr>
        <w:t xml:space="preserve">. </w:t>
      </w:r>
      <w:r w:rsidR="00E64D94" w:rsidRPr="00A35E59">
        <w:rPr>
          <w:rFonts w:asciiTheme="minorHAnsi" w:hAnsiTheme="minorHAnsi" w:cstheme="minorHAnsi"/>
        </w:rPr>
        <w:t xml:space="preserve">The Delegate’s Overview stated </w:t>
      </w:r>
      <w:r w:rsidR="005D7DE1">
        <w:rPr>
          <w:rFonts w:asciiTheme="minorHAnsi" w:hAnsiTheme="minorHAnsi" w:cstheme="minorHAnsi"/>
          <w:noProof/>
          <w:color w:val="000000"/>
          <w:highlight w:val="black"/>
        </w:rPr>
        <w:t xml:space="preserve">'''''''''' ''' ''''' ''''''''''''' ''''''''' '''''' ''''''''''''''''''' '''''' ''''''''''''''''''''''' '''''''''''''' ''''''' '''''' ''''''''''''''''''' '''''' '''''' '''''''''''''''''''' '''' '''''''''''''''''''''''' ''''''''''' ''''''''''' </w:t>
      </w:r>
      <w:r w:rsidR="00E64D94" w:rsidRPr="00A35E59">
        <w:rPr>
          <w:rFonts w:asciiTheme="minorHAnsi" w:hAnsiTheme="minorHAnsi" w:cstheme="minorHAnsi"/>
        </w:rPr>
        <w:t xml:space="preserve">However, the Delegate </w:t>
      </w:r>
      <w:r w:rsidR="003E4160" w:rsidRPr="00A35E59">
        <w:rPr>
          <w:rFonts w:asciiTheme="minorHAnsi" w:hAnsiTheme="minorHAnsi" w:cstheme="minorHAnsi"/>
        </w:rPr>
        <w:t>noted the</w:t>
      </w:r>
      <w:r w:rsidR="005D7DE1">
        <w:rPr>
          <w:rFonts w:asciiTheme="minorHAnsi" w:hAnsiTheme="minorHAnsi" w:cstheme="minorHAnsi"/>
          <w:noProof/>
          <w:color w:val="000000"/>
          <w:highlight w:val="black"/>
        </w:rPr>
        <w:t xml:space="preserve"> '''''''''''' ''''''' ''''' '''''''''''' ''''''' '''''''''''''''''''''' '''''''' ''''''''''''''''''''''' '''''''' '''''''''''''''''''' '''''''''' ''''''''''''' ''''' ''' ''''''''''''''' ''''' '''''''''''' ''''''''''''''</w:t>
      </w:r>
      <w:r w:rsidR="003E4160">
        <w:rPr>
          <w:rFonts w:asciiTheme="minorHAnsi" w:hAnsiTheme="minorHAnsi" w:cstheme="minorHAnsi"/>
        </w:rPr>
        <w:t xml:space="preserve">  </w:t>
      </w:r>
    </w:p>
    <w:p w:rsidR="00B06CFA" w:rsidRPr="00407F2D" w:rsidRDefault="002D7E08" w:rsidP="00917BC7">
      <w:pPr>
        <w:pStyle w:val="PBACHeading1"/>
        <w:keepNext/>
        <w:spacing w:after="120"/>
        <w:outlineLvl w:val="0"/>
      </w:pPr>
      <w:r>
        <w:t>Population and disease</w:t>
      </w:r>
    </w:p>
    <w:p w:rsidR="0080791A" w:rsidRPr="002B5E3A" w:rsidRDefault="0080791A" w:rsidP="00917BC7">
      <w:pPr>
        <w:pStyle w:val="ListParagraph"/>
        <w:keepNext/>
        <w:widowControl/>
        <w:numPr>
          <w:ilvl w:val="1"/>
          <w:numId w:val="1"/>
        </w:numPr>
        <w:spacing w:after="120"/>
      </w:pPr>
      <w:r w:rsidRPr="003D3685">
        <w:t>AMD is a chronic eye disease characteri</w:t>
      </w:r>
      <w:r>
        <w:t>s</w:t>
      </w:r>
      <w:r w:rsidRPr="003D3685">
        <w:t xml:space="preserve">ed by progressive degenerative abnormalities in the central retina (macula) and is the leading cause of severe vision loss and legal blindness in people over the age </w:t>
      </w:r>
      <w:r>
        <w:t>of 65</w:t>
      </w:r>
      <w:r w:rsidR="00DE2D0E">
        <w:t xml:space="preserve"> years</w:t>
      </w:r>
      <w:r>
        <w:t xml:space="preserve">. </w:t>
      </w:r>
      <w:r w:rsidRPr="003D3685">
        <w:t>There are two types of AMD: the non-neovascular (atrophic) or dry form</w:t>
      </w:r>
      <w:r>
        <w:t>,</w:t>
      </w:r>
      <w:r w:rsidRPr="003D3685">
        <w:t xml:space="preserve"> and the neovascular (exudative) or wet form.</w:t>
      </w:r>
    </w:p>
    <w:p w:rsidR="0080791A" w:rsidRPr="005D0DA9" w:rsidRDefault="0080791A" w:rsidP="00917BC7">
      <w:pPr>
        <w:pStyle w:val="ListParagraph"/>
        <w:keepNext/>
        <w:widowControl/>
        <w:numPr>
          <w:ilvl w:val="1"/>
          <w:numId w:val="1"/>
        </w:numPr>
        <w:spacing w:after="120"/>
      </w:pPr>
      <w:r w:rsidRPr="005D0DA9">
        <w:t>Neovascular (wet) AMD</w:t>
      </w:r>
      <w:r w:rsidR="00160D2C" w:rsidRPr="005D0DA9">
        <w:t xml:space="preserve"> is characterised by </w:t>
      </w:r>
      <w:r w:rsidR="00FC4072">
        <w:t>CNV</w:t>
      </w:r>
      <w:r w:rsidR="00160D2C" w:rsidRPr="005D0DA9">
        <w:t xml:space="preserve">, a process in which </w:t>
      </w:r>
      <w:r w:rsidRPr="005D0DA9">
        <w:t>new blood vessels grow beneath the retina and macula</w:t>
      </w:r>
      <w:r w:rsidR="00EE29FC" w:rsidRPr="005D0DA9">
        <w:t xml:space="preserve">. These blood vessels leak, </w:t>
      </w:r>
      <w:r w:rsidR="00A424AE" w:rsidRPr="005D0DA9">
        <w:t>causing separation of Bruch’s membrane, the retinal pigment epithelium (RPE) and the retina from each other, with accumulation of sub-RPE, sub-retinal or intra-retinal fluid</w:t>
      </w:r>
      <w:r w:rsidRPr="005D0DA9">
        <w:t xml:space="preserve">. </w:t>
      </w:r>
      <w:r w:rsidR="00FC4072">
        <w:t>VEGF</w:t>
      </w:r>
      <w:r w:rsidRPr="005D0DA9">
        <w:t xml:space="preserve"> is </w:t>
      </w:r>
      <w:r w:rsidR="007D74AB" w:rsidRPr="005D0DA9">
        <w:t xml:space="preserve">widely considered the main growth factor responsible for this </w:t>
      </w:r>
      <w:r w:rsidR="00C94503" w:rsidRPr="005D0DA9">
        <w:t>neovascularisation</w:t>
      </w:r>
      <w:r w:rsidR="007D74AB" w:rsidRPr="005D0DA9">
        <w:t xml:space="preserve">. </w:t>
      </w:r>
    </w:p>
    <w:p w:rsidR="008E0042" w:rsidRPr="008E0042" w:rsidRDefault="0080791A" w:rsidP="00917BC7">
      <w:pPr>
        <w:pStyle w:val="ListParagraph"/>
        <w:widowControl/>
        <w:numPr>
          <w:ilvl w:val="1"/>
          <w:numId w:val="1"/>
        </w:numPr>
        <w:spacing w:after="120"/>
      </w:pPr>
      <w:r w:rsidRPr="0055212E">
        <w:t xml:space="preserve">CNV lesions </w:t>
      </w:r>
      <w:r>
        <w:t xml:space="preserve">are classified according to the location of the lesion </w:t>
      </w:r>
      <w:r w:rsidRPr="0055212E">
        <w:t>relative to the fovea</w:t>
      </w:r>
      <w:r>
        <w:t>: subfoveal (</w:t>
      </w:r>
      <w:r w:rsidRPr="0055212E">
        <w:t>located directly below the fovea</w:t>
      </w:r>
      <w:r>
        <w:t>), e</w:t>
      </w:r>
      <w:r w:rsidRPr="003E2B4C">
        <w:t xml:space="preserve">xtrafoveal </w:t>
      </w:r>
      <w:r>
        <w:t xml:space="preserve">(located </w:t>
      </w:r>
      <w:r w:rsidRPr="003E2B4C">
        <w:t>adjacent to fovea</w:t>
      </w:r>
      <w:r>
        <w:t>)</w:t>
      </w:r>
      <w:r w:rsidRPr="003E2B4C">
        <w:t xml:space="preserve"> and juxtafoveal </w:t>
      </w:r>
      <w:r>
        <w:t xml:space="preserve">(located </w:t>
      </w:r>
      <w:r w:rsidRPr="003E2B4C">
        <w:t>away from the fovea</w:t>
      </w:r>
      <w:r>
        <w:t>).</w:t>
      </w:r>
      <w:r w:rsidRPr="00B50DB8">
        <w:rPr>
          <w:color w:val="3366FF"/>
        </w:rPr>
        <w:t xml:space="preserve"> </w:t>
      </w:r>
    </w:p>
    <w:p w:rsidR="004A7A4C" w:rsidRDefault="0080791A" w:rsidP="00917BC7">
      <w:pPr>
        <w:pStyle w:val="ListParagraph"/>
        <w:widowControl/>
        <w:numPr>
          <w:ilvl w:val="1"/>
          <w:numId w:val="1"/>
        </w:numPr>
        <w:spacing w:after="120"/>
      </w:pPr>
      <w:r>
        <w:t xml:space="preserve">The submission requested listing of brolucizumab, an anti-VEGF agent, as an alternative treatment option to the anti-VEGF agents </w:t>
      </w:r>
      <w:r w:rsidR="00160D2C">
        <w:t xml:space="preserve">currently </w:t>
      </w:r>
      <w:r>
        <w:t>listed on the PBS for the treatment of subfoveal CNV due to AMD</w:t>
      </w:r>
      <w:r w:rsidR="00160D2C">
        <w:t xml:space="preserve"> (aflibercept and ranibizumab)</w:t>
      </w:r>
      <w:r>
        <w:t xml:space="preserve">. </w:t>
      </w:r>
    </w:p>
    <w:p w:rsidR="008E0042" w:rsidRDefault="008E0042" w:rsidP="00917BC7">
      <w:pPr>
        <w:pStyle w:val="ListParagraph"/>
        <w:widowControl/>
        <w:numPr>
          <w:ilvl w:val="1"/>
          <w:numId w:val="1"/>
        </w:numPr>
        <w:spacing w:after="120"/>
      </w:pPr>
      <w:r>
        <w:t>The PBAC noted that there was no difference in the intended patient population for brolucizumab compared with populations for other PBS-listed anti-VEGF agents (aflibercept and ranibizumab).</w:t>
      </w:r>
    </w:p>
    <w:p w:rsidR="00DA1D00" w:rsidRPr="00ED7E3E" w:rsidRDefault="00DA1D00" w:rsidP="00CE620B">
      <w:pPr>
        <w:pStyle w:val="PBACHeading1"/>
        <w:spacing w:after="120"/>
        <w:outlineLvl w:val="0"/>
      </w:pPr>
      <w:bookmarkStart w:id="3" w:name="_Toc19712619"/>
      <w:r w:rsidRPr="00ED7E3E">
        <w:t>Comparator</w:t>
      </w:r>
      <w:bookmarkEnd w:id="3"/>
    </w:p>
    <w:p w:rsidR="001378C2" w:rsidRPr="00EB3FF6" w:rsidRDefault="0080791A" w:rsidP="00CE620B">
      <w:pPr>
        <w:pStyle w:val="ListParagraph"/>
        <w:widowControl/>
        <w:numPr>
          <w:ilvl w:val="1"/>
          <w:numId w:val="1"/>
        </w:numPr>
        <w:spacing w:after="120"/>
      </w:pPr>
      <w:r w:rsidRPr="00EB3FF6">
        <w:t xml:space="preserve">The submission nominated aflibercept as the main comparator and ranibizumab </w:t>
      </w:r>
      <w:r w:rsidR="006606E1" w:rsidRPr="00EB3FF6">
        <w:t xml:space="preserve">as </w:t>
      </w:r>
      <w:r w:rsidRPr="00EB3FF6">
        <w:t xml:space="preserve">a secondary comparator. </w:t>
      </w:r>
      <w:r w:rsidR="00DD27BB">
        <w:rPr>
          <w:iCs/>
        </w:rPr>
        <w:t>While</w:t>
      </w:r>
      <w:r w:rsidR="00391DFB" w:rsidRPr="00EB3FF6">
        <w:rPr>
          <w:iCs/>
        </w:rPr>
        <w:t xml:space="preserve"> aflibercept is the market leader</w:t>
      </w:r>
      <w:r w:rsidR="00D0591B" w:rsidRPr="00EB3FF6">
        <w:rPr>
          <w:iCs/>
        </w:rPr>
        <w:t xml:space="preserve">, ranibizumab has become the least costly comparator since the F1 anniversary price cuts applied to </w:t>
      </w:r>
      <w:r w:rsidR="00D0591B" w:rsidRPr="00EB3FF6">
        <w:rPr>
          <w:iCs/>
        </w:rPr>
        <w:lastRenderedPageBreak/>
        <w:t>ranibizumab (10%) and aflibercept (5%) on 1 April 2018</w:t>
      </w:r>
      <w:r w:rsidR="00CD5214" w:rsidRPr="00EB3FF6">
        <w:rPr>
          <w:iCs/>
        </w:rPr>
        <w:t>.</w:t>
      </w:r>
      <w:r w:rsidR="00D0591B" w:rsidRPr="00EB3FF6">
        <w:rPr>
          <w:iCs/>
        </w:rPr>
        <w:t xml:space="preserve"> </w:t>
      </w:r>
      <w:r w:rsidRPr="00EB3FF6">
        <w:t xml:space="preserve">Aflibercept and ranibizumab have been previously considered by the PBAC as non-inferior to each other for the treatment of </w:t>
      </w:r>
      <w:r w:rsidR="00962D8E" w:rsidRPr="00EB3FF6">
        <w:t>neovascular</w:t>
      </w:r>
      <w:r w:rsidRPr="00EB3FF6">
        <w:t xml:space="preserve"> AMD.</w:t>
      </w:r>
      <w:r w:rsidR="00A148A7" w:rsidRPr="00EB3FF6">
        <w:t xml:space="preserve"> </w:t>
      </w:r>
    </w:p>
    <w:p w:rsidR="00704E3D" w:rsidRPr="00EB3FF6" w:rsidRDefault="00704E3D" w:rsidP="00CE620B">
      <w:pPr>
        <w:pStyle w:val="ListParagraph"/>
        <w:widowControl/>
        <w:numPr>
          <w:ilvl w:val="1"/>
          <w:numId w:val="1"/>
        </w:numPr>
        <w:spacing w:after="120"/>
      </w:pPr>
      <w:r w:rsidRPr="00EB3FF6">
        <w:t xml:space="preserve">The submission requested that the pre-statutory cut comparator price applies to brolucizumab, according to Clause 5.7 of the Strategic Agreement. The PSCR stated (p4) that if the Minister (or Delegate) determines that Clause 5.7 applies, then ranibizumab and aflibercept have the same price [in terms of a cost minimisation price for brolucizumab]. </w:t>
      </w:r>
      <w:r w:rsidR="00580EB9">
        <w:t xml:space="preserve">The PBAC noted that </w:t>
      </w:r>
      <w:r w:rsidR="001A53C2">
        <w:t xml:space="preserve">application </w:t>
      </w:r>
      <w:r w:rsidR="00580EB9">
        <w:t>of the Strategic Agreement is</w:t>
      </w:r>
      <w:r w:rsidR="001A53C2">
        <w:t xml:space="preserve"> not a matter for PBAC. </w:t>
      </w:r>
    </w:p>
    <w:p w:rsidR="00902A20" w:rsidRPr="00EB3FF6" w:rsidRDefault="00902A20" w:rsidP="00CE620B">
      <w:pPr>
        <w:pStyle w:val="ListParagraph"/>
        <w:widowControl/>
        <w:numPr>
          <w:ilvl w:val="1"/>
          <w:numId w:val="1"/>
        </w:numPr>
        <w:spacing w:after="120"/>
      </w:pPr>
      <w:r w:rsidRPr="00EB3FF6">
        <w:rPr>
          <w:lang w:val="en-US" w:eastAsia="en-AU"/>
        </w:rPr>
        <w:t>If treatment with brolucizumab is substantially more costly than any of the alternative therapies (</w:t>
      </w:r>
      <w:r w:rsidRPr="00EB3FF6">
        <w:t>aflibercept and ranibizumab)</w:t>
      </w:r>
      <w:r w:rsidRPr="00EB3FF6">
        <w:rPr>
          <w:lang w:val="en-US" w:eastAsia="en-AU"/>
        </w:rPr>
        <w:t>, the PBAC could only recommend listing brolucizumab if it is satisfied that it provides, for some patients, a significant improvement in efficacy or reduction of toxicity over the alternative therapies (National Health Act 1953, Section 101(3B)).</w:t>
      </w:r>
      <w:r w:rsidR="00DD27BB">
        <w:rPr>
          <w:lang w:val="en-US" w:eastAsia="en-AU"/>
        </w:rPr>
        <w:t xml:space="preserve"> The PBAC considered that brolucizumab did not satisfy these requirements, and advised that the cost minimisation should be performed against the least costly comparator, ranibizumab, so that it is not more costly than any of the alternative therapies. </w:t>
      </w:r>
    </w:p>
    <w:p w:rsidR="00704E3D" w:rsidRDefault="00704E3D" w:rsidP="00CE620B">
      <w:pPr>
        <w:pStyle w:val="ListParagraph"/>
        <w:spacing w:after="120"/>
        <w:ind w:left="709"/>
        <w:rPr>
          <w:rFonts w:asciiTheme="minorHAnsi" w:hAnsiTheme="minorHAnsi"/>
          <w:i/>
        </w:rPr>
      </w:pPr>
      <w:bookmarkStart w:id="4" w:name="_Toc19712620"/>
      <w:r>
        <w:t xml:space="preserve"> </w:t>
      </w:r>
      <w:r w:rsidR="004A7A4C" w:rsidRPr="00525B39">
        <w:rPr>
          <w:rFonts w:asciiTheme="minorHAnsi" w:hAnsiTheme="minorHAnsi"/>
          <w:i/>
        </w:rPr>
        <w:t>For more detail on PBAC’s view, see section 7 PBAC outcome.</w:t>
      </w:r>
    </w:p>
    <w:p w:rsidR="00C779D9" w:rsidRPr="00ED7E3E" w:rsidRDefault="00C779D9" w:rsidP="00917BC7">
      <w:pPr>
        <w:pStyle w:val="PBACHeading1"/>
        <w:spacing w:after="120"/>
        <w:outlineLvl w:val="0"/>
      </w:pPr>
      <w:r w:rsidRPr="00ED7E3E">
        <w:t>Consideration of the evidence</w:t>
      </w:r>
    </w:p>
    <w:bookmarkEnd w:id="4"/>
    <w:p w:rsidR="00C779D9" w:rsidRPr="003D6242" w:rsidRDefault="00C779D9" w:rsidP="00917BC7">
      <w:pPr>
        <w:pStyle w:val="Heading2"/>
        <w:keepNext/>
        <w:keepLines/>
        <w:spacing w:after="120"/>
      </w:pPr>
      <w:r>
        <w:t>Sponsor hearing</w:t>
      </w:r>
    </w:p>
    <w:p w:rsidR="0049487A" w:rsidRPr="003C6729" w:rsidRDefault="00C779D9" w:rsidP="00917BC7">
      <w:pPr>
        <w:numPr>
          <w:ilvl w:val="1"/>
          <w:numId w:val="1"/>
        </w:numPr>
        <w:spacing w:after="120"/>
      </w:pPr>
      <w:r w:rsidRPr="003C6729">
        <w:t>The</w:t>
      </w:r>
      <w:r>
        <w:t>re was no hearing for this item</w:t>
      </w:r>
      <w:r w:rsidRPr="003C6729">
        <w:t>.</w:t>
      </w:r>
    </w:p>
    <w:p w:rsidR="0049487A" w:rsidRDefault="0049487A" w:rsidP="00917BC7">
      <w:pPr>
        <w:pStyle w:val="Heading2"/>
        <w:keepNext/>
        <w:keepLines/>
        <w:spacing w:after="120"/>
        <w:rPr>
          <w:rFonts w:asciiTheme="minorHAnsi" w:hAnsiTheme="minorHAnsi"/>
          <w:bCs/>
          <w:szCs w:val="28"/>
        </w:rPr>
      </w:pPr>
      <w:r w:rsidRPr="00836F75">
        <w:rPr>
          <w:rFonts w:asciiTheme="minorHAnsi" w:hAnsiTheme="minorHAnsi"/>
          <w:bCs/>
          <w:szCs w:val="28"/>
        </w:rPr>
        <w:t>Consumer comments</w:t>
      </w:r>
    </w:p>
    <w:p w:rsidR="00E226FE" w:rsidRDefault="00E226FE" w:rsidP="00917BC7">
      <w:pPr>
        <w:numPr>
          <w:ilvl w:val="1"/>
          <w:numId w:val="1"/>
        </w:numPr>
        <w:spacing w:after="120"/>
        <w:rPr>
          <w:rFonts w:asciiTheme="minorHAnsi" w:hAnsiTheme="minorHAnsi"/>
          <w:bCs/>
        </w:rPr>
      </w:pPr>
      <w:r w:rsidRPr="00836F75">
        <w:rPr>
          <w:rFonts w:asciiTheme="minorHAnsi" w:hAnsiTheme="minorHAnsi"/>
          <w:bCs/>
        </w:rPr>
        <w:t>The PBAC no</w:t>
      </w:r>
      <w:r>
        <w:rPr>
          <w:rFonts w:asciiTheme="minorHAnsi" w:hAnsiTheme="minorHAnsi"/>
          <w:bCs/>
        </w:rPr>
        <w:t xml:space="preserve">ted and welcomed the input from the </w:t>
      </w:r>
      <w:r w:rsidRPr="00A568BD">
        <w:rPr>
          <w:rFonts w:asciiTheme="minorHAnsi" w:hAnsiTheme="minorHAnsi"/>
          <w:bCs/>
        </w:rPr>
        <w:t>Macular Disease Foundation</w:t>
      </w:r>
      <w:r w:rsidR="003D6242">
        <w:rPr>
          <w:rFonts w:asciiTheme="minorHAnsi" w:hAnsiTheme="minorHAnsi"/>
          <w:bCs/>
        </w:rPr>
        <w:t xml:space="preserve"> </w:t>
      </w:r>
      <w:r w:rsidRPr="00A568BD">
        <w:rPr>
          <w:rFonts w:asciiTheme="minorHAnsi" w:hAnsiTheme="minorHAnsi"/>
          <w:bCs/>
        </w:rPr>
        <w:t>Australia</w:t>
      </w:r>
      <w:r w:rsidR="00BC629E">
        <w:rPr>
          <w:rFonts w:asciiTheme="minorHAnsi" w:hAnsiTheme="minorHAnsi"/>
          <w:bCs/>
        </w:rPr>
        <w:t xml:space="preserve"> </w:t>
      </w:r>
      <w:r w:rsidRPr="00836F75">
        <w:rPr>
          <w:rFonts w:asciiTheme="minorHAnsi" w:hAnsiTheme="minorHAnsi"/>
          <w:bCs/>
        </w:rPr>
        <w:t>via the Consumer Comments facility o</w:t>
      </w:r>
      <w:r>
        <w:rPr>
          <w:rFonts w:asciiTheme="minorHAnsi" w:hAnsiTheme="minorHAnsi"/>
          <w:bCs/>
        </w:rPr>
        <w:t>n the PBS website. The comment</w:t>
      </w:r>
      <w:r w:rsidR="001E238B">
        <w:rPr>
          <w:rFonts w:asciiTheme="minorHAnsi" w:hAnsiTheme="minorHAnsi"/>
          <w:bCs/>
        </w:rPr>
        <w:t>s</w:t>
      </w:r>
      <w:r>
        <w:rPr>
          <w:rFonts w:asciiTheme="minorHAnsi" w:hAnsiTheme="minorHAnsi"/>
          <w:bCs/>
        </w:rPr>
        <w:t xml:space="preserve"> </w:t>
      </w:r>
      <w:r w:rsidR="00827371">
        <w:rPr>
          <w:rFonts w:asciiTheme="minorHAnsi" w:hAnsiTheme="minorHAnsi"/>
          <w:bCs/>
        </w:rPr>
        <w:t>mainly described</w:t>
      </w:r>
      <w:r>
        <w:rPr>
          <w:rFonts w:asciiTheme="minorHAnsi" w:hAnsiTheme="minorHAnsi"/>
          <w:bCs/>
        </w:rPr>
        <w:t xml:space="preserve"> the </w:t>
      </w:r>
      <w:r w:rsidR="00B73D6C">
        <w:rPr>
          <w:rFonts w:asciiTheme="minorHAnsi" w:hAnsiTheme="minorHAnsi"/>
          <w:bCs/>
        </w:rPr>
        <w:t>benefit</w:t>
      </w:r>
      <w:r w:rsidRPr="00836F75">
        <w:rPr>
          <w:rFonts w:asciiTheme="minorHAnsi" w:hAnsiTheme="minorHAnsi"/>
          <w:bCs/>
        </w:rPr>
        <w:t xml:space="preserve"> of </w:t>
      </w:r>
      <w:r w:rsidR="00B73D6C">
        <w:rPr>
          <w:rFonts w:asciiTheme="minorHAnsi" w:hAnsiTheme="minorHAnsi"/>
          <w:bCs/>
        </w:rPr>
        <w:t xml:space="preserve">having an additional </w:t>
      </w:r>
      <w:r w:rsidRPr="00836F75">
        <w:rPr>
          <w:rFonts w:asciiTheme="minorHAnsi" w:hAnsiTheme="minorHAnsi"/>
          <w:bCs/>
        </w:rPr>
        <w:t>treatment</w:t>
      </w:r>
      <w:r w:rsidR="00B73D6C">
        <w:rPr>
          <w:rFonts w:asciiTheme="minorHAnsi" w:hAnsiTheme="minorHAnsi"/>
          <w:bCs/>
        </w:rPr>
        <w:t xml:space="preserve"> option for patient </w:t>
      </w:r>
      <w:r w:rsidR="00541D0C">
        <w:rPr>
          <w:rFonts w:asciiTheme="minorHAnsi" w:hAnsiTheme="minorHAnsi"/>
          <w:bCs/>
        </w:rPr>
        <w:t>with AMD</w:t>
      </w:r>
      <w:r w:rsidR="00B73D6C">
        <w:rPr>
          <w:rFonts w:asciiTheme="minorHAnsi" w:hAnsiTheme="minorHAnsi"/>
          <w:bCs/>
        </w:rPr>
        <w:t xml:space="preserve"> and the</w:t>
      </w:r>
      <w:r w:rsidR="0039766B">
        <w:rPr>
          <w:rFonts w:asciiTheme="minorHAnsi" w:hAnsiTheme="minorHAnsi"/>
          <w:bCs/>
        </w:rPr>
        <w:t>y</w:t>
      </w:r>
      <w:r w:rsidR="00B73D6C">
        <w:rPr>
          <w:rFonts w:asciiTheme="minorHAnsi" w:hAnsiTheme="minorHAnsi"/>
          <w:bCs/>
        </w:rPr>
        <w:t xml:space="preserve"> </w:t>
      </w:r>
      <w:r w:rsidR="00BC629E">
        <w:rPr>
          <w:rFonts w:asciiTheme="minorHAnsi" w:hAnsiTheme="minorHAnsi"/>
          <w:bCs/>
        </w:rPr>
        <w:t xml:space="preserve">welcomed </w:t>
      </w:r>
      <w:r w:rsidR="008C252F">
        <w:rPr>
          <w:rFonts w:asciiTheme="minorHAnsi" w:hAnsiTheme="minorHAnsi"/>
          <w:bCs/>
        </w:rPr>
        <w:t xml:space="preserve">the increased interval between injections observed in the clinical trials (HAWK and Harrier). They also outlined the </w:t>
      </w:r>
      <w:r w:rsidR="00B73D6C">
        <w:rPr>
          <w:rFonts w:asciiTheme="minorHAnsi" w:hAnsiTheme="minorHAnsi"/>
          <w:bCs/>
        </w:rPr>
        <w:t>burden</w:t>
      </w:r>
      <w:r w:rsidR="00CB5016">
        <w:rPr>
          <w:rFonts w:asciiTheme="minorHAnsi" w:hAnsiTheme="minorHAnsi"/>
          <w:bCs/>
        </w:rPr>
        <w:t>s</w:t>
      </w:r>
      <w:r w:rsidR="00B73D6C">
        <w:rPr>
          <w:rFonts w:asciiTheme="minorHAnsi" w:hAnsiTheme="minorHAnsi"/>
          <w:bCs/>
        </w:rPr>
        <w:t xml:space="preserve"> of </w:t>
      </w:r>
      <w:r w:rsidR="003D6242">
        <w:rPr>
          <w:rFonts w:asciiTheme="minorHAnsi" w:hAnsiTheme="minorHAnsi"/>
          <w:bCs/>
        </w:rPr>
        <w:t>i</w:t>
      </w:r>
      <w:r w:rsidR="00B73D6C">
        <w:rPr>
          <w:rFonts w:asciiTheme="minorHAnsi" w:hAnsiTheme="minorHAnsi"/>
          <w:bCs/>
        </w:rPr>
        <w:t>ntravitreal injection</w:t>
      </w:r>
      <w:r w:rsidR="00CB5016">
        <w:rPr>
          <w:rFonts w:asciiTheme="minorHAnsi" w:hAnsiTheme="minorHAnsi"/>
          <w:bCs/>
        </w:rPr>
        <w:t>s</w:t>
      </w:r>
      <w:r w:rsidR="00B73D6C">
        <w:rPr>
          <w:rFonts w:asciiTheme="minorHAnsi" w:hAnsiTheme="minorHAnsi"/>
          <w:bCs/>
        </w:rPr>
        <w:t xml:space="preserve"> </w:t>
      </w:r>
      <w:r>
        <w:rPr>
          <w:rFonts w:asciiTheme="minorHAnsi" w:hAnsiTheme="minorHAnsi"/>
          <w:bCs/>
        </w:rPr>
        <w:t xml:space="preserve">in particular, </w:t>
      </w:r>
      <w:r w:rsidR="00541D0C">
        <w:rPr>
          <w:rFonts w:asciiTheme="minorHAnsi" w:hAnsiTheme="minorHAnsi"/>
          <w:bCs/>
        </w:rPr>
        <w:t>the cost of treatment, discomfort, emotional trauma and inconvenience for both the patients and their carers</w:t>
      </w:r>
      <w:r w:rsidR="003D6242">
        <w:rPr>
          <w:rFonts w:asciiTheme="minorHAnsi" w:hAnsiTheme="minorHAnsi"/>
          <w:bCs/>
        </w:rPr>
        <w:t>,</w:t>
      </w:r>
      <w:r w:rsidR="00541D0C">
        <w:rPr>
          <w:rFonts w:asciiTheme="minorHAnsi" w:hAnsiTheme="minorHAnsi"/>
          <w:bCs/>
        </w:rPr>
        <w:t xml:space="preserve"> and </w:t>
      </w:r>
      <w:r w:rsidR="003D6242">
        <w:rPr>
          <w:rFonts w:asciiTheme="minorHAnsi" w:hAnsiTheme="minorHAnsi"/>
          <w:bCs/>
        </w:rPr>
        <w:t xml:space="preserve">that </w:t>
      </w:r>
      <w:r w:rsidR="00541D0C">
        <w:rPr>
          <w:rFonts w:asciiTheme="minorHAnsi" w:hAnsiTheme="minorHAnsi"/>
          <w:bCs/>
        </w:rPr>
        <w:t xml:space="preserve">this challenge is magnified for </w:t>
      </w:r>
      <w:r w:rsidR="008C252F">
        <w:rPr>
          <w:rFonts w:asciiTheme="minorHAnsi" w:hAnsiTheme="minorHAnsi"/>
          <w:bCs/>
        </w:rPr>
        <w:t xml:space="preserve">elderly </w:t>
      </w:r>
      <w:r w:rsidR="00541D0C">
        <w:rPr>
          <w:rFonts w:asciiTheme="minorHAnsi" w:hAnsiTheme="minorHAnsi"/>
          <w:bCs/>
        </w:rPr>
        <w:t>people</w:t>
      </w:r>
      <w:r w:rsidR="008C252F">
        <w:rPr>
          <w:rFonts w:asciiTheme="minorHAnsi" w:hAnsiTheme="minorHAnsi"/>
          <w:bCs/>
        </w:rPr>
        <w:t xml:space="preserve"> and</w:t>
      </w:r>
      <w:r w:rsidR="0039766B">
        <w:rPr>
          <w:rFonts w:asciiTheme="minorHAnsi" w:hAnsiTheme="minorHAnsi"/>
          <w:bCs/>
        </w:rPr>
        <w:t xml:space="preserve"> for</w:t>
      </w:r>
      <w:r w:rsidR="008C252F">
        <w:rPr>
          <w:rFonts w:asciiTheme="minorHAnsi" w:hAnsiTheme="minorHAnsi"/>
          <w:bCs/>
        </w:rPr>
        <w:t xml:space="preserve"> people living</w:t>
      </w:r>
      <w:r w:rsidR="00541D0C">
        <w:rPr>
          <w:rFonts w:asciiTheme="minorHAnsi" w:hAnsiTheme="minorHAnsi"/>
          <w:bCs/>
        </w:rPr>
        <w:t xml:space="preserve"> in rural or remote locations. </w:t>
      </w:r>
      <w:r w:rsidR="008C252F">
        <w:rPr>
          <w:rFonts w:asciiTheme="minorHAnsi" w:hAnsiTheme="minorHAnsi"/>
          <w:bCs/>
        </w:rPr>
        <w:t xml:space="preserve">They also indicated </w:t>
      </w:r>
      <w:r w:rsidR="003D6242">
        <w:rPr>
          <w:rFonts w:asciiTheme="minorHAnsi" w:hAnsiTheme="minorHAnsi"/>
          <w:bCs/>
        </w:rPr>
        <w:t xml:space="preserve">that </w:t>
      </w:r>
      <w:r w:rsidR="008C252F">
        <w:rPr>
          <w:rFonts w:asciiTheme="minorHAnsi" w:hAnsiTheme="minorHAnsi"/>
          <w:bCs/>
        </w:rPr>
        <w:t>one of the</w:t>
      </w:r>
      <w:r>
        <w:rPr>
          <w:rFonts w:asciiTheme="minorHAnsi" w:hAnsiTheme="minorHAnsi"/>
          <w:bCs/>
        </w:rPr>
        <w:t xml:space="preserve"> advantages of less freque</w:t>
      </w:r>
      <w:r w:rsidR="0004123D">
        <w:rPr>
          <w:rFonts w:asciiTheme="minorHAnsi" w:hAnsiTheme="minorHAnsi"/>
          <w:bCs/>
        </w:rPr>
        <w:t xml:space="preserve">nt dosing </w:t>
      </w:r>
      <w:r w:rsidR="00541D0C">
        <w:rPr>
          <w:rFonts w:asciiTheme="minorHAnsi" w:hAnsiTheme="minorHAnsi"/>
          <w:bCs/>
        </w:rPr>
        <w:t>offered by brolucizumab</w:t>
      </w:r>
      <w:r w:rsidR="008C252F">
        <w:rPr>
          <w:rFonts w:asciiTheme="minorHAnsi" w:hAnsiTheme="minorHAnsi"/>
          <w:bCs/>
        </w:rPr>
        <w:t xml:space="preserve"> </w:t>
      </w:r>
      <w:r w:rsidR="00802B5A">
        <w:rPr>
          <w:rFonts w:asciiTheme="minorHAnsi" w:hAnsiTheme="minorHAnsi"/>
          <w:bCs/>
        </w:rPr>
        <w:t xml:space="preserve">should translate to </w:t>
      </w:r>
      <w:r w:rsidR="003D6242">
        <w:rPr>
          <w:rFonts w:asciiTheme="minorHAnsi" w:hAnsiTheme="minorHAnsi"/>
          <w:bCs/>
        </w:rPr>
        <w:t>a lowered</w:t>
      </w:r>
      <w:r w:rsidR="008C252F">
        <w:rPr>
          <w:rFonts w:asciiTheme="minorHAnsi" w:hAnsiTheme="minorHAnsi"/>
          <w:bCs/>
        </w:rPr>
        <w:t xml:space="preserve"> risk of injection</w:t>
      </w:r>
      <w:r w:rsidR="003D6242">
        <w:rPr>
          <w:rFonts w:asciiTheme="minorHAnsi" w:hAnsiTheme="minorHAnsi"/>
          <w:bCs/>
        </w:rPr>
        <w:t>-</w:t>
      </w:r>
      <w:r w:rsidR="008C252F">
        <w:rPr>
          <w:rFonts w:asciiTheme="minorHAnsi" w:hAnsiTheme="minorHAnsi"/>
          <w:bCs/>
        </w:rPr>
        <w:t xml:space="preserve">related ocular complications such as </w:t>
      </w:r>
      <w:r w:rsidR="008C252F" w:rsidRPr="008C252F">
        <w:rPr>
          <w:rFonts w:asciiTheme="minorHAnsi" w:hAnsiTheme="minorHAnsi"/>
          <w:bCs/>
          <w:lang w:val="en-US"/>
        </w:rPr>
        <w:t>endophthalmitis</w:t>
      </w:r>
      <w:r w:rsidR="008C252F">
        <w:rPr>
          <w:rFonts w:asciiTheme="minorHAnsi" w:hAnsiTheme="minorHAnsi"/>
          <w:bCs/>
          <w:lang w:val="en-US"/>
        </w:rPr>
        <w:t>.</w:t>
      </w:r>
      <w:r w:rsidR="00541D0C">
        <w:rPr>
          <w:rFonts w:asciiTheme="minorHAnsi" w:hAnsiTheme="minorHAnsi"/>
          <w:bCs/>
        </w:rPr>
        <w:t xml:space="preserve"> </w:t>
      </w:r>
    </w:p>
    <w:p w:rsidR="0080791A" w:rsidRPr="003D6242" w:rsidRDefault="0080791A" w:rsidP="00917BC7">
      <w:pPr>
        <w:pStyle w:val="Heading2"/>
        <w:keepNext/>
        <w:keepLines/>
        <w:spacing w:after="120"/>
      </w:pPr>
      <w:bookmarkStart w:id="5" w:name="_Toc371170705"/>
      <w:bookmarkStart w:id="6" w:name="_Toc19612020"/>
      <w:r w:rsidRPr="003D6242">
        <w:lastRenderedPageBreak/>
        <w:t>Clinical trials</w:t>
      </w:r>
      <w:bookmarkEnd w:id="5"/>
      <w:bookmarkEnd w:id="6"/>
    </w:p>
    <w:p w:rsidR="0080791A" w:rsidRPr="003D6242" w:rsidRDefault="0080791A" w:rsidP="00917BC7">
      <w:pPr>
        <w:pStyle w:val="ListParagraph"/>
        <w:widowControl/>
        <w:numPr>
          <w:ilvl w:val="1"/>
          <w:numId w:val="1"/>
        </w:numPr>
        <w:spacing w:after="120"/>
      </w:pPr>
      <w:r w:rsidRPr="003D6242">
        <w:t>The submission was based on two head-to-head randomised trials comparing brolucizumab 6</w:t>
      </w:r>
      <w:r w:rsidR="006606E1" w:rsidRPr="003D6242">
        <w:t> </w:t>
      </w:r>
      <w:r w:rsidRPr="003D6242">
        <w:t>mg to aflibercept 2</w:t>
      </w:r>
      <w:r w:rsidR="006606E1" w:rsidRPr="003D6242">
        <w:t> </w:t>
      </w:r>
      <w:r w:rsidRPr="003D6242">
        <w:t>mg (HAWK (n=720) and HARRIER (n=739))</w:t>
      </w:r>
      <w:r w:rsidR="00783E80" w:rsidRPr="003D6242">
        <w:rPr>
          <w:rStyle w:val="FootnoteReference"/>
        </w:rPr>
        <w:footnoteReference w:id="1"/>
      </w:r>
      <w:r w:rsidRPr="003D6242">
        <w:t>, and one supplementary randomised trial comparing brolucizumab 6</w:t>
      </w:r>
      <w:r w:rsidR="006606E1" w:rsidRPr="003D6242">
        <w:t> </w:t>
      </w:r>
      <w:r w:rsidRPr="003D6242">
        <w:t>mg and aflibercept 2</w:t>
      </w:r>
      <w:r w:rsidR="006606E1" w:rsidRPr="003D6242">
        <w:t> </w:t>
      </w:r>
      <w:r w:rsidRPr="003D6242">
        <w:t xml:space="preserve">mg (OSPREY, n=89), in patients with neovascular AMD. </w:t>
      </w:r>
    </w:p>
    <w:p w:rsidR="0080791A" w:rsidRPr="00B50DB8" w:rsidRDefault="0080791A" w:rsidP="00917BC7">
      <w:pPr>
        <w:pStyle w:val="ListParagraph"/>
        <w:widowControl/>
        <w:numPr>
          <w:ilvl w:val="1"/>
          <w:numId w:val="1"/>
        </w:numPr>
        <w:spacing w:after="120"/>
      </w:pPr>
      <w:r>
        <w:rPr>
          <w:rFonts w:cs="Calibri"/>
          <w:snapToGrid/>
          <w:szCs w:val="24"/>
          <w:lang w:val="en-US" w:eastAsia="en-AU"/>
        </w:rPr>
        <w:t xml:space="preserve">Details of the trials presented in the submission are provided in </w:t>
      </w:r>
      <w:r w:rsidR="00062CBF">
        <w:rPr>
          <w:rFonts w:cs="Calibri"/>
          <w:snapToGrid/>
          <w:szCs w:val="24"/>
          <w:lang w:val="en-US" w:eastAsia="en-AU"/>
        </w:rPr>
        <w:t>Table 2</w:t>
      </w:r>
      <w:r>
        <w:rPr>
          <w:rFonts w:cs="Calibri"/>
          <w:snapToGrid/>
          <w:szCs w:val="24"/>
          <w:lang w:val="en-US" w:eastAsia="en-AU"/>
        </w:rPr>
        <w:t xml:space="preserve"> below. </w:t>
      </w:r>
    </w:p>
    <w:p w:rsidR="0080791A" w:rsidRDefault="0080791A" w:rsidP="00B943C5">
      <w:pPr>
        <w:pStyle w:val="Caption"/>
        <w:keepLines/>
        <w:rPr>
          <w:rStyle w:val="CommentReference"/>
          <w:b/>
          <w:szCs w:val="18"/>
        </w:rPr>
      </w:pPr>
      <w:r>
        <w:t xml:space="preserve">Table </w:t>
      </w:r>
      <w:r w:rsidR="0060797A">
        <w:rPr>
          <w:noProof/>
        </w:rPr>
        <w:t>2</w:t>
      </w:r>
      <w:r>
        <w:t xml:space="preserve">: </w:t>
      </w:r>
      <w:r w:rsidRPr="006577E1">
        <w:rPr>
          <w:rStyle w:val="CommentReference"/>
          <w:b/>
          <w:szCs w:val="18"/>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80791A" w:rsidRPr="00B41614" w:rsidTr="00116BBB">
        <w:trPr>
          <w:tblHeader/>
        </w:trPr>
        <w:tc>
          <w:tcPr>
            <w:tcW w:w="796" w:type="pct"/>
            <w:tcBorders>
              <w:bottom w:val="single" w:sz="4" w:space="0" w:color="auto"/>
            </w:tcBorders>
            <w:vAlign w:val="center"/>
          </w:tcPr>
          <w:p w:rsidR="0080791A" w:rsidRPr="00B41614" w:rsidRDefault="0080791A" w:rsidP="00B943C5">
            <w:pPr>
              <w:pStyle w:val="Tabletext"/>
              <w:keepNext/>
              <w:keepLines/>
              <w:rPr>
                <w:b/>
              </w:rPr>
            </w:pPr>
            <w:r w:rsidRPr="00B41614">
              <w:rPr>
                <w:b/>
              </w:rPr>
              <w:t>Trial ID</w:t>
            </w:r>
          </w:p>
        </w:tc>
        <w:tc>
          <w:tcPr>
            <w:tcW w:w="3027" w:type="pct"/>
            <w:tcBorders>
              <w:bottom w:val="single" w:sz="4" w:space="0" w:color="auto"/>
            </w:tcBorders>
            <w:vAlign w:val="center"/>
          </w:tcPr>
          <w:p w:rsidR="0080791A" w:rsidRPr="00B41614" w:rsidRDefault="0080791A" w:rsidP="00B943C5">
            <w:pPr>
              <w:pStyle w:val="Tabletext"/>
              <w:keepNext/>
              <w:keepLines/>
              <w:jc w:val="center"/>
              <w:rPr>
                <w:b/>
              </w:rPr>
            </w:pPr>
            <w:r w:rsidRPr="00B41614">
              <w:rPr>
                <w:b/>
              </w:rPr>
              <w:t>Protocol title/ Publication title</w:t>
            </w:r>
          </w:p>
        </w:tc>
        <w:tc>
          <w:tcPr>
            <w:tcW w:w="1177" w:type="pct"/>
            <w:tcBorders>
              <w:bottom w:val="single" w:sz="4" w:space="0" w:color="auto"/>
            </w:tcBorders>
            <w:vAlign w:val="center"/>
          </w:tcPr>
          <w:p w:rsidR="0080791A" w:rsidRPr="00B41614" w:rsidRDefault="0080791A" w:rsidP="00B943C5">
            <w:pPr>
              <w:pStyle w:val="Tabletext"/>
              <w:keepNext/>
              <w:keepLines/>
              <w:jc w:val="center"/>
              <w:rPr>
                <w:b/>
              </w:rPr>
            </w:pPr>
            <w:r w:rsidRPr="00B41614">
              <w:rPr>
                <w:b/>
              </w:rPr>
              <w:t>Publication citation</w:t>
            </w:r>
          </w:p>
        </w:tc>
      </w:tr>
      <w:tr w:rsidR="0080791A" w:rsidRPr="00CB38A8" w:rsidTr="00116BBB">
        <w:tc>
          <w:tcPr>
            <w:tcW w:w="796" w:type="pct"/>
            <w:tcBorders>
              <w:bottom w:val="nil"/>
            </w:tcBorders>
            <w:vAlign w:val="center"/>
          </w:tcPr>
          <w:p w:rsidR="0080791A" w:rsidRPr="00CB38A8" w:rsidRDefault="0080791A" w:rsidP="00B943C5">
            <w:pPr>
              <w:pStyle w:val="Tabletext"/>
              <w:keepNext/>
              <w:keepLines/>
              <w:rPr>
                <w:rFonts w:ascii="Times" w:hAnsi="Times"/>
              </w:rPr>
            </w:pPr>
            <w:r>
              <w:t>HAWK</w:t>
            </w:r>
          </w:p>
        </w:tc>
        <w:tc>
          <w:tcPr>
            <w:tcW w:w="3027" w:type="pct"/>
            <w:tcBorders>
              <w:bottom w:val="nil"/>
            </w:tcBorders>
            <w:vAlign w:val="center"/>
          </w:tcPr>
          <w:p w:rsidR="0080791A" w:rsidRPr="00AB6248" w:rsidRDefault="0080791A" w:rsidP="00B943C5">
            <w:pPr>
              <w:pStyle w:val="Tabletext"/>
              <w:keepNext/>
              <w:keepLines/>
              <w:spacing w:after="60"/>
              <w:rPr>
                <w:szCs w:val="18"/>
              </w:rPr>
            </w:pPr>
            <w:r>
              <w:t xml:space="preserve">Clinical Study Report: </w:t>
            </w:r>
            <w:r w:rsidRPr="00302055">
              <w:t>Two year randomised double masked multicentre three arm study comparing the efficacy and safety of RTH258 versus aflibercept in subjects with neovascular age related macular degeneration</w:t>
            </w:r>
            <w:r>
              <w:t>.</w:t>
            </w:r>
          </w:p>
        </w:tc>
        <w:tc>
          <w:tcPr>
            <w:tcW w:w="1177" w:type="pct"/>
            <w:tcBorders>
              <w:bottom w:val="nil"/>
            </w:tcBorders>
            <w:vAlign w:val="center"/>
          </w:tcPr>
          <w:p w:rsidR="0080791A" w:rsidRPr="00CB38A8" w:rsidRDefault="0080791A" w:rsidP="00B943C5">
            <w:pPr>
              <w:pStyle w:val="Tabletext"/>
              <w:keepNext/>
              <w:keepLines/>
              <w:rPr>
                <w:rFonts w:ascii="Times" w:hAnsi="Times"/>
              </w:rPr>
            </w:pPr>
            <w:r>
              <w:t>December 2018</w:t>
            </w:r>
          </w:p>
        </w:tc>
      </w:tr>
      <w:tr w:rsidR="0080791A" w:rsidRPr="00CB38A8" w:rsidTr="00116BBB">
        <w:tc>
          <w:tcPr>
            <w:tcW w:w="796" w:type="pct"/>
            <w:tcBorders>
              <w:top w:val="nil"/>
              <w:bottom w:val="nil"/>
            </w:tcBorders>
            <w:vAlign w:val="center"/>
          </w:tcPr>
          <w:p w:rsidR="0080791A" w:rsidRPr="00CB38A8" w:rsidRDefault="0080791A" w:rsidP="00B943C5">
            <w:pPr>
              <w:pStyle w:val="Tabletext"/>
              <w:keepNext/>
              <w:keepLines/>
              <w:rPr>
                <w:rFonts w:ascii="Times" w:hAnsi="Times"/>
              </w:rPr>
            </w:pPr>
          </w:p>
        </w:tc>
        <w:tc>
          <w:tcPr>
            <w:tcW w:w="3027" w:type="pct"/>
            <w:tcBorders>
              <w:top w:val="nil"/>
              <w:bottom w:val="nil"/>
            </w:tcBorders>
            <w:vAlign w:val="center"/>
          </w:tcPr>
          <w:p w:rsidR="0080791A" w:rsidRDefault="0080791A" w:rsidP="00B943C5">
            <w:pPr>
              <w:pStyle w:val="Tabletext"/>
              <w:keepNext/>
              <w:keepLines/>
            </w:pPr>
            <w:r>
              <w:t xml:space="preserve">Clinical Study Report: </w:t>
            </w:r>
            <w:r w:rsidRPr="004A33B2">
              <w:t xml:space="preserve">A 24-week, double-masked, multicenter, two-arm extension study to collect safety and </w:t>
            </w:r>
            <w:r w:rsidR="00C25AE1">
              <w:t>efficacy data on brolucizumab 6 </w:t>
            </w:r>
            <w:r w:rsidRPr="004A33B2">
              <w:t>mg drug product intended for commercialization in subjects with neovascular age-related macular degeneration who have completed the CRTH258A2301 study</w:t>
            </w:r>
            <w:r>
              <w:t>.</w:t>
            </w:r>
          </w:p>
        </w:tc>
        <w:tc>
          <w:tcPr>
            <w:tcW w:w="1177" w:type="pct"/>
            <w:tcBorders>
              <w:top w:val="nil"/>
              <w:bottom w:val="nil"/>
            </w:tcBorders>
            <w:vAlign w:val="center"/>
          </w:tcPr>
          <w:p w:rsidR="0080791A" w:rsidRDefault="0080791A" w:rsidP="00B943C5">
            <w:pPr>
              <w:pStyle w:val="Tabletext"/>
              <w:keepNext/>
              <w:keepLines/>
            </w:pPr>
            <w:r>
              <w:t>December 2018</w:t>
            </w:r>
          </w:p>
        </w:tc>
      </w:tr>
      <w:tr w:rsidR="0080791A" w:rsidRPr="00CB38A8" w:rsidTr="00116BBB">
        <w:tc>
          <w:tcPr>
            <w:tcW w:w="796" w:type="pct"/>
            <w:tcBorders>
              <w:top w:val="single" w:sz="4" w:space="0" w:color="auto"/>
              <w:bottom w:val="single" w:sz="4" w:space="0" w:color="auto"/>
            </w:tcBorders>
            <w:vAlign w:val="center"/>
          </w:tcPr>
          <w:p w:rsidR="0080791A" w:rsidRPr="00CB38A8" w:rsidRDefault="0080791A" w:rsidP="00B943C5">
            <w:pPr>
              <w:pStyle w:val="Tabletext"/>
              <w:keepNext/>
              <w:keepLines/>
            </w:pPr>
            <w:r>
              <w:t>HARRIER</w:t>
            </w:r>
          </w:p>
        </w:tc>
        <w:tc>
          <w:tcPr>
            <w:tcW w:w="3027" w:type="pct"/>
            <w:tcBorders>
              <w:top w:val="single" w:sz="4" w:space="0" w:color="auto"/>
              <w:bottom w:val="single" w:sz="4" w:space="0" w:color="auto"/>
            </w:tcBorders>
            <w:vAlign w:val="center"/>
          </w:tcPr>
          <w:p w:rsidR="0080791A" w:rsidRPr="00AB6248" w:rsidRDefault="0080791A" w:rsidP="00B943C5">
            <w:pPr>
              <w:pStyle w:val="Tabletext"/>
              <w:keepNext/>
              <w:keepLines/>
              <w:rPr>
                <w:szCs w:val="18"/>
                <w:lang w:val="en-US" w:eastAsia="en-AU"/>
              </w:rPr>
            </w:pPr>
            <w:r>
              <w:rPr>
                <w:szCs w:val="18"/>
                <w:lang w:val="en-US" w:eastAsia="en-AU"/>
              </w:rPr>
              <w:t xml:space="preserve">Clinical Study Report: </w:t>
            </w:r>
            <w:r>
              <w:t xml:space="preserve">A two year randomised double masked multicentre two arm study comparing the efficacy and safety of RTH258 </w:t>
            </w:r>
            <w:r w:rsidR="00BA1836">
              <w:t>6 mg</w:t>
            </w:r>
            <w:r>
              <w:t xml:space="preserve"> versus aflibercept in subjects with neovascular age related macular.</w:t>
            </w:r>
          </w:p>
        </w:tc>
        <w:tc>
          <w:tcPr>
            <w:tcW w:w="1177" w:type="pct"/>
            <w:tcBorders>
              <w:top w:val="single" w:sz="4" w:space="0" w:color="auto"/>
              <w:bottom w:val="single" w:sz="4" w:space="0" w:color="auto"/>
            </w:tcBorders>
            <w:vAlign w:val="center"/>
          </w:tcPr>
          <w:p w:rsidR="0080791A" w:rsidRPr="00670EB7" w:rsidRDefault="0080791A" w:rsidP="00B943C5">
            <w:pPr>
              <w:pStyle w:val="Tabletext"/>
              <w:keepNext/>
              <w:keepLines/>
              <w:rPr>
                <w:szCs w:val="18"/>
                <w:lang w:val="en-US" w:eastAsia="en-AU"/>
              </w:rPr>
            </w:pPr>
            <w:r>
              <w:rPr>
                <w:szCs w:val="18"/>
                <w:lang w:val="en-US" w:eastAsia="en-AU"/>
              </w:rPr>
              <w:t>December 2018</w:t>
            </w:r>
          </w:p>
        </w:tc>
      </w:tr>
      <w:tr w:rsidR="0080791A" w:rsidRPr="00CB38A8" w:rsidTr="00116BBB">
        <w:tc>
          <w:tcPr>
            <w:tcW w:w="796" w:type="pct"/>
            <w:tcBorders>
              <w:top w:val="single" w:sz="4" w:space="0" w:color="auto"/>
              <w:bottom w:val="single" w:sz="4" w:space="0" w:color="auto"/>
            </w:tcBorders>
            <w:vAlign w:val="center"/>
          </w:tcPr>
          <w:p w:rsidR="0080791A" w:rsidRDefault="0080791A" w:rsidP="00B943C5">
            <w:pPr>
              <w:pStyle w:val="Tabletext"/>
              <w:keepNext/>
              <w:keepLines/>
            </w:pPr>
            <w:r>
              <w:t xml:space="preserve">HAWK and HARRIER </w:t>
            </w:r>
          </w:p>
        </w:tc>
        <w:tc>
          <w:tcPr>
            <w:tcW w:w="3027" w:type="pct"/>
            <w:tcBorders>
              <w:top w:val="single" w:sz="4" w:space="0" w:color="auto"/>
              <w:bottom w:val="single" w:sz="4" w:space="0" w:color="auto"/>
            </w:tcBorders>
            <w:vAlign w:val="center"/>
          </w:tcPr>
          <w:p w:rsidR="0080791A" w:rsidRPr="00AB6248" w:rsidRDefault="0080791A" w:rsidP="00B943C5">
            <w:pPr>
              <w:pStyle w:val="Tabletext"/>
              <w:keepNext/>
              <w:keepLines/>
              <w:rPr>
                <w:szCs w:val="18"/>
                <w:lang w:val="en-US" w:eastAsia="en-AU"/>
              </w:rPr>
            </w:pPr>
            <w:r w:rsidRPr="00302055">
              <w:t xml:space="preserve">Dugel PU, Koh A, Ogura Y, </w:t>
            </w:r>
            <w:r>
              <w:t xml:space="preserve">et al. HAWK and HARRIER: </w:t>
            </w:r>
            <w:r w:rsidRPr="00302055">
              <w:t xml:space="preserve">Phase 3, </w:t>
            </w:r>
            <w:r>
              <w:t>m</w:t>
            </w:r>
            <w:r w:rsidRPr="00302055">
              <w:t xml:space="preserve">ulticenter, </w:t>
            </w:r>
            <w:r>
              <w:t>r</w:t>
            </w:r>
            <w:r w:rsidRPr="00302055">
              <w:t xml:space="preserve">andomized, </w:t>
            </w:r>
            <w:r>
              <w:t>d</w:t>
            </w:r>
            <w:r w:rsidRPr="00302055">
              <w:t>ouble-</w:t>
            </w:r>
            <w:r>
              <w:t>m</w:t>
            </w:r>
            <w:r w:rsidRPr="00302055">
              <w:t xml:space="preserve">asked </w:t>
            </w:r>
            <w:r>
              <w:t>t</w:t>
            </w:r>
            <w:r w:rsidRPr="00302055">
              <w:t xml:space="preserve">rials of </w:t>
            </w:r>
            <w:r>
              <w:t>b</w:t>
            </w:r>
            <w:r w:rsidRPr="00302055">
              <w:t>rolucizumab for</w:t>
            </w:r>
            <w:r>
              <w:t xml:space="preserve"> n</w:t>
            </w:r>
            <w:r w:rsidRPr="00302055">
              <w:t xml:space="preserve">eovascular </w:t>
            </w:r>
            <w:r>
              <w:t>a</w:t>
            </w:r>
            <w:r w:rsidRPr="00302055">
              <w:t>ge-</w:t>
            </w:r>
            <w:r>
              <w:t>r</w:t>
            </w:r>
            <w:r w:rsidRPr="00302055">
              <w:t xml:space="preserve">elated </w:t>
            </w:r>
            <w:r>
              <w:t>macular d</w:t>
            </w:r>
            <w:r w:rsidRPr="00302055">
              <w:t>egeneration</w:t>
            </w:r>
            <w:r>
              <w:t>.</w:t>
            </w:r>
          </w:p>
        </w:tc>
        <w:tc>
          <w:tcPr>
            <w:tcW w:w="1177" w:type="pct"/>
            <w:tcBorders>
              <w:top w:val="single" w:sz="4" w:space="0" w:color="auto"/>
              <w:bottom w:val="single" w:sz="4" w:space="0" w:color="auto"/>
            </w:tcBorders>
            <w:vAlign w:val="center"/>
          </w:tcPr>
          <w:p w:rsidR="0080791A" w:rsidRPr="00AB6248" w:rsidRDefault="0080791A" w:rsidP="00B943C5">
            <w:pPr>
              <w:pStyle w:val="Tabletext"/>
              <w:keepNext/>
              <w:keepLines/>
              <w:rPr>
                <w:i/>
                <w:szCs w:val="18"/>
                <w:lang w:val="en-US" w:eastAsia="en-AU"/>
              </w:rPr>
            </w:pPr>
            <w:r w:rsidRPr="00DF2FBD">
              <w:rPr>
                <w:i/>
              </w:rPr>
              <w:t>Ophthalmology</w:t>
            </w:r>
            <w:r w:rsidRPr="00302055">
              <w:t xml:space="preserve"> 2019 Apr 12</w:t>
            </w:r>
            <w:r>
              <w:t xml:space="preserve"> (Epub ahead of print)</w:t>
            </w:r>
            <w:r w:rsidRPr="00302055">
              <w:t>.</w:t>
            </w:r>
          </w:p>
        </w:tc>
      </w:tr>
      <w:tr w:rsidR="0080791A" w:rsidRPr="00CB38A8" w:rsidTr="00116BBB">
        <w:tc>
          <w:tcPr>
            <w:tcW w:w="796" w:type="pct"/>
            <w:tcBorders>
              <w:top w:val="single" w:sz="4" w:space="0" w:color="auto"/>
              <w:bottom w:val="nil"/>
            </w:tcBorders>
            <w:vAlign w:val="center"/>
          </w:tcPr>
          <w:p w:rsidR="0080791A" w:rsidRDefault="0080791A" w:rsidP="00B943C5">
            <w:pPr>
              <w:pStyle w:val="Tabletext"/>
              <w:keepNext/>
              <w:keepLines/>
            </w:pPr>
            <w:r>
              <w:t>OSPREY</w:t>
            </w:r>
          </w:p>
        </w:tc>
        <w:tc>
          <w:tcPr>
            <w:tcW w:w="3027" w:type="pct"/>
            <w:tcBorders>
              <w:top w:val="single" w:sz="4" w:space="0" w:color="auto"/>
              <w:bottom w:val="nil"/>
            </w:tcBorders>
            <w:vAlign w:val="center"/>
          </w:tcPr>
          <w:p w:rsidR="0080791A" w:rsidRPr="00302055" w:rsidRDefault="0080791A" w:rsidP="00B943C5">
            <w:pPr>
              <w:pStyle w:val="Tabletext"/>
              <w:keepNext/>
              <w:keepLines/>
              <w:spacing w:after="60"/>
            </w:pPr>
            <w:r>
              <w:t>Clinical Study Report: A prospective, randomised, double-masked, multicentre, two arm study comparing the efficacy and safety of ESBA1008 versus Eylea in subjects with exudative age related macular degeneration</w:t>
            </w:r>
          </w:p>
        </w:tc>
        <w:tc>
          <w:tcPr>
            <w:tcW w:w="1177" w:type="pct"/>
            <w:tcBorders>
              <w:top w:val="single" w:sz="4" w:space="0" w:color="auto"/>
              <w:bottom w:val="nil"/>
            </w:tcBorders>
            <w:vAlign w:val="center"/>
          </w:tcPr>
          <w:p w:rsidR="0080791A" w:rsidRPr="00670EB7" w:rsidRDefault="0080791A" w:rsidP="00B943C5">
            <w:pPr>
              <w:pStyle w:val="Tabletext"/>
              <w:keepNext/>
              <w:keepLines/>
            </w:pPr>
            <w:r w:rsidRPr="00670EB7">
              <w:t>November 2015</w:t>
            </w:r>
          </w:p>
        </w:tc>
      </w:tr>
      <w:tr w:rsidR="0080791A" w:rsidRPr="00CB38A8" w:rsidTr="00116BBB">
        <w:tc>
          <w:tcPr>
            <w:tcW w:w="796" w:type="pct"/>
            <w:tcBorders>
              <w:top w:val="nil"/>
              <w:bottom w:val="single" w:sz="4" w:space="0" w:color="auto"/>
            </w:tcBorders>
            <w:vAlign w:val="center"/>
          </w:tcPr>
          <w:p w:rsidR="0080791A" w:rsidRDefault="0080791A" w:rsidP="00B943C5">
            <w:pPr>
              <w:pStyle w:val="Tabletext"/>
              <w:keepNext/>
              <w:keepLines/>
            </w:pPr>
          </w:p>
        </w:tc>
        <w:tc>
          <w:tcPr>
            <w:tcW w:w="3027" w:type="pct"/>
            <w:tcBorders>
              <w:top w:val="nil"/>
              <w:bottom w:val="single" w:sz="4" w:space="0" w:color="auto"/>
            </w:tcBorders>
            <w:vAlign w:val="center"/>
          </w:tcPr>
          <w:p w:rsidR="0080791A" w:rsidRDefault="0080791A" w:rsidP="00B943C5">
            <w:pPr>
              <w:pStyle w:val="Tabletext"/>
              <w:keepNext/>
              <w:keepLines/>
            </w:pPr>
            <w:r>
              <w:t>Dugel PU, Jaffe GJ, Sallstig P, et al. Brolucizumab versus aflibercept in participants with neovascular age related macular degeneration; a randomised trial.</w:t>
            </w:r>
          </w:p>
        </w:tc>
        <w:tc>
          <w:tcPr>
            <w:tcW w:w="1177" w:type="pct"/>
            <w:tcBorders>
              <w:top w:val="nil"/>
              <w:bottom w:val="single" w:sz="4" w:space="0" w:color="auto"/>
            </w:tcBorders>
            <w:vAlign w:val="center"/>
          </w:tcPr>
          <w:p w:rsidR="0080791A" w:rsidRPr="00670EB7" w:rsidRDefault="0080791A" w:rsidP="00B943C5">
            <w:pPr>
              <w:pStyle w:val="Tabletext"/>
              <w:keepNext/>
              <w:keepLines/>
            </w:pPr>
            <w:r>
              <w:rPr>
                <w:i/>
              </w:rPr>
              <w:t xml:space="preserve">Ophthalmology </w:t>
            </w:r>
            <w:r>
              <w:t>2017; 124(9): 1296-1304.</w:t>
            </w:r>
          </w:p>
        </w:tc>
      </w:tr>
    </w:tbl>
    <w:p w:rsidR="0080791A" w:rsidRDefault="0080791A" w:rsidP="00B943C5">
      <w:pPr>
        <w:pStyle w:val="TableFooter"/>
        <w:keepNext/>
        <w:keepLines/>
      </w:pPr>
      <w:r>
        <w:t xml:space="preserve">Source: Table 2-3, </w:t>
      </w:r>
      <w:r w:rsidR="004D229F">
        <w:t>Section 2</w:t>
      </w:r>
      <w:r>
        <w:t xml:space="preserve"> of the submission.</w:t>
      </w:r>
    </w:p>
    <w:p w:rsidR="0080791A" w:rsidRPr="004639CD" w:rsidRDefault="0080791A" w:rsidP="0080791A"/>
    <w:p w:rsidR="0080791A" w:rsidRDefault="0080791A" w:rsidP="009A443C">
      <w:pPr>
        <w:pStyle w:val="ListParagraph"/>
        <w:widowControl/>
        <w:numPr>
          <w:ilvl w:val="1"/>
          <w:numId w:val="1"/>
        </w:numPr>
      </w:pPr>
      <w:r w:rsidRPr="00B50DB8">
        <w:t xml:space="preserve">The key features of the direct randomised trials are summarised in </w:t>
      </w:r>
      <w:r w:rsidR="00062CBF">
        <w:t>Table 3</w:t>
      </w:r>
      <w:r w:rsidRPr="00B50DB8">
        <w:t xml:space="preserve"> below.  </w:t>
      </w:r>
    </w:p>
    <w:p w:rsidR="0080791A" w:rsidRPr="006577E1" w:rsidRDefault="0080791A" w:rsidP="0080791A">
      <w:pPr>
        <w:pStyle w:val="Caption"/>
        <w:rPr>
          <w:rStyle w:val="CommentReference"/>
          <w:b/>
          <w:szCs w:val="18"/>
        </w:rPr>
      </w:pPr>
      <w:r>
        <w:t xml:space="preserve">Table </w:t>
      </w:r>
      <w:r w:rsidR="0060797A">
        <w:rPr>
          <w:noProof/>
        </w:rPr>
        <w:t>3</w:t>
      </w:r>
      <w:r>
        <w:t xml:space="preserve">: </w:t>
      </w:r>
      <w:r w:rsidRPr="006577E1">
        <w:rPr>
          <w:rStyle w:val="CommentReference"/>
          <w:b/>
          <w:szCs w:val="18"/>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83"/>
        <w:gridCol w:w="840"/>
        <w:gridCol w:w="1410"/>
        <w:gridCol w:w="1120"/>
        <w:gridCol w:w="1989"/>
        <w:gridCol w:w="2375"/>
      </w:tblGrid>
      <w:tr w:rsidR="0080791A" w:rsidRPr="00B41614" w:rsidTr="00116BBB">
        <w:tc>
          <w:tcPr>
            <w:tcW w:w="711" w:type="pct"/>
            <w:shd w:val="clear" w:color="auto" w:fill="auto"/>
            <w:vAlign w:val="center"/>
          </w:tcPr>
          <w:p w:rsidR="0080791A" w:rsidRPr="00B41614" w:rsidRDefault="0080791A" w:rsidP="00116BBB">
            <w:pPr>
              <w:pStyle w:val="Tabletext"/>
              <w:rPr>
                <w:b/>
                <w:lang w:val="en-US"/>
              </w:rPr>
            </w:pPr>
            <w:r w:rsidRPr="00B41614">
              <w:rPr>
                <w:b/>
                <w:lang w:val="en-US"/>
              </w:rPr>
              <w:t>Trial</w:t>
            </w:r>
          </w:p>
        </w:tc>
        <w:tc>
          <w:tcPr>
            <w:tcW w:w="466" w:type="pct"/>
            <w:shd w:val="clear" w:color="auto" w:fill="auto"/>
            <w:vAlign w:val="center"/>
          </w:tcPr>
          <w:p w:rsidR="0080791A" w:rsidRPr="00B41614" w:rsidRDefault="0080791A" w:rsidP="00594ABC">
            <w:pPr>
              <w:pStyle w:val="Tabletext"/>
              <w:jc w:val="center"/>
              <w:rPr>
                <w:b/>
                <w:lang w:val="en-US"/>
              </w:rPr>
            </w:pPr>
            <w:r w:rsidRPr="00B41614">
              <w:rPr>
                <w:b/>
                <w:lang w:val="en-US"/>
              </w:rPr>
              <w:t>N</w:t>
            </w:r>
            <w:r w:rsidR="00594ABC">
              <w:rPr>
                <w:b/>
                <w:vertAlign w:val="superscript"/>
                <w:lang w:val="en-US"/>
              </w:rPr>
              <w:t>a</w:t>
            </w:r>
          </w:p>
        </w:tc>
        <w:tc>
          <w:tcPr>
            <w:tcW w:w="782" w:type="pct"/>
            <w:shd w:val="clear" w:color="auto" w:fill="auto"/>
            <w:vAlign w:val="center"/>
          </w:tcPr>
          <w:p w:rsidR="0080791A" w:rsidRPr="00B41614" w:rsidRDefault="00CB7240" w:rsidP="00116BBB">
            <w:pPr>
              <w:pStyle w:val="Tabletext"/>
              <w:jc w:val="center"/>
              <w:rPr>
                <w:b/>
                <w:lang w:val="en-US"/>
              </w:rPr>
            </w:pPr>
            <w:r>
              <w:rPr>
                <w:b/>
                <w:lang w:val="en-US"/>
              </w:rPr>
              <w:t>Design/</w:t>
            </w:r>
            <w:r w:rsidR="0080791A" w:rsidRPr="00B41614">
              <w:rPr>
                <w:b/>
                <w:lang w:val="en-US"/>
              </w:rPr>
              <w:t>duration</w:t>
            </w:r>
          </w:p>
        </w:tc>
        <w:tc>
          <w:tcPr>
            <w:tcW w:w="621" w:type="pct"/>
            <w:shd w:val="clear" w:color="auto" w:fill="auto"/>
            <w:vAlign w:val="center"/>
          </w:tcPr>
          <w:p w:rsidR="0080791A" w:rsidRPr="00B41614" w:rsidRDefault="0080791A" w:rsidP="00116BBB">
            <w:pPr>
              <w:pStyle w:val="Tabletext"/>
              <w:jc w:val="center"/>
              <w:rPr>
                <w:b/>
                <w:lang w:val="en-US"/>
              </w:rPr>
            </w:pPr>
            <w:r w:rsidRPr="00B41614">
              <w:rPr>
                <w:b/>
                <w:lang w:val="en-US"/>
              </w:rPr>
              <w:t>Risk of bias</w:t>
            </w:r>
          </w:p>
        </w:tc>
        <w:tc>
          <w:tcPr>
            <w:tcW w:w="1103" w:type="pct"/>
            <w:shd w:val="clear" w:color="auto" w:fill="auto"/>
            <w:vAlign w:val="center"/>
          </w:tcPr>
          <w:p w:rsidR="0080791A" w:rsidRPr="00B41614" w:rsidRDefault="0080791A" w:rsidP="00116BBB">
            <w:pPr>
              <w:pStyle w:val="Tabletext"/>
              <w:jc w:val="center"/>
              <w:rPr>
                <w:b/>
                <w:lang w:val="en-US"/>
              </w:rPr>
            </w:pPr>
            <w:r w:rsidRPr="00B41614">
              <w:rPr>
                <w:b/>
                <w:lang w:val="en-US"/>
              </w:rPr>
              <w:t>Patient population</w:t>
            </w:r>
          </w:p>
        </w:tc>
        <w:tc>
          <w:tcPr>
            <w:tcW w:w="1317" w:type="pct"/>
            <w:shd w:val="clear" w:color="auto" w:fill="auto"/>
            <w:vAlign w:val="center"/>
          </w:tcPr>
          <w:p w:rsidR="0080791A" w:rsidRPr="00B41614" w:rsidRDefault="0080791A" w:rsidP="00116BBB">
            <w:pPr>
              <w:pStyle w:val="Tabletext"/>
              <w:jc w:val="center"/>
              <w:rPr>
                <w:b/>
                <w:lang w:val="en-US"/>
              </w:rPr>
            </w:pPr>
            <w:r w:rsidRPr="00B41614">
              <w:rPr>
                <w:b/>
                <w:lang w:val="en-US"/>
              </w:rPr>
              <w:t>Outcome</w:t>
            </w:r>
            <w:r>
              <w:rPr>
                <w:b/>
                <w:lang w:val="en-US"/>
              </w:rPr>
              <w:t>s</w:t>
            </w:r>
          </w:p>
        </w:tc>
      </w:tr>
      <w:tr w:rsidR="0080791A" w:rsidRPr="00E2771E" w:rsidTr="00116BBB">
        <w:tc>
          <w:tcPr>
            <w:tcW w:w="5000" w:type="pct"/>
            <w:gridSpan w:val="6"/>
            <w:shd w:val="clear" w:color="auto" w:fill="auto"/>
            <w:vAlign w:val="center"/>
          </w:tcPr>
          <w:p w:rsidR="0080791A" w:rsidRPr="00B41614" w:rsidRDefault="0080791A" w:rsidP="00116BBB">
            <w:pPr>
              <w:pStyle w:val="Tabletext"/>
              <w:rPr>
                <w:b/>
                <w:lang w:val="en-US"/>
              </w:rPr>
            </w:pPr>
            <w:r>
              <w:rPr>
                <w:b/>
                <w:lang w:val="en-US"/>
              </w:rPr>
              <w:t>brolucizumab</w:t>
            </w:r>
            <w:r w:rsidRPr="00B41614">
              <w:rPr>
                <w:b/>
                <w:lang w:val="en-US"/>
              </w:rPr>
              <w:t xml:space="preserve"> vs. </w:t>
            </w:r>
            <w:r>
              <w:rPr>
                <w:b/>
                <w:lang w:val="en-US"/>
              </w:rPr>
              <w:t>aflibercept</w:t>
            </w:r>
          </w:p>
        </w:tc>
      </w:tr>
      <w:tr w:rsidR="0080791A" w:rsidRPr="00E2771E" w:rsidTr="00116BBB">
        <w:tc>
          <w:tcPr>
            <w:tcW w:w="711" w:type="pct"/>
            <w:shd w:val="clear" w:color="auto" w:fill="auto"/>
            <w:vAlign w:val="center"/>
          </w:tcPr>
          <w:p w:rsidR="0080791A" w:rsidRPr="00E2771E" w:rsidRDefault="0080791A" w:rsidP="00116BBB">
            <w:pPr>
              <w:pStyle w:val="Tabletext"/>
              <w:rPr>
                <w:lang w:val="en-US"/>
              </w:rPr>
            </w:pPr>
            <w:r>
              <w:rPr>
                <w:lang w:val="en-US"/>
              </w:rPr>
              <w:t>HAWK</w:t>
            </w:r>
          </w:p>
        </w:tc>
        <w:tc>
          <w:tcPr>
            <w:tcW w:w="466" w:type="pct"/>
            <w:shd w:val="clear" w:color="auto" w:fill="auto"/>
            <w:vAlign w:val="center"/>
          </w:tcPr>
          <w:p w:rsidR="0080791A" w:rsidRPr="00E2771E" w:rsidRDefault="0080791A" w:rsidP="00594ABC">
            <w:pPr>
              <w:pStyle w:val="Tabletext"/>
              <w:jc w:val="center"/>
              <w:rPr>
                <w:lang w:val="en-US"/>
              </w:rPr>
            </w:pPr>
            <w:r>
              <w:rPr>
                <w:lang w:val="en-US"/>
              </w:rPr>
              <w:t>720</w:t>
            </w:r>
            <w:r w:rsidR="00594ABC">
              <w:rPr>
                <w:vertAlign w:val="superscript"/>
                <w:lang w:val="en-US"/>
              </w:rPr>
              <w:t>b</w:t>
            </w:r>
          </w:p>
        </w:tc>
        <w:tc>
          <w:tcPr>
            <w:tcW w:w="782" w:type="pct"/>
            <w:shd w:val="clear" w:color="auto" w:fill="auto"/>
            <w:vAlign w:val="center"/>
          </w:tcPr>
          <w:p w:rsidR="0080791A" w:rsidRPr="00E2771E" w:rsidRDefault="0080791A" w:rsidP="00116BBB">
            <w:pPr>
              <w:pStyle w:val="Tabletext"/>
              <w:jc w:val="center"/>
              <w:rPr>
                <w:lang w:val="en-US"/>
              </w:rPr>
            </w:pPr>
            <w:r w:rsidRPr="00E2771E">
              <w:rPr>
                <w:lang w:val="en-US"/>
              </w:rPr>
              <w:t>R, DB</w:t>
            </w:r>
          </w:p>
          <w:p w:rsidR="0080791A" w:rsidRPr="00E2771E" w:rsidRDefault="0080791A" w:rsidP="007925F2">
            <w:pPr>
              <w:pStyle w:val="Tabletext"/>
              <w:jc w:val="center"/>
              <w:rPr>
                <w:lang w:val="en-US"/>
              </w:rPr>
            </w:pPr>
            <w:r>
              <w:rPr>
                <w:lang w:val="en-US"/>
              </w:rPr>
              <w:t>9</w:t>
            </w:r>
            <w:r w:rsidR="008F7CE0">
              <w:rPr>
                <w:lang w:val="en-US"/>
              </w:rPr>
              <w:t>6</w:t>
            </w:r>
            <w:r>
              <w:rPr>
                <w:lang w:val="en-US"/>
              </w:rPr>
              <w:t xml:space="preserve"> weeks</w:t>
            </w:r>
          </w:p>
        </w:tc>
        <w:tc>
          <w:tcPr>
            <w:tcW w:w="621" w:type="pct"/>
            <w:shd w:val="clear" w:color="auto" w:fill="auto"/>
            <w:vAlign w:val="center"/>
          </w:tcPr>
          <w:p w:rsidR="0080791A" w:rsidRPr="00E2771E" w:rsidRDefault="005A62B0" w:rsidP="00116BBB">
            <w:pPr>
              <w:pStyle w:val="Tabletext"/>
              <w:jc w:val="center"/>
              <w:rPr>
                <w:lang w:val="en-US"/>
              </w:rPr>
            </w:pPr>
            <w:r>
              <w:rPr>
                <w:lang w:val="en-US"/>
              </w:rPr>
              <w:t>Unclear</w:t>
            </w:r>
          </w:p>
        </w:tc>
        <w:tc>
          <w:tcPr>
            <w:tcW w:w="1103" w:type="pct"/>
            <w:shd w:val="clear" w:color="auto" w:fill="auto"/>
            <w:vAlign w:val="center"/>
          </w:tcPr>
          <w:p w:rsidR="0080791A" w:rsidRPr="00E2771E" w:rsidRDefault="0080791A" w:rsidP="00116BBB">
            <w:pPr>
              <w:pStyle w:val="Tabletext"/>
              <w:jc w:val="center"/>
              <w:rPr>
                <w:lang w:val="en-US"/>
              </w:rPr>
            </w:pPr>
            <w:r>
              <w:rPr>
                <w:lang w:val="en-US"/>
              </w:rPr>
              <w:t xml:space="preserve">Patients with CNV due to AMD </w:t>
            </w:r>
          </w:p>
        </w:tc>
        <w:tc>
          <w:tcPr>
            <w:tcW w:w="1317" w:type="pct"/>
            <w:shd w:val="clear" w:color="auto" w:fill="auto"/>
            <w:vAlign w:val="center"/>
          </w:tcPr>
          <w:p w:rsidR="0080791A" w:rsidRPr="00E2771E" w:rsidRDefault="0080791A" w:rsidP="00116BBB">
            <w:pPr>
              <w:pStyle w:val="Tabletext"/>
              <w:jc w:val="center"/>
              <w:rPr>
                <w:lang w:val="en-US"/>
              </w:rPr>
            </w:pPr>
            <w:r>
              <w:rPr>
                <w:lang w:val="en-US"/>
              </w:rPr>
              <w:t xml:space="preserve">Change in BCVA from baseline to </w:t>
            </w:r>
            <w:r w:rsidRPr="004D75F4">
              <w:rPr>
                <w:lang w:val="en-US"/>
              </w:rPr>
              <w:t>Week 48 or Week 96</w:t>
            </w:r>
          </w:p>
        </w:tc>
      </w:tr>
      <w:tr w:rsidR="0080791A" w:rsidRPr="00E2771E" w:rsidTr="00116BBB">
        <w:tc>
          <w:tcPr>
            <w:tcW w:w="711" w:type="pct"/>
            <w:shd w:val="clear" w:color="auto" w:fill="auto"/>
            <w:vAlign w:val="center"/>
          </w:tcPr>
          <w:p w:rsidR="0080791A" w:rsidRPr="00E2771E" w:rsidRDefault="0080791A" w:rsidP="00116BBB">
            <w:pPr>
              <w:pStyle w:val="Tabletext"/>
              <w:rPr>
                <w:lang w:val="en-US"/>
              </w:rPr>
            </w:pPr>
            <w:r>
              <w:rPr>
                <w:lang w:val="en-US"/>
              </w:rPr>
              <w:t>HARRIER</w:t>
            </w:r>
          </w:p>
        </w:tc>
        <w:tc>
          <w:tcPr>
            <w:tcW w:w="466" w:type="pct"/>
            <w:shd w:val="clear" w:color="auto" w:fill="auto"/>
            <w:vAlign w:val="center"/>
          </w:tcPr>
          <w:p w:rsidR="0080791A" w:rsidRPr="00E2771E" w:rsidRDefault="0080791A" w:rsidP="00116BBB">
            <w:pPr>
              <w:pStyle w:val="Tabletext"/>
              <w:jc w:val="center"/>
              <w:rPr>
                <w:lang w:val="en-US"/>
              </w:rPr>
            </w:pPr>
            <w:r>
              <w:rPr>
                <w:lang w:val="en-US"/>
              </w:rPr>
              <w:t>739</w:t>
            </w:r>
          </w:p>
        </w:tc>
        <w:tc>
          <w:tcPr>
            <w:tcW w:w="782" w:type="pct"/>
            <w:shd w:val="clear" w:color="auto" w:fill="auto"/>
            <w:vAlign w:val="center"/>
          </w:tcPr>
          <w:p w:rsidR="0080791A" w:rsidRPr="00E2771E" w:rsidRDefault="0080791A" w:rsidP="00116BBB">
            <w:pPr>
              <w:pStyle w:val="Tabletext"/>
              <w:jc w:val="center"/>
              <w:rPr>
                <w:lang w:val="en-US"/>
              </w:rPr>
            </w:pPr>
            <w:r w:rsidRPr="00E2771E">
              <w:rPr>
                <w:lang w:val="en-US"/>
              </w:rPr>
              <w:t xml:space="preserve">R, </w:t>
            </w:r>
            <w:r>
              <w:rPr>
                <w:lang w:val="en-US"/>
              </w:rPr>
              <w:t>DB</w:t>
            </w:r>
          </w:p>
          <w:p w:rsidR="0080791A" w:rsidRPr="00E2771E" w:rsidRDefault="0080791A" w:rsidP="008F7CE0">
            <w:pPr>
              <w:pStyle w:val="Tabletext"/>
              <w:jc w:val="center"/>
              <w:rPr>
                <w:lang w:val="en-US"/>
              </w:rPr>
            </w:pPr>
            <w:r>
              <w:rPr>
                <w:lang w:val="en-US"/>
              </w:rPr>
              <w:t>9</w:t>
            </w:r>
            <w:r w:rsidR="008F7CE0">
              <w:rPr>
                <w:lang w:val="en-US"/>
              </w:rPr>
              <w:t>6</w:t>
            </w:r>
            <w:r w:rsidR="007925F2">
              <w:rPr>
                <w:lang w:val="en-US"/>
              </w:rPr>
              <w:t xml:space="preserve"> weeks</w:t>
            </w:r>
          </w:p>
        </w:tc>
        <w:tc>
          <w:tcPr>
            <w:tcW w:w="621" w:type="pct"/>
            <w:shd w:val="clear" w:color="auto" w:fill="auto"/>
            <w:vAlign w:val="center"/>
          </w:tcPr>
          <w:p w:rsidR="0080791A" w:rsidRPr="00E2771E" w:rsidRDefault="008E6159" w:rsidP="00116BBB">
            <w:pPr>
              <w:pStyle w:val="Tabletext"/>
              <w:jc w:val="center"/>
              <w:rPr>
                <w:lang w:val="en-US"/>
              </w:rPr>
            </w:pPr>
            <w:r>
              <w:rPr>
                <w:lang w:val="en-US"/>
              </w:rPr>
              <w:t>Low</w:t>
            </w:r>
          </w:p>
        </w:tc>
        <w:tc>
          <w:tcPr>
            <w:tcW w:w="1103" w:type="pct"/>
            <w:shd w:val="clear" w:color="auto" w:fill="auto"/>
            <w:vAlign w:val="center"/>
          </w:tcPr>
          <w:p w:rsidR="0080791A" w:rsidRPr="00E2771E" w:rsidRDefault="0080791A" w:rsidP="00116BBB">
            <w:pPr>
              <w:pStyle w:val="Tabletext"/>
              <w:jc w:val="center"/>
              <w:rPr>
                <w:lang w:val="en-US"/>
              </w:rPr>
            </w:pPr>
            <w:r>
              <w:rPr>
                <w:lang w:val="en-US"/>
              </w:rPr>
              <w:t>As above</w:t>
            </w:r>
          </w:p>
        </w:tc>
        <w:tc>
          <w:tcPr>
            <w:tcW w:w="1317" w:type="pct"/>
            <w:shd w:val="clear" w:color="auto" w:fill="auto"/>
            <w:vAlign w:val="center"/>
          </w:tcPr>
          <w:p w:rsidR="0080791A" w:rsidRPr="00E2771E" w:rsidRDefault="0080791A" w:rsidP="00116BBB">
            <w:pPr>
              <w:pStyle w:val="Tabletext"/>
              <w:jc w:val="center"/>
              <w:rPr>
                <w:lang w:val="en-US"/>
              </w:rPr>
            </w:pPr>
            <w:r>
              <w:rPr>
                <w:lang w:val="en-US"/>
              </w:rPr>
              <w:t>As above</w:t>
            </w:r>
          </w:p>
        </w:tc>
      </w:tr>
      <w:tr w:rsidR="0080791A" w:rsidRPr="00E2771E" w:rsidTr="00116BBB">
        <w:tc>
          <w:tcPr>
            <w:tcW w:w="711" w:type="pct"/>
            <w:shd w:val="clear" w:color="auto" w:fill="auto"/>
            <w:vAlign w:val="center"/>
          </w:tcPr>
          <w:p w:rsidR="0080791A" w:rsidRPr="00E2771E" w:rsidRDefault="0080791A" w:rsidP="00116BBB">
            <w:pPr>
              <w:pStyle w:val="Tabletext"/>
              <w:rPr>
                <w:lang w:val="en-US"/>
              </w:rPr>
            </w:pPr>
            <w:r w:rsidRPr="00E2771E">
              <w:rPr>
                <w:lang w:val="en-US"/>
              </w:rPr>
              <w:t>Meta-analysis</w:t>
            </w:r>
          </w:p>
        </w:tc>
        <w:tc>
          <w:tcPr>
            <w:tcW w:w="466" w:type="pct"/>
            <w:shd w:val="clear" w:color="auto" w:fill="auto"/>
            <w:vAlign w:val="center"/>
          </w:tcPr>
          <w:p w:rsidR="0080791A" w:rsidRPr="00E2771E" w:rsidRDefault="0080791A" w:rsidP="00116BBB">
            <w:pPr>
              <w:pStyle w:val="Tabletext"/>
              <w:jc w:val="center"/>
              <w:rPr>
                <w:lang w:val="en-US"/>
              </w:rPr>
            </w:pPr>
            <w:r>
              <w:rPr>
                <w:lang w:val="en-US"/>
              </w:rPr>
              <w:t>1459</w:t>
            </w:r>
          </w:p>
        </w:tc>
        <w:tc>
          <w:tcPr>
            <w:tcW w:w="2506" w:type="pct"/>
            <w:gridSpan w:val="3"/>
            <w:shd w:val="clear" w:color="auto" w:fill="auto"/>
            <w:vAlign w:val="center"/>
          </w:tcPr>
          <w:p w:rsidR="0080791A" w:rsidRPr="00E2771E" w:rsidRDefault="0080791A" w:rsidP="00116BBB">
            <w:pPr>
              <w:pStyle w:val="Tabletext"/>
              <w:rPr>
                <w:lang w:val="en-US"/>
              </w:rPr>
            </w:pPr>
            <w:r w:rsidRPr="00E2771E">
              <w:rPr>
                <w:lang w:val="en-US"/>
              </w:rPr>
              <w:t xml:space="preserve">Included </w:t>
            </w:r>
            <w:r>
              <w:rPr>
                <w:lang w:val="en-US"/>
              </w:rPr>
              <w:t>HAWK and HARRIER</w:t>
            </w:r>
          </w:p>
        </w:tc>
        <w:tc>
          <w:tcPr>
            <w:tcW w:w="1317" w:type="pct"/>
            <w:shd w:val="clear" w:color="auto" w:fill="auto"/>
            <w:vAlign w:val="center"/>
          </w:tcPr>
          <w:p w:rsidR="0080791A" w:rsidRPr="00E2771E" w:rsidRDefault="0080791A" w:rsidP="00116BBB">
            <w:pPr>
              <w:pStyle w:val="Tabletext"/>
              <w:jc w:val="center"/>
              <w:rPr>
                <w:lang w:val="en-US"/>
              </w:rPr>
            </w:pPr>
            <w:r>
              <w:rPr>
                <w:lang w:val="en-US"/>
              </w:rPr>
              <w:t>As above</w:t>
            </w:r>
          </w:p>
        </w:tc>
      </w:tr>
      <w:tr w:rsidR="0080791A" w:rsidRPr="00E2771E" w:rsidTr="00116BBB">
        <w:tc>
          <w:tcPr>
            <w:tcW w:w="711" w:type="pct"/>
            <w:shd w:val="clear" w:color="auto" w:fill="auto"/>
            <w:vAlign w:val="center"/>
          </w:tcPr>
          <w:p w:rsidR="0080791A" w:rsidRPr="00E2771E" w:rsidRDefault="0080791A" w:rsidP="00116BBB">
            <w:pPr>
              <w:pStyle w:val="Tabletext"/>
              <w:rPr>
                <w:lang w:val="en-US"/>
              </w:rPr>
            </w:pPr>
            <w:r>
              <w:rPr>
                <w:lang w:val="en-US"/>
              </w:rPr>
              <w:t>OSPREY</w:t>
            </w:r>
          </w:p>
        </w:tc>
        <w:tc>
          <w:tcPr>
            <w:tcW w:w="466" w:type="pct"/>
            <w:shd w:val="clear" w:color="auto" w:fill="auto"/>
            <w:vAlign w:val="center"/>
          </w:tcPr>
          <w:p w:rsidR="0080791A" w:rsidRPr="00E2771E" w:rsidRDefault="0080791A" w:rsidP="00116BBB">
            <w:pPr>
              <w:pStyle w:val="Tabletext"/>
              <w:jc w:val="center"/>
              <w:rPr>
                <w:lang w:val="en-US"/>
              </w:rPr>
            </w:pPr>
            <w:r>
              <w:rPr>
                <w:lang w:val="en-US"/>
              </w:rPr>
              <w:t>89</w:t>
            </w:r>
          </w:p>
        </w:tc>
        <w:tc>
          <w:tcPr>
            <w:tcW w:w="782" w:type="pct"/>
            <w:shd w:val="clear" w:color="auto" w:fill="auto"/>
            <w:vAlign w:val="center"/>
          </w:tcPr>
          <w:p w:rsidR="0080791A" w:rsidRDefault="0080791A" w:rsidP="00116BBB">
            <w:pPr>
              <w:pStyle w:val="Tabletext"/>
              <w:jc w:val="center"/>
              <w:rPr>
                <w:lang w:val="en-US"/>
              </w:rPr>
            </w:pPr>
            <w:r>
              <w:rPr>
                <w:lang w:val="en-US"/>
              </w:rPr>
              <w:t>R, DB</w:t>
            </w:r>
          </w:p>
          <w:p w:rsidR="0080791A" w:rsidRPr="00E2771E" w:rsidRDefault="0080791A" w:rsidP="00116BBB">
            <w:pPr>
              <w:pStyle w:val="Tabletext"/>
              <w:jc w:val="center"/>
              <w:rPr>
                <w:lang w:val="en-US"/>
              </w:rPr>
            </w:pPr>
            <w:r>
              <w:rPr>
                <w:lang w:val="en-US"/>
              </w:rPr>
              <w:t>56 weeks</w:t>
            </w:r>
          </w:p>
        </w:tc>
        <w:tc>
          <w:tcPr>
            <w:tcW w:w="621" w:type="pct"/>
            <w:shd w:val="clear" w:color="auto" w:fill="auto"/>
            <w:vAlign w:val="center"/>
          </w:tcPr>
          <w:p w:rsidR="0080791A" w:rsidRPr="00E2771E" w:rsidRDefault="008E6159" w:rsidP="00116BBB">
            <w:pPr>
              <w:pStyle w:val="Tabletext"/>
              <w:jc w:val="center"/>
              <w:rPr>
                <w:lang w:val="en-US"/>
              </w:rPr>
            </w:pPr>
            <w:r>
              <w:rPr>
                <w:lang w:val="en-US"/>
              </w:rPr>
              <w:t>Low</w:t>
            </w:r>
          </w:p>
        </w:tc>
        <w:tc>
          <w:tcPr>
            <w:tcW w:w="1103" w:type="pct"/>
            <w:shd w:val="clear" w:color="auto" w:fill="auto"/>
            <w:vAlign w:val="center"/>
          </w:tcPr>
          <w:p w:rsidR="0080791A" w:rsidRPr="00E2771E" w:rsidRDefault="0080791A" w:rsidP="00116BBB">
            <w:pPr>
              <w:pStyle w:val="Tabletext"/>
              <w:jc w:val="center"/>
              <w:rPr>
                <w:lang w:val="en-US"/>
              </w:rPr>
            </w:pPr>
            <w:r>
              <w:rPr>
                <w:lang w:val="en-US"/>
              </w:rPr>
              <w:t>As above</w:t>
            </w:r>
          </w:p>
        </w:tc>
        <w:tc>
          <w:tcPr>
            <w:tcW w:w="1317" w:type="pct"/>
            <w:shd w:val="clear" w:color="auto" w:fill="auto"/>
            <w:vAlign w:val="center"/>
          </w:tcPr>
          <w:p w:rsidR="0080791A" w:rsidRPr="00E2771E" w:rsidRDefault="0080791A" w:rsidP="00116BBB">
            <w:pPr>
              <w:pStyle w:val="Tabletext"/>
              <w:jc w:val="center"/>
              <w:rPr>
                <w:lang w:val="en-US"/>
              </w:rPr>
            </w:pPr>
            <w:r>
              <w:rPr>
                <w:lang w:val="en-US"/>
              </w:rPr>
              <w:t xml:space="preserve">Change in BCVA from baseline </w:t>
            </w:r>
            <w:r w:rsidRPr="004D75F4">
              <w:rPr>
                <w:lang w:val="en-US"/>
              </w:rPr>
              <w:t>to Week 12 or Week 40</w:t>
            </w:r>
          </w:p>
        </w:tc>
      </w:tr>
    </w:tbl>
    <w:p w:rsidR="0080791A" w:rsidRPr="0072416F" w:rsidRDefault="00742479" w:rsidP="0080791A">
      <w:pPr>
        <w:pStyle w:val="TableFooter"/>
      </w:pPr>
      <w:r>
        <w:t>AMD = age-related macular degeneration; BCVA = best corrected visual acuity;</w:t>
      </w:r>
      <w:r w:rsidRPr="0072416F">
        <w:t xml:space="preserve"> </w:t>
      </w:r>
      <w:r>
        <w:t xml:space="preserve">CNV = choroidal neovascularisation; </w:t>
      </w:r>
      <w:r w:rsidR="0080791A" w:rsidRPr="0072416F">
        <w:t>DB</w:t>
      </w:r>
      <w:r w:rsidR="00FA6A63">
        <w:t xml:space="preserve"> </w:t>
      </w:r>
      <w:r w:rsidR="0080791A" w:rsidRPr="0072416F">
        <w:t>=</w:t>
      </w:r>
      <w:r w:rsidR="00FA6A63">
        <w:t xml:space="preserve"> </w:t>
      </w:r>
      <w:r w:rsidR="0080791A" w:rsidRPr="0072416F">
        <w:t xml:space="preserve">double blind; </w:t>
      </w:r>
      <w:r>
        <w:t>R</w:t>
      </w:r>
      <w:r w:rsidR="00FA6A63">
        <w:t xml:space="preserve"> </w:t>
      </w:r>
      <w:r>
        <w:t>=</w:t>
      </w:r>
      <w:r w:rsidR="00FA6A63">
        <w:t xml:space="preserve"> </w:t>
      </w:r>
      <w:r>
        <w:t>randomised.</w:t>
      </w:r>
    </w:p>
    <w:p w:rsidR="00CB7240" w:rsidRDefault="00594ABC" w:rsidP="0080791A">
      <w:pPr>
        <w:pStyle w:val="TableFooter"/>
      </w:pPr>
      <w:r>
        <w:rPr>
          <w:vertAlign w:val="superscript"/>
        </w:rPr>
        <w:t>a</w:t>
      </w:r>
      <w:r w:rsidR="00CB7240">
        <w:t xml:space="preserve"> Number of patients in the full analysis set</w:t>
      </w:r>
      <w:r w:rsidR="00F5107E">
        <w:t xml:space="preserve"> (FAS)</w:t>
      </w:r>
      <w:r w:rsidR="00CB7240">
        <w:t>.</w:t>
      </w:r>
    </w:p>
    <w:p w:rsidR="0080791A" w:rsidRPr="00DE4053" w:rsidRDefault="00594ABC" w:rsidP="007925F2">
      <w:pPr>
        <w:pStyle w:val="TableFooter"/>
        <w:ind w:left="142" w:hanging="142"/>
      </w:pPr>
      <w:r>
        <w:rPr>
          <w:vertAlign w:val="superscript"/>
        </w:rPr>
        <w:t xml:space="preserve">b </w:t>
      </w:r>
      <w:r w:rsidR="0080791A">
        <w:t>This i</w:t>
      </w:r>
      <w:r w:rsidR="00E462F4">
        <w:t xml:space="preserve">s the number of patients </w:t>
      </w:r>
      <w:r w:rsidR="00CB7240">
        <w:t xml:space="preserve">in the </w:t>
      </w:r>
      <w:r w:rsidR="0080791A">
        <w:t>6</w:t>
      </w:r>
      <w:r w:rsidR="00E462F4">
        <w:t> </w:t>
      </w:r>
      <w:r w:rsidR="0080791A">
        <w:t>mg brolucizumab and 2</w:t>
      </w:r>
      <w:r w:rsidR="00E462F4">
        <w:t> </w:t>
      </w:r>
      <w:r w:rsidR="00742479">
        <w:t>mg aflibercept arms. HAWK wa</w:t>
      </w:r>
      <w:r w:rsidR="0080791A">
        <w:t xml:space="preserve">s a three-armed trial comparing two doses </w:t>
      </w:r>
      <w:r w:rsidR="0080791A">
        <w:lastRenderedPageBreak/>
        <w:t>of brolucizumab (</w:t>
      </w:r>
      <w:r w:rsidR="00BA1836">
        <w:t>3 mg</w:t>
      </w:r>
      <w:r w:rsidR="0080791A">
        <w:t xml:space="preserve"> and </w:t>
      </w:r>
      <w:r w:rsidR="00BA1836">
        <w:t>6 mg</w:t>
      </w:r>
      <w:r w:rsidR="0080791A">
        <w:t xml:space="preserve">) with aflibercept </w:t>
      </w:r>
      <w:r w:rsidR="00BA1836">
        <w:t>2 mg</w:t>
      </w:r>
      <w:r w:rsidR="0080791A">
        <w:t xml:space="preserve">. The total number of patients in all three arms </w:t>
      </w:r>
      <w:r w:rsidR="00F5107E">
        <w:t>was 1078 (FAS)</w:t>
      </w:r>
      <w:r w:rsidR="0080791A">
        <w:t>.</w:t>
      </w:r>
    </w:p>
    <w:p w:rsidR="0080791A" w:rsidRPr="00DE4053" w:rsidRDefault="0080791A" w:rsidP="0080791A">
      <w:pPr>
        <w:pStyle w:val="TableFooter"/>
        <w:rPr>
          <w:sz w:val="20"/>
        </w:rPr>
      </w:pPr>
      <w:r w:rsidRPr="00DE4053">
        <w:t>Source: Sections 2.3 to 2.4 of the submission.</w:t>
      </w:r>
    </w:p>
    <w:p w:rsidR="0080791A" w:rsidRPr="00DE4053" w:rsidRDefault="0080791A" w:rsidP="0080791A"/>
    <w:p w:rsidR="0080791A" w:rsidRPr="00F06F57" w:rsidRDefault="0080791A" w:rsidP="00917BC7">
      <w:pPr>
        <w:pStyle w:val="ListParagraph"/>
        <w:widowControl/>
        <w:numPr>
          <w:ilvl w:val="1"/>
          <w:numId w:val="1"/>
        </w:numPr>
        <w:spacing w:after="120"/>
      </w:pPr>
      <w:r w:rsidRPr="00F06F57">
        <w:t xml:space="preserve">In all three trials, missing data were imputed using last observation carried forward. The extent of missing/censored data at each assessment visit could not be located in the </w:t>
      </w:r>
      <w:r w:rsidR="00FC4072" w:rsidRPr="00F06F57">
        <w:t>Clinical Study Reports (</w:t>
      </w:r>
      <w:r w:rsidRPr="00F06F57">
        <w:t>CSRs</w:t>
      </w:r>
      <w:r w:rsidR="00FC4072" w:rsidRPr="00F06F57">
        <w:t>)</w:t>
      </w:r>
      <w:r w:rsidRPr="00F06F57">
        <w:t xml:space="preserve">. While loss to follow-up was low in all three trials, </w:t>
      </w:r>
      <w:r w:rsidR="0094194A" w:rsidRPr="00F06F57">
        <w:t>in HAWK,</w:t>
      </w:r>
      <w:r w:rsidR="006C516C" w:rsidRPr="00F06F57">
        <w:t xml:space="preserve"> </w:t>
      </w:r>
      <w:r w:rsidRPr="00F06F57">
        <w:t xml:space="preserve">the proportion of patients discontinuing treatment was relatively high, </w:t>
      </w:r>
      <w:r w:rsidR="00A96D90" w:rsidRPr="00F06F57">
        <w:t>with</w:t>
      </w:r>
      <w:r w:rsidRPr="00F06F57">
        <w:t xml:space="preserve"> 18.8% </w:t>
      </w:r>
      <w:r w:rsidR="0094194A" w:rsidRPr="00F06F57">
        <w:t xml:space="preserve">in the brolucizumab 6 mg arm </w:t>
      </w:r>
      <w:r w:rsidRPr="00F06F57">
        <w:t>and 22.2%</w:t>
      </w:r>
      <w:r w:rsidR="006C516C" w:rsidRPr="00F06F57">
        <w:t xml:space="preserve"> </w:t>
      </w:r>
      <w:r w:rsidR="0094194A" w:rsidRPr="00F06F57">
        <w:t xml:space="preserve">in the </w:t>
      </w:r>
      <w:r w:rsidR="006C516C" w:rsidRPr="00F06F57">
        <w:t>aflibercept</w:t>
      </w:r>
      <w:r w:rsidR="0094194A" w:rsidRPr="00F06F57">
        <w:t xml:space="preserve"> 2 mg arm</w:t>
      </w:r>
      <w:r w:rsidRPr="00F06F57">
        <w:t xml:space="preserve"> discontinuing prior to Week 96</w:t>
      </w:r>
      <w:r w:rsidRPr="00F06F57">
        <w:rPr>
          <w:rStyle w:val="CommentReference"/>
          <w:rFonts w:cs="Times New Roman"/>
        </w:rPr>
        <w:t>.</w:t>
      </w:r>
      <w:r w:rsidRPr="00F06F57">
        <w:t xml:space="preserve"> The main reasons for early treatment discontinuation were withdrawal</w:t>
      </w:r>
      <w:r w:rsidR="00934A32">
        <w:t xml:space="preserve"> by subject and AEs</w:t>
      </w:r>
      <w:r w:rsidRPr="00F06F57">
        <w:t>. While supportive analyses</w:t>
      </w:r>
      <w:r w:rsidR="002F4B30">
        <w:t xml:space="preserve"> that used</w:t>
      </w:r>
      <w:r w:rsidRPr="00F06F57">
        <w:t xml:space="preserve"> a mixed model repeated measures with observed data were consistent with the primary analys</w:t>
      </w:r>
      <w:r w:rsidR="00A32723" w:rsidRPr="00F06F57">
        <w:t>e</w:t>
      </w:r>
      <w:r w:rsidRPr="00F06F57">
        <w:t xml:space="preserve">s, the potential for bias from this source was unclear. </w:t>
      </w:r>
    </w:p>
    <w:p w:rsidR="0080791A" w:rsidRPr="00F06F57" w:rsidRDefault="0080791A" w:rsidP="00917BC7">
      <w:pPr>
        <w:pStyle w:val="ListParagraph"/>
        <w:widowControl/>
        <w:numPr>
          <w:ilvl w:val="1"/>
          <w:numId w:val="1"/>
        </w:numPr>
        <w:spacing w:after="120"/>
      </w:pPr>
      <w:r w:rsidRPr="00F06F57">
        <w:t xml:space="preserve">In HAWK and HARRIER, patients in both the brolucizumab and the aflibercept treatment arms received 3 </w:t>
      </w:r>
      <w:r w:rsidR="00FA6A63" w:rsidRPr="00F06F57">
        <w:t xml:space="preserve">loading doses administered at </w:t>
      </w:r>
      <w:r w:rsidRPr="00F06F57">
        <w:t xml:space="preserve">monthly </w:t>
      </w:r>
      <w:r w:rsidR="00FA6A63" w:rsidRPr="00F06F57">
        <w:t>intervals</w:t>
      </w:r>
      <w:r w:rsidRPr="00F06F57">
        <w:t xml:space="preserve"> (Day 0, Week 4 and Week 8), followed by maintenance regimens:</w:t>
      </w:r>
    </w:p>
    <w:p w:rsidR="0080791A" w:rsidRPr="00F06F57" w:rsidRDefault="0080791A" w:rsidP="00917BC7">
      <w:pPr>
        <w:pStyle w:val="ListParagraph"/>
        <w:widowControl/>
        <w:numPr>
          <w:ilvl w:val="0"/>
          <w:numId w:val="3"/>
        </w:numPr>
        <w:spacing w:after="120"/>
        <w:ind w:left="1050"/>
      </w:pPr>
      <w:r w:rsidRPr="00F06F57">
        <w:t xml:space="preserve">Brolucizumab 6 mg every 12 or 8 weeks (q12/8w), depending on whether there </w:t>
      </w:r>
      <w:r w:rsidR="00101865" w:rsidRPr="00F06F57">
        <w:t xml:space="preserve">was </w:t>
      </w:r>
      <w:r w:rsidRPr="00F06F57">
        <w:t>evidence of disease activity;</w:t>
      </w:r>
    </w:p>
    <w:p w:rsidR="0080791A" w:rsidRPr="00F06F57" w:rsidRDefault="0080791A" w:rsidP="00917BC7">
      <w:pPr>
        <w:pStyle w:val="ListParagraph"/>
        <w:widowControl/>
        <w:numPr>
          <w:ilvl w:val="0"/>
          <w:numId w:val="3"/>
        </w:numPr>
        <w:spacing w:after="120"/>
        <w:ind w:left="1050"/>
      </w:pPr>
      <w:r w:rsidRPr="00F06F57">
        <w:t>Aflibercept 2 mg every 8 weeks (q8w).</w:t>
      </w:r>
    </w:p>
    <w:p w:rsidR="0080791A" w:rsidRPr="00EB3FF6" w:rsidRDefault="0080791A" w:rsidP="00917BC7">
      <w:pPr>
        <w:pStyle w:val="ListParagraph"/>
        <w:widowControl/>
        <w:numPr>
          <w:ilvl w:val="1"/>
          <w:numId w:val="1"/>
        </w:numPr>
        <w:spacing w:after="120"/>
      </w:pPr>
      <w:r w:rsidRPr="00EB3FF6">
        <w:t>The submission claimed that the brolucizumab treatment regimen used in HAWK and HARRIER was consistent with the recommendations in the draft</w:t>
      </w:r>
      <w:r w:rsidR="004D13E2" w:rsidRPr="00EB3FF6">
        <w:t xml:space="preserve"> brolucizumab</w:t>
      </w:r>
      <w:r w:rsidRPr="00EB3FF6">
        <w:t xml:space="preserve"> PI.</w:t>
      </w:r>
      <w:r w:rsidR="004D13E2" w:rsidRPr="00EB3FF6">
        <w:t xml:space="preserve"> The draft PI state</w:t>
      </w:r>
      <w:r w:rsidR="000229A2">
        <w:t>d</w:t>
      </w:r>
      <w:r w:rsidR="004D13E2" w:rsidRPr="00EB3FF6">
        <w:t xml:space="preserve"> that after the initial three monthly loading doses, brolucizumab should be administered every 12 weeks, but that the physician may individualise treatment intervals based on disease activity, and that the dosing interval could be as frequent as every 8 weeks.</w:t>
      </w:r>
      <w:r w:rsidR="00CD4633" w:rsidRPr="00EB3FF6">
        <w:t xml:space="preserve"> </w:t>
      </w:r>
      <w:r w:rsidR="00476818">
        <w:rPr>
          <w:iCs/>
        </w:rPr>
        <w:t xml:space="preserve">The PSCR </w:t>
      </w:r>
      <w:r w:rsidR="00CD4633" w:rsidRPr="00EB3FF6">
        <w:rPr>
          <w:iCs/>
        </w:rPr>
        <w:t>argued that the absence of disease activity during the initial q12w cycle was a strong predictor for remaining on the q12w treatment interval and the objective of the initial q12w dosing interval was to identify subjects that required more frequent dosing interval. Subjects identified with a q8w need were switched to a q8w treatment interval for the remainder of the study.</w:t>
      </w:r>
      <w:r w:rsidR="004D13E2" w:rsidRPr="00EB3FF6">
        <w:t xml:space="preserve"> </w:t>
      </w:r>
      <w:r w:rsidR="00AA5661" w:rsidRPr="00EB3FF6">
        <w:rPr>
          <w:iCs/>
        </w:rPr>
        <w:t xml:space="preserve">However, </w:t>
      </w:r>
      <w:r w:rsidR="004D13E2" w:rsidRPr="00EB3FF6">
        <w:rPr>
          <w:iCs/>
        </w:rPr>
        <w:t xml:space="preserve">the </w:t>
      </w:r>
      <w:r w:rsidR="00837858">
        <w:rPr>
          <w:iCs/>
        </w:rPr>
        <w:t>PBAC</w:t>
      </w:r>
      <w:r w:rsidR="00837858" w:rsidRPr="00EB3FF6">
        <w:rPr>
          <w:iCs/>
        </w:rPr>
        <w:t xml:space="preserve"> </w:t>
      </w:r>
      <w:r w:rsidR="004D13E2" w:rsidRPr="00EB3FF6">
        <w:rPr>
          <w:iCs/>
        </w:rPr>
        <w:t xml:space="preserve">noted that </w:t>
      </w:r>
      <w:r w:rsidR="006D14FA" w:rsidRPr="00EB3FF6">
        <w:rPr>
          <w:iCs/>
        </w:rPr>
        <w:t>p</w:t>
      </w:r>
      <w:r w:rsidR="00AA5661" w:rsidRPr="00EB3FF6">
        <w:rPr>
          <w:iCs/>
        </w:rPr>
        <w:t>atients</w:t>
      </w:r>
      <w:r w:rsidR="006D14FA" w:rsidRPr="00EB3FF6">
        <w:rPr>
          <w:iCs/>
        </w:rPr>
        <w:t xml:space="preserve"> receiving brolucizumab</w:t>
      </w:r>
      <w:r w:rsidR="00AA5661" w:rsidRPr="00EB3FF6">
        <w:rPr>
          <w:iCs/>
        </w:rPr>
        <w:t xml:space="preserve"> in</w:t>
      </w:r>
      <w:r w:rsidR="004D13E2" w:rsidRPr="00EB3FF6">
        <w:rPr>
          <w:iCs/>
        </w:rPr>
        <w:t xml:space="preserve"> the</w:t>
      </w:r>
      <w:r w:rsidR="00AA5661" w:rsidRPr="00EB3FF6">
        <w:rPr>
          <w:iCs/>
        </w:rPr>
        <w:t xml:space="preserve"> HAWK and HARRIER trials could only have a dose modification from q12w dosing to q8w dosing</w:t>
      </w:r>
      <w:r w:rsidR="00D1019F" w:rsidRPr="00EB3FF6">
        <w:rPr>
          <w:iCs/>
        </w:rPr>
        <w:t>, which was inconsistent with the individualised treatment described in the draft PI</w:t>
      </w:r>
      <w:r w:rsidR="006D14FA" w:rsidRPr="00EB3FF6">
        <w:t xml:space="preserve">. </w:t>
      </w:r>
      <w:r w:rsidRPr="00EB3FF6">
        <w:t xml:space="preserve">This lack of flexibility in the dosing regimen applied in the trial may have resulted in some patients being treated more frequently than required to control disease activity. </w:t>
      </w:r>
    </w:p>
    <w:p w:rsidR="00837858" w:rsidRPr="00EB3FF6" w:rsidRDefault="0080791A" w:rsidP="00917BC7">
      <w:pPr>
        <w:pStyle w:val="ListParagraph"/>
        <w:widowControl/>
        <w:numPr>
          <w:ilvl w:val="1"/>
          <w:numId w:val="1"/>
        </w:numPr>
        <w:spacing w:after="120"/>
      </w:pPr>
      <w:r w:rsidRPr="00EB3FF6">
        <w:t>Aflibercept was administered every 8 weeks following the initial 3</w:t>
      </w:r>
      <w:r w:rsidR="00964C9C" w:rsidRPr="00EB3FF6">
        <w:t xml:space="preserve"> loading doses administered at monthly intervals</w:t>
      </w:r>
      <w:r w:rsidR="00746B1D" w:rsidRPr="00EB3FF6">
        <w:t>. This</w:t>
      </w:r>
      <w:r w:rsidRPr="00EB3FF6">
        <w:t xml:space="preserve"> </w:t>
      </w:r>
      <w:r w:rsidR="008004FB" w:rsidRPr="00EB3FF6">
        <w:t>was not consistent with the treatment strategy most commonly employed in Australian clinical practice</w:t>
      </w:r>
      <w:r w:rsidR="0073624A" w:rsidRPr="00EB3FF6">
        <w:t xml:space="preserve"> </w:t>
      </w:r>
      <w:r w:rsidR="0073624A" w:rsidRPr="00EB3FF6">
        <w:rPr>
          <w:iCs/>
        </w:rPr>
        <w:t>and described in the aflibercept PI</w:t>
      </w:r>
      <w:r w:rsidR="002F6BD5" w:rsidRPr="00EB3FF6">
        <w:t xml:space="preserve">, </w:t>
      </w:r>
      <w:r w:rsidR="00746B1D" w:rsidRPr="00EB3FF6">
        <w:t>where</w:t>
      </w:r>
      <w:r w:rsidR="002F6BD5" w:rsidRPr="00EB3FF6">
        <w:t xml:space="preserve"> the treatment interval is extended by increasing intervals in 2- or 4-weekly increments while maintaining stable visual and/or anatomic outcomes</w:t>
      </w:r>
      <w:r w:rsidR="008004FB" w:rsidRPr="00EB3FF6">
        <w:t xml:space="preserve"> (</w:t>
      </w:r>
      <w:r w:rsidR="00846F65">
        <w:t>treat and extend [</w:t>
      </w:r>
      <w:r w:rsidR="0073624A" w:rsidRPr="00EB3FF6">
        <w:t>T&amp;E</w:t>
      </w:r>
      <w:r w:rsidR="00846F65">
        <w:t>]</w:t>
      </w:r>
      <w:r w:rsidR="008004FB" w:rsidRPr="00EB3FF6">
        <w:t xml:space="preserve"> regimen)</w:t>
      </w:r>
      <w:r w:rsidR="002F6BD5" w:rsidRPr="00EB3FF6">
        <w:t>, and may also be shortened to a minimum of 4 weeks, if there is evidence of disease activity.</w:t>
      </w:r>
      <w:r w:rsidRPr="00EB3FF6">
        <w:t xml:space="preserve"> </w:t>
      </w:r>
      <w:r w:rsidR="00A0274D" w:rsidRPr="00EB3FF6">
        <w:rPr>
          <w:iCs/>
        </w:rPr>
        <w:t>The PSCR</w:t>
      </w:r>
      <w:r w:rsidR="00245D5F" w:rsidRPr="00EB3FF6">
        <w:rPr>
          <w:iCs/>
        </w:rPr>
        <w:t xml:space="preserve"> </w:t>
      </w:r>
      <w:r w:rsidR="00A0274D" w:rsidRPr="00EB3FF6">
        <w:rPr>
          <w:iCs/>
        </w:rPr>
        <w:t>acknowledged this inconsistency</w:t>
      </w:r>
      <w:r w:rsidR="00245D5F" w:rsidRPr="00EB3FF6">
        <w:rPr>
          <w:iCs/>
        </w:rPr>
        <w:t>;</w:t>
      </w:r>
      <w:r w:rsidR="00A0274D" w:rsidRPr="00EB3FF6">
        <w:rPr>
          <w:iCs/>
        </w:rPr>
        <w:t xml:space="preserve"> however</w:t>
      </w:r>
      <w:r w:rsidR="00245D5F" w:rsidRPr="00EB3FF6">
        <w:rPr>
          <w:iCs/>
        </w:rPr>
        <w:t>, the Sponsor</w:t>
      </w:r>
      <w:r w:rsidR="00A0274D" w:rsidRPr="00EB3FF6">
        <w:rPr>
          <w:iCs/>
        </w:rPr>
        <w:t xml:space="preserve"> argued that evidence from several meta-</w:t>
      </w:r>
      <w:r w:rsidR="00A0274D" w:rsidRPr="00EB3FF6">
        <w:rPr>
          <w:iCs/>
        </w:rPr>
        <w:lastRenderedPageBreak/>
        <w:t>analyses</w:t>
      </w:r>
      <w:r w:rsidR="00B633C9" w:rsidRPr="00EB3FF6">
        <w:rPr>
          <w:iCs/>
        </w:rPr>
        <w:t xml:space="preserve"> </w:t>
      </w:r>
      <w:r w:rsidR="00B85CE1" w:rsidRPr="00EB3FF6">
        <w:rPr>
          <w:iCs/>
        </w:rPr>
        <w:t xml:space="preserve">and systematic reviews </w:t>
      </w:r>
      <w:r w:rsidR="00A0274D" w:rsidRPr="00EB3FF6">
        <w:rPr>
          <w:iCs/>
        </w:rPr>
        <w:t xml:space="preserve">found that outcomes with T&amp;E ranibizumab and aflibercept are likely to be comparable to that of fixed-dosing protocols, whilst using fewer injections. Nevertheless, </w:t>
      </w:r>
      <w:r w:rsidR="00245D5F" w:rsidRPr="00EB3FF6">
        <w:rPr>
          <w:iCs/>
        </w:rPr>
        <w:t>the reviews are</w:t>
      </w:r>
      <w:r w:rsidR="00A0274D" w:rsidRPr="00EB3FF6">
        <w:rPr>
          <w:iCs/>
        </w:rPr>
        <w:t xml:space="preserve"> considered</w:t>
      </w:r>
      <w:r w:rsidR="00245D5F" w:rsidRPr="00EB3FF6">
        <w:rPr>
          <w:iCs/>
        </w:rPr>
        <w:t xml:space="preserve"> to be only</w:t>
      </w:r>
      <w:r w:rsidR="00A0274D" w:rsidRPr="00EB3FF6">
        <w:rPr>
          <w:iCs/>
        </w:rPr>
        <w:t xml:space="preserve"> </w:t>
      </w:r>
      <w:r w:rsidR="00F329C1" w:rsidRPr="00EB3FF6">
        <w:rPr>
          <w:iCs/>
        </w:rPr>
        <w:t>low-level</w:t>
      </w:r>
      <w:r w:rsidR="00245D5F" w:rsidRPr="00EB3FF6">
        <w:rPr>
          <w:iCs/>
        </w:rPr>
        <w:t xml:space="preserve"> evidence to support the applicability of the efficacy outcomes to the Australian setting, and the </w:t>
      </w:r>
      <w:r w:rsidR="00B85CE1" w:rsidRPr="00EB3FF6">
        <w:rPr>
          <w:iCs/>
        </w:rPr>
        <w:t>issue remains that the mean number of injections per patient in the trials is unlikely to be representative of aflibercept utilisation in Australia</w:t>
      </w:r>
      <w:r w:rsidR="00A0274D" w:rsidRPr="00EB3FF6">
        <w:rPr>
          <w:iCs/>
        </w:rPr>
        <w:t>.</w:t>
      </w:r>
    </w:p>
    <w:p w:rsidR="0080791A" w:rsidRPr="00F06F57" w:rsidRDefault="0080791A" w:rsidP="00917BC7">
      <w:pPr>
        <w:pStyle w:val="ListParagraph"/>
        <w:widowControl/>
        <w:numPr>
          <w:ilvl w:val="1"/>
          <w:numId w:val="1"/>
        </w:numPr>
        <w:spacing w:after="120"/>
      </w:pPr>
      <w:r w:rsidRPr="00F06F57">
        <w:t xml:space="preserve">The brolucizumab dosing regimen used in OSPREY was not completely consistent with the regimen proposed in the draft PI. The submission presented this </w:t>
      </w:r>
      <w:r w:rsidR="00FC4072" w:rsidRPr="00F06F57">
        <w:t>trial</w:t>
      </w:r>
      <w:r w:rsidRPr="00F06F57">
        <w:t xml:space="preserve"> as supportive evidence, as it provided a comparison of brolucizumab 6 mg and aflibercept 2 mg when administered at similar dose intervals up to Week 40 of treatment</w:t>
      </w:r>
      <w:r w:rsidR="00101865" w:rsidRPr="00F06F57">
        <w:t xml:space="preserve"> (q8w following the initial loading doses)</w:t>
      </w:r>
      <w:r w:rsidR="0089463C" w:rsidRPr="00F06F57">
        <w:t>. The results were consistent with those reported for HAWK and HARRIER.</w:t>
      </w:r>
    </w:p>
    <w:p w:rsidR="0080791A" w:rsidRPr="00F06F57" w:rsidRDefault="0080791A" w:rsidP="00917BC7">
      <w:pPr>
        <w:pStyle w:val="ListParagraph"/>
        <w:widowControl/>
        <w:numPr>
          <w:ilvl w:val="1"/>
          <w:numId w:val="1"/>
        </w:numPr>
        <w:spacing w:after="120"/>
      </w:pPr>
      <w:r w:rsidRPr="00F06F57">
        <w:t>The pre-specified non</w:t>
      </w:r>
      <w:r w:rsidR="004D5667" w:rsidRPr="00F06F57">
        <w:t>-</w:t>
      </w:r>
      <w:r w:rsidRPr="00F06F57">
        <w:t>inferiority margin for the primary outcome of the HAWK and HARRIER trials (change in BCVA</w:t>
      </w:r>
      <w:r w:rsidR="00905C8C">
        <w:t xml:space="preserve"> </w:t>
      </w:r>
      <w:r w:rsidRPr="00F06F57">
        <w:t>from baseline to Week 48) was 4 letters. This non</w:t>
      </w:r>
      <w:r w:rsidR="004D5667" w:rsidRPr="00F06F57">
        <w:t>-</w:t>
      </w:r>
      <w:r w:rsidRPr="00F06F57">
        <w:t xml:space="preserve">inferiority margin </w:t>
      </w:r>
      <w:r w:rsidR="00C94503" w:rsidRPr="00F06F57">
        <w:t>wa</w:t>
      </w:r>
      <w:r w:rsidRPr="00F06F57">
        <w:t>s reasonable. The PBAC have previously accepted that an improvement in visual acuity of 10 letters represented a clinically important result, although not</w:t>
      </w:r>
      <w:r w:rsidR="00905C8C">
        <w:t>ed</w:t>
      </w:r>
      <w:r w:rsidRPr="00F06F57">
        <w:t xml:space="preserve"> that an increase of 5 or more BCVA letters might represent a clinically important difference for some patients, but the clinical importance will also depend on the baseline visual acuity of each eye (Ranibizumab </w:t>
      </w:r>
      <w:r w:rsidR="00F71346" w:rsidRPr="00F06F57">
        <w:t>Public Summary Document (</w:t>
      </w:r>
      <w:r w:rsidRPr="00F06F57">
        <w:t>PSD</w:t>
      </w:r>
      <w:r w:rsidR="00F71346" w:rsidRPr="00F06F57">
        <w:t>)</w:t>
      </w:r>
      <w:r w:rsidRPr="00F06F57">
        <w:t>, March 2013 PBAC Meeting).</w:t>
      </w:r>
    </w:p>
    <w:p w:rsidR="00796DE1" w:rsidRPr="00C9624D" w:rsidRDefault="00796DE1" w:rsidP="00917BC7">
      <w:pPr>
        <w:pStyle w:val="Heading2"/>
        <w:spacing w:after="120"/>
      </w:pPr>
      <w:bookmarkStart w:id="7" w:name="_Toc371170706"/>
      <w:bookmarkStart w:id="8" w:name="_Toc19612021"/>
      <w:r w:rsidRPr="00C9624D">
        <w:t>Comparative effectiveness</w:t>
      </w:r>
      <w:bookmarkEnd w:id="7"/>
      <w:bookmarkEnd w:id="8"/>
    </w:p>
    <w:p w:rsidR="00796DE1" w:rsidRPr="005B133E" w:rsidRDefault="00796DE1" w:rsidP="00917BC7">
      <w:pPr>
        <w:pStyle w:val="ListParagraph"/>
        <w:widowControl/>
        <w:numPr>
          <w:ilvl w:val="1"/>
          <w:numId w:val="1"/>
        </w:numPr>
        <w:spacing w:after="120"/>
      </w:pPr>
      <w:r w:rsidRPr="005B133E">
        <w:t xml:space="preserve">The results for the primary outcome in HAWK and HARRIER, least squares (LS) mean change in BCVA from </w:t>
      </w:r>
      <w:r w:rsidR="00C94503">
        <w:t>b</w:t>
      </w:r>
      <w:r w:rsidRPr="005B133E">
        <w:t>aseline to Week 48, as well as the secondary outcome of mean change in BCVA from baseline to Week 96, are summarised below</w:t>
      </w:r>
      <w:r w:rsidR="00062CBF">
        <w:t xml:space="preserve"> (Table 4)</w:t>
      </w:r>
      <w:r w:rsidR="00C94503">
        <w:t>, while the forest plot</w:t>
      </w:r>
      <w:r w:rsidR="005D0DA9">
        <w:t>s</w:t>
      </w:r>
      <w:r w:rsidR="00C94503">
        <w:t xml:space="preserve"> for the meta-analyses of </w:t>
      </w:r>
      <w:r w:rsidR="00E15FBF">
        <w:t xml:space="preserve">these outcomes </w:t>
      </w:r>
      <w:r w:rsidR="005D0DA9">
        <w:t>are</w:t>
      </w:r>
      <w:r w:rsidR="00E15FBF">
        <w:t xml:space="preserve"> presented in </w:t>
      </w:r>
      <w:r w:rsidR="0060797A" w:rsidRPr="005B133E">
        <w:t xml:space="preserve">Figure </w:t>
      </w:r>
      <w:r w:rsidR="0060797A">
        <w:rPr>
          <w:noProof/>
        </w:rPr>
        <w:t>1</w:t>
      </w:r>
      <w:r w:rsidR="00E15FBF">
        <w:t>.</w:t>
      </w:r>
    </w:p>
    <w:p w:rsidR="00796DE1" w:rsidRPr="005B133E" w:rsidRDefault="00796DE1" w:rsidP="007A775A">
      <w:pPr>
        <w:pStyle w:val="Caption"/>
        <w:keepLines/>
        <w:widowControl/>
      </w:pPr>
      <w:r w:rsidRPr="005B133E">
        <w:lastRenderedPageBreak/>
        <w:t xml:space="preserve">Table </w:t>
      </w:r>
      <w:r w:rsidR="0060797A">
        <w:rPr>
          <w:noProof/>
        </w:rPr>
        <w:t>4</w:t>
      </w:r>
      <w:r w:rsidRPr="005B133E">
        <w:t>: LS mean change in BCVA (letters read) from baseline – FAS, LOCF</w:t>
      </w:r>
    </w:p>
    <w:tbl>
      <w:tblPr>
        <w:tblStyle w:val="TableGrid"/>
        <w:tblW w:w="5000" w:type="pct"/>
        <w:tblLook w:val="04A0" w:firstRow="1" w:lastRow="0" w:firstColumn="1" w:lastColumn="0" w:noHBand="0" w:noVBand="1"/>
        <w:tblCaption w:val="Table 4: LS mean change in BCVA (letters read) from baseline – FAS, LOCF"/>
      </w:tblPr>
      <w:tblGrid>
        <w:gridCol w:w="2785"/>
        <w:gridCol w:w="1558"/>
        <w:gridCol w:w="1558"/>
        <w:gridCol w:w="1558"/>
        <w:gridCol w:w="1558"/>
      </w:tblGrid>
      <w:tr w:rsidR="00796DE1" w:rsidRPr="005B133E" w:rsidTr="00F717D5">
        <w:trPr>
          <w:tblHeader/>
        </w:trPr>
        <w:tc>
          <w:tcPr>
            <w:tcW w:w="1544" w:type="pct"/>
            <w:vMerge w:val="restart"/>
            <w:vAlign w:val="center"/>
          </w:tcPr>
          <w:p w:rsidR="00796DE1" w:rsidRPr="005B133E" w:rsidRDefault="00796DE1" w:rsidP="007A775A">
            <w:pPr>
              <w:pStyle w:val="Tabletext"/>
              <w:keepNext/>
              <w:keepLines/>
              <w:rPr>
                <w:b/>
              </w:rPr>
            </w:pPr>
          </w:p>
        </w:tc>
        <w:tc>
          <w:tcPr>
            <w:tcW w:w="1728" w:type="pct"/>
            <w:gridSpan w:val="2"/>
            <w:vAlign w:val="center"/>
          </w:tcPr>
          <w:p w:rsidR="00796DE1" w:rsidRPr="005B133E" w:rsidRDefault="00796DE1" w:rsidP="007A775A">
            <w:pPr>
              <w:pStyle w:val="Tabletext"/>
              <w:keepNext/>
              <w:keepLines/>
              <w:jc w:val="center"/>
              <w:rPr>
                <w:b/>
              </w:rPr>
            </w:pPr>
            <w:r w:rsidRPr="005B133E">
              <w:rPr>
                <w:b/>
              </w:rPr>
              <w:t>HAWK</w:t>
            </w:r>
          </w:p>
        </w:tc>
        <w:tc>
          <w:tcPr>
            <w:tcW w:w="1728" w:type="pct"/>
            <w:gridSpan w:val="2"/>
            <w:vAlign w:val="center"/>
          </w:tcPr>
          <w:p w:rsidR="00796DE1" w:rsidRPr="005B133E" w:rsidRDefault="00796DE1" w:rsidP="007A775A">
            <w:pPr>
              <w:pStyle w:val="Tabletext"/>
              <w:keepNext/>
              <w:keepLines/>
              <w:jc w:val="center"/>
              <w:rPr>
                <w:b/>
              </w:rPr>
            </w:pPr>
            <w:r w:rsidRPr="005B133E">
              <w:rPr>
                <w:b/>
              </w:rPr>
              <w:t>HARRIER</w:t>
            </w:r>
          </w:p>
        </w:tc>
      </w:tr>
      <w:tr w:rsidR="00796DE1" w:rsidRPr="005B133E" w:rsidTr="00F717D5">
        <w:trPr>
          <w:tblHeader/>
        </w:trPr>
        <w:tc>
          <w:tcPr>
            <w:tcW w:w="1544" w:type="pct"/>
            <w:vMerge/>
            <w:vAlign w:val="center"/>
          </w:tcPr>
          <w:p w:rsidR="00796DE1" w:rsidRPr="005B133E" w:rsidRDefault="00796DE1" w:rsidP="007A775A">
            <w:pPr>
              <w:pStyle w:val="Tabletext"/>
              <w:keepNext/>
              <w:keepLines/>
              <w:rPr>
                <w:b/>
              </w:rPr>
            </w:pPr>
          </w:p>
        </w:tc>
        <w:tc>
          <w:tcPr>
            <w:tcW w:w="864" w:type="pct"/>
            <w:vAlign w:val="center"/>
          </w:tcPr>
          <w:p w:rsidR="00796DE1" w:rsidRPr="005B133E" w:rsidRDefault="00796DE1" w:rsidP="007A775A">
            <w:pPr>
              <w:pStyle w:val="Tabletext"/>
              <w:keepNext/>
              <w:keepLines/>
              <w:jc w:val="center"/>
              <w:rPr>
                <w:b/>
              </w:rPr>
            </w:pPr>
            <w:r w:rsidRPr="005B133E">
              <w:rPr>
                <w:b/>
              </w:rPr>
              <w:t>BRO 6 mg</w:t>
            </w:r>
          </w:p>
          <w:p w:rsidR="00796DE1" w:rsidRPr="005B133E" w:rsidRDefault="00796DE1" w:rsidP="007A775A">
            <w:pPr>
              <w:pStyle w:val="Tabletext"/>
              <w:keepNext/>
              <w:keepLines/>
              <w:jc w:val="center"/>
              <w:rPr>
                <w:b/>
              </w:rPr>
            </w:pPr>
            <w:r w:rsidRPr="005B133E">
              <w:rPr>
                <w:b/>
              </w:rPr>
              <w:t>N=360</w:t>
            </w:r>
          </w:p>
        </w:tc>
        <w:tc>
          <w:tcPr>
            <w:tcW w:w="864" w:type="pct"/>
            <w:vAlign w:val="center"/>
          </w:tcPr>
          <w:p w:rsidR="00796DE1" w:rsidRPr="005B133E" w:rsidRDefault="00796DE1" w:rsidP="007A775A">
            <w:pPr>
              <w:pStyle w:val="Tabletext"/>
              <w:keepNext/>
              <w:keepLines/>
              <w:jc w:val="center"/>
              <w:rPr>
                <w:b/>
              </w:rPr>
            </w:pPr>
            <w:r w:rsidRPr="005B133E">
              <w:rPr>
                <w:b/>
              </w:rPr>
              <w:t>AFL 2 mg</w:t>
            </w:r>
          </w:p>
          <w:p w:rsidR="00796DE1" w:rsidRPr="005B133E" w:rsidRDefault="00796DE1" w:rsidP="007A775A">
            <w:pPr>
              <w:pStyle w:val="Tabletext"/>
              <w:keepNext/>
              <w:keepLines/>
              <w:jc w:val="center"/>
              <w:rPr>
                <w:b/>
              </w:rPr>
            </w:pPr>
            <w:r w:rsidRPr="005B133E">
              <w:rPr>
                <w:b/>
              </w:rPr>
              <w:t>N=360</w:t>
            </w:r>
          </w:p>
        </w:tc>
        <w:tc>
          <w:tcPr>
            <w:tcW w:w="864" w:type="pct"/>
            <w:vAlign w:val="center"/>
          </w:tcPr>
          <w:p w:rsidR="00796DE1" w:rsidRPr="005B133E" w:rsidRDefault="00796DE1" w:rsidP="007A775A">
            <w:pPr>
              <w:pStyle w:val="Tabletext"/>
              <w:keepNext/>
              <w:keepLines/>
              <w:jc w:val="center"/>
              <w:rPr>
                <w:b/>
              </w:rPr>
            </w:pPr>
            <w:r w:rsidRPr="005B133E">
              <w:rPr>
                <w:b/>
              </w:rPr>
              <w:t>BRO 6 mg</w:t>
            </w:r>
          </w:p>
          <w:p w:rsidR="00796DE1" w:rsidRPr="005B133E" w:rsidRDefault="00796DE1" w:rsidP="007A775A">
            <w:pPr>
              <w:pStyle w:val="Tabletext"/>
              <w:keepNext/>
              <w:keepLines/>
              <w:jc w:val="center"/>
              <w:rPr>
                <w:b/>
              </w:rPr>
            </w:pPr>
            <w:r w:rsidRPr="005B133E">
              <w:rPr>
                <w:b/>
              </w:rPr>
              <w:t>N=370</w:t>
            </w:r>
          </w:p>
        </w:tc>
        <w:tc>
          <w:tcPr>
            <w:tcW w:w="864" w:type="pct"/>
            <w:vAlign w:val="center"/>
          </w:tcPr>
          <w:p w:rsidR="00796DE1" w:rsidRPr="005B133E" w:rsidRDefault="00796DE1" w:rsidP="007A775A">
            <w:pPr>
              <w:pStyle w:val="Tabletext"/>
              <w:keepNext/>
              <w:keepLines/>
              <w:jc w:val="center"/>
              <w:rPr>
                <w:b/>
              </w:rPr>
            </w:pPr>
            <w:r w:rsidRPr="005B133E">
              <w:rPr>
                <w:b/>
              </w:rPr>
              <w:t>AFL 2 mg</w:t>
            </w:r>
          </w:p>
          <w:p w:rsidR="00796DE1" w:rsidRPr="005B133E" w:rsidRDefault="00796DE1" w:rsidP="007A775A">
            <w:pPr>
              <w:pStyle w:val="Tabletext"/>
              <w:keepNext/>
              <w:keepLines/>
              <w:jc w:val="center"/>
              <w:rPr>
                <w:b/>
              </w:rPr>
            </w:pPr>
            <w:r w:rsidRPr="005B133E">
              <w:rPr>
                <w:b/>
              </w:rPr>
              <w:t>N=369</w:t>
            </w:r>
          </w:p>
        </w:tc>
      </w:tr>
      <w:tr w:rsidR="00796DE1" w:rsidRPr="005B133E" w:rsidTr="00F717D5">
        <w:trPr>
          <w:tblHeader/>
        </w:trPr>
        <w:tc>
          <w:tcPr>
            <w:tcW w:w="1544" w:type="pct"/>
            <w:vAlign w:val="center"/>
          </w:tcPr>
          <w:p w:rsidR="00796DE1" w:rsidRPr="005B133E" w:rsidRDefault="00796DE1" w:rsidP="007A775A">
            <w:pPr>
              <w:pStyle w:val="Tabletext"/>
              <w:keepNext/>
              <w:keepLines/>
            </w:pPr>
            <w:r w:rsidRPr="005B133E">
              <w:t>Mean baseline BCVA, letters (SD)</w:t>
            </w:r>
          </w:p>
        </w:tc>
        <w:tc>
          <w:tcPr>
            <w:tcW w:w="864" w:type="pct"/>
            <w:vAlign w:val="center"/>
          </w:tcPr>
          <w:p w:rsidR="00796DE1" w:rsidRPr="005B133E" w:rsidRDefault="00796DE1" w:rsidP="007A775A">
            <w:pPr>
              <w:pStyle w:val="Tabletext"/>
              <w:keepNext/>
              <w:keepLines/>
              <w:jc w:val="center"/>
            </w:pPr>
            <w:r w:rsidRPr="005B133E">
              <w:t>60.8 (13.7)</w:t>
            </w:r>
          </w:p>
        </w:tc>
        <w:tc>
          <w:tcPr>
            <w:tcW w:w="864" w:type="pct"/>
            <w:vAlign w:val="center"/>
          </w:tcPr>
          <w:p w:rsidR="00796DE1" w:rsidRPr="005B133E" w:rsidRDefault="00796DE1" w:rsidP="007A775A">
            <w:pPr>
              <w:pStyle w:val="Tabletext"/>
              <w:keepNext/>
              <w:keepLines/>
              <w:jc w:val="center"/>
            </w:pPr>
            <w:r w:rsidRPr="005B133E">
              <w:t>60.0 (13.9)</w:t>
            </w:r>
          </w:p>
        </w:tc>
        <w:tc>
          <w:tcPr>
            <w:tcW w:w="864" w:type="pct"/>
            <w:vAlign w:val="center"/>
          </w:tcPr>
          <w:p w:rsidR="00796DE1" w:rsidRPr="005B133E" w:rsidRDefault="00796DE1" w:rsidP="007A775A">
            <w:pPr>
              <w:pStyle w:val="Tabletext"/>
              <w:keepNext/>
              <w:keepLines/>
              <w:jc w:val="center"/>
            </w:pPr>
            <w:r w:rsidRPr="005B133E">
              <w:t>61.5 (12.6)</w:t>
            </w:r>
          </w:p>
        </w:tc>
        <w:tc>
          <w:tcPr>
            <w:tcW w:w="864" w:type="pct"/>
            <w:vAlign w:val="center"/>
          </w:tcPr>
          <w:p w:rsidR="00796DE1" w:rsidRPr="005B133E" w:rsidRDefault="00796DE1" w:rsidP="007A775A">
            <w:pPr>
              <w:pStyle w:val="Tabletext"/>
              <w:keepNext/>
              <w:keepLines/>
              <w:jc w:val="center"/>
            </w:pPr>
            <w:r w:rsidRPr="005B133E">
              <w:t>60.8 (12.9)</w:t>
            </w:r>
          </w:p>
        </w:tc>
      </w:tr>
      <w:tr w:rsidR="00796DE1" w:rsidRPr="005B133E" w:rsidTr="00F717D5">
        <w:trPr>
          <w:tblHeader/>
        </w:trPr>
        <w:tc>
          <w:tcPr>
            <w:tcW w:w="5000" w:type="pct"/>
            <w:gridSpan w:val="5"/>
            <w:vAlign w:val="center"/>
          </w:tcPr>
          <w:p w:rsidR="00796DE1" w:rsidRPr="005B133E" w:rsidRDefault="00796DE1" w:rsidP="007A775A">
            <w:pPr>
              <w:pStyle w:val="Tabletext"/>
              <w:keepNext/>
              <w:keepLines/>
            </w:pPr>
            <w:r w:rsidRPr="005B133E">
              <w:rPr>
                <w:b/>
              </w:rPr>
              <w:t>Change in BCVA (letters) from baseline to 48 weeks</w:t>
            </w:r>
          </w:p>
        </w:tc>
      </w:tr>
      <w:tr w:rsidR="00796DE1" w:rsidRPr="005B133E" w:rsidTr="00F717D5">
        <w:trPr>
          <w:tblHeader/>
        </w:trPr>
        <w:tc>
          <w:tcPr>
            <w:tcW w:w="1544" w:type="pct"/>
            <w:vAlign w:val="center"/>
          </w:tcPr>
          <w:p w:rsidR="00796DE1" w:rsidRPr="005B133E" w:rsidRDefault="00796DE1" w:rsidP="007A775A">
            <w:pPr>
              <w:pStyle w:val="Tabletext"/>
              <w:keepNext/>
              <w:keepLines/>
            </w:pPr>
            <w:r w:rsidRPr="005B133E">
              <w:t>Mean change, letters (SD)</w:t>
            </w:r>
          </w:p>
        </w:tc>
        <w:tc>
          <w:tcPr>
            <w:tcW w:w="864" w:type="pct"/>
            <w:vAlign w:val="center"/>
          </w:tcPr>
          <w:p w:rsidR="00796DE1" w:rsidRPr="005B133E" w:rsidRDefault="00796DE1" w:rsidP="007A775A">
            <w:pPr>
              <w:pStyle w:val="Tabletext"/>
              <w:keepNext/>
              <w:keepLines/>
              <w:jc w:val="center"/>
            </w:pPr>
            <w:r w:rsidRPr="005B133E">
              <w:t>6.4 (14.4)</w:t>
            </w:r>
          </w:p>
        </w:tc>
        <w:tc>
          <w:tcPr>
            <w:tcW w:w="864" w:type="pct"/>
            <w:vAlign w:val="center"/>
          </w:tcPr>
          <w:p w:rsidR="00796DE1" w:rsidRPr="005B133E" w:rsidRDefault="00796DE1" w:rsidP="007A775A">
            <w:pPr>
              <w:pStyle w:val="Tabletext"/>
              <w:keepNext/>
              <w:keepLines/>
              <w:jc w:val="center"/>
            </w:pPr>
            <w:r w:rsidRPr="005B133E">
              <w:t>7.0 (13.2)</w:t>
            </w:r>
          </w:p>
        </w:tc>
        <w:tc>
          <w:tcPr>
            <w:tcW w:w="864" w:type="pct"/>
            <w:vAlign w:val="center"/>
          </w:tcPr>
          <w:p w:rsidR="00796DE1" w:rsidRPr="005B133E" w:rsidRDefault="00796DE1" w:rsidP="007A775A">
            <w:pPr>
              <w:pStyle w:val="Tabletext"/>
              <w:keepNext/>
              <w:keepLines/>
              <w:jc w:val="center"/>
            </w:pPr>
            <w:r w:rsidRPr="005B133E">
              <w:t>6.9 (11.5)</w:t>
            </w:r>
          </w:p>
        </w:tc>
        <w:tc>
          <w:tcPr>
            <w:tcW w:w="864" w:type="pct"/>
            <w:vAlign w:val="center"/>
          </w:tcPr>
          <w:p w:rsidR="00796DE1" w:rsidRPr="005B133E" w:rsidRDefault="00796DE1" w:rsidP="007A775A">
            <w:pPr>
              <w:pStyle w:val="Tabletext"/>
              <w:keepNext/>
              <w:keepLines/>
              <w:jc w:val="center"/>
            </w:pPr>
            <w:r w:rsidRPr="005B133E">
              <w:t>7.6 (12.5)</w:t>
            </w:r>
          </w:p>
        </w:tc>
      </w:tr>
      <w:tr w:rsidR="00796DE1" w:rsidRPr="005B133E" w:rsidTr="00F717D5">
        <w:trPr>
          <w:tblHeader/>
        </w:trPr>
        <w:tc>
          <w:tcPr>
            <w:tcW w:w="1544" w:type="pct"/>
            <w:vAlign w:val="center"/>
          </w:tcPr>
          <w:p w:rsidR="00796DE1" w:rsidRPr="005B133E" w:rsidRDefault="00796DE1" w:rsidP="007A775A">
            <w:pPr>
              <w:pStyle w:val="Tabletext"/>
              <w:keepNext/>
              <w:keepLines/>
            </w:pPr>
            <w:r w:rsidRPr="005B133E">
              <w:t>Mean LS change, letters (SE)</w:t>
            </w:r>
          </w:p>
        </w:tc>
        <w:tc>
          <w:tcPr>
            <w:tcW w:w="864" w:type="pct"/>
            <w:vAlign w:val="center"/>
          </w:tcPr>
          <w:p w:rsidR="00796DE1" w:rsidRPr="005B133E" w:rsidRDefault="00796DE1" w:rsidP="007A775A">
            <w:pPr>
              <w:pStyle w:val="Tabletext"/>
              <w:keepNext/>
              <w:keepLines/>
              <w:jc w:val="center"/>
            </w:pPr>
            <w:r w:rsidRPr="005B133E">
              <w:t>6.6 (0.71)</w:t>
            </w:r>
          </w:p>
        </w:tc>
        <w:tc>
          <w:tcPr>
            <w:tcW w:w="864" w:type="pct"/>
            <w:vAlign w:val="center"/>
          </w:tcPr>
          <w:p w:rsidR="00796DE1" w:rsidRPr="005B133E" w:rsidRDefault="00796DE1" w:rsidP="007A775A">
            <w:pPr>
              <w:pStyle w:val="Tabletext"/>
              <w:keepNext/>
              <w:keepLines/>
              <w:jc w:val="center"/>
            </w:pPr>
            <w:r w:rsidRPr="005B133E">
              <w:t>6.8 (0.71)</w:t>
            </w:r>
          </w:p>
        </w:tc>
        <w:tc>
          <w:tcPr>
            <w:tcW w:w="864" w:type="pct"/>
            <w:vAlign w:val="center"/>
          </w:tcPr>
          <w:p w:rsidR="00796DE1" w:rsidRPr="005B133E" w:rsidRDefault="00796DE1" w:rsidP="007A775A">
            <w:pPr>
              <w:pStyle w:val="Tabletext"/>
              <w:keepNext/>
              <w:keepLines/>
              <w:jc w:val="center"/>
            </w:pPr>
            <w:r w:rsidRPr="005B133E">
              <w:t>6.9 (0.61)</w:t>
            </w:r>
          </w:p>
        </w:tc>
        <w:tc>
          <w:tcPr>
            <w:tcW w:w="864" w:type="pct"/>
            <w:vAlign w:val="center"/>
          </w:tcPr>
          <w:p w:rsidR="00796DE1" w:rsidRPr="005B133E" w:rsidRDefault="00796DE1" w:rsidP="007A775A">
            <w:pPr>
              <w:pStyle w:val="Tabletext"/>
              <w:keepNext/>
              <w:keepLines/>
              <w:jc w:val="center"/>
            </w:pPr>
            <w:r w:rsidRPr="005B133E">
              <w:t>7.6 (0.61)</w:t>
            </w:r>
          </w:p>
        </w:tc>
      </w:tr>
      <w:tr w:rsidR="00796DE1" w:rsidRPr="005B133E" w:rsidTr="00F717D5">
        <w:trPr>
          <w:tblHeader/>
        </w:trPr>
        <w:tc>
          <w:tcPr>
            <w:tcW w:w="1544" w:type="pct"/>
            <w:vAlign w:val="center"/>
          </w:tcPr>
          <w:p w:rsidR="00796DE1" w:rsidRPr="005B133E" w:rsidRDefault="00796DE1" w:rsidP="007A775A">
            <w:pPr>
              <w:pStyle w:val="Tabletext"/>
              <w:keepNext/>
              <w:keepLines/>
              <w:rPr>
                <w:vertAlign w:val="superscript"/>
              </w:rPr>
            </w:pPr>
            <w:r w:rsidRPr="005B133E">
              <w:t>Mean difference (95% CI)</w:t>
            </w:r>
            <w:r w:rsidRPr="005B133E">
              <w:rPr>
                <w:vertAlign w:val="superscript"/>
              </w:rPr>
              <w:t>a</w:t>
            </w:r>
          </w:p>
        </w:tc>
        <w:tc>
          <w:tcPr>
            <w:tcW w:w="1728" w:type="pct"/>
            <w:gridSpan w:val="2"/>
            <w:vAlign w:val="center"/>
          </w:tcPr>
          <w:p w:rsidR="00796DE1" w:rsidRPr="005B133E" w:rsidRDefault="00796DE1" w:rsidP="007A775A">
            <w:pPr>
              <w:pStyle w:val="Tabletext"/>
              <w:keepNext/>
              <w:keepLines/>
              <w:jc w:val="center"/>
            </w:pPr>
            <w:r w:rsidRPr="005B133E">
              <w:t>-0.60 (-2.62, 1.42)</w:t>
            </w:r>
          </w:p>
        </w:tc>
        <w:tc>
          <w:tcPr>
            <w:tcW w:w="1728" w:type="pct"/>
            <w:gridSpan w:val="2"/>
            <w:vAlign w:val="center"/>
          </w:tcPr>
          <w:p w:rsidR="00796DE1" w:rsidRPr="005B133E" w:rsidRDefault="00796DE1" w:rsidP="007A775A">
            <w:pPr>
              <w:pStyle w:val="Tabletext"/>
              <w:keepNext/>
              <w:keepLines/>
              <w:jc w:val="center"/>
            </w:pPr>
            <w:r w:rsidRPr="005B133E">
              <w:t>-0.70 (-2.43, 1.03)</w:t>
            </w:r>
          </w:p>
        </w:tc>
      </w:tr>
      <w:tr w:rsidR="00796DE1" w:rsidRPr="005B133E" w:rsidTr="00F717D5">
        <w:trPr>
          <w:tblHeader/>
        </w:trPr>
        <w:tc>
          <w:tcPr>
            <w:tcW w:w="1544" w:type="pct"/>
            <w:vAlign w:val="center"/>
          </w:tcPr>
          <w:p w:rsidR="00796DE1" w:rsidRPr="005B133E" w:rsidRDefault="00796DE1" w:rsidP="007A775A">
            <w:pPr>
              <w:pStyle w:val="Tabletext"/>
              <w:keepNext/>
              <w:keepLines/>
              <w:rPr>
                <w:vertAlign w:val="superscript"/>
              </w:rPr>
            </w:pPr>
            <w:r w:rsidRPr="005B133E">
              <w:t>LS mean difference (95% CI)</w:t>
            </w:r>
            <w:r w:rsidRPr="005B133E">
              <w:rPr>
                <w:vertAlign w:val="superscript"/>
              </w:rPr>
              <w:t>b</w:t>
            </w:r>
          </w:p>
        </w:tc>
        <w:tc>
          <w:tcPr>
            <w:tcW w:w="1728" w:type="pct"/>
            <w:gridSpan w:val="2"/>
            <w:vAlign w:val="center"/>
          </w:tcPr>
          <w:p w:rsidR="00796DE1" w:rsidRPr="005B133E" w:rsidRDefault="00796DE1" w:rsidP="007A775A">
            <w:pPr>
              <w:pStyle w:val="Tabletext"/>
              <w:keepNext/>
              <w:keepLines/>
              <w:jc w:val="center"/>
            </w:pPr>
            <w:r w:rsidRPr="005B133E">
              <w:t>-0.2 (-2.1, 1.8)</w:t>
            </w:r>
          </w:p>
        </w:tc>
        <w:tc>
          <w:tcPr>
            <w:tcW w:w="1728" w:type="pct"/>
            <w:gridSpan w:val="2"/>
            <w:vAlign w:val="center"/>
          </w:tcPr>
          <w:p w:rsidR="00796DE1" w:rsidRPr="005B133E" w:rsidRDefault="00796DE1" w:rsidP="007A775A">
            <w:pPr>
              <w:pStyle w:val="Tabletext"/>
              <w:keepNext/>
              <w:keepLines/>
              <w:jc w:val="center"/>
            </w:pPr>
            <w:r w:rsidRPr="005B133E">
              <w:t>-0.7 (-2.4, 1.0)</w:t>
            </w:r>
          </w:p>
        </w:tc>
      </w:tr>
      <w:tr w:rsidR="00796DE1" w:rsidRPr="005B133E" w:rsidTr="00F717D5">
        <w:trPr>
          <w:tblHeader/>
        </w:trPr>
        <w:tc>
          <w:tcPr>
            <w:tcW w:w="5000" w:type="pct"/>
            <w:gridSpan w:val="5"/>
            <w:vAlign w:val="center"/>
          </w:tcPr>
          <w:p w:rsidR="00796DE1" w:rsidRPr="005B133E" w:rsidRDefault="00796DE1" w:rsidP="007A775A">
            <w:pPr>
              <w:pStyle w:val="Tabletext"/>
              <w:keepNext/>
              <w:keepLines/>
            </w:pPr>
            <w:r w:rsidRPr="005B133E">
              <w:rPr>
                <w:b/>
              </w:rPr>
              <w:t>Change in BCVA (letters) from baseline to 96 weeks</w:t>
            </w:r>
          </w:p>
        </w:tc>
      </w:tr>
      <w:tr w:rsidR="00796DE1" w:rsidRPr="005B133E" w:rsidTr="00F717D5">
        <w:trPr>
          <w:tblHeader/>
        </w:trPr>
        <w:tc>
          <w:tcPr>
            <w:tcW w:w="1544" w:type="pct"/>
            <w:vAlign w:val="center"/>
          </w:tcPr>
          <w:p w:rsidR="00796DE1" w:rsidRPr="005B133E" w:rsidRDefault="00796DE1" w:rsidP="007A775A">
            <w:pPr>
              <w:pStyle w:val="Tabletext"/>
              <w:keepNext/>
              <w:keepLines/>
            </w:pPr>
            <w:r w:rsidRPr="005B133E">
              <w:t>Mean change, letters (SD)</w:t>
            </w:r>
          </w:p>
        </w:tc>
        <w:tc>
          <w:tcPr>
            <w:tcW w:w="864" w:type="pct"/>
            <w:vAlign w:val="center"/>
          </w:tcPr>
          <w:p w:rsidR="00796DE1" w:rsidRPr="005B133E" w:rsidRDefault="00796DE1" w:rsidP="007A775A">
            <w:pPr>
              <w:pStyle w:val="Tabletext"/>
              <w:keepNext/>
              <w:keepLines/>
              <w:jc w:val="center"/>
            </w:pPr>
            <w:r w:rsidRPr="005B133E">
              <w:t>5.6 (15.6)</w:t>
            </w:r>
          </w:p>
        </w:tc>
        <w:tc>
          <w:tcPr>
            <w:tcW w:w="864" w:type="pct"/>
            <w:vAlign w:val="center"/>
          </w:tcPr>
          <w:p w:rsidR="00796DE1" w:rsidRPr="005B133E" w:rsidRDefault="00796DE1" w:rsidP="007A775A">
            <w:pPr>
              <w:pStyle w:val="Tabletext"/>
              <w:keepNext/>
              <w:keepLines/>
              <w:jc w:val="center"/>
            </w:pPr>
            <w:r w:rsidRPr="005B133E">
              <w:t>5.6 (14.8)</w:t>
            </w:r>
          </w:p>
        </w:tc>
        <w:tc>
          <w:tcPr>
            <w:tcW w:w="864" w:type="pct"/>
            <w:vAlign w:val="center"/>
          </w:tcPr>
          <w:p w:rsidR="00796DE1" w:rsidRPr="005B133E" w:rsidRDefault="00796DE1" w:rsidP="007A775A">
            <w:pPr>
              <w:pStyle w:val="Tabletext"/>
              <w:keepNext/>
              <w:keepLines/>
              <w:jc w:val="center"/>
            </w:pPr>
            <w:r w:rsidRPr="005B133E">
              <w:t>6.1 (14.1)</w:t>
            </w:r>
          </w:p>
        </w:tc>
        <w:tc>
          <w:tcPr>
            <w:tcW w:w="864" w:type="pct"/>
            <w:vAlign w:val="center"/>
          </w:tcPr>
          <w:p w:rsidR="00796DE1" w:rsidRPr="005B133E" w:rsidRDefault="00796DE1" w:rsidP="007A775A">
            <w:pPr>
              <w:pStyle w:val="Tabletext"/>
              <w:keepNext/>
              <w:keepLines/>
              <w:jc w:val="center"/>
            </w:pPr>
            <w:r w:rsidRPr="005B133E">
              <w:t>6.6 (14.6)</w:t>
            </w:r>
          </w:p>
        </w:tc>
      </w:tr>
      <w:tr w:rsidR="00796DE1" w:rsidRPr="005B133E" w:rsidTr="00F717D5">
        <w:trPr>
          <w:tblHeader/>
        </w:trPr>
        <w:tc>
          <w:tcPr>
            <w:tcW w:w="1544" w:type="pct"/>
            <w:vAlign w:val="center"/>
          </w:tcPr>
          <w:p w:rsidR="00796DE1" w:rsidRPr="005B133E" w:rsidRDefault="00796DE1" w:rsidP="007A775A">
            <w:pPr>
              <w:pStyle w:val="Tabletext"/>
              <w:keepNext/>
              <w:keepLines/>
            </w:pPr>
            <w:r w:rsidRPr="005B133E">
              <w:t>Mean LS change, letters (SE)</w:t>
            </w:r>
          </w:p>
        </w:tc>
        <w:tc>
          <w:tcPr>
            <w:tcW w:w="864" w:type="pct"/>
            <w:vAlign w:val="center"/>
          </w:tcPr>
          <w:p w:rsidR="00796DE1" w:rsidRPr="005B133E" w:rsidRDefault="00796DE1" w:rsidP="007A775A">
            <w:pPr>
              <w:pStyle w:val="Tabletext"/>
              <w:keepNext/>
              <w:keepLines/>
              <w:jc w:val="center"/>
            </w:pPr>
            <w:r w:rsidRPr="005B133E">
              <w:t>5.9 (0.78)</w:t>
            </w:r>
          </w:p>
        </w:tc>
        <w:tc>
          <w:tcPr>
            <w:tcW w:w="864" w:type="pct"/>
            <w:vAlign w:val="center"/>
          </w:tcPr>
          <w:p w:rsidR="00796DE1" w:rsidRPr="005B133E" w:rsidRDefault="00796DE1" w:rsidP="007A775A">
            <w:pPr>
              <w:pStyle w:val="Tabletext"/>
              <w:keepNext/>
              <w:keepLines/>
              <w:jc w:val="center"/>
            </w:pPr>
            <w:r w:rsidRPr="005B133E">
              <w:t>5.3 (0.78)</w:t>
            </w:r>
          </w:p>
        </w:tc>
        <w:tc>
          <w:tcPr>
            <w:tcW w:w="864" w:type="pct"/>
            <w:vAlign w:val="center"/>
          </w:tcPr>
          <w:p w:rsidR="00796DE1" w:rsidRPr="005B133E" w:rsidRDefault="00796DE1" w:rsidP="007A775A">
            <w:pPr>
              <w:pStyle w:val="Tabletext"/>
              <w:keepNext/>
              <w:keepLines/>
              <w:jc w:val="center"/>
            </w:pPr>
            <w:r w:rsidRPr="005B133E">
              <w:t>6.1 (0.73)</w:t>
            </w:r>
          </w:p>
        </w:tc>
        <w:tc>
          <w:tcPr>
            <w:tcW w:w="864" w:type="pct"/>
            <w:vAlign w:val="center"/>
          </w:tcPr>
          <w:p w:rsidR="00796DE1" w:rsidRPr="005B133E" w:rsidRDefault="00796DE1" w:rsidP="007A775A">
            <w:pPr>
              <w:pStyle w:val="Tabletext"/>
              <w:keepNext/>
              <w:keepLines/>
              <w:jc w:val="center"/>
            </w:pPr>
            <w:r w:rsidRPr="005B133E">
              <w:t>6.6 (0.73)</w:t>
            </w:r>
          </w:p>
        </w:tc>
      </w:tr>
      <w:tr w:rsidR="00796DE1" w:rsidRPr="005B133E" w:rsidTr="00F717D5">
        <w:trPr>
          <w:tblHeader/>
        </w:trPr>
        <w:tc>
          <w:tcPr>
            <w:tcW w:w="1544" w:type="pct"/>
            <w:vAlign w:val="center"/>
          </w:tcPr>
          <w:p w:rsidR="00796DE1" w:rsidRPr="005B133E" w:rsidRDefault="00796DE1" w:rsidP="007A775A">
            <w:pPr>
              <w:pStyle w:val="Tabletext"/>
              <w:keepNext/>
              <w:keepLines/>
              <w:rPr>
                <w:vertAlign w:val="superscript"/>
              </w:rPr>
            </w:pPr>
            <w:r w:rsidRPr="005B133E">
              <w:t>Mean difference (95% CI)</w:t>
            </w:r>
            <w:r w:rsidRPr="005B133E">
              <w:rPr>
                <w:vertAlign w:val="superscript"/>
              </w:rPr>
              <w:t>a</w:t>
            </w:r>
          </w:p>
        </w:tc>
        <w:tc>
          <w:tcPr>
            <w:tcW w:w="1728" w:type="pct"/>
            <w:gridSpan w:val="2"/>
            <w:vAlign w:val="center"/>
          </w:tcPr>
          <w:p w:rsidR="00796DE1" w:rsidRPr="005B133E" w:rsidRDefault="00796DE1" w:rsidP="007A775A">
            <w:pPr>
              <w:pStyle w:val="Tabletext"/>
              <w:keepNext/>
              <w:keepLines/>
              <w:jc w:val="center"/>
            </w:pPr>
            <w:r w:rsidRPr="005B133E">
              <w:t>0.0 (-2.2, 2.2)</w:t>
            </w:r>
          </w:p>
        </w:tc>
        <w:tc>
          <w:tcPr>
            <w:tcW w:w="1728" w:type="pct"/>
            <w:gridSpan w:val="2"/>
            <w:vAlign w:val="center"/>
          </w:tcPr>
          <w:p w:rsidR="00796DE1" w:rsidRPr="005B133E" w:rsidRDefault="00796DE1" w:rsidP="007A775A">
            <w:pPr>
              <w:pStyle w:val="Tabletext"/>
              <w:keepNext/>
              <w:keepLines/>
              <w:jc w:val="center"/>
            </w:pPr>
            <w:r w:rsidRPr="005B133E">
              <w:t>-0.50 (-2.56, 1.56)</w:t>
            </w:r>
          </w:p>
        </w:tc>
      </w:tr>
      <w:tr w:rsidR="00796DE1" w:rsidRPr="005B133E" w:rsidTr="00F717D5">
        <w:trPr>
          <w:tblHeader/>
        </w:trPr>
        <w:tc>
          <w:tcPr>
            <w:tcW w:w="1544" w:type="pct"/>
            <w:vAlign w:val="center"/>
          </w:tcPr>
          <w:p w:rsidR="00796DE1" w:rsidRPr="005B133E" w:rsidRDefault="00796DE1" w:rsidP="007A775A">
            <w:pPr>
              <w:pStyle w:val="Tabletext"/>
              <w:keepNext/>
              <w:keepLines/>
              <w:rPr>
                <w:vertAlign w:val="superscript"/>
              </w:rPr>
            </w:pPr>
            <w:r w:rsidRPr="005B133E">
              <w:t>LS mean difference (95% CI)</w:t>
            </w:r>
            <w:r w:rsidRPr="005B133E">
              <w:rPr>
                <w:vertAlign w:val="superscript"/>
              </w:rPr>
              <w:t>b</w:t>
            </w:r>
          </w:p>
        </w:tc>
        <w:tc>
          <w:tcPr>
            <w:tcW w:w="1728" w:type="pct"/>
            <w:gridSpan w:val="2"/>
            <w:vAlign w:val="center"/>
          </w:tcPr>
          <w:p w:rsidR="00796DE1" w:rsidRPr="005B133E" w:rsidRDefault="00796DE1" w:rsidP="007A775A">
            <w:pPr>
              <w:pStyle w:val="Tabletext"/>
              <w:keepNext/>
              <w:keepLines/>
              <w:jc w:val="center"/>
            </w:pPr>
            <w:r w:rsidRPr="005B133E">
              <w:t>0.5 (-1.6, 2.7)</w:t>
            </w:r>
          </w:p>
        </w:tc>
        <w:tc>
          <w:tcPr>
            <w:tcW w:w="1728" w:type="pct"/>
            <w:gridSpan w:val="2"/>
            <w:vAlign w:val="center"/>
          </w:tcPr>
          <w:p w:rsidR="00796DE1" w:rsidRPr="005B133E" w:rsidRDefault="00796DE1" w:rsidP="007A775A">
            <w:pPr>
              <w:pStyle w:val="Tabletext"/>
              <w:keepNext/>
              <w:keepLines/>
              <w:jc w:val="center"/>
            </w:pPr>
            <w:r w:rsidRPr="005B133E">
              <w:t>-0.4 (-2.5, 1.6)</w:t>
            </w:r>
          </w:p>
        </w:tc>
      </w:tr>
    </w:tbl>
    <w:p w:rsidR="00796DE1" w:rsidRPr="005B133E" w:rsidRDefault="00FA6A63" w:rsidP="007A775A">
      <w:pPr>
        <w:pStyle w:val="TableFooter"/>
        <w:keepNext/>
        <w:keepLines/>
        <w:widowControl/>
      </w:pPr>
      <w:r w:rsidRPr="005B133E">
        <w:t xml:space="preserve">AFL = aflibercept; BCVA = best corrected visual acuity; BRO = brolucizumab; CI = confidence interval; </w:t>
      </w:r>
      <w:r w:rsidR="00796DE1" w:rsidRPr="005B133E">
        <w:t xml:space="preserve">FAS = full analysis set; LOCF = last observation carried forward; </w:t>
      </w:r>
      <w:r w:rsidRPr="005B133E">
        <w:t xml:space="preserve">LS = least squares; </w:t>
      </w:r>
      <w:r w:rsidR="00796DE1" w:rsidRPr="005B133E">
        <w:t>SD = standard deviation; SE = standard error.</w:t>
      </w:r>
    </w:p>
    <w:p w:rsidR="00796DE1" w:rsidRPr="005B133E" w:rsidRDefault="00796DE1" w:rsidP="007A775A">
      <w:pPr>
        <w:pStyle w:val="TableFooter"/>
        <w:keepNext/>
        <w:keepLines/>
        <w:widowControl/>
      </w:pPr>
      <w:r w:rsidRPr="005B133E">
        <w:rPr>
          <w:vertAlign w:val="superscript"/>
        </w:rPr>
        <w:t>a</w:t>
      </w:r>
      <w:r w:rsidRPr="005B133E">
        <w:t xml:space="preserve"> Calculated </w:t>
      </w:r>
      <w:r w:rsidRPr="005B133E">
        <w:rPr>
          <w:i/>
        </w:rPr>
        <w:t>post hoc</w:t>
      </w:r>
      <w:r w:rsidRPr="005B133E">
        <w:t xml:space="preserve"> in Review Manager 5.3 for this submission.</w:t>
      </w:r>
    </w:p>
    <w:p w:rsidR="00796DE1" w:rsidRPr="005B133E" w:rsidRDefault="00796DE1" w:rsidP="007A775A">
      <w:pPr>
        <w:pStyle w:val="TableFooter"/>
        <w:keepNext/>
        <w:keepLines/>
        <w:widowControl/>
      </w:pPr>
      <w:r w:rsidRPr="005B133E">
        <w:rPr>
          <w:vertAlign w:val="superscript"/>
        </w:rPr>
        <w:t>b</w:t>
      </w:r>
      <w:r w:rsidRPr="005B133E">
        <w:t xml:space="preserve"> LS mean difference, as reported in the CSRs for HAWK and HARRIER.</w:t>
      </w:r>
    </w:p>
    <w:p w:rsidR="00796DE1" w:rsidRPr="005B133E" w:rsidRDefault="00796DE1" w:rsidP="007A775A">
      <w:pPr>
        <w:pStyle w:val="TableFooter"/>
        <w:keepNext/>
        <w:keepLines/>
        <w:widowControl/>
      </w:pPr>
      <w:r w:rsidRPr="005B133E">
        <w:t xml:space="preserve">Source: Table 2-17, </w:t>
      </w:r>
      <w:r w:rsidR="00CB240A">
        <w:t>Section 2</w:t>
      </w:r>
      <w:r w:rsidRPr="005B133E">
        <w:t xml:space="preserve"> of the submission.</w:t>
      </w:r>
    </w:p>
    <w:p w:rsidR="00796DE1" w:rsidRPr="005B133E" w:rsidRDefault="00796DE1" w:rsidP="00796DE1"/>
    <w:p w:rsidR="00796DE1" w:rsidRPr="005B133E" w:rsidRDefault="00796DE1" w:rsidP="0019768F">
      <w:pPr>
        <w:pStyle w:val="Caption"/>
        <w:keepLines/>
      </w:pPr>
      <w:bookmarkStart w:id="9" w:name="_Ref18064401"/>
      <w:r w:rsidRPr="005B133E">
        <w:t xml:space="preserve">Figure </w:t>
      </w:r>
      <w:r w:rsidR="0060797A">
        <w:rPr>
          <w:noProof/>
        </w:rPr>
        <w:t>1</w:t>
      </w:r>
      <w:bookmarkEnd w:id="9"/>
      <w:r w:rsidRPr="005B133E">
        <w:t>: Forest plot</w:t>
      </w:r>
      <w:r w:rsidR="00470B64">
        <w:t>s</w:t>
      </w:r>
      <w:r w:rsidRPr="005B133E">
        <w:t xml:space="preserve"> of meta-a</w:t>
      </w:r>
      <w:r w:rsidR="00470B64">
        <w:t>nalyse</w:t>
      </w:r>
      <w:r w:rsidRPr="005B133E">
        <w:t>s of LS mean change in BCVA from baseline to Week 48 and to Week 96 (FAS-LOCF)</w:t>
      </w:r>
    </w:p>
    <w:p w:rsidR="00796DE1" w:rsidRPr="005B133E" w:rsidRDefault="00796DE1" w:rsidP="0019768F">
      <w:pPr>
        <w:pStyle w:val="ListParagraph"/>
        <w:keepLines/>
        <w:widowControl/>
      </w:pPr>
      <w:r w:rsidRPr="005B133E">
        <w:rPr>
          <w:noProof/>
          <w:lang w:eastAsia="en-AU"/>
        </w:rPr>
        <w:drawing>
          <wp:inline distT="0" distB="0" distL="0" distR="0" wp14:anchorId="151DE0C2" wp14:editId="09948634">
            <wp:extent cx="5730875" cy="2060575"/>
            <wp:effectExtent l="0" t="0" r="3175" b="0"/>
            <wp:docPr id="21" name="Picture 21" title="Figure 1: Forest plots of meta-analyses of LS mean change in BCVA from baseline to Week 48 and to Week 96 (FAS-LO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2060575"/>
                    </a:xfrm>
                    <a:prstGeom prst="rect">
                      <a:avLst/>
                    </a:prstGeom>
                    <a:noFill/>
                  </pic:spPr>
                </pic:pic>
              </a:graphicData>
            </a:graphic>
          </wp:inline>
        </w:drawing>
      </w:r>
    </w:p>
    <w:p w:rsidR="00796DE1" w:rsidRDefault="00796DE1" w:rsidP="00796DE1">
      <w:pPr>
        <w:pStyle w:val="TableFooter"/>
      </w:pPr>
      <w:r w:rsidRPr="005B133E">
        <w:t xml:space="preserve">AFL = aflibercept; </w:t>
      </w:r>
      <w:r w:rsidR="00403FD6" w:rsidRPr="005B133E">
        <w:t xml:space="preserve">BCVA = best corrected visual acuity; BRO = brolucizumab; </w:t>
      </w:r>
      <w:r w:rsidRPr="005B133E">
        <w:t xml:space="preserve">CI = confidence interval; IV = inverse variance; </w:t>
      </w:r>
      <w:r w:rsidR="00403FD6" w:rsidRPr="005B133E">
        <w:t>FAS = full analysis set;</w:t>
      </w:r>
      <w:r w:rsidR="00403FD6">
        <w:t xml:space="preserve"> </w:t>
      </w:r>
      <w:r w:rsidR="00403FD6" w:rsidRPr="005B133E">
        <w:t xml:space="preserve">LOCF = last observation carried forward; </w:t>
      </w:r>
      <w:r w:rsidRPr="005B133E">
        <w:t>LS = least squares; SD = standard deviation.</w:t>
      </w:r>
      <w:r w:rsidR="00403FD6" w:rsidRPr="00403FD6">
        <w:t xml:space="preserve"> </w:t>
      </w:r>
    </w:p>
    <w:p w:rsidR="00F4094B" w:rsidRDefault="00F4094B" w:rsidP="00796DE1">
      <w:pPr>
        <w:pStyle w:val="TableFooter"/>
      </w:pPr>
      <w:r>
        <w:t>Source: Figure 2-22, Section 2 of the submission</w:t>
      </w:r>
    </w:p>
    <w:p w:rsidR="005D0DA9" w:rsidRPr="005B133E" w:rsidRDefault="005D0DA9" w:rsidP="005D0DA9"/>
    <w:p w:rsidR="005D0DA9" w:rsidRPr="005B133E" w:rsidRDefault="005D0DA9" w:rsidP="00917BC7">
      <w:pPr>
        <w:pStyle w:val="ListParagraph"/>
        <w:widowControl/>
        <w:numPr>
          <w:ilvl w:val="1"/>
          <w:numId w:val="1"/>
        </w:numPr>
        <w:spacing w:after="120"/>
      </w:pPr>
      <w:r>
        <w:t>T</w:t>
      </w:r>
      <w:r w:rsidRPr="005B133E">
        <w:t xml:space="preserve">he lower limit of the 95% confidence interval (CI) </w:t>
      </w:r>
      <w:r>
        <w:t xml:space="preserve">of </w:t>
      </w:r>
      <w:r w:rsidRPr="005B133E">
        <w:t xml:space="preserve">the mean difference between </w:t>
      </w:r>
      <w:r>
        <w:t xml:space="preserve">the </w:t>
      </w:r>
      <w:r w:rsidRPr="005B133E">
        <w:t>brolucizumab and aflibercept treatment arms</w:t>
      </w:r>
      <w:r>
        <w:t>,</w:t>
      </w:r>
      <w:r w:rsidRPr="005B133E">
        <w:t xml:space="preserve"> </w:t>
      </w:r>
      <w:r>
        <w:t>for</w:t>
      </w:r>
      <w:r w:rsidRPr="005B133E">
        <w:t xml:space="preserve"> the </w:t>
      </w:r>
      <w:r>
        <w:t xml:space="preserve">outcomes of </w:t>
      </w:r>
      <w:r w:rsidRPr="005B133E">
        <w:t>mean change in BCVA from baseline to Week 48 and Week 96</w:t>
      </w:r>
      <w:r>
        <w:t>,</w:t>
      </w:r>
      <w:r w:rsidRPr="005B133E">
        <w:t xml:space="preserve"> was within the pre-specified non-inferiority margin of 4 letters</w:t>
      </w:r>
      <w:r>
        <w:t xml:space="preserve"> in both the individual trials and the meta-analyses</w:t>
      </w:r>
      <w:r w:rsidRPr="005B133E">
        <w:t>.</w:t>
      </w:r>
    </w:p>
    <w:p w:rsidR="00796DE1" w:rsidRDefault="00796DE1" w:rsidP="00917BC7">
      <w:pPr>
        <w:pStyle w:val="ListParagraph"/>
        <w:widowControl/>
        <w:numPr>
          <w:ilvl w:val="1"/>
          <w:numId w:val="1"/>
        </w:numPr>
        <w:spacing w:after="120"/>
      </w:pPr>
      <w:r w:rsidRPr="00D064C0">
        <w:t xml:space="preserve">The submission claimed that brolucizumab would provide </w:t>
      </w:r>
      <w:r w:rsidR="00936583" w:rsidRPr="00D064C0">
        <w:t xml:space="preserve">the </w:t>
      </w:r>
      <w:r w:rsidRPr="00D064C0">
        <w:t xml:space="preserve">benefit of less frequent </w:t>
      </w:r>
      <w:r w:rsidR="00FA6A63" w:rsidRPr="00D064C0">
        <w:t>dosing</w:t>
      </w:r>
      <w:r w:rsidR="00936583" w:rsidRPr="00D064C0">
        <w:t>,</w:t>
      </w:r>
      <w:r w:rsidRPr="00D064C0">
        <w:t xml:space="preserve"> while maintaining the </w:t>
      </w:r>
      <w:r w:rsidR="00936583" w:rsidRPr="00D064C0">
        <w:t xml:space="preserve">same </w:t>
      </w:r>
      <w:r w:rsidRPr="00D064C0">
        <w:t>efficacy</w:t>
      </w:r>
      <w:r w:rsidR="00936583" w:rsidRPr="00D064C0">
        <w:t xml:space="preserve"> as aflibercept</w:t>
      </w:r>
      <w:r w:rsidRPr="00D064C0">
        <w:t xml:space="preserve">. </w:t>
      </w:r>
      <w:r w:rsidR="000A64D7" w:rsidRPr="00D064C0">
        <w:t>The results of a Kaplan-Meier analysis for the time to first q8w treatment n</w:t>
      </w:r>
      <w:r w:rsidR="001548F4" w:rsidRPr="00D064C0">
        <w:t>eed</w:t>
      </w:r>
      <w:r w:rsidR="000A64D7" w:rsidRPr="00D064C0">
        <w:t xml:space="preserve"> for patient</w:t>
      </w:r>
      <w:r w:rsidR="001548F4" w:rsidRPr="00D064C0">
        <w:t>s assigned to brolucizumab 6 mg,</w:t>
      </w:r>
      <w:r w:rsidR="000A64D7" w:rsidRPr="00D064C0">
        <w:t xml:space="preserve"> indicated that the probability of a </w:t>
      </w:r>
      <w:r w:rsidR="005E4CB9" w:rsidRPr="00D064C0">
        <w:t>patient</w:t>
      </w:r>
      <w:r w:rsidR="000A64D7" w:rsidRPr="00D064C0">
        <w:t xml:space="preserve"> being maintained on a q12w regimen up to Week 44 was 55.6% </w:t>
      </w:r>
      <w:r w:rsidR="00D70C66" w:rsidRPr="00D064C0">
        <w:t xml:space="preserve">in HAWK </w:t>
      </w:r>
      <w:r w:rsidR="000A64D7" w:rsidRPr="00D064C0">
        <w:t xml:space="preserve">and 51.0% </w:t>
      </w:r>
      <w:r w:rsidR="00D70C66" w:rsidRPr="00D064C0">
        <w:t>in</w:t>
      </w:r>
      <w:r w:rsidR="000A64D7" w:rsidRPr="00D064C0">
        <w:t xml:space="preserve"> HARRIER, and had </w:t>
      </w:r>
      <w:r w:rsidR="000A64D7" w:rsidRPr="00D064C0">
        <w:lastRenderedPageBreak/>
        <w:t>reduced to 45.4% and 38.6%, respectively, by Week</w:t>
      </w:r>
      <w:r w:rsidR="001548F4" w:rsidRPr="00D064C0">
        <w:t xml:space="preserve"> </w:t>
      </w:r>
      <w:r w:rsidR="000A64D7" w:rsidRPr="00D064C0">
        <w:t>92 (p108 of the submission; Table 14.2-6.1, p1030 HAWK CSR; Table 14.2-6.1, p819 HARRIER CSR).</w:t>
      </w:r>
      <w:r w:rsidRPr="00D064C0">
        <w:t xml:space="preserve"> </w:t>
      </w:r>
    </w:p>
    <w:p w:rsidR="000F3B11" w:rsidRPr="00C53B1D" w:rsidRDefault="008059F6" w:rsidP="00917BC7">
      <w:pPr>
        <w:pStyle w:val="3Bodytext"/>
        <w:numPr>
          <w:ilvl w:val="1"/>
          <w:numId w:val="1"/>
        </w:numPr>
        <w:rPr>
          <w:rFonts w:eastAsia="Times New Roman" w:cs="Arial"/>
          <w:bCs/>
          <w:snapToGrid w:val="0"/>
          <w:szCs w:val="24"/>
          <w:lang w:val="en-GB" w:eastAsia="en-AU"/>
        </w:rPr>
      </w:pPr>
      <w:r w:rsidRPr="000F3B11">
        <w:t>The PBAC agreed with the ESC that the trial design</w:t>
      </w:r>
      <w:r>
        <w:t xml:space="preserve"> of the HAWK and HARRIER trials</w:t>
      </w:r>
      <w:r w:rsidRPr="000F3B11">
        <w:t xml:space="preserve"> was not consistent</w:t>
      </w:r>
      <w:r w:rsidRPr="009A7910">
        <w:t xml:space="preserve"> with Australian clinical practice</w:t>
      </w:r>
      <w:r>
        <w:t>, and that the trials may not be applicable to the Australian setting.</w:t>
      </w:r>
      <w:r w:rsidRPr="009A7910">
        <w:t xml:space="preserve"> </w:t>
      </w:r>
    </w:p>
    <w:p w:rsidR="00796DE1" w:rsidRPr="005B133E" w:rsidRDefault="00796DE1" w:rsidP="002F3A79">
      <w:pPr>
        <w:pStyle w:val="Heading2"/>
        <w:spacing w:after="120"/>
      </w:pPr>
      <w:bookmarkStart w:id="10" w:name="_Toc371170707"/>
      <w:bookmarkStart w:id="11" w:name="_Toc19612022"/>
      <w:r w:rsidRPr="005B133E">
        <w:t>Comparative harms</w:t>
      </w:r>
      <w:bookmarkEnd w:id="10"/>
      <w:bookmarkEnd w:id="11"/>
    </w:p>
    <w:p w:rsidR="00796DE1" w:rsidRPr="005B133E" w:rsidRDefault="00796DE1" w:rsidP="002F3A79">
      <w:pPr>
        <w:pStyle w:val="ListParagraph"/>
        <w:widowControl/>
        <w:numPr>
          <w:ilvl w:val="1"/>
          <w:numId w:val="1"/>
        </w:numPr>
        <w:spacing w:after="120"/>
      </w:pPr>
      <w:r w:rsidRPr="005B133E">
        <w:t>The key safety results are summarised below</w:t>
      </w:r>
      <w:r w:rsidR="00062CBF">
        <w:t xml:space="preserve"> (Table 5)</w:t>
      </w:r>
      <w:r w:rsidRPr="005B133E">
        <w:t>.</w:t>
      </w:r>
    </w:p>
    <w:p w:rsidR="00796DE1" w:rsidRDefault="00796DE1" w:rsidP="003845B4">
      <w:pPr>
        <w:pStyle w:val="Caption"/>
        <w:keepLines/>
        <w:rPr>
          <w:rStyle w:val="CommentReference"/>
          <w:b/>
          <w:szCs w:val="18"/>
        </w:rPr>
      </w:pPr>
      <w:r w:rsidRPr="005B133E">
        <w:lastRenderedPageBreak/>
        <w:t xml:space="preserve">Table </w:t>
      </w:r>
      <w:r w:rsidR="0060797A">
        <w:rPr>
          <w:noProof/>
        </w:rPr>
        <w:t>5</w:t>
      </w:r>
      <w:r w:rsidRPr="005B133E">
        <w:t xml:space="preserve">: </w:t>
      </w:r>
      <w:r w:rsidRPr="005B133E">
        <w:rPr>
          <w:rStyle w:val="CommentReference"/>
          <w:b/>
          <w:szCs w:val="18"/>
        </w:rPr>
        <w:t>Summary of key adverse events in the trials (HAWK and HARRIER) at Week 96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Summary of key adverse events in the trials (HAWK and HARRIER) at Week 96"/>
      </w:tblPr>
      <w:tblGrid>
        <w:gridCol w:w="2122"/>
        <w:gridCol w:w="992"/>
        <w:gridCol w:w="1417"/>
        <w:gridCol w:w="1418"/>
        <w:gridCol w:w="1559"/>
        <w:gridCol w:w="1559"/>
      </w:tblGrid>
      <w:tr w:rsidR="004673C4" w:rsidRPr="00D064C0" w:rsidTr="004673C4">
        <w:trPr>
          <w:tblHeader/>
        </w:trPr>
        <w:tc>
          <w:tcPr>
            <w:tcW w:w="2122" w:type="dxa"/>
            <w:vMerge w:val="restart"/>
            <w:vAlign w:val="center"/>
          </w:tcPr>
          <w:p w:rsidR="004673C4" w:rsidRPr="00D064C0" w:rsidRDefault="004673C4" w:rsidP="003845B4">
            <w:pPr>
              <w:pStyle w:val="Tabletext"/>
              <w:keepNext/>
              <w:keepLines/>
              <w:rPr>
                <w:b/>
              </w:rPr>
            </w:pPr>
          </w:p>
        </w:tc>
        <w:tc>
          <w:tcPr>
            <w:tcW w:w="992" w:type="dxa"/>
            <w:vMerge w:val="restart"/>
            <w:vAlign w:val="center"/>
          </w:tcPr>
          <w:p w:rsidR="004673C4" w:rsidRPr="00D064C0" w:rsidRDefault="004673C4" w:rsidP="003845B4">
            <w:pPr>
              <w:pStyle w:val="Tabletext"/>
              <w:keepNext/>
              <w:keepLines/>
              <w:rPr>
                <w:b/>
              </w:rPr>
            </w:pPr>
            <w:r w:rsidRPr="00D064C0">
              <w:rPr>
                <w:b/>
              </w:rPr>
              <w:t>Trial ID</w:t>
            </w:r>
          </w:p>
        </w:tc>
        <w:tc>
          <w:tcPr>
            <w:tcW w:w="1417" w:type="dxa"/>
            <w:vMerge w:val="restart"/>
            <w:vAlign w:val="center"/>
          </w:tcPr>
          <w:p w:rsidR="004673C4" w:rsidRPr="00D064C0" w:rsidRDefault="004673C4" w:rsidP="003845B4">
            <w:pPr>
              <w:pStyle w:val="Tabletext"/>
              <w:keepNext/>
              <w:keepLines/>
              <w:ind w:left="-57" w:right="-57"/>
              <w:jc w:val="center"/>
              <w:rPr>
                <w:b/>
              </w:rPr>
            </w:pPr>
            <w:r w:rsidRPr="00D064C0">
              <w:rPr>
                <w:b/>
              </w:rPr>
              <w:t>Brolucizumab</w:t>
            </w:r>
          </w:p>
          <w:p w:rsidR="004673C4" w:rsidRPr="00D064C0" w:rsidRDefault="004673C4" w:rsidP="003845B4">
            <w:pPr>
              <w:pStyle w:val="Tabletext"/>
              <w:keepNext/>
              <w:keepLines/>
              <w:jc w:val="center"/>
              <w:rPr>
                <w:b/>
              </w:rPr>
            </w:pPr>
            <w:r w:rsidRPr="00D064C0">
              <w:rPr>
                <w:b/>
              </w:rPr>
              <w:t>n/N (%)</w:t>
            </w:r>
          </w:p>
        </w:tc>
        <w:tc>
          <w:tcPr>
            <w:tcW w:w="1418" w:type="dxa"/>
            <w:vMerge w:val="restart"/>
          </w:tcPr>
          <w:p w:rsidR="004673C4" w:rsidRPr="00D064C0" w:rsidRDefault="004673C4" w:rsidP="003845B4">
            <w:pPr>
              <w:pStyle w:val="Tabletext"/>
              <w:keepNext/>
              <w:keepLines/>
              <w:jc w:val="center"/>
              <w:rPr>
                <w:b/>
              </w:rPr>
            </w:pPr>
            <w:r w:rsidRPr="00D064C0">
              <w:rPr>
                <w:b/>
              </w:rPr>
              <w:t>Aflibercept</w:t>
            </w:r>
          </w:p>
          <w:p w:rsidR="004673C4" w:rsidRPr="00D064C0" w:rsidRDefault="004673C4" w:rsidP="003845B4">
            <w:pPr>
              <w:pStyle w:val="Tabletext"/>
              <w:keepNext/>
              <w:keepLines/>
              <w:jc w:val="center"/>
              <w:rPr>
                <w:b/>
              </w:rPr>
            </w:pPr>
            <w:r w:rsidRPr="00D064C0">
              <w:rPr>
                <w:b/>
              </w:rPr>
              <w:t>n/N (%)</w:t>
            </w:r>
          </w:p>
        </w:tc>
        <w:tc>
          <w:tcPr>
            <w:tcW w:w="3118" w:type="dxa"/>
            <w:gridSpan w:val="2"/>
          </w:tcPr>
          <w:p w:rsidR="004673C4" w:rsidRPr="00D064C0" w:rsidRDefault="004673C4" w:rsidP="003845B4">
            <w:pPr>
              <w:pStyle w:val="Tabletext"/>
              <w:keepNext/>
              <w:keepLines/>
              <w:jc w:val="center"/>
              <w:rPr>
                <w:b/>
              </w:rPr>
            </w:pPr>
            <w:r w:rsidRPr="00D064C0">
              <w:rPr>
                <w:b/>
              </w:rPr>
              <w:t>Pooled results</w:t>
            </w:r>
          </w:p>
        </w:tc>
      </w:tr>
      <w:tr w:rsidR="004673C4" w:rsidRPr="00D064C0" w:rsidTr="004673C4">
        <w:trPr>
          <w:tblHeader/>
        </w:trPr>
        <w:tc>
          <w:tcPr>
            <w:tcW w:w="2122" w:type="dxa"/>
            <w:vMerge/>
            <w:vAlign w:val="center"/>
          </w:tcPr>
          <w:p w:rsidR="004673C4" w:rsidRPr="00D064C0" w:rsidRDefault="004673C4" w:rsidP="003845B4">
            <w:pPr>
              <w:pStyle w:val="Tabletext"/>
              <w:keepNext/>
              <w:keepLines/>
              <w:rPr>
                <w:b/>
              </w:rPr>
            </w:pPr>
          </w:p>
        </w:tc>
        <w:tc>
          <w:tcPr>
            <w:tcW w:w="992" w:type="dxa"/>
            <w:vMerge/>
            <w:vAlign w:val="center"/>
          </w:tcPr>
          <w:p w:rsidR="004673C4" w:rsidRPr="00D064C0" w:rsidRDefault="004673C4" w:rsidP="003845B4">
            <w:pPr>
              <w:pStyle w:val="Tabletext"/>
              <w:keepNext/>
              <w:keepLines/>
              <w:rPr>
                <w:b/>
              </w:rPr>
            </w:pPr>
          </w:p>
        </w:tc>
        <w:tc>
          <w:tcPr>
            <w:tcW w:w="1417" w:type="dxa"/>
            <w:vMerge/>
            <w:vAlign w:val="center"/>
          </w:tcPr>
          <w:p w:rsidR="004673C4" w:rsidRPr="00D064C0" w:rsidRDefault="004673C4" w:rsidP="003845B4">
            <w:pPr>
              <w:pStyle w:val="Tabletext"/>
              <w:keepNext/>
              <w:keepLines/>
              <w:jc w:val="center"/>
              <w:rPr>
                <w:b/>
              </w:rPr>
            </w:pPr>
          </w:p>
        </w:tc>
        <w:tc>
          <w:tcPr>
            <w:tcW w:w="1418" w:type="dxa"/>
            <w:vMerge/>
          </w:tcPr>
          <w:p w:rsidR="004673C4" w:rsidRPr="00D064C0" w:rsidRDefault="004673C4" w:rsidP="003845B4">
            <w:pPr>
              <w:pStyle w:val="Tabletext"/>
              <w:keepNext/>
              <w:keepLines/>
              <w:jc w:val="center"/>
              <w:rPr>
                <w:b/>
              </w:rPr>
            </w:pPr>
          </w:p>
        </w:tc>
        <w:tc>
          <w:tcPr>
            <w:tcW w:w="1559" w:type="dxa"/>
          </w:tcPr>
          <w:p w:rsidR="004673C4" w:rsidRPr="00D064C0" w:rsidRDefault="004673C4" w:rsidP="003845B4">
            <w:pPr>
              <w:pStyle w:val="Tabletext"/>
              <w:keepNext/>
              <w:keepLines/>
              <w:jc w:val="center"/>
              <w:rPr>
                <w:b/>
              </w:rPr>
            </w:pPr>
            <w:r w:rsidRPr="00D064C0">
              <w:rPr>
                <w:b/>
              </w:rPr>
              <w:t>RD</w:t>
            </w:r>
            <w:r w:rsidRPr="00D064C0">
              <w:rPr>
                <w:b/>
                <w:vertAlign w:val="superscript"/>
              </w:rPr>
              <w:t>a</w:t>
            </w:r>
            <w:r w:rsidRPr="00D064C0">
              <w:rPr>
                <w:b/>
              </w:rPr>
              <w:t xml:space="preserve"> (95% CI)</w:t>
            </w:r>
          </w:p>
        </w:tc>
        <w:tc>
          <w:tcPr>
            <w:tcW w:w="1559" w:type="dxa"/>
          </w:tcPr>
          <w:p w:rsidR="004673C4" w:rsidRPr="00D064C0" w:rsidRDefault="004673C4" w:rsidP="003845B4">
            <w:pPr>
              <w:pStyle w:val="Tabletext"/>
              <w:keepNext/>
              <w:keepLines/>
              <w:jc w:val="center"/>
              <w:rPr>
                <w:b/>
              </w:rPr>
            </w:pPr>
            <w:r w:rsidRPr="00D064C0">
              <w:rPr>
                <w:b/>
              </w:rPr>
              <w:t>RR</w:t>
            </w:r>
            <w:r w:rsidRPr="00D064C0">
              <w:rPr>
                <w:b/>
                <w:vertAlign w:val="superscript"/>
              </w:rPr>
              <w:t>b</w:t>
            </w:r>
            <w:r w:rsidRPr="00D064C0">
              <w:rPr>
                <w:b/>
              </w:rPr>
              <w:t xml:space="preserve"> (95% CI)</w:t>
            </w:r>
          </w:p>
        </w:tc>
      </w:tr>
      <w:tr w:rsidR="004673C4" w:rsidRPr="00D064C0" w:rsidTr="004673C4">
        <w:tc>
          <w:tcPr>
            <w:tcW w:w="9067" w:type="dxa"/>
            <w:gridSpan w:val="6"/>
            <w:vAlign w:val="center"/>
          </w:tcPr>
          <w:p w:rsidR="004673C4" w:rsidRPr="00D064C0" w:rsidRDefault="004673C4" w:rsidP="003845B4">
            <w:pPr>
              <w:pStyle w:val="Tabletext"/>
              <w:keepNext/>
              <w:keepLines/>
              <w:ind w:left="-57" w:right="-57"/>
              <w:rPr>
                <w:b/>
              </w:rPr>
            </w:pPr>
            <w:r w:rsidRPr="00D064C0">
              <w:rPr>
                <w:b/>
              </w:rPr>
              <w:t>Ocular AEs overall</w:t>
            </w:r>
          </w:p>
        </w:tc>
      </w:tr>
      <w:tr w:rsidR="004673C4" w:rsidRPr="00D064C0" w:rsidTr="004673C4">
        <w:tc>
          <w:tcPr>
            <w:tcW w:w="2122" w:type="dxa"/>
            <w:vMerge w:val="restart"/>
            <w:vAlign w:val="center"/>
          </w:tcPr>
          <w:p w:rsidR="004673C4" w:rsidRPr="00D064C0" w:rsidRDefault="004673C4" w:rsidP="003845B4">
            <w:pPr>
              <w:pStyle w:val="Tabletext"/>
              <w:keepNext/>
              <w:keepLines/>
            </w:pPr>
            <w:r w:rsidRPr="00D064C0">
              <w:t xml:space="preserve">Any AEs </w:t>
            </w:r>
          </w:p>
        </w:tc>
        <w:tc>
          <w:tcPr>
            <w:tcW w:w="992" w:type="dxa"/>
            <w:vAlign w:val="center"/>
          </w:tcPr>
          <w:p w:rsidR="004673C4" w:rsidRPr="00D064C0" w:rsidRDefault="004673C4" w:rsidP="003845B4">
            <w:pPr>
              <w:pStyle w:val="Tabletext"/>
              <w:keepNext/>
              <w:keepLines/>
              <w:rPr>
                <w:rFonts w:ascii="Times" w:hAnsi="Times"/>
              </w:rPr>
            </w:pPr>
            <w:r w:rsidRPr="00D064C0">
              <w:t>HAWK</w:t>
            </w:r>
          </w:p>
        </w:tc>
        <w:tc>
          <w:tcPr>
            <w:tcW w:w="1417" w:type="dxa"/>
            <w:vAlign w:val="center"/>
          </w:tcPr>
          <w:p w:rsidR="004673C4" w:rsidRPr="00D064C0" w:rsidRDefault="004673C4" w:rsidP="003845B4">
            <w:pPr>
              <w:pStyle w:val="Tabletext"/>
              <w:keepNext/>
              <w:keepLines/>
              <w:ind w:left="-57" w:right="-57"/>
              <w:jc w:val="center"/>
              <w:rPr>
                <w:rFonts w:ascii="Times" w:hAnsi="Times"/>
              </w:rPr>
            </w:pPr>
            <w:r w:rsidRPr="00D064C0">
              <w:t>220/360 (61.1%)</w:t>
            </w:r>
          </w:p>
        </w:tc>
        <w:tc>
          <w:tcPr>
            <w:tcW w:w="1418" w:type="dxa"/>
            <w:vAlign w:val="center"/>
          </w:tcPr>
          <w:p w:rsidR="004673C4" w:rsidRPr="00D064C0" w:rsidRDefault="004673C4" w:rsidP="003845B4">
            <w:pPr>
              <w:pStyle w:val="Tabletext"/>
              <w:keepNext/>
              <w:keepLines/>
              <w:ind w:left="-57" w:right="-57"/>
              <w:jc w:val="center"/>
              <w:rPr>
                <w:rFonts w:ascii="Times" w:hAnsi="Times"/>
              </w:rPr>
            </w:pPr>
            <w:r w:rsidRPr="00D064C0">
              <w:t>201/360 (55.8%)</w:t>
            </w:r>
          </w:p>
        </w:tc>
        <w:tc>
          <w:tcPr>
            <w:tcW w:w="1559" w:type="dxa"/>
            <w:vMerge w:val="restart"/>
          </w:tcPr>
          <w:p w:rsidR="004673C4" w:rsidRPr="00D064C0" w:rsidRDefault="004673C4" w:rsidP="003845B4">
            <w:pPr>
              <w:pStyle w:val="Tabletext"/>
              <w:keepNext/>
              <w:keepLines/>
              <w:ind w:left="-57" w:right="-57"/>
              <w:jc w:val="center"/>
              <w:rPr>
                <w:rFonts w:ascii="Times" w:hAnsi="Times"/>
              </w:rPr>
            </w:pPr>
            <w:r w:rsidRPr="00D064C0">
              <w:t>0.02 [-0.04, 0.08]</w:t>
            </w:r>
          </w:p>
          <w:p w:rsidR="004673C4" w:rsidRPr="00D064C0" w:rsidRDefault="004673C4" w:rsidP="003845B4">
            <w:pPr>
              <w:pStyle w:val="Tabletext"/>
              <w:keepNext/>
              <w:keepLines/>
              <w:ind w:left="-57" w:right="-57"/>
              <w:jc w:val="center"/>
              <w:rPr>
                <w:rFonts w:ascii="Times" w:hAnsi="Times"/>
              </w:rPr>
            </w:pPr>
            <w:r w:rsidRPr="00D064C0">
              <w:t>I</w:t>
            </w:r>
            <w:r w:rsidRPr="00D064C0">
              <w:rPr>
                <w:vertAlign w:val="superscript"/>
              </w:rPr>
              <w:t>2</w:t>
            </w:r>
            <w:r w:rsidRPr="00D064C0">
              <w:t xml:space="preserve"> =</w:t>
            </w:r>
            <w:r w:rsidRPr="00D064C0">
              <w:rPr>
                <w:vertAlign w:val="superscript"/>
              </w:rPr>
              <w:t xml:space="preserve"> </w:t>
            </w:r>
            <w:r w:rsidRPr="00D064C0">
              <w:t>24% (P = 0.25)</w:t>
            </w:r>
          </w:p>
        </w:tc>
        <w:tc>
          <w:tcPr>
            <w:tcW w:w="1559" w:type="dxa"/>
            <w:vMerge w:val="restart"/>
          </w:tcPr>
          <w:p w:rsidR="004673C4" w:rsidRPr="00D064C0" w:rsidRDefault="004673C4" w:rsidP="003845B4">
            <w:pPr>
              <w:pStyle w:val="Tabletext"/>
              <w:keepNext/>
              <w:keepLines/>
              <w:ind w:left="-57" w:right="-57"/>
              <w:jc w:val="center"/>
              <w:rPr>
                <w:rFonts w:ascii="Times" w:hAnsi="Times"/>
              </w:rPr>
            </w:pPr>
            <w:r w:rsidRPr="00D064C0">
              <w:t>1.05 [0.95, 1.16]</w:t>
            </w:r>
          </w:p>
          <w:p w:rsidR="004673C4" w:rsidRPr="00D064C0" w:rsidRDefault="004673C4" w:rsidP="003845B4">
            <w:pPr>
              <w:pStyle w:val="Tabletext"/>
              <w:keepNext/>
              <w:keepLines/>
              <w:ind w:left="-57" w:right="-57"/>
              <w:jc w:val="center"/>
              <w:rPr>
                <w:rFonts w:ascii="Times" w:hAnsi="Times"/>
              </w:rPr>
            </w:pPr>
            <w:r w:rsidRPr="00D064C0">
              <w:t>I</w:t>
            </w:r>
            <w:r w:rsidRPr="00D064C0">
              <w:rPr>
                <w:vertAlign w:val="superscript"/>
              </w:rPr>
              <w:t xml:space="preserve">2 </w:t>
            </w:r>
            <w:r w:rsidRPr="00D064C0">
              <w:t>=</w:t>
            </w:r>
            <w:r w:rsidRPr="00D064C0">
              <w:rPr>
                <w:vertAlign w:val="superscript"/>
              </w:rPr>
              <w:t xml:space="preserve"> </w:t>
            </w:r>
            <w:r w:rsidRPr="00D064C0">
              <w:t>10% (P = 0.29)</w:t>
            </w:r>
          </w:p>
        </w:tc>
      </w:tr>
      <w:tr w:rsidR="004673C4" w:rsidRPr="00D064C0" w:rsidTr="004673C4">
        <w:tc>
          <w:tcPr>
            <w:tcW w:w="2122" w:type="dxa"/>
            <w:vMerge/>
            <w:tcBorders>
              <w:bottom w:val="single" w:sz="4" w:space="0" w:color="auto"/>
            </w:tcBorders>
            <w:vAlign w:val="center"/>
          </w:tcPr>
          <w:p w:rsidR="004673C4" w:rsidRPr="00D064C0" w:rsidRDefault="004673C4" w:rsidP="003845B4">
            <w:pPr>
              <w:pStyle w:val="Tabletext"/>
              <w:keepNext/>
              <w:keepLines/>
            </w:pPr>
          </w:p>
        </w:tc>
        <w:tc>
          <w:tcPr>
            <w:tcW w:w="992" w:type="dxa"/>
            <w:tcBorders>
              <w:bottom w:val="single" w:sz="4" w:space="0" w:color="auto"/>
            </w:tcBorders>
            <w:vAlign w:val="center"/>
          </w:tcPr>
          <w:p w:rsidR="004673C4" w:rsidRPr="00D064C0" w:rsidRDefault="004673C4" w:rsidP="003845B4">
            <w:pPr>
              <w:pStyle w:val="Tabletext"/>
              <w:keepNext/>
              <w:keepLines/>
              <w:rPr>
                <w:rFonts w:ascii="Times" w:hAnsi="Times"/>
              </w:rPr>
            </w:pPr>
            <w:r w:rsidRPr="00D064C0">
              <w:t>HARRIER</w:t>
            </w:r>
          </w:p>
        </w:tc>
        <w:tc>
          <w:tcPr>
            <w:tcW w:w="1417" w:type="dxa"/>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r w:rsidRPr="00D064C0">
              <w:t>174/370 (47.0%)</w:t>
            </w:r>
          </w:p>
        </w:tc>
        <w:tc>
          <w:tcPr>
            <w:tcW w:w="1418" w:type="dxa"/>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r w:rsidRPr="00D064C0">
              <w:t>176/369 (47.7%)</w:t>
            </w:r>
          </w:p>
        </w:tc>
        <w:tc>
          <w:tcPr>
            <w:tcW w:w="1559" w:type="dxa"/>
            <w:vMerge/>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p>
        </w:tc>
        <w:tc>
          <w:tcPr>
            <w:tcW w:w="1559" w:type="dxa"/>
            <w:vMerge/>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p>
        </w:tc>
      </w:tr>
      <w:tr w:rsidR="004673C4" w:rsidRPr="00402D18" w:rsidTr="004673C4">
        <w:tc>
          <w:tcPr>
            <w:tcW w:w="2122" w:type="dxa"/>
            <w:vMerge w:val="restart"/>
            <w:vAlign w:val="center"/>
          </w:tcPr>
          <w:p w:rsidR="004673C4" w:rsidRPr="00402D18" w:rsidRDefault="004673C4" w:rsidP="003845B4">
            <w:pPr>
              <w:pStyle w:val="Tabletext"/>
              <w:keepNext/>
              <w:keepLines/>
              <w:rPr>
                <w:rFonts w:ascii="Times" w:hAnsi="Times"/>
              </w:rPr>
            </w:pPr>
            <w:r w:rsidRPr="00402D18">
              <w:t xml:space="preserve">AEs resulting in discontinuation </w:t>
            </w:r>
          </w:p>
        </w:tc>
        <w:tc>
          <w:tcPr>
            <w:tcW w:w="992" w:type="dxa"/>
            <w:vAlign w:val="center"/>
          </w:tcPr>
          <w:p w:rsidR="004673C4" w:rsidRPr="00402D18" w:rsidRDefault="004673C4" w:rsidP="003845B4">
            <w:pPr>
              <w:pStyle w:val="Tabletext"/>
              <w:keepNext/>
              <w:keepLines/>
              <w:rPr>
                <w:rFonts w:ascii="Times" w:hAnsi="Times"/>
              </w:rPr>
            </w:pPr>
            <w:r w:rsidRPr="00402D18">
              <w:t>HAWK</w:t>
            </w:r>
          </w:p>
        </w:tc>
        <w:tc>
          <w:tcPr>
            <w:tcW w:w="1417" w:type="dxa"/>
            <w:vAlign w:val="center"/>
          </w:tcPr>
          <w:p w:rsidR="004673C4" w:rsidRPr="00402D18" w:rsidRDefault="005D7DE1" w:rsidP="003845B4">
            <w:pPr>
              <w:pStyle w:val="Tabletext"/>
              <w:keepNext/>
              <w:keepLines/>
              <w:jc w:val="center"/>
              <w:rPr>
                <w:rFonts w:ascii="Times" w:hAnsi="Times"/>
              </w:rPr>
            </w:pPr>
            <w:r>
              <w:rPr>
                <w:noProof/>
                <w:color w:val="000000"/>
                <w:highlight w:val="black"/>
              </w:rPr>
              <w:t>'''''''</w:t>
            </w:r>
            <w:r w:rsidR="004673C4" w:rsidRPr="00402D18">
              <w:t>/360 (</w:t>
            </w:r>
            <w:r>
              <w:rPr>
                <w:noProof/>
                <w:color w:val="000000"/>
                <w:highlight w:val="black"/>
              </w:rPr>
              <w:t>'''''''''</w:t>
            </w:r>
            <w:r w:rsidR="004673C4" w:rsidRPr="00402D18">
              <w:t>%)</w:t>
            </w:r>
          </w:p>
        </w:tc>
        <w:tc>
          <w:tcPr>
            <w:tcW w:w="1418" w:type="dxa"/>
            <w:vAlign w:val="center"/>
          </w:tcPr>
          <w:p w:rsidR="004673C4" w:rsidRPr="00402D18" w:rsidRDefault="005D7DE1" w:rsidP="003845B4">
            <w:pPr>
              <w:pStyle w:val="Tabletext"/>
              <w:keepNext/>
              <w:keepLines/>
              <w:jc w:val="center"/>
              <w:rPr>
                <w:rFonts w:ascii="Times" w:hAnsi="Times"/>
              </w:rPr>
            </w:pPr>
            <w:r>
              <w:rPr>
                <w:noProof/>
                <w:color w:val="000000"/>
                <w:highlight w:val="black"/>
              </w:rPr>
              <w:t>''''''</w:t>
            </w:r>
            <w:r w:rsidR="004673C4" w:rsidRPr="00402D18">
              <w:t>/360 (</w:t>
            </w:r>
            <w:r>
              <w:rPr>
                <w:noProof/>
                <w:color w:val="000000"/>
                <w:highlight w:val="black"/>
              </w:rPr>
              <w:t>'''''''''</w:t>
            </w:r>
            <w:r w:rsidR="004673C4" w:rsidRPr="00402D18">
              <w:t>%)</w:t>
            </w:r>
          </w:p>
        </w:tc>
        <w:tc>
          <w:tcPr>
            <w:tcW w:w="1559" w:type="dxa"/>
            <w:vMerge w:val="restart"/>
          </w:tcPr>
          <w:p w:rsidR="004673C4" w:rsidRPr="00402D18" w:rsidRDefault="005D7DE1" w:rsidP="003845B4">
            <w:pPr>
              <w:pStyle w:val="Tabletext"/>
              <w:keepNext/>
              <w:keepLines/>
              <w:jc w:val="center"/>
              <w:rPr>
                <w:rFonts w:ascii="Times" w:hAnsi="Times"/>
              </w:rPr>
            </w:pPr>
            <w:r>
              <w:rPr>
                <w:noProof/>
                <w:color w:val="000000"/>
                <w:highlight w:val="black"/>
              </w:rPr>
              <w:t>''''''''''</w:t>
            </w:r>
            <w:r w:rsidR="004673C4" w:rsidRPr="00402D18">
              <w:t xml:space="preserve"> [</w:t>
            </w:r>
            <w:r>
              <w:rPr>
                <w:noProof/>
                <w:color w:val="000000"/>
                <w:highlight w:val="black"/>
              </w:rPr>
              <w:t>'''''''''''''</w:t>
            </w:r>
            <w:r w:rsidR="004673C4" w:rsidRPr="00402D18">
              <w:t xml:space="preserve">, </w:t>
            </w:r>
            <w:r>
              <w:rPr>
                <w:noProof/>
                <w:color w:val="000000"/>
                <w:highlight w:val="black"/>
              </w:rPr>
              <w:t>''''''''''''</w:t>
            </w:r>
            <w:r w:rsidR="004673C4" w:rsidRPr="00402D18">
              <w:t>]</w:t>
            </w:r>
          </w:p>
          <w:p w:rsidR="004673C4" w:rsidRPr="00402D18" w:rsidRDefault="004673C4" w:rsidP="003845B4">
            <w:pPr>
              <w:pStyle w:val="Tabletext"/>
              <w:keepNext/>
              <w:keepLines/>
              <w:ind w:left="-57" w:right="-57"/>
              <w:jc w:val="center"/>
              <w:rPr>
                <w:rFonts w:ascii="Times" w:hAnsi="Times"/>
              </w:rPr>
            </w:pPr>
            <w:r w:rsidRPr="00402D18">
              <w:t>I</w:t>
            </w:r>
            <w:r w:rsidRPr="00402D18">
              <w:rPr>
                <w:vertAlign w:val="superscript"/>
              </w:rPr>
              <w:t>2</w:t>
            </w:r>
            <w:r w:rsidRPr="00402D18">
              <w:t xml:space="preserve"> =</w:t>
            </w:r>
            <w:r w:rsidRPr="00402D18">
              <w:rPr>
                <w:vertAlign w:val="superscript"/>
              </w:rPr>
              <w:t xml:space="preserve"> </w:t>
            </w:r>
            <w:r w:rsidR="005D7DE1">
              <w:rPr>
                <w:noProof/>
                <w:color w:val="000000"/>
                <w:highlight w:val="black"/>
              </w:rPr>
              <w:t>'''''''</w:t>
            </w:r>
            <w:r w:rsidRPr="00402D18">
              <w:t xml:space="preserve">% (P = </w:t>
            </w:r>
            <w:r w:rsidR="005D7DE1">
              <w:rPr>
                <w:noProof/>
                <w:color w:val="000000"/>
                <w:highlight w:val="black"/>
              </w:rPr>
              <w:t>''''''''''</w:t>
            </w:r>
            <w:r w:rsidRPr="00402D18">
              <w:t>)</w:t>
            </w:r>
          </w:p>
        </w:tc>
        <w:tc>
          <w:tcPr>
            <w:tcW w:w="1559" w:type="dxa"/>
            <w:vMerge w:val="restart"/>
          </w:tcPr>
          <w:p w:rsidR="004673C4" w:rsidRPr="00402D18" w:rsidRDefault="005D7DE1" w:rsidP="003845B4">
            <w:pPr>
              <w:pStyle w:val="Tabletext"/>
              <w:keepNext/>
              <w:keepLines/>
              <w:jc w:val="center"/>
              <w:rPr>
                <w:rFonts w:ascii="Times" w:hAnsi="Times"/>
              </w:rPr>
            </w:pPr>
            <w:r>
              <w:rPr>
                <w:noProof/>
                <w:color w:val="000000"/>
                <w:highlight w:val="black"/>
              </w:rPr>
              <w:t>''''''''''</w:t>
            </w:r>
            <w:r w:rsidR="004673C4" w:rsidRPr="00402D18">
              <w:t xml:space="preserve"> [</w:t>
            </w:r>
            <w:r>
              <w:rPr>
                <w:noProof/>
                <w:color w:val="000000"/>
                <w:highlight w:val="black"/>
              </w:rPr>
              <w:t>'''''''''''</w:t>
            </w:r>
            <w:r w:rsidR="004673C4" w:rsidRPr="00402D18">
              <w:t xml:space="preserve">, </w:t>
            </w:r>
            <w:r>
              <w:rPr>
                <w:noProof/>
                <w:color w:val="000000"/>
                <w:highlight w:val="black"/>
              </w:rPr>
              <w:t>'''''''''''</w:t>
            </w:r>
            <w:r w:rsidR="004673C4" w:rsidRPr="00402D18">
              <w:t>]</w:t>
            </w:r>
          </w:p>
          <w:p w:rsidR="004673C4" w:rsidRPr="00402D18" w:rsidRDefault="004673C4" w:rsidP="003845B4">
            <w:pPr>
              <w:pStyle w:val="Tabletext"/>
              <w:keepNext/>
              <w:keepLines/>
              <w:ind w:left="-57" w:right="-57"/>
              <w:jc w:val="center"/>
              <w:rPr>
                <w:rFonts w:ascii="Times" w:hAnsi="Times"/>
              </w:rPr>
            </w:pPr>
            <w:r w:rsidRPr="00402D18">
              <w:t>I</w:t>
            </w:r>
            <w:r w:rsidRPr="00402D18">
              <w:rPr>
                <w:vertAlign w:val="superscript"/>
              </w:rPr>
              <w:t>2</w:t>
            </w:r>
            <w:r w:rsidRPr="00402D18">
              <w:t xml:space="preserve"> =</w:t>
            </w:r>
            <w:r w:rsidRPr="00402D18">
              <w:rPr>
                <w:vertAlign w:val="superscript"/>
              </w:rPr>
              <w:t xml:space="preserve"> </w:t>
            </w:r>
            <w:r w:rsidR="005D7DE1">
              <w:rPr>
                <w:noProof/>
                <w:color w:val="000000"/>
                <w:highlight w:val="black"/>
              </w:rPr>
              <w:t>'''''</w:t>
            </w:r>
            <w:r w:rsidRPr="00402D18">
              <w:t xml:space="preserve">% (P = </w:t>
            </w:r>
            <w:r w:rsidR="005D7DE1">
              <w:rPr>
                <w:noProof/>
                <w:color w:val="000000"/>
                <w:highlight w:val="black"/>
              </w:rPr>
              <w:t>''''''''''</w:t>
            </w:r>
            <w:r w:rsidRPr="00402D18">
              <w:t>)</w:t>
            </w:r>
          </w:p>
        </w:tc>
      </w:tr>
      <w:tr w:rsidR="004673C4" w:rsidRPr="00402D18" w:rsidTr="004673C4">
        <w:trPr>
          <w:trHeight w:val="229"/>
        </w:trPr>
        <w:tc>
          <w:tcPr>
            <w:tcW w:w="2122" w:type="dxa"/>
            <w:vMerge/>
            <w:tcBorders>
              <w:bottom w:val="single" w:sz="4" w:space="0" w:color="auto"/>
            </w:tcBorders>
            <w:vAlign w:val="center"/>
          </w:tcPr>
          <w:p w:rsidR="004673C4" w:rsidRPr="00402D18" w:rsidRDefault="004673C4" w:rsidP="003845B4">
            <w:pPr>
              <w:pStyle w:val="Tabletext"/>
              <w:keepNext/>
              <w:keepLines/>
            </w:pPr>
          </w:p>
        </w:tc>
        <w:tc>
          <w:tcPr>
            <w:tcW w:w="992" w:type="dxa"/>
            <w:tcBorders>
              <w:bottom w:val="single" w:sz="4" w:space="0" w:color="auto"/>
            </w:tcBorders>
            <w:vAlign w:val="center"/>
          </w:tcPr>
          <w:p w:rsidR="004673C4" w:rsidRPr="00402D18" w:rsidRDefault="004673C4" w:rsidP="003845B4">
            <w:pPr>
              <w:pStyle w:val="Tabletext"/>
              <w:keepNext/>
              <w:keepLines/>
            </w:pPr>
            <w:r w:rsidRPr="00402D18">
              <w:t>HARRIER</w:t>
            </w:r>
          </w:p>
        </w:tc>
        <w:tc>
          <w:tcPr>
            <w:tcW w:w="1417" w:type="dxa"/>
            <w:tcBorders>
              <w:bottom w:val="single" w:sz="4" w:space="0" w:color="auto"/>
            </w:tcBorders>
            <w:vAlign w:val="center"/>
          </w:tcPr>
          <w:p w:rsidR="004673C4" w:rsidRPr="00402D18" w:rsidRDefault="005D7DE1" w:rsidP="003845B4">
            <w:pPr>
              <w:pStyle w:val="Tabletext"/>
              <w:keepNext/>
              <w:keepLines/>
              <w:jc w:val="center"/>
              <w:rPr>
                <w:rFonts w:ascii="Times" w:hAnsi="Times"/>
              </w:rPr>
            </w:pPr>
            <w:r>
              <w:rPr>
                <w:noProof/>
                <w:color w:val="000000"/>
                <w:highlight w:val="black"/>
              </w:rPr>
              <w:t>''''''</w:t>
            </w:r>
            <w:r w:rsidR="004673C4" w:rsidRPr="00402D18">
              <w:t>/370 (</w:t>
            </w:r>
            <w:r>
              <w:rPr>
                <w:noProof/>
                <w:color w:val="000000"/>
                <w:highlight w:val="black"/>
              </w:rPr>
              <w:t>'''''''</w:t>
            </w:r>
            <w:r w:rsidR="004673C4" w:rsidRPr="00402D18">
              <w:t>%)</w:t>
            </w:r>
          </w:p>
        </w:tc>
        <w:tc>
          <w:tcPr>
            <w:tcW w:w="1418" w:type="dxa"/>
            <w:tcBorders>
              <w:bottom w:val="single" w:sz="4" w:space="0" w:color="auto"/>
            </w:tcBorders>
            <w:vAlign w:val="center"/>
          </w:tcPr>
          <w:p w:rsidR="004673C4" w:rsidRPr="00402D18" w:rsidRDefault="005D7DE1" w:rsidP="003845B4">
            <w:pPr>
              <w:pStyle w:val="Tabletext"/>
              <w:keepNext/>
              <w:keepLines/>
              <w:jc w:val="center"/>
              <w:rPr>
                <w:rFonts w:ascii="Times" w:hAnsi="Times"/>
              </w:rPr>
            </w:pPr>
            <w:r>
              <w:rPr>
                <w:noProof/>
                <w:color w:val="000000"/>
                <w:highlight w:val="black"/>
              </w:rPr>
              <w:t>'''</w:t>
            </w:r>
            <w:r w:rsidR="004673C4" w:rsidRPr="00402D18">
              <w:t>/369 (</w:t>
            </w:r>
            <w:r>
              <w:rPr>
                <w:noProof/>
                <w:color w:val="000000"/>
                <w:highlight w:val="black"/>
              </w:rPr>
              <w:t>''''''''</w:t>
            </w:r>
            <w:r w:rsidR="004673C4" w:rsidRPr="00402D18">
              <w:t>%)</w:t>
            </w:r>
          </w:p>
        </w:tc>
        <w:tc>
          <w:tcPr>
            <w:tcW w:w="1559" w:type="dxa"/>
            <w:vMerge/>
            <w:tcBorders>
              <w:bottom w:val="single" w:sz="4" w:space="0" w:color="auto"/>
            </w:tcBorders>
            <w:shd w:val="clear" w:color="auto" w:fill="auto"/>
            <w:vAlign w:val="center"/>
          </w:tcPr>
          <w:p w:rsidR="004673C4" w:rsidRPr="00402D18" w:rsidRDefault="004673C4" w:rsidP="003845B4">
            <w:pPr>
              <w:pStyle w:val="Tabletext"/>
              <w:keepNext/>
              <w:keepLines/>
              <w:ind w:left="-57" w:right="-57"/>
              <w:jc w:val="center"/>
              <w:rPr>
                <w:rFonts w:ascii="Times" w:hAnsi="Times"/>
              </w:rPr>
            </w:pPr>
          </w:p>
        </w:tc>
        <w:tc>
          <w:tcPr>
            <w:tcW w:w="1559" w:type="dxa"/>
            <w:vMerge/>
            <w:tcBorders>
              <w:bottom w:val="single" w:sz="4" w:space="0" w:color="auto"/>
            </w:tcBorders>
            <w:shd w:val="clear" w:color="auto" w:fill="auto"/>
            <w:vAlign w:val="center"/>
          </w:tcPr>
          <w:p w:rsidR="004673C4" w:rsidRPr="00402D18" w:rsidRDefault="004673C4" w:rsidP="003845B4">
            <w:pPr>
              <w:pStyle w:val="Tabletext"/>
              <w:keepNext/>
              <w:keepLines/>
              <w:ind w:left="-57" w:right="-57"/>
              <w:jc w:val="center"/>
              <w:rPr>
                <w:rFonts w:ascii="Times" w:hAnsi="Times"/>
              </w:rPr>
            </w:pPr>
          </w:p>
        </w:tc>
      </w:tr>
      <w:tr w:rsidR="004673C4" w:rsidRPr="00D064C0" w:rsidTr="004673C4">
        <w:tc>
          <w:tcPr>
            <w:tcW w:w="2122" w:type="dxa"/>
            <w:vMerge w:val="restart"/>
            <w:vAlign w:val="center"/>
          </w:tcPr>
          <w:p w:rsidR="004673C4" w:rsidRPr="00D064C0" w:rsidRDefault="004673C4" w:rsidP="003845B4">
            <w:pPr>
              <w:pStyle w:val="Tabletext"/>
              <w:keepNext/>
              <w:keepLines/>
              <w:rPr>
                <w:rFonts w:ascii="Times" w:hAnsi="Times"/>
              </w:rPr>
            </w:pPr>
            <w:r w:rsidRPr="00D064C0">
              <w:t>Non-fatal SAEs</w:t>
            </w:r>
          </w:p>
        </w:tc>
        <w:tc>
          <w:tcPr>
            <w:tcW w:w="992" w:type="dxa"/>
            <w:vAlign w:val="center"/>
          </w:tcPr>
          <w:p w:rsidR="004673C4" w:rsidRPr="00D064C0" w:rsidRDefault="004673C4" w:rsidP="003845B4">
            <w:pPr>
              <w:pStyle w:val="Tabletext"/>
              <w:keepNext/>
              <w:keepLines/>
              <w:rPr>
                <w:rFonts w:ascii="Times" w:hAnsi="Times"/>
              </w:rPr>
            </w:pPr>
            <w:r w:rsidRPr="00D064C0">
              <w:t>HAWK</w:t>
            </w:r>
          </w:p>
        </w:tc>
        <w:tc>
          <w:tcPr>
            <w:tcW w:w="1417" w:type="dxa"/>
            <w:vAlign w:val="center"/>
          </w:tcPr>
          <w:p w:rsidR="004673C4" w:rsidRPr="00D064C0" w:rsidRDefault="004673C4" w:rsidP="003845B4">
            <w:pPr>
              <w:pStyle w:val="Tabletext"/>
              <w:keepNext/>
              <w:keepLines/>
              <w:ind w:left="-57" w:right="-57"/>
              <w:jc w:val="center"/>
              <w:rPr>
                <w:rFonts w:ascii="Times" w:hAnsi="Times"/>
              </w:rPr>
            </w:pPr>
            <w:r w:rsidRPr="00D064C0">
              <w:rPr>
                <w:szCs w:val="20"/>
              </w:rPr>
              <w:t>12/360 (3.3%)</w:t>
            </w:r>
          </w:p>
        </w:tc>
        <w:tc>
          <w:tcPr>
            <w:tcW w:w="1418" w:type="dxa"/>
            <w:vAlign w:val="center"/>
          </w:tcPr>
          <w:p w:rsidR="004673C4" w:rsidRPr="00D064C0" w:rsidRDefault="004673C4" w:rsidP="003845B4">
            <w:pPr>
              <w:pStyle w:val="Tabletext"/>
              <w:keepNext/>
              <w:keepLines/>
              <w:ind w:left="-57" w:right="-57"/>
              <w:jc w:val="center"/>
              <w:rPr>
                <w:rFonts w:ascii="Times" w:hAnsi="Times"/>
              </w:rPr>
            </w:pPr>
            <w:r w:rsidRPr="00D064C0">
              <w:rPr>
                <w:szCs w:val="20"/>
              </w:rPr>
              <w:t>5/360 (1.4%)</w:t>
            </w:r>
          </w:p>
        </w:tc>
        <w:tc>
          <w:tcPr>
            <w:tcW w:w="1559" w:type="dxa"/>
            <w:vMerge w:val="restart"/>
          </w:tcPr>
          <w:p w:rsidR="004673C4" w:rsidRPr="00D064C0" w:rsidRDefault="004673C4" w:rsidP="003845B4">
            <w:pPr>
              <w:pStyle w:val="Tabletext"/>
              <w:keepNext/>
              <w:keepLines/>
              <w:ind w:left="-57" w:right="-57"/>
              <w:jc w:val="center"/>
              <w:rPr>
                <w:rFonts w:ascii="Times" w:hAnsi="Times"/>
                <w:b/>
              </w:rPr>
            </w:pPr>
            <w:r w:rsidRPr="00D064C0">
              <w:rPr>
                <w:b/>
              </w:rPr>
              <w:t>0.02 [0.00, 0.04]</w:t>
            </w:r>
          </w:p>
          <w:p w:rsidR="004673C4" w:rsidRPr="00D064C0" w:rsidRDefault="004673C4" w:rsidP="003845B4">
            <w:pPr>
              <w:pStyle w:val="Tabletext"/>
              <w:keepNext/>
              <w:keepLines/>
              <w:ind w:left="-57" w:right="-57"/>
              <w:jc w:val="center"/>
              <w:rPr>
                <w:rFonts w:ascii="Times" w:hAnsi="Times"/>
              </w:rPr>
            </w:pPr>
            <w:r w:rsidRPr="00D064C0">
              <w:t>I</w:t>
            </w:r>
            <w:r w:rsidRPr="00D064C0">
              <w:rPr>
                <w:vertAlign w:val="superscript"/>
              </w:rPr>
              <w:t>2</w:t>
            </w:r>
            <w:r w:rsidRPr="00D064C0">
              <w:t xml:space="preserve"> =</w:t>
            </w:r>
            <w:r w:rsidRPr="00D064C0">
              <w:rPr>
                <w:vertAlign w:val="superscript"/>
              </w:rPr>
              <w:t xml:space="preserve"> </w:t>
            </w:r>
            <w:r w:rsidRPr="00D064C0">
              <w:t>0% (P = 0.97)</w:t>
            </w:r>
          </w:p>
        </w:tc>
        <w:tc>
          <w:tcPr>
            <w:tcW w:w="1559" w:type="dxa"/>
            <w:vMerge w:val="restart"/>
          </w:tcPr>
          <w:p w:rsidR="004673C4" w:rsidRPr="00D064C0" w:rsidRDefault="004673C4" w:rsidP="003845B4">
            <w:pPr>
              <w:pStyle w:val="Tabletext"/>
              <w:keepNext/>
              <w:keepLines/>
              <w:ind w:left="-57" w:right="-57"/>
              <w:jc w:val="center"/>
              <w:rPr>
                <w:b/>
              </w:rPr>
            </w:pPr>
            <w:r w:rsidRPr="00D064C0">
              <w:rPr>
                <w:b/>
              </w:rPr>
              <w:t>2.27 [1.12, 4.58]</w:t>
            </w:r>
          </w:p>
          <w:p w:rsidR="004673C4" w:rsidRPr="00D064C0" w:rsidRDefault="004673C4" w:rsidP="003845B4">
            <w:pPr>
              <w:pStyle w:val="Tabletext"/>
              <w:keepNext/>
              <w:keepLines/>
              <w:ind w:left="-57" w:right="-57"/>
              <w:jc w:val="center"/>
            </w:pPr>
            <w:r w:rsidRPr="00D064C0">
              <w:t>I</w:t>
            </w:r>
            <w:r w:rsidRPr="00D064C0">
              <w:rPr>
                <w:vertAlign w:val="superscript"/>
              </w:rPr>
              <w:t>2</w:t>
            </w:r>
            <w:r w:rsidRPr="00D064C0">
              <w:t xml:space="preserve"> =</w:t>
            </w:r>
            <w:r w:rsidRPr="00D064C0">
              <w:rPr>
                <w:vertAlign w:val="superscript"/>
              </w:rPr>
              <w:t xml:space="preserve"> </w:t>
            </w:r>
            <w:r w:rsidRPr="00D064C0">
              <w:t>0% (P = 0.88)</w:t>
            </w:r>
          </w:p>
        </w:tc>
      </w:tr>
      <w:tr w:rsidR="004673C4" w:rsidRPr="00D064C0" w:rsidTr="004673C4">
        <w:trPr>
          <w:trHeight w:val="229"/>
        </w:trPr>
        <w:tc>
          <w:tcPr>
            <w:tcW w:w="2122" w:type="dxa"/>
            <w:vMerge/>
            <w:tcBorders>
              <w:bottom w:val="single" w:sz="4" w:space="0" w:color="auto"/>
            </w:tcBorders>
            <w:vAlign w:val="center"/>
          </w:tcPr>
          <w:p w:rsidR="004673C4" w:rsidRPr="00D064C0" w:rsidRDefault="004673C4" w:rsidP="003845B4">
            <w:pPr>
              <w:pStyle w:val="Tabletext"/>
              <w:keepNext/>
              <w:keepLines/>
            </w:pPr>
          </w:p>
        </w:tc>
        <w:tc>
          <w:tcPr>
            <w:tcW w:w="992" w:type="dxa"/>
            <w:tcBorders>
              <w:bottom w:val="single" w:sz="4" w:space="0" w:color="auto"/>
            </w:tcBorders>
            <w:vAlign w:val="center"/>
          </w:tcPr>
          <w:p w:rsidR="004673C4" w:rsidRPr="00D064C0" w:rsidRDefault="004673C4" w:rsidP="003845B4">
            <w:pPr>
              <w:pStyle w:val="Tabletext"/>
              <w:keepNext/>
              <w:keepLines/>
            </w:pPr>
            <w:r w:rsidRPr="00D064C0">
              <w:t>HARRIER</w:t>
            </w:r>
          </w:p>
        </w:tc>
        <w:tc>
          <w:tcPr>
            <w:tcW w:w="1417" w:type="dxa"/>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r w:rsidRPr="00D064C0">
              <w:rPr>
                <w:szCs w:val="20"/>
              </w:rPr>
              <w:t>13/370 (3.5%)</w:t>
            </w:r>
          </w:p>
        </w:tc>
        <w:tc>
          <w:tcPr>
            <w:tcW w:w="1418" w:type="dxa"/>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r w:rsidRPr="00D064C0">
              <w:rPr>
                <w:szCs w:val="20"/>
              </w:rPr>
              <w:t>6/369 (1.6%)</w:t>
            </w:r>
          </w:p>
        </w:tc>
        <w:tc>
          <w:tcPr>
            <w:tcW w:w="1559" w:type="dxa"/>
            <w:vMerge/>
            <w:tcBorders>
              <w:bottom w:val="single" w:sz="4" w:space="0" w:color="auto"/>
            </w:tcBorders>
            <w:shd w:val="clear" w:color="auto" w:fill="auto"/>
            <w:vAlign w:val="center"/>
          </w:tcPr>
          <w:p w:rsidR="004673C4" w:rsidRPr="00D064C0" w:rsidRDefault="004673C4" w:rsidP="003845B4">
            <w:pPr>
              <w:pStyle w:val="Tabletext"/>
              <w:keepNext/>
              <w:keepLines/>
              <w:ind w:left="-57" w:right="-57"/>
              <w:jc w:val="center"/>
              <w:rPr>
                <w:rFonts w:ascii="Times" w:hAnsi="Times"/>
              </w:rPr>
            </w:pPr>
          </w:p>
        </w:tc>
        <w:tc>
          <w:tcPr>
            <w:tcW w:w="1559" w:type="dxa"/>
            <w:vMerge/>
            <w:tcBorders>
              <w:bottom w:val="single" w:sz="4" w:space="0" w:color="auto"/>
            </w:tcBorders>
            <w:shd w:val="clear" w:color="auto" w:fill="auto"/>
            <w:vAlign w:val="center"/>
          </w:tcPr>
          <w:p w:rsidR="004673C4" w:rsidRPr="00D064C0" w:rsidRDefault="004673C4" w:rsidP="003845B4">
            <w:pPr>
              <w:pStyle w:val="Tabletext"/>
              <w:keepNext/>
              <w:keepLines/>
              <w:ind w:left="-57" w:right="-57"/>
              <w:jc w:val="center"/>
              <w:rPr>
                <w:rFonts w:ascii="Times" w:hAnsi="Times"/>
              </w:rPr>
            </w:pPr>
          </w:p>
        </w:tc>
      </w:tr>
      <w:tr w:rsidR="004673C4" w:rsidRPr="00402D18" w:rsidTr="004673C4">
        <w:tc>
          <w:tcPr>
            <w:tcW w:w="2122" w:type="dxa"/>
            <w:vMerge w:val="restart"/>
            <w:vAlign w:val="center"/>
          </w:tcPr>
          <w:p w:rsidR="004673C4" w:rsidRPr="00402D18" w:rsidRDefault="004673C4" w:rsidP="003845B4">
            <w:pPr>
              <w:pStyle w:val="Tabletext"/>
              <w:keepNext/>
              <w:keepLines/>
              <w:rPr>
                <w:rFonts w:ascii="Times" w:hAnsi="Times"/>
              </w:rPr>
            </w:pPr>
            <w:r w:rsidRPr="00402D18">
              <w:t>Treatment (procedure)-related non-fatal SAEs</w:t>
            </w:r>
            <w:r w:rsidRPr="00402D18">
              <w:rPr>
                <w:vertAlign w:val="superscript"/>
              </w:rPr>
              <w:t>c</w:t>
            </w:r>
          </w:p>
        </w:tc>
        <w:tc>
          <w:tcPr>
            <w:tcW w:w="992" w:type="dxa"/>
            <w:vAlign w:val="center"/>
          </w:tcPr>
          <w:p w:rsidR="004673C4" w:rsidRPr="00402D18" w:rsidRDefault="004673C4" w:rsidP="003845B4">
            <w:pPr>
              <w:pStyle w:val="Tabletext"/>
              <w:keepNext/>
              <w:keepLines/>
              <w:rPr>
                <w:rFonts w:ascii="Times" w:hAnsi="Times"/>
              </w:rPr>
            </w:pPr>
            <w:r w:rsidRPr="00402D18">
              <w:t>HAWK</w:t>
            </w:r>
          </w:p>
        </w:tc>
        <w:tc>
          <w:tcPr>
            <w:tcW w:w="1417" w:type="dxa"/>
            <w:vAlign w:val="center"/>
          </w:tcPr>
          <w:p w:rsidR="004673C4" w:rsidRPr="00402D18" w:rsidRDefault="005D7DE1" w:rsidP="003845B4">
            <w:pPr>
              <w:pStyle w:val="Tabletext"/>
              <w:keepNext/>
              <w:keepLines/>
              <w:ind w:left="-57" w:right="-57"/>
              <w:jc w:val="center"/>
              <w:rPr>
                <w:rFonts w:ascii="Times" w:hAnsi="Times"/>
              </w:rPr>
            </w:pPr>
            <w:r>
              <w:rPr>
                <w:noProof/>
                <w:color w:val="000000"/>
                <w:szCs w:val="20"/>
                <w:highlight w:val="black"/>
              </w:rPr>
              <w:t>''''</w:t>
            </w:r>
            <w:r w:rsidR="004673C4" w:rsidRPr="00402D18">
              <w:rPr>
                <w:szCs w:val="20"/>
              </w:rPr>
              <w:t>/360 (</w:t>
            </w:r>
            <w:r>
              <w:rPr>
                <w:noProof/>
                <w:color w:val="000000"/>
                <w:szCs w:val="20"/>
                <w:highlight w:val="black"/>
              </w:rPr>
              <w:t>'''''''</w:t>
            </w:r>
            <w:r w:rsidR="004673C4" w:rsidRPr="00402D18">
              <w:rPr>
                <w:szCs w:val="20"/>
              </w:rPr>
              <w:t>%)</w:t>
            </w:r>
          </w:p>
        </w:tc>
        <w:tc>
          <w:tcPr>
            <w:tcW w:w="1418" w:type="dxa"/>
            <w:vAlign w:val="center"/>
          </w:tcPr>
          <w:p w:rsidR="004673C4" w:rsidRPr="00402D18" w:rsidRDefault="005D7DE1" w:rsidP="003845B4">
            <w:pPr>
              <w:pStyle w:val="Tabletext"/>
              <w:keepNext/>
              <w:keepLines/>
              <w:ind w:left="-57" w:right="-57"/>
              <w:jc w:val="center"/>
              <w:rPr>
                <w:rFonts w:ascii="Times" w:hAnsi="Times"/>
              </w:rPr>
            </w:pPr>
            <w:r>
              <w:rPr>
                <w:noProof/>
                <w:color w:val="000000"/>
                <w:szCs w:val="20"/>
                <w:highlight w:val="black"/>
              </w:rPr>
              <w:t>''''</w:t>
            </w:r>
            <w:r w:rsidR="004673C4" w:rsidRPr="00402D18">
              <w:rPr>
                <w:szCs w:val="20"/>
              </w:rPr>
              <w:t>/360 (</w:t>
            </w:r>
            <w:r>
              <w:rPr>
                <w:noProof/>
                <w:color w:val="000000"/>
                <w:szCs w:val="20"/>
                <w:highlight w:val="black"/>
              </w:rPr>
              <w:t>'''''''''</w:t>
            </w:r>
            <w:r w:rsidR="004673C4" w:rsidRPr="00402D18">
              <w:rPr>
                <w:szCs w:val="20"/>
              </w:rPr>
              <w:t>%)</w:t>
            </w:r>
          </w:p>
        </w:tc>
        <w:tc>
          <w:tcPr>
            <w:tcW w:w="1559" w:type="dxa"/>
            <w:vMerge w:val="restart"/>
          </w:tcPr>
          <w:p w:rsidR="004673C4" w:rsidRPr="00402D18" w:rsidRDefault="005D7DE1" w:rsidP="003845B4">
            <w:pPr>
              <w:pStyle w:val="Tabletext"/>
              <w:keepNext/>
              <w:keepLines/>
              <w:ind w:left="-57" w:right="-57"/>
              <w:jc w:val="center"/>
              <w:rPr>
                <w:b/>
              </w:rPr>
            </w:pPr>
            <w:r>
              <w:rPr>
                <w:b/>
                <w:noProof/>
                <w:color w:val="000000"/>
                <w:highlight w:val="black"/>
              </w:rPr>
              <w:t xml:space="preserve">'''''''''' </w:t>
            </w:r>
            <w:r w:rsidR="004673C4" w:rsidRPr="00402D18">
              <w:rPr>
                <w:b/>
              </w:rPr>
              <w:t>[</w:t>
            </w:r>
            <w:r>
              <w:rPr>
                <w:b/>
                <w:noProof/>
                <w:color w:val="000000"/>
                <w:highlight w:val="black"/>
              </w:rPr>
              <w:t>''''''''</w:t>
            </w:r>
            <w:r w:rsidR="004673C4" w:rsidRPr="00402D18">
              <w:rPr>
                <w:b/>
              </w:rPr>
              <w:t xml:space="preserve">, </w:t>
            </w:r>
            <w:r>
              <w:rPr>
                <w:b/>
                <w:noProof/>
                <w:color w:val="000000"/>
                <w:highlight w:val="black"/>
              </w:rPr>
              <w:t>'''''''''</w:t>
            </w:r>
            <w:r w:rsidR="004673C4" w:rsidRPr="00402D18">
              <w:rPr>
                <w:b/>
              </w:rPr>
              <w:t>]</w:t>
            </w:r>
          </w:p>
          <w:p w:rsidR="004673C4" w:rsidRPr="00402D18" w:rsidRDefault="004673C4" w:rsidP="003845B4">
            <w:pPr>
              <w:pStyle w:val="Tabletext"/>
              <w:keepNext/>
              <w:keepLines/>
              <w:ind w:left="-57" w:right="-57"/>
              <w:jc w:val="center"/>
            </w:pPr>
            <w:r w:rsidRPr="00402D18">
              <w:t>I</w:t>
            </w:r>
            <w:r w:rsidRPr="00402D18">
              <w:rPr>
                <w:vertAlign w:val="superscript"/>
              </w:rPr>
              <w:t>2</w:t>
            </w:r>
            <w:r w:rsidRPr="00402D18">
              <w:t xml:space="preserve"> =</w:t>
            </w:r>
            <w:r w:rsidRPr="00402D18">
              <w:rPr>
                <w:vertAlign w:val="superscript"/>
              </w:rPr>
              <w:t xml:space="preserve"> </w:t>
            </w:r>
            <w:r w:rsidR="005D7DE1">
              <w:rPr>
                <w:noProof/>
                <w:color w:val="000000"/>
                <w:highlight w:val="black"/>
              </w:rPr>
              <w:t>'''</w:t>
            </w:r>
            <w:r w:rsidRPr="00402D18">
              <w:t xml:space="preserve">% (P = </w:t>
            </w:r>
            <w:r w:rsidR="005D7DE1">
              <w:rPr>
                <w:noProof/>
                <w:color w:val="000000"/>
                <w:highlight w:val="black"/>
              </w:rPr>
              <w:t>''''''''''</w:t>
            </w:r>
            <w:r w:rsidRPr="00402D18">
              <w:t>)</w:t>
            </w:r>
          </w:p>
        </w:tc>
        <w:tc>
          <w:tcPr>
            <w:tcW w:w="1559" w:type="dxa"/>
            <w:vMerge w:val="restart"/>
          </w:tcPr>
          <w:p w:rsidR="004673C4" w:rsidRPr="00402D18" w:rsidRDefault="005D7DE1" w:rsidP="003845B4">
            <w:pPr>
              <w:pStyle w:val="Tabletext"/>
              <w:keepNext/>
              <w:keepLines/>
              <w:ind w:left="-57" w:right="-57"/>
              <w:jc w:val="center"/>
              <w:rPr>
                <w:b/>
              </w:rPr>
            </w:pPr>
            <w:r>
              <w:rPr>
                <w:b/>
                <w:noProof/>
                <w:color w:val="000000"/>
                <w:highlight w:val="black"/>
              </w:rPr>
              <w:t>'''''''''</w:t>
            </w:r>
            <w:r w:rsidR="004673C4" w:rsidRPr="00402D18">
              <w:rPr>
                <w:b/>
              </w:rPr>
              <w:t xml:space="preserve"> [</w:t>
            </w:r>
            <w:r>
              <w:rPr>
                <w:b/>
                <w:noProof/>
                <w:color w:val="000000"/>
                <w:highlight w:val="black"/>
              </w:rPr>
              <w:t>''''''''</w:t>
            </w:r>
            <w:r w:rsidR="004673C4" w:rsidRPr="00402D18">
              <w:rPr>
                <w:b/>
              </w:rPr>
              <w:t xml:space="preserve">, </w:t>
            </w:r>
            <w:r>
              <w:rPr>
                <w:b/>
                <w:noProof/>
                <w:color w:val="000000"/>
                <w:highlight w:val="black"/>
              </w:rPr>
              <w:t>'''''''''''</w:t>
            </w:r>
            <w:r w:rsidR="004673C4" w:rsidRPr="00402D18">
              <w:rPr>
                <w:b/>
              </w:rPr>
              <w:t>]</w:t>
            </w:r>
          </w:p>
          <w:p w:rsidR="004673C4" w:rsidRPr="00402D18" w:rsidRDefault="004673C4" w:rsidP="003845B4">
            <w:pPr>
              <w:pStyle w:val="Tabletext"/>
              <w:keepNext/>
              <w:keepLines/>
              <w:ind w:left="-57" w:right="-57"/>
              <w:jc w:val="center"/>
            </w:pPr>
            <w:r w:rsidRPr="00402D18">
              <w:t>I</w:t>
            </w:r>
            <w:r w:rsidRPr="00402D18">
              <w:rPr>
                <w:vertAlign w:val="superscript"/>
              </w:rPr>
              <w:t>2</w:t>
            </w:r>
            <w:r w:rsidRPr="00402D18">
              <w:t xml:space="preserve"> =</w:t>
            </w:r>
            <w:r w:rsidRPr="00402D18">
              <w:rPr>
                <w:vertAlign w:val="superscript"/>
              </w:rPr>
              <w:t xml:space="preserve"> </w:t>
            </w:r>
            <w:r w:rsidR="005D7DE1">
              <w:rPr>
                <w:noProof/>
                <w:color w:val="000000"/>
                <w:highlight w:val="black"/>
              </w:rPr>
              <w:t>''''</w:t>
            </w:r>
            <w:r w:rsidRPr="00402D18">
              <w:t xml:space="preserve">% (P = </w:t>
            </w:r>
            <w:r w:rsidR="005D7DE1">
              <w:rPr>
                <w:noProof/>
                <w:color w:val="000000"/>
                <w:highlight w:val="black"/>
              </w:rPr>
              <w:t>'''''''''''</w:t>
            </w:r>
            <w:r w:rsidRPr="00402D18">
              <w:t>)</w:t>
            </w:r>
          </w:p>
        </w:tc>
      </w:tr>
      <w:tr w:rsidR="004673C4" w:rsidRPr="00402D18" w:rsidTr="004673C4">
        <w:trPr>
          <w:trHeight w:val="229"/>
        </w:trPr>
        <w:tc>
          <w:tcPr>
            <w:tcW w:w="2122" w:type="dxa"/>
            <w:vMerge/>
            <w:tcBorders>
              <w:bottom w:val="single" w:sz="4" w:space="0" w:color="auto"/>
            </w:tcBorders>
            <w:vAlign w:val="center"/>
          </w:tcPr>
          <w:p w:rsidR="004673C4" w:rsidRPr="00402D18" w:rsidRDefault="004673C4" w:rsidP="003845B4">
            <w:pPr>
              <w:pStyle w:val="Tabletext"/>
              <w:keepNext/>
              <w:keepLines/>
            </w:pPr>
          </w:p>
        </w:tc>
        <w:tc>
          <w:tcPr>
            <w:tcW w:w="992" w:type="dxa"/>
            <w:tcBorders>
              <w:bottom w:val="single" w:sz="4" w:space="0" w:color="auto"/>
            </w:tcBorders>
            <w:vAlign w:val="center"/>
          </w:tcPr>
          <w:p w:rsidR="004673C4" w:rsidRPr="00402D18" w:rsidRDefault="004673C4" w:rsidP="003845B4">
            <w:pPr>
              <w:pStyle w:val="Tabletext"/>
              <w:keepNext/>
              <w:keepLines/>
            </w:pPr>
            <w:r w:rsidRPr="00402D18">
              <w:t>HARRIER</w:t>
            </w:r>
          </w:p>
        </w:tc>
        <w:tc>
          <w:tcPr>
            <w:tcW w:w="1417" w:type="dxa"/>
            <w:tcBorders>
              <w:bottom w:val="single" w:sz="4" w:space="0" w:color="auto"/>
            </w:tcBorders>
            <w:vAlign w:val="center"/>
          </w:tcPr>
          <w:p w:rsidR="004673C4" w:rsidRPr="00402D18" w:rsidRDefault="005D7DE1" w:rsidP="003845B4">
            <w:pPr>
              <w:pStyle w:val="Tabletext"/>
              <w:keepNext/>
              <w:keepLines/>
              <w:ind w:left="-57" w:right="-57"/>
              <w:jc w:val="center"/>
              <w:rPr>
                <w:rFonts w:ascii="Times" w:hAnsi="Times"/>
              </w:rPr>
            </w:pPr>
            <w:r>
              <w:rPr>
                <w:noProof/>
                <w:color w:val="000000"/>
                <w:szCs w:val="20"/>
                <w:highlight w:val="black"/>
              </w:rPr>
              <w:t>''''''</w:t>
            </w:r>
            <w:r w:rsidR="004673C4" w:rsidRPr="00402D18">
              <w:rPr>
                <w:szCs w:val="20"/>
              </w:rPr>
              <w:t>/370 (</w:t>
            </w:r>
            <w:r>
              <w:rPr>
                <w:noProof/>
                <w:color w:val="000000"/>
                <w:szCs w:val="20"/>
                <w:highlight w:val="black"/>
              </w:rPr>
              <w:t>'''''''</w:t>
            </w:r>
            <w:r w:rsidR="004673C4" w:rsidRPr="00402D18">
              <w:rPr>
                <w:szCs w:val="20"/>
              </w:rPr>
              <w:t>%)</w:t>
            </w:r>
          </w:p>
        </w:tc>
        <w:tc>
          <w:tcPr>
            <w:tcW w:w="1418" w:type="dxa"/>
            <w:tcBorders>
              <w:bottom w:val="single" w:sz="4" w:space="0" w:color="auto"/>
            </w:tcBorders>
            <w:vAlign w:val="center"/>
          </w:tcPr>
          <w:p w:rsidR="004673C4" w:rsidRPr="00402D18" w:rsidRDefault="005D7DE1" w:rsidP="003845B4">
            <w:pPr>
              <w:pStyle w:val="Tabletext"/>
              <w:keepNext/>
              <w:keepLines/>
              <w:ind w:left="-57" w:right="-57"/>
              <w:jc w:val="center"/>
              <w:rPr>
                <w:rFonts w:ascii="Times" w:hAnsi="Times"/>
              </w:rPr>
            </w:pPr>
            <w:r>
              <w:rPr>
                <w:noProof/>
                <w:color w:val="000000"/>
                <w:szCs w:val="20"/>
                <w:highlight w:val="black"/>
              </w:rPr>
              <w:t>''''</w:t>
            </w:r>
            <w:r w:rsidR="004673C4" w:rsidRPr="00402D18">
              <w:rPr>
                <w:szCs w:val="20"/>
              </w:rPr>
              <w:t>/369 (</w:t>
            </w:r>
            <w:r>
              <w:rPr>
                <w:noProof/>
                <w:color w:val="000000"/>
                <w:szCs w:val="20"/>
                <w:highlight w:val="black"/>
              </w:rPr>
              <w:t>''''''''</w:t>
            </w:r>
            <w:r w:rsidR="004673C4" w:rsidRPr="00402D18">
              <w:rPr>
                <w:szCs w:val="20"/>
              </w:rPr>
              <w:t>%)</w:t>
            </w:r>
          </w:p>
        </w:tc>
        <w:tc>
          <w:tcPr>
            <w:tcW w:w="1559" w:type="dxa"/>
            <w:vMerge/>
            <w:tcBorders>
              <w:bottom w:val="single" w:sz="4" w:space="0" w:color="auto"/>
            </w:tcBorders>
            <w:shd w:val="clear" w:color="auto" w:fill="auto"/>
            <w:vAlign w:val="center"/>
          </w:tcPr>
          <w:p w:rsidR="004673C4" w:rsidRPr="00402D18" w:rsidRDefault="004673C4" w:rsidP="003845B4">
            <w:pPr>
              <w:pStyle w:val="Tabletext"/>
              <w:keepNext/>
              <w:keepLines/>
              <w:ind w:left="-57" w:right="-57"/>
              <w:jc w:val="center"/>
              <w:rPr>
                <w:rFonts w:ascii="Times" w:hAnsi="Times"/>
              </w:rPr>
            </w:pPr>
          </w:p>
        </w:tc>
        <w:tc>
          <w:tcPr>
            <w:tcW w:w="1559" w:type="dxa"/>
            <w:vMerge/>
            <w:tcBorders>
              <w:bottom w:val="single" w:sz="4" w:space="0" w:color="auto"/>
            </w:tcBorders>
            <w:shd w:val="clear" w:color="auto" w:fill="auto"/>
            <w:vAlign w:val="center"/>
          </w:tcPr>
          <w:p w:rsidR="004673C4" w:rsidRPr="00402D18" w:rsidRDefault="004673C4" w:rsidP="003845B4">
            <w:pPr>
              <w:pStyle w:val="Tabletext"/>
              <w:keepNext/>
              <w:keepLines/>
              <w:ind w:left="-57" w:right="-57"/>
              <w:jc w:val="center"/>
              <w:rPr>
                <w:rFonts w:ascii="Times" w:hAnsi="Times"/>
              </w:rPr>
            </w:pPr>
          </w:p>
        </w:tc>
      </w:tr>
      <w:tr w:rsidR="004673C4" w:rsidRPr="00D064C0" w:rsidTr="004673C4">
        <w:tc>
          <w:tcPr>
            <w:tcW w:w="9067" w:type="dxa"/>
            <w:gridSpan w:val="6"/>
            <w:vAlign w:val="center"/>
          </w:tcPr>
          <w:p w:rsidR="004673C4" w:rsidRPr="00D064C0" w:rsidRDefault="004673C4" w:rsidP="003845B4">
            <w:pPr>
              <w:pStyle w:val="Tabletext"/>
              <w:keepNext/>
              <w:keepLines/>
              <w:ind w:left="-57" w:right="-57"/>
              <w:rPr>
                <w:b/>
              </w:rPr>
            </w:pPr>
            <w:r w:rsidRPr="00D064C0">
              <w:rPr>
                <w:b/>
              </w:rPr>
              <w:t>Non-ocular AEs overall</w:t>
            </w:r>
          </w:p>
        </w:tc>
      </w:tr>
      <w:tr w:rsidR="004673C4" w:rsidRPr="00D064C0" w:rsidTr="004673C4">
        <w:tc>
          <w:tcPr>
            <w:tcW w:w="2122" w:type="dxa"/>
            <w:vMerge w:val="restart"/>
            <w:vAlign w:val="center"/>
          </w:tcPr>
          <w:p w:rsidR="004673C4" w:rsidRPr="00D064C0" w:rsidRDefault="004673C4" w:rsidP="003845B4">
            <w:pPr>
              <w:pStyle w:val="Tabletext"/>
              <w:keepNext/>
              <w:keepLines/>
            </w:pPr>
            <w:r w:rsidRPr="00D064C0">
              <w:t xml:space="preserve">Any AEs </w:t>
            </w:r>
          </w:p>
        </w:tc>
        <w:tc>
          <w:tcPr>
            <w:tcW w:w="992" w:type="dxa"/>
            <w:vAlign w:val="center"/>
          </w:tcPr>
          <w:p w:rsidR="004673C4" w:rsidRPr="00D064C0" w:rsidRDefault="004673C4" w:rsidP="003845B4">
            <w:pPr>
              <w:pStyle w:val="Tabletext"/>
              <w:keepNext/>
              <w:keepLines/>
              <w:rPr>
                <w:rFonts w:ascii="Times" w:hAnsi="Times"/>
              </w:rPr>
            </w:pPr>
            <w:r w:rsidRPr="00D064C0">
              <w:t>HAWK</w:t>
            </w:r>
          </w:p>
        </w:tc>
        <w:tc>
          <w:tcPr>
            <w:tcW w:w="1417" w:type="dxa"/>
            <w:vAlign w:val="center"/>
          </w:tcPr>
          <w:p w:rsidR="004673C4" w:rsidRPr="00D064C0" w:rsidRDefault="004673C4" w:rsidP="003845B4">
            <w:pPr>
              <w:pStyle w:val="Tabletext"/>
              <w:keepNext/>
              <w:keepLines/>
              <w:ind w:left="-57" w:right="-57"/>
              <w:jc w:val="center"/>
              <w:rPr>
                <w:rFonts w:ascii="Times" w:hAnsi="Times"/>
              </w:rPr>
            </w:pPr>
            <w:r w:rsidRPr="00D064C0">
              <w:rPr>
                <w:szCs w:val="20"/>
              </w:rPr>
              <w:t>289/360 (80.3%)</w:t>
            </w:r>
          </w:p>
        </w:tc>
        <w:tc>
          <w:tcPr>
            <w:tcW w:w="1418" w:type="dxa"/>
            <w:vAlign w:val="center"/>
          </w:tcPr>
          <w:p w:rsidR="004673C4" w:rsidRPr="00D064C0" w:rsidRDefault="004673C4" w:rsidP="003845B4">
            <w:pPr>
              <w:pStyle w:val="Tabletext"/>
              <w:keepNext/>
              <w:keepLines/>
              <w:ind w:left="-57" w:right="-57"/>
              <w:jc w:val="center"/>
              <w:rPr>
                <w:rFonts w:ascii="Times" w:hAnsi="Times"/>
              </w:rPr>
            </w:pPr>
            <w:r w:rsidRPr="00D064C0">
              <w:rPr>
                <w:szCs w:val="20"/>
              </w:rPr>
              <w:t>303/360 (84.2%)</w:t>
            </w:r>
          </w:p>
        </w:tc>
        <w:tc>
          <w:tcPr>
            <w:tcW w:w="1559" w:type="dxa"/>
            <w:vMerge w:val="restart"/>
          </w:tcPr>
          <w:p w:rsidR="004673C4" w:rsidRPr="00D064C0" w:rsidRDefault="004673C4" w:rsidP="003845B4">
            <w:pPr>
              <w:pStyle w:val="Tabletext"/>
              <w:keepNext/>
              <w:keepLines/>
              <w:ind w:left="-57" w:right="-57"/>
              <w:jc w:val="center"/>
              <w:rPr>
                <w:rFonts w:ascii="Times" w:hAnsi="Times"/>
              </w:rPr>
            </w:pPr>
            <w:r w:rsidRPr="00D064C0">
              <w:t>-0.01 [-0.07, 0.05]</w:t>
            </w:r>
          </w:p>
          <w:p w:rsidR="004673C4" w:rsidRPr="00D064C0" w:rsidRDefault="004673C4" w:rsidP="003845B4">
            <w:pPr>
              <w:pStyle w:val="Tabletext"/>
              <w:keepNext/>
              <w:keepLines/>
              <w:ind w:left="-57" w:right="-57"/>
              <w:jc w:val="center"/>
              <w:rPr>
                <w:rFonts w:ascii="Times" w:hAnsi="Times"/>
              </w:rPr>
            </w:pPr>
            <w:r w:rsidRPr="00D064C0">
              <w:t>I</w:t>
            </w:r>
            <w:r w:rsidRPr="00D064C0">
              <w:rPr>
                <w:vertAlign w:val="superscript"/>
              </w:rPr>
              <w:t>2</w:t>
            </w:r>
            <w:r w:rsidRPr="00D064C0">
              <w:t xml:space="preserve"> =</w:t>
            </w:r>
            <w:r w:rsidRPr="00D064C0">
              <w:rPr>
                <w:vertAlign w:val="superscript"/>
              </w:rPr>
              <w:t xml:space="preserve"> </w:t>
            </w:r>
            <w:r w:rsidRPr="00D064C0">
              <w:t>56% (P = 0.13)</w:t>
            </w:r>
          </w:p>
        </w:tc>
        <w:tc>
          <w:tcPr>
            <w:tcW w:w="1559" w:type="dxa"/>
            <w:vMerge w:val="restart"/>
          </w:tcPr>
          <w:p w:rsidR="004673C4" w:rsidRPr="00D064C0" w:rsidRDefault="004673C4" w:rsidP="003845B4">
            <w:pPr>
              <w:keepNext/>
              <w:keepLines/>
              <w:ind w:left="-57" w:right="-57"/>
              <w:jc w:val="center"/>
              <w:rPr>
                <w:rFonts w:ascii="Times" w:hAnsi="Times"/>
              </w:rPr>
            </w:pPr>
            <w:r w:rsidRPr="00D064C0">
              <w:rPr>
                <w:rFonts w:ascii="Arial Narrow" w:hAnsi="Arial Narrow" w:cs="Times New Roman"/>
                <w:snapToGrid/>
                <w:sz w:val="20"/>
              </w:rPr>
              <w:t>0.99 [0.91, 1.07]</w:t>
            </w:r>
          </w:p>
          <w:p w:rsidR="004673C4" w:rsidRPr="00D064C0" w:rsidRDefault="004673C4" w:rsidP="003845B4">
            <w:pPr>
              <w:pStyle w:val="Tabletext"/>
              <w:keepNext/>
              <w:keepLines/>
              <w:ind w:left="-57" w:right="-57"/>
              <w:jc w:val="center"/>
              <w:rPr>
                <w:rFonts w:ascii="Times" w:hAnsi="Times"/>
              </w:rPr>
            </w:pPr>
            <w:r w:rsidRPr="00D064C0">
              <w:t>I</w:t>
            </w:r>
            <w:r w:rsidRPr="00D064C0">
              <w:rPr>
                <w:vertAlign w:val="superscript"/>
              </w:rPr>
              <w:t>2</w:t>
            </w:r>
            <w:r w:rsidRPr="00D064C0">
              <w:t xml:space="preserve"> =</w:t>
            </w:r>
            <w:r w:rsidRPr="00D064C0">
              <w:rPr>
                <w:vertAlign w:val="superscript"/>
              </w:rPr>
              <w:t xml:space="preserve"> </w:t>
            </w:r>
            <w:r w:rsidRPr="00D064C0">
              <w:t>55% (P = 0.14)</w:t>
            </w:r>
          </w:p>
        </w:tc>
      </w:tr>
      <w:tr w:rsidR="004673C4" w:rsidRPr="00D064C0" w:rsidTr="004673C4">
        <w:tc>
          <w:tcPr>
            <w:tcW w:w="2122" w:type="dxa"/>
            <w:vMerge/>
            <w:tcBorders>
              <w:bottom w:val="single" w:sz="4" w:space="0" w:color="auto"/>
            </w:tcBorders>
            <w:vAlign w:val="center"/>
          </w:tcPr>
          <w:p w:rsidR="004673C4" w:rsidRPr="00D064C0" w:rsidRDefault="004673C4" w:rsidP="003845B4">
            <w:pPr>
              <w:pStyle w:val="Tabletext"/>
              <w:keepNext/>
              <w:keepLines/>
            </w:pPr>
          </w:p>
        </w:tc>
        <w:tc>
          <w:tcPr>
            <w:tcW w:w="992" w:type="dxa"/>
            <w:tcBorders>
              <w:bottom w:val="single" w:sz="4" w:space="0" w:color="auto"/>
            </w:tcBorders>
            <w:vAlign w:val="center"/>
          </w:tcPr>
          <w:p w:rsidR="004673C4" w:rsidRPr="00D064C0" w:rsidRDefault="004673C4" w:rsidP="003845B4">
            <w:pPr>
              <w:pStyle w:val="Tabletext"/>
              <w:keepNext/>
              <w:keepLines/>
              <w:rPr>
                <w:rFonts w:ascii="Times" w:hAnsi="Times"/>
              </w:rPr>
            </w:pPr>
            <w:r w:rsidRPr="00D064C0">
              <w:t>HARRIER</w:t>
            </w:r>
          </w:p>
        </w:tc>
        <w:tc>
          <w:tcPr>
            <w:tcW w:w="1417" w:type="dxa"/>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r w:rsidRPr="00D064C0">
              <w:rPr>
                <w:szCs w:val="20"/>
              </w:rPr>
              <w:t>282/370 (76.2%)</w:t>
            </w:r>
          </w:p>
        </w:tc>
        <w:tc>
          <w:tcPr>
            <w:tcW w:w="1418" w:type="dxa"/>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r w:rsidRPr="00D064C0">
              <w:rPr>
                <w:szCs w:val="20"/>
              </w:rPr>
              <w:t>272/369 (73.7%)</w:t>
            </w:r>
          </w:p>
        </w:tc>
        <w:tc>
          <w:tcPr>
            <w:tcW w:w="1559" w:type="dxa"/>
            <w:vMerge/>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p>
        </w:tc>
        <w:tc>
          <w:tcPr>
            <w:tcW w:w="1559" w:type="dxa"/>
            <w:vMerge/>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p>
        </w:tc>
      </w:tr>
      <w:tr w:rsidR="004673C4" w:rsidRPr="00D064C0" w:rsidTr="004673C4">
        <w:tc>
          <w:tcPr>
            <w:tcW w:w="2122" w:type="dxa"/>
            <w:vMerge w:val="restart"/>
            <w:vAlign w:val="center"/>
          </w:tcPr>
          <w:p w:rsidR="004673C4" w:rsidRPr="00402D18" w:rsidRDefault="004673C4" w:rsidP="003845B4">
            <w:pPr>
              <w:pStyle w:val="Tabletext"/>
              <w:keepNext/>
              <w:keepLines/>
              <w:rPr>
                <w:rFonts w:ascii="Times" w:hAnsi="Times"/>
              </w:rPr>
            </w:pPr>
            <w:r w:rsidRPr="00402D18">
              <w:t xml:space="preserve">AEs resulting in discontinuation </w:t>
            </w:r>
          </w:p>
        </w:tc>
        <w:tc>
          <w:tcPr>
            <w:tcW w:w="992" w:type="dxa"/>
            <w:vAlign w:val="center"/>
          </w:tcPr>
          <w:p w:rsidR="004673C4" w:rsidRPr="00402D18" w:rsidRDefault="004673C4" w:rsidP="003845B4">
            <w:pPr>
              <w:pStyle w:val="Tabletext"/>
              <w:keepNext/>
              <w:keepLines/>
              <w:rPr>
                <w:rFonts w:ascii="Times" w:hAnsi="Times"/>
              </w:rPr>
            </w:pPr>
            <w:r w:rsidRPr="00402D18">
              <w:t>HAWK</w:t>
            </w:r>
          </w:p>
        </w:tc>
        <w:tc>
          <w:tcPr>
            <w:tcW w:w="1417" w:type="dxa"/>
            <w:vAlign w:val="center"/>
          </w:tcPr>
          <w:p w:rsidR="004673C4" w:rsidRPr="00402D18" w:rsidRDefault="005D7DE1" w:rsidP="003845B4">
            <w:pPr>
              <w:pStyle w:val="Tabletext"/>
              <w:keepNext/>
              <w:keepLines/>
              <w:ind w:left="-57" w:right="-57"/>
              <w:jc w:val="center"/>
              <w:rPr>
                <w:rFonts w:ascii="Times" w:hAnsi="Times"/>
              </w:rPr>
            </w:pPr>
            <w:r>
              <w:rPr>
                <w:noProof/>
                <w:color w:val="000000"/>
                <w:szCs w:val="20"/>
                <w:highlight w:val="black"/>
              </w:rPr>
              <w:t>'''</w:t>
            </w:r>
            <w:r w:rsidR="004673C4" w:rsidRPr="00402D18">
              <w:rPr>
                <w:szCs w:val="20"/>
              </w:rPr>
              <w:t>/360 (</w:t>
            </w:r>
            <w:r>
              <w:rPr>
                <w:noProof/>
                <w:color w:val="000000"/>
                <w:szCs w:val="20"/>
                <w:highlight w:val="black"/>
              </w:rPr>
              <w:t>'''''''''</w:t>
            </w:r>
            <w:r w:rsidR="004673C4" w:rsidRPr="00402D18">
              <w:rPr>
                <w:szCs w:val="20"/>
              </w:rPr>
              <w:t>%)</w:t>
            </w:r>
          </w:p>
        </w:tc>
        <w:tc>
          <w:tcPr>
            <w:tcW w:w="1418" w:type="dxa"/>
            <w:vAlign w:val="center"/>
          </w:tcPr>
          <w:p w:rsidR="004673C4" w:rsidRPr="00402D18" w:rsidRDefault="005D7DE1" w:rsidP="003845B4">
            <w:pPr>
              <w:pStyle w:val="Tabletext"/>
              <w:keepNext/>
              <w:keepLines/>
              <w:ind w:left="-57" w:right="-57"/>
              <w:jc w:val="center"/>
              <w:rPr>
                <w:rFonts w:ascii="Times" w:hAnsi="Times"/>
              </w:rPr>
            </w:pPr>
            <w:r>
              <w:rPr>
                <w:noProof/>
                <w:color w:val="000000"/>
                <w:szCs w:val="20"/>
                <w:highlight w:val="black"/>
              </w:rPr>
              <w:t>'''''</w:t>
            </w:r>
            <w:r w:rsidR="004673C4" w:rsidRPr="00402D18">
              <w:rPr>
                <w:szCs w:val="20"/>
              </w:rPr>
              <w:t>/360 (</w:t>
            </w:r>
            <w:r>
              <w:rPr>
                <w:noProof/>
                <w:color w:val="000000"/>
                <w:szCs w:val="20"/>
                <w:highlight w:val="black"/>
              </w:rPr>
              <w:t>'''''''</w:t>
            </w:r>
            <w:r w:rsidR="004673C4" w:rsidRPr="00402D18">
              <w:rPr>
                <w:szCs w:val="20"/>
              </w:rPr>
              <w:t>%)</w:t>
            </w:r>
          </w:p>
        </w:tc>
        <w:tc>
          <w:tcPr>
            <w:tcW w:w="1559" w:type="dxa"/>
            <w:vMerge w:val="restart"/>
          </w:tcPr>
          <w:p w:rsidR="004673C4" w:rsidRPr="00402D18" w:rsidRDefault="005D7DE1" w:rsidP="003845B4">
            <w:pPr>
              <w:pStyle w:val="Tabletext"/>
              <w:keepNext/>
              <w:keepLines/>
              <w:ind w:left="-57" w:right="-57"/>
              <w:jc w:val="center"/>
              <w:rPr>
                <w:rFonts w:ascii="Times" w:hAnsi="Times"/>
              </w:rPr>
            </w:pPr>
            <w:r>
              <w:rPr>
                <w:noProof/>
                <w:color w:val="000000"/>
                <w:highlight w:val="black"/>
              </w:rPr>
              <w:t>''''''''''</w:t>
            </w:r>
            <w:r w:rsidR="004673C4" w:rsidRPr="00402D18">
              <w:t xml:space="preserve"> [</w:t>
            </w:r>
            <w:r>
              <w:rPr>
                <w:noProof/>
                <w:color w:val="000000"/>
                <w:highlight w:val="black"/>
              </w:rPr>
              <w:t>''''''''''''''</w:t>
            </w:r>
            <w:r w:rsidR="004673C4" w:rsidRPr="00402D18">
              <w:t xml:space="preserve">, </w:t>
            </w:r>
            <w:r>
              <w:rPr>
                <w:noProof/>
                <w:color w:val="000000"/>
                <w:highlight w:val="black"/>
              </w:rPr>
              <w:t>''''''''''''</w:t>
            </w:r>
            <w:r w:rsidR="004673C4" w:rsidRPr="00402D18">
              <w:t>]</w:t>
            </w:r>
          </w:p>
          <w:p w:rsidR="004673C4" w:rsidRPr="00402D18" w:rsidRDefault="004673C4" w:rsidP="003845B4">
            <w:pPr>
              <w:pStyle w:val="Tabletext"/>
              <w:keepNext/>
              <w:keepLines/>
              <w:ind w:left="-57" w:right="-57"/>
              <w:jc w:val="center"/>
              <w:rPr>
                <w:rFonts w:ascii="Times" w:hAnsi="Times"/>
              </w:rPr>
            </w:pPr>
            <w:r w:rsidRPr="00402D18">
              <w:t>I</w:t>
            </w:r>
            <w:r w:rsidRPr="00402D18">
              <w:rPr>
                <w:vertAlign w:val="superscript"/>
              </w:rPr>
              <w:t>2</w:t>
            </w:r>
            <w:r w:rsidRPr="00402D18">
              <w:t xml:space="preserve"> =</w:t>
            </w:r>
            <w:r w:rsidRPr="00402D18">
              <w:rPr>
                <w:vertAlign w:val="superscript"/>
              </w:rPr>
              <w:t xml:space="preserve"> </w:t>
            </w:r>
            <w:r w:rsidR="005D7DE1">
              <w:rPr>
                <w:noProof/>
                <w:color w:val="000000"/>
                <w:highlight w:val="black"/>
              </w:rPr>
              <w:t>'''''</w:t>
            </w:r>
            <w:r w:rsidRPr="00402D18">
              <w:t xml:space="preserve">% (P = </w:t>
            </w:r>
            <w:r w:rsidR="005D7DE1">
              <w:rPr>
                <w:noProof/>
                <w:color w:val="000000"/>
                <w:highlight w:val="black"/>
              </w:rPr>
              <w:t>''''''''''</w:t>
            </w:r>
            <w:r w:rsidRPr="00402D18">
              <w:t>)</w:t>
            </w:r>
          </w:p>
        </w:tc>
        <w:tc>
          <w:tcPr>
            <w:tcW w:w="1559" w:type="dxa"/>
            <w:vMerge w:val="restart"/>
          </w:tcPr>
          <w:p w:rsidR="004673C4" w:rsidRPr="00402D18" w:rsidRDefault="005D7DE1" w:rsidP="003845B4">
            <w:pPr>
              <w:pStyle w:val="Tabletext"/>
              <w:keepNext/>
              <w:keepLines/>
              <w:ind w:left="-57" w:right="-57"/>
              <w:jc w:val="center"/>
            </w:pPr>
            <w:r>
              <w:rPr>
                <w:noProof/>
                <w:color w:val="000000"/>
                <w:highlight w:val="black"/>
              </w:rPr>
              <w:t>''''''''''</w:t>
            </w:r>
            <w:r w:rsidR="004673C4" w:rsidRPr="00402D18">
              <w:t xml:space="preserve"> [</w:t>
            </w:r>
            <w:r>
              <w:rPr>
                <w:noProof/>
                <w:color w:val="000000"/>
                <w:highlight w:val="black"/>
              </w:rPr>
              <w:t>''''''''''</w:t>
            </w:r>
            <w:r w:rsidR="004673C4" w:rsidRPr="00402D18">
              <w:t xml:space="preserve">, </w:t>
            </w:r>
            <w:r>
              <w:rPr>
                <w:noProof/>
                <w:color w:val="000000"/>
                <w:highlight w:val="black"/>
              </w:rPr>
              <w:t>''''''''''</w:t>
            </w:r>
            <w:r w:rsidR="004673C4" w:rsidRPr="00402D18">
              <w:t>]</w:t>
            </w:r>
          </w:p>
          <w:p w:rsidR="004673C4" w:rsidRPr="00402D18" w:rsidRDefault="004673C4" w:rsidP="003845B4">
            <w:pPr>
              <w:pStyle w:val="Tabletext"/>
              <w:keepNext/>
              <w:keepLines/>
              <w:ind w:left="-57" w:right="-57"/>
              <w:jc w:val="center"/>
            </w:pPr>
            <w:r w:rsidRPr="00402D18">
              <w:t>I</w:t>
            </w:r>
            <w:r w:rsidRPr="00402D18">
              <w:rPr>
                <w:vertAlign w:val="superscript"/>
              </w:rPr>
              <w:t>2</w:t>
            </w:r>
            <w:r w:rsidRPr="00402D18">
              <w:t xml:space="preserve"> =</w:t>
            </w:r>
            <w:r w:rsidRPr="00402D18">
              <w:rPr>
                <w:vertAlign w:val="superscript"/>
              </w:rPr>
              <w:t xml:space="preserve"> </w:t>
            </w:r>
            <w:r w:rsidR="005D7DE1">
              <w:rPr>
                <w:noProof/>
                <w:color w:val="000000"/>
                <w:highlight w:val="black"/>
              </w:rPr>
              <w:t>''''''</w:t>
            </w:r>
            <w:r w:rsidRPr="00402D18">
              <w:t xml:space="preserve">% (P = </w:t>
            </w:r>
            <w:r w:rsidR="005D7DE1">
              <w:rPr>
                <w:noProof/>
                <w:color w:val="000000"/>
                <w:highlight w:val="black"/>
              </w:rPr>
              <w:t>''''''''''''</w:t>
            </w:r>
            <w:r w:rsidRPr="00402D18">
              <w:t>)</w:t>
            </w:r>
          </w:p>
        </w:tc>
      </w:tr>
      <w:tr w:rsidR="004673C4" w:rsidRPr="00D064C0" w:rsidTr="004673C4">
        <w:trPr>
          <w:trHeight w:val="229"/>
        </w:trPr>
        <w:tc>
          <w:tcPr>
            <w:tcW w:w="2122" w:type="dxa"/>
            <w:vMerge/>
            <w:tcBorders>
              <w:bottom w:val="single" w:sz="4" w:space="0" w:color="auto"/>
            </w:tcBorders>
            <w:vAlign w:val="center"/>
          </w:tcPr>
          <w:p w:rsidR="004673C4" w:rsidRPr="00402D18" w:rsidRDefault="004673C4" w:rsidP="003845B4">
            <w:pPr>
              <w:pStyle w:val="Tabletext"/>
              <w:keepNext/>
              <w:keepLines/>
            </w:pPr>
          </w:p>
        </w:tc>
        <w:tc>
          <w:tcPr>
            <w:tcW w:w="992" w:type="dxa"/>
            <w:tcBorders>
              <w:bottom w:val="single" w:sz="4" w:space="0" w:color="auto"/>
            </w:tcBorders>
            <w:vAlign w:val="center"/>
          </w:tcPr>
          <w:p w:rsidR="004673C4" w:rsidRPr="00402D18" w:rsidRDefault="004673C4" w:rsidP="003845B4">
            <w:pPr>
              <w:pStyle w:val="Tabletext"/>
              <w:keepNext/>
              <w:keepLines/>
            </w:pPr>
            <w:r w:rsidRPr="00402D18">
              <w:t>HARRIER</w:t>
            </w:r>
          </w:p>
        </w:tc>
        <w:tc>
          <w:tcPr>
            <w:tcW w:w="1417" w:type="dxa"/>
            <w:tcBorders>
              <w:bottom w:val="single" w:sz="4" w:space="0" w:color="auto"/>
            </w:tcBorders>
            <w:vAlign w:val="center"/>
          </w:tcPr>
          <w:p w:rsidR="004673C4" w:rsidRPr="00402D18" w:rsidRDefault="005D7DE1" w:rsidP="003845B4">
            <w:pPr>
              <w:pStyle w:val="Tabletext"/>
              <w:keepNext/>
              <w:keepLines/>
              <w:ind w:left="-57" w:right="-57"/>
              <w:jc w:val="center"/>
              <w:rPr>
                <w:rFonts w:ascii="Times" w:hAnsi="Times"/>
              </w:rPr>
            </w:pPr>
            <w:r>
              <w:rPr>
                <w:noProof/>
                <w:color w:val="000000"/>
                <w:szCs w:val="20"/>
                <w:highlight w:val="black"/>
              </w:rPr>
              <w:t>'''</w:t>
            </w:r>
            <w:r w:rsidR="004673C4" w:rsidRPr="00402D18">
              <w:rPr>
                <w:szCs w:val="20"/>
              </w:rPr>
              <w:t>/370 (</w:t>
            </w:r>
            <w:r>
              <w:rPr>
                <w:noProof/>
                <w:color w:val="000000"/>
                <w:szCs w:val="20"/>
                <w:highlight w:val="black"/>
              </w:rPr>
              <w:t>''''''''</w:t>
            </w:r>
            <w:r w:rsidR="004673C4" w:rsidRPr="00402D18">
              <w:rPr>
                <w:szCs w:val="20"/>
              </w:rPr>
              <w:t>%)</w:t>
            </w:r>
          </w:p>
        </w:tc>
        <w:tc>
          <w:tcPr>
            <w:tcW w:w="1418" w:type="dxa"/>
            <w:tcBorders>
              <w:bottom w:val="single" w:sz="4" w:space="0" w:color="auto"/>
            </w:tcBorders>
            <w:vAlign w:val="center"/>
          </w:tcPr>
          <w:p w:rsidR="004673C4" w:rsidRPr="00402D18" w:rsidRDefault="005D7DE1" w:rsidP="003845B4">
            <w:pPr>
              <w:pStyle w:val="Tabletext"/>
              <w:keepNext/>
              <w:keepLines/>
              <w:ind w:left="-57" w:right="-57"/>
              <w:jc w:val="center"/>
              <w:rPr>
                <w:rFonts w:ascii="Times" w:hAnsi="Times"/>
              </w:rPr>
            </w:pPr>
            <w:r>
              <w:rPr>
                <w:noProof/>
                <w:color w:val="000000"/>
                <w:szCs w:val="20"/>
                <w:highlight w:val="black"/>
              </w:rPr>
              <w:t>''''</w:t>
            </w:r>
            <w:r w:rsidR="004673C4" w:rsidRPr="00402D18">
              <w:rPr>
                <w:szCs w:val="20"/>
              </w:rPr>
              <w:t>/369 (</w:t>
            </w:r>
            <w:r>
              <w:rPr>
                <w:noProof/>
                <w:color w:val="000000"/>
                <w:szCs w:val="20"/>
                <w:highlight w:val="black"/>
              </w:rPr>
              <w:t>''''''''</w:t>
            </w:r>
            <w:r w:rsidR="004673C4" w:rsidRPr="00402D18">
              <w:rPr>
                <w:szCs w:val="20"/>
              </w:rPr>
              <w:t>%)</w:t>
            </w:r>
          </w:p>
        </w:tc>
        <w:tc>
          <w:tcPr>
            <w:tcW w:w="1559" w:type="dxa"/>
            <w:vMerge/>
            <w:tcBorders>
              <w:bottom w:val="single" w:sz="4" w:space="0" w:color="auto"/>
            </w:tcBorders>
            <w:shd w:val="clear" w:color="auto" w:fill="auto"/>
            <w:vAlign w:val="center"/>
          </w:tcPr>
          <w:p w:rsidR="004673C4" w:rsidRPr="00D064C0" w:rsidRDefault="004673C4" w:rsidP="003845B4">
            <w:pPr>
              <w:pStyle w:val="Tabletext"/>
              <w:keepNext/>
              <w:keepLines/>
              <w:ind w:left="-57" w:right="-57"/>
              <w:jc w:val="center"/>
              <w:rPr>
                <w:rFonts w:ascii="Times" w:hAnsi="Times"/>
              </w:rPr>
            </w:pPr>
          </w:p>
        </w:tc>
        <w:tc>
          <w:tcPr>
            <w:tcW w:w="1559" w:type="dxa"/>
            <w:vMerge/>
            <w:tcBorders>
              <w:bottom w:val="single" w:sz="4" w:space="0" w:color="auto"/>
            </w:tcBorders>
            <w:shd w:val="clear" w:color="auto" w:fill="auto"/>
            <w:vAlign w:val="center"/>
          </w:tcPr>
          <w:p w:rsidR="004673C4" w:rsidRPr="00D064C0" w:rsidRDefault="004673C4" w:rsidP="003845B4">
            <w:pPr>
              <w:pStyle w:val="Tabletext"/>
              <w:keepNext/>
              <w:keepLines/>
              <w:ind w:left="-57" w:right="-57"/>
              <w:jc w:val="center"/>
              <w:rPr>
                <w:rFonts w:ascii="Times" w:hAnsi="Times"/>
              </w:rPr>
            </w:pPr>
          </w:p>
        </w:tc>
      </w:tr>
      <w:tr w:rsidR="004673C4" w:rsidRPr="00D064C0" w:rsidTr="004673C4">
        <w:tc>
          <w:tcPr>
            <w:tcW w:w="2122" w:type="dxa"/>
            <w:vMerge w:val="restart"/>
            <w:vAlign w:val="center"/>
          </w:tcPr>
          <w:p w:rsidR="004673C4" w:rsidRPr="00D064C0" w:rsidRDefault="004673C4" w:rsidP="003845B4">
            <w:pPr>
              <w:pStyle w:val="Tabletext"/>
              <w:keepNext/>
              <w:keepLines/>
              <w:rPr>
                <w:rFonts w:ascii="Times" w:hAnsi="Times"/>
              </w:rPr>
            </w:pPr>
            <w:r w:rsidRPr="00D064C0">
              <w:t>Non-fatal SAEs</w:t>
            </w:r>
          </w:p>
        </w:tc>
        <w:tc>
          <w:tcPr>
            <w:tcW w:w="992" w:type="dxa"/>
            <w:vAlign w:val="center"/>
          </w:tcPr>
          <w:p w:rsidR="004673C4" w:rsidRPr="00D064C0" w:rsidRDefault="004673C4" w:rsidP="003845B4">
            <w:pPr>
              <w:pStyle w:val="Tabletext"/>
              <w:keepNext/>
              <w:keepLines/>
              <w:rPr>
                <w:rFonts w:ascii="Times" w:hAnsi="Times"/>
              </w:rPr>
            </w:pPr>
            <w:r w:rsidRPr="00D064C0">
              <w:t>HAWK</w:t>
            </w:r>
          </w:p>
        </w:tc>
        <w:tc>
          <w:tcPr>
            <w:tcW w:w="1417" w:type="dxa"/>
            <w:vAlign w:val="center"/>
          </w:tcPr>
          <w:p w:rsidR="004673C4" w:rsidRPr="00D064C0" w:rsidRDefault="004673C4" w:rsidP="003845B4">
            <w:pPr>
              <w:pStyle w:val="Tabletext"/>
              <w:keepNext/>
              <w:keepLines/>
              <w:ind w:left="-57" w:right="-57"/>
              <w:jc w:val="center"/>
              <w:rPr>
                <w:rFonts w:ascii="Times" w:hAnsi="Times"/>
              </w:rPr>
            </w:pPr>
            <w:r w:rsidRPr="00D064C0">
              <w:rPr>
                <w:szCs w:val="20"/>
              </w:rPr>
              <w:t>85/360 (23.6%)</w:t>
            </w:r>
          </w:p>
        </w:tc>
        <w:tc>
          <w:tcPr>
            <w:tcW w:w="1418" w:type="dxa"/>
            <w:vAlign w:val="center"/>
          </w:tcPr>
          <w:p w:rsidR="004673C4" w:rsidRPr="00D064C0" w:rsidRDefault="004673C4" w:rsidP="003845B4">
            <w:pPr>
              <w:pStyle w:val="Tabletext"/>
              <w:keepNext/>
              <w:keepLines/>
              <w:ind w:left="-57" w:right="-57"/>
              <w:jc w:val="center"/>
              <w:rPr>
                <w:rFonts w:ascii="Times" w:hAnsi="Times"/>
              </w:rPr>
            </w:pPr>
            <w:r w:rsidRPr="00D064C0">
              <w:rPr>
                <w:szCs w:val="20"/>
              </w:rPr>
              <w:t>110/360 (30.6%)</w:t>
            </w:r>
          </w:p>
        </w:tc>
        <w:tc>
          <w:tcPr>
            <w:tcW w:w="1559" w:type="dxa"/>
            <w:vMerge w:val="restart"/>
          </w:tcPr>
          <w:p w:rsidR="004673C4" w:rsidRPr="00D064C0" w:rsidRDefault="004673C4" w:rsidP="003845B4">
            <w:pPr>
              <w:pStyle w:val="Tabletext"/>
              <w:keepNext/>
              <w:keepLines/>
              <w:ind w:left="-57" w:right="-57"/>
              <w:jc w:val="center"/>
              <w:rPr>
                <w:rFonts w:ascii="Times" w:hAnsi="Times"/>
                <w:b/>
              </w:rPr>
            </w:pPr>
            <w:r w:rsidRPr="00D064C0">
              <w:rPr>
                <w:b/>
              </w:rPr>
              <w:t>-0.06 [-0.10, -0.01]</w:t>
            </w:r>
          </w:p>
          <w:p w:rsidR="004673C4" w:rsidRPr="00D064C0" w:rsidRDefault="004673C4" w:rsidP="003845B4">
            <w:pPr>
              <w:pStyle w:val="Tabletext"/>
              <w:keepNext/>
              <w:keepLines/>
              <w:ind w:left="-57" w:right="-57"/>
              <w:jc w:val="center"/>
              <w:rPr>
                <w:rFonts w:ascii="Times" w:hAnsi="Times"/>
              </w:rPr>
            </w:pPr>
            <w:r w:rsidRPr="00D064C0">
              <w:t>I</w:t>
            </w:r>
            <w:r w:rsidRPr="00D064C0">
              <w:rPr>
                <w:vertAlign w:val="superscript"/>
              </w:rPr>
              <w:t>2</w:t>
            </w:r>
            <w:r w:rsidRPr="00D064C0">
              <w:t xml:space="preserve"> =</w:t>
            </w:r>
            <w:r w:rsidRPr="00D064C0">
              <w:rPr>
                <w:vertAlign w:val="superscript"/>
              </w:rPr>
              <w:t xml:space="preserve"> </w:t>
            </w:r>
            <w:r w:rsidRPr="00D064C0">
              <w:t>0% (P = 0.56)</w:t>
            </w:r>
          </w:p>
        </w:tc>
        <w:tc>
          <w:tcPr>
            <w:tcW w:w="1559" w:type="dxa"/>
            <w:vMerge w:val="restart"/>
          </w:tcPr>
          <w:p w:rsidR="004673C4" w:rsidRPr="00D064C0" w:rsidRDefault="004673C4" w:rsidP="003845B4">
            <w:pPr>
              <w:pStyle w:val="Tabletext"/>
              <w:keepNext/>
              <w:keepLines/>
              <w:ind w:left="-57" w:right="-57"/>
              <w:jc w:val="center"/>
              <w:rPr>
                <w:b/>
              </w:rPr>
            </w:pPr>
            <w:r w:rsidRPr="00D064C0">
              <w:rPr>
                <w:b/>
              </w:rPr>
              <w:t>0.79 [0.66, 0.95]</w:t>
            </w:r>
          </w:p>
          <w:p w:rsidR="004673C4" w:rsidRPr="00D064C0" w:rsidRDefault="004673C4" w:rsidP="003845B4">
            <w:pPr>
              <w:pStyle w:val="Tabletext"/>
              <w:keepNext/>
              <w:keepLines/>
              <w:ind w:left="-57" w:right="-57"/>
              <w:jc w:val="center"/>
            </w:pPr>
            <w:r w:rsidRPr="00D064C0">
              <w:t>I</w:t>
            </w:r>
            <w:r w:rsidRPr="00D064C0">
              <w:rPr>
                <w:vertAlign w:val="superscript"/>
              </w:rPr>
              <w:t>2</w:t>
            </w:r>
            <w:r w:rsidRPr="00D064C0">
              <w:t xml:space="preserve"> =</w:t>
            </w:r>
            <w:r w:rsidRPr="00D064C0">
              <w:rPr>
                <w:vertAlign w:val="superscript"/>
              </w:rPr>
              <w:t xml:space="preserve"> </w:t>
            </w:r>
            <w:r w:rsidRPr="00D064C0">
              <w:t>0% (P = 0.81)</w:t>
            </w:r>
          </w:p>
        </w:tc>
      </w:tr>
      <w:tr w:rsidR="004673C4" w:rsidRPr="00D064C0" w:rsidTr="004673C4">
        <w:trPr>
          <w:trHeight w:val="229"/>
        </w:trPr>
        <w:tc>
          <w:tcPr>
            <w:tcW w:w="2122" w:type="dxa"/>
            <w:vMerge/>
            <w:tcBorders>
              <w:bottom w:val="single" w:sz="4" w:space="0" w:color="auto"/>
            </w:tcBorders>
            <w:vAlign w:val="center"/>
          </w:tcPr>
          <w:p w:rsidR="004673C4" w:rsidRPr="00D064C0" w:rsidRDefault="004673C4" w:rsidP="003845B4">
            <w:pPr>
              <w:pStyle w:val="Tabletext"/>
              <w:keepNext/>
              <w:keepLines/>
            </w:pPr>
          </w:p>
        </w:tc>
        <w:tc>
          <w:tcPr>
            <w:tcW w:w="992" w:type="dxa"/>
            <w:tcBorders>
              <w:bottom w:val="single" w:sz="4" w:space="0" w:color="auto"/>
            </w:tcBorders>
            <w:vAlign w:val="center"/>
          </w:tcPr>
          <w:p w:rsidR="004673C4" w:rsidRPr="00D064C0" w:rsidRDefault="004673C4" w:rsidP="003845B4">
            <w:pPr>
              <w:pStyle w:val="Tabletext"/>
              <w:keepNext/>
              <w:keepLines/>
            </w:pPr>
            <w:r w:rsidRPr="00D064C0">
              <w:t>HARRIER</w:t>
            </w:r>
          </w:p>
        </w:tc>
        <w:tc>
          <w:tcPr>
            <w:tcW w:w="1417" w:type="dxa"/>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r w:rsidRPr="00D064C0">
              <w:rPr>
                <w:szCs w:val="20"/>
              </w:rPr>
              <w:t>69/370 (18.6%)</w:t>
            </w:r>
          </w:p>
        </w:tc>
        <w:tc>
          <w:tcPr>
            <w:tcW w:w="1418" w:type="dxa"/>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r w:rsidRPr="00D064C0">
              <w:rPr>
                <w:szCs w:val="20"/>
              </w:rPr>
              <w:t>85/369 (23.0%)</w:t>
            </w:r>
          </w:p>
        </w:tc>
        <w:tc>
          <w:tcPr>
            <w:tcW w:w="1559" w:type="dxa"/>
            <w:vMerge/>
            <w:tcBorders>
              <w:bottom w:val="single" w:sz="4" w:space="0" w:color="auto"/>
            </w:tcBorders>
            <w:shd w:val="clear" w:color="auto" w:fill="auto"/>
            <w:vAlign w:val="center"/>
          </w:tcPr>
          <w:p w:rsidR="004673C4" w:rsidRPr="00D064C0" w:rsidRDefault="004673C4" w:rsidP="003845B4">
            <w:pPr>
              <w:pStyle w:val="Tabletext"/>
              <w:keepNext/>
              <w:keepLines/>
              <w:ind w:left="-57" w:right="-57"/>
              <w:jc w:val="center"/>
              <w:rPr>
                <w:rFonts w:ascii="Times" w:hAnsi="Times"/>
              </w:rPr>
            </w:pPr>
          </w:p>
        </w:tc>
        <w:tc>
          <w:tcPr>
            <w:tcW w:w="1559" w:type="dxa"/>
            <w:vMerge/>
            <w:tcBorders>
              <w:bottom w:val="single" w:sz="4" w:space="0" w:color="auto"/>
            </w:tcBorders>
            <w:shd w:val="clear" w:color="auto" w:fill="auto"/>
            <w:vAlign w:val="center"/>
          </w:tcPr>
          <w:p w:rsidR="004673C4" w:rsidRPr="00D064C0" w:rsidRDefault="004673C4" w:rsidP="003845B4">
            <w:pPr>
              <w:pStyle w:val="Tabletext"/>
              <w:keepNext/>
              <w:keepLines/>
              <w:ind w:left="-57" w:right="-57"/>
              <w:jc w:val="center"/>
            </w:pPr>
          </w:p>
        </w:tc>
      </w:tr>
      <w:tr w:rsidR="004673C4" w:rsidRPr="00D064C0" w:rsidTr="004673C4">
        <w:tc>
          <w:tcPr>
            <w:tcW w:w="2122" w:type="dxa"/>
            <w:vMerge w:val="restart"/>
            <w:vAlign w:val="center"/>
          </w:tcPr>
          <w:p w:rsidR="004673C4" w:rsidRPr="00402D18" w:rsidRDefault="004673C4" w:rsidP="003845B4">
            <w:pPr>
              <w:pStyle w:val="Tabletext"/>
              <w:keepNext/>
              <w:keepLines/>
              <w:rPr>
                <w:rFonts w:ascii="Times" w:hAnsi="Times"/>
              </w:rPr>
            </w:pPr>
            <w:r w:rsidRPr="00402D18">
              <w:t>Treatment (procedure)-related non-fatal SAEs</w:t>
            </w:r>
            <w:r w:rsidRPr="00402D18">
              <w:rPr>
                <w:vertAlign w:val="superscript"/>
              </w:rPr>
              <w:t>d</w:t>
            </w:r>
          </w:p>
        </w:tc>
        <w:tc>
          <w:tcPr>
            <w:tcW w:w="992" w:type="dxa"/>
            <w:vAlign w:val="center"/>
          </w:tcPr>
          <w:p w:rsidR="004673C4" w:rsidRPr="00402D18" w:rsidRDefault="004673C4" w:rsidP="003845B4">
            <w:pPr>
              <w:pStyle w:val="Tabletext"/>
              <w:keepNext/>
              <w:keepLines/>
              <w:rPr>
                <w:rFonts w:ascii="Times" w:hAnsi="Times"/>
              </w:rPr>
            </w:pPr>
            <w:r w:rsidRPr="00402D18">
              <w:t>HAWK</w:t>
            </w:r>
          </w:p>
        </w:tc>
        <w:tc>
          <w:tcPr>
            <w:tcW w:w="1417" w:type="dxa"/>
            <w:vAlign w:val="center"/>
          </w:tcPr>
          <w:p w:rsidR="004673C4" w:rsidRPr="00402D18" w:rsidRDefault="005D7DE1" w:rsidP="003845B4">
            <w:pPr>
              <w:pStyle w:val="Tabletext"/>
              <w:keepNext/>
              <w:keepLines/>
              <w:ind w:left="-57" w:right="-57"/>
              <w:jc w:val="center"/>
              <w:rPr>
                <w:rFonts w:ascii="Times" w:hAnsi="Times"/>
              </w:rPr>
            </w:pPr>
            <w:r>
              <w:rPr>
                <w:noProof/>
                <w:color w:val="000000"/>
                <w:szCs w:val="20"/>
                <w:highlight w:val="black"/>
              </w:rPr>
              <w:t>'''</w:t>
            </w:r>
            <w:r w:rsidR="004673C4" w:rsidRPr="00402D18">
              <w:rPr>
                <w:szCs w:val="20"/>
              </w:rPr>
              <w:t>/360 (</w:t>
            </w:r>
            <w:r>
              <w:rPr>
                <w:noProof/>
                <w:color w:val="000000"/>
                <w:szCs w:val="20"/>
                <w:highlight w:val="black"/>
              </w:rPr>
              <w:t>''''</w:t>
            </w:r>
            <w:r w:rsidR="004673C4" w:rsidRPr="00402D18">
              <w:rPr>
                <w:szCs w:val="20"/>
              </w:rPr>
              <w:t>%)</w:t>
            </w:r>
          </w:p>
        </w:tc>
        <w:tc>
          <w:tcPr>
            <w:tcW w:w="1418" w:type="dxa"/>
            <w:vAlign w:val="center"/>
          </w:tcPr>
          <w:p w:rsidR="004673C4" w:rsidRPr="00402D18" w:rsidRDefault="005D7DE1" w:rsidP="003845B4">
            <w:pPr>
              <w:pStyle w:val="Tabletext"/>
              <w:keepNext/>
              <w:keepLines/>
              <w:ind w:left="-57" w:right="-57"/>
              <w:jc w:val="center"/>
              <w:rPr>
                <w:rFonts w:ascii="Times" w:hAnsi="Times"/>
              </w:rPr>
            </w:pPr>
            <w:r>
              <w:rPr>
                <w:noProof/>
                <w:color w:val="000000"/>
                <w:szCs w:val="20"/>
                <w:highlight w:val="black"/>
              </w:rPr>
              <w:t>'''</w:t>
            </w:r>
            <w:r w:rsidR="004673C4" w:rsidRPr="00402D18">
              <w:rPr>
                <w:szCs w:val="20"/>
              </w:rPr>
              <w:t>/360 (</w:t>
            </w:r>
            <w:r>
              <w:rPr>
                <w:noProof/>
                <w:color w:val="000000"/>
                <w:szCs w:val="20"/>
                <w:highlight w:val="black"/>
              </w:rPr>
              <w:t>''''''''</w:t>
            </w:r>
            <w:r w:rsidR="004673C4" w:rsidRPr="00402D18">
              <w:rPr>
                <w:szCs w:val="20"/>
              </w:rPr>
              <w:t>%)</w:t>
            </w:r>
          </w:p>
        </w:tc>
        <w:tc>
          <w:tcPr>
            <w:tcW w:w="1559" w:type="dxa"/>
            <w:vMerge w:val="restart"/>
          </w:tcPr>
          <w:p w:rsidR="004673C4" w:rsidRPr="00402D18" w:rsidRDefault="005D7DE1" w:rsidP="003845B4">
            <w:pPr>
              <w:pStyle w:val="Tabletext"/>
              <w:keepNext/>
              <w:keepLines/>
              <w:ind w:left="-57" w:right="-57"/>
              <w:jc w:val="center"/>
            </w:pPr>
            <w:r>
              <w:rPr>
                <w:noProof/>
                <w:color w:val="000000"/>
                <w:highlight w:val="black"/>
              </w:rPr>
              <w:t>''''''''''''</w:t>
            </w:r>
            <w:r w:rsidR="004673C4" w:rsidRPr="00402D18">
              <w:t xml:space="preserve"> [</w:t>
            </w:r>
            <w:r>
              <w:rPr>
                <w:noProof/>
                <w:color w:val="000000"/>
                <w:highlight w:val="black"/>
              </w:rPr>
              <w:t>'''''''''''</w:t>
            </w:r>
            <w:r w:rsidR="004673C4" w:rsidRPr="00402D18">
              <w:t xml:space="preserve">, </w:t>
            </w:r>
            <w:r>
              <w:rPr>
                <w:noProof/>
                <w:color w:val="000000"/>
                <w:highlight w:val="black"/>
              </w:rPr>
              <w:t>''''''''''</w:t>
            </w:r>
            <w:r w:rsidR="004673C4" w:rsidRPr="00402D18">
              <w:t>]</w:t>
            </w:r>
          </w:p>
          <w:p w:rsidR="004673C4" w:rsidRPr="00402D18" w:rsidRDefault="004673C4" w:rsidP="003845B4">
            <w:pPr>
              <w:pStyle w:val="Tabletext"/>
              <w:keepNext/>
              <w:keepLines/>
              <w:ind w:left="-57" w:right="-57"/>
              <w:jc w:val="center"/>
            </w:pPr>
            <w:r w:rsidRPr="00402D18">
              <w:t>I</w:t>
            </w:r>
            <w:r w:rsidRPr="00402D18">
              <w:rPr>
                <w:vertAlign w:val="superscript"/>
              </w:rPr>
              <w:t>2</w:t>
            </w:r>
            <w:r w:rsidRPr="00402D18">
              <w:t xml:space="preserve"> =</w:t>
            </w:r>
            <w:r w:rsidRPr="00402D18">
              <w:rPr>
                <w:vertAlign w:val="superscript"/>
              </w:rPr>
              <w:t xml:space="preserve"> </w:t>
            </w:r>
            <w:r w:rsidR="005D7DE1">
              <w:rPr>
                <w:noProof/>
                <w:color w:val="000000"/>
                <w:highlight w:val="black"/>
              </w:rPr>
              <w:t>'''''''</w:t>
            </w:r>
            <w:r w:rsidRPr="00402D18">
              <w:t xml:space="preserve">% (P = </w:t>
            </w:r>
            <w:r w:rsidR="005D7DE1">
              <w:rPr>
                <w:noProof/>
                <w:color w:val="000000"/>
                <w:highlight w:val="black"/>
              </w:rPr>
              <w:t>'''''''''''</w:t>
            </w:r>
            <w:r w:rsidRPr="00402D18">
              <w:t>)</w:t>
            </w:r>
          </w:p>
        </w:tc>
        <w:tc>
          <w:tcPr>
            <w:tcW w:w="1559" w:type="dxa"/>
            <w:vMerge w:val="restart"/>
            <w:vAlign w:val="center"/>
          </w:tcPr>
          <w:p w:rsidR="004673C4" w:rsidRPr="00402D18" w:rsidRDefault="005D7DE1" w:rsidP="003845B4">
            <w:pPr>
              <w:pStyle w:val="Tabletext"/>
              <w:keepNext/>
              <w:keepLines/>
              <w:ind w:left="-57" w:right="-57"/>
              <w:jc w:val="center"/>
            </w:pPr>
            <w:r>
              <w:rPr>
                <w:noProof/>
                <w:color w:val="000000"/>
                <w:highlight w:val="black"/>
              </w:rPr>
              <w:t>''''''''''</w:t>
            </w:r>
            <w:r w:rsidR="004673C4" w:rsidRPr="00402D18">
              <w:t xml:space="preserve"> [</w:t>
            </w:r>
            <w:r>
              <w:rPr>
                <w:noProof/>
                <w:color w:val="000000"/>
                <w:highlight w:val="black"/>
              </w:rPr>
              <w:t>''''''''''</w:t>
            </w:r>
            <w:r w:rsidR="004673C4" w:rsidRPr="00402D18">
              <w:t xml:space="preserve">, </w:t>
            </w:r>
            <w:r>
              <w:rPr>
                <w:noProof/>
                <w:color w:val="000000"/>
                <w:highlight w:val="black"/>
              </w:rPr>
              <w:t>''''''''''</w:t>
            </w:r>
            <w:r w:rsidR="004673C4" w:rsidRPr="00402D18">
              <w:t>]</w:t>
            </w:r>
          </w:p>
          <w:p w:rsidR="004673C4" w:rsidRPr="00402D18" w:rsidRDefault="004673C4" w:rsidP="003845B4">
            <w:pPr>
              <w:pStyle w:val="Tabletext"/>
              <w:keepNext/>
              <w:keepLines/>
              <w:ind w:left="-57" w:right="-57"/>
              <w:jc w:val="center"/>
            </w:pPr>
            <w:r w:rsidRPr="00402D18">
              <w:t>I</w:t>
            </w:r>
            <w:r w:rsidRPr="00402D18">
              <w:rPr>
                <w:vertAlign w:val="superscript"/>
              </w:rPr>
              <w:t>2</w:t>
            </w:r>
            <w:r w:rsidRPr="00402D18">
              <w:t xml:space="preserve"> =</w:t>
            </w:r>
            <w:r w:rsidRPr="00402D18">
              <w:rPr>
                <w:vertAlign w:val="superscript"/>
              </w:rPr>
              <w:t xml:space="preserve"> </w:t>
            </w:r>
            <w:r w:rsidR="005D7DE1">
              <w:rPr>
                <w:noProof/>
                <w:color w:val="000000"/>
                <w:highlight w:val="black"/>
              </w:rPr>
              <w:t>'''''''</w:t>
            </w:r>
            <w:r w:rsidRPr="00402D18">
              <w:t xml:space="preserve">% (P = </w:t>
            </w:r>
            <w:r w:rsidR="005D7DE1">
              <w:rPr>
                <w:noProof/>
                <w:color w:val="000000"/>
                <w:highlight w:val="black"/>
              </w:rPr>
              <w:t>''''''''''''</w:t>
            </w:r>
            <w:r w:rsidRPr="00402D18">
              <w:t>)</w:t>
            </w:r>
          </w:p>
        </w:tc>
      </w:tr>
      <w:tr w:rsidR="004673C4" w:rsidRPr="00D064C0" w:rsidTr="004673C4">
        <w:trPr>
          <w:trHeight w:val="229"/>
        </w:trPr>
        <w:tc>
          <w:tcPr>
            <w:tcW w:w="2122" w:type="dxa"/>
            <w:vMerge/>
            <w:tcBorders>
              <w:bottom w:val="single" w:sz="4" w:space="0" w:color="auto"/>
            </w:tcBorders>
            <w:vAlign w:val="center"/>
          </w:tcPr>
          <w:p w:rsidR="004673C4" w:rsidRPr="00402D18" w:rsidRDefault="004673C4" w:rsidP="003845B4">
            <w:pPr>
              <w:pStyle w:val="Tabletext"/>
              <w:keepNext/>
              <w:keepLines/>
            </w:pPr>
          </w:p>
        </w:tc>
        <w:tc>
          <w:tcPr>
            <w:tcW w:w="992" w:type="dxa"/>
            <w:tcBorders>
              <w:bottom w:val="single" w:sz="4" w:space="0" w:color="auto"/>
            </w:tcBorders>
            <w:vAlign w:val="center"/>
          </w:tcPr>
          <w:p w:rsidR="004673C4" w:rsidRPr="00402D18" w:rsidRDefault="004673C4" w:rsidP="003845B4">
            <w:pPr>
              <w:pStyle w:val="Tabletext"/>
              <w:keepNext/>
              <w:keepLines/>
            </w:pPr>
            <w:r w:rsidRPr="00402D18">
              <w:t>HARRIER</w:t>
            </w:r>
          </w:p>
        </w:tc>
        <w:tc>
          <w:tcPr>
            <w:tcW w:w="1417" w:type="dxa"/>
            <w:tcBorders>
              <w:bottom w:val="single" w:sz="4" w:space="0" w:color="auto"/>
            </w:tcBorders>
            <w:vAlign w:val="center"/>
          </w:tcPr>
          <w:p w:rsidR="004673C4" w:rsidRPr="00402D18" w:rsidRDefault="005D7DE1" w:rsidP="003845B4">
            <w:pPr>
              <w:pStyle w:val="Tabletext"/>
              <w:keepNext/>
              <w:keepLines/>
              <w:ind w:left="-57" w:right="-57"/>
              <w:jc w:val="center"/>
              <w:rPr>
                <w:rFonts w:ascii="Times" w:hAnsi="Times"/>
              </w:rPr>
            </w:pPr>
            <w:r>
              <w:rPr>
                <w:noProof/>
                <w:color w:val="000000"/>
                <w:szCs w:val="20"/>
                <w:highlight w:val="black"/>
              </w:rPr>
              <w:t>'''</w:t>
            </w:r>
            <w:r w:rsidR="004673C4" w:rsidRPr="00402D18">
              <w:rPr>
                <w:szCs w:val="20"/>
              </w:rPr>
              <w:t>/370 (</w:t>
            </w:r>
            <w:r>
              <w:rPr>
                <w:noProof/>
                <w:color w:val="000000"/>
                <w:szCs w:val="20"/>
                <w:highlight w:val="black"/>
              </w:rPr>
              <w:t>'''''''''</w:t>
            </w:r>
            <w:r w:rsidR="004673C4" w:rsidRPr="00402D18">
              <w:rPr>
                <w:szCs w:val="20"/>
              </w:rPr>
              <w:t>%)</w:t>
            </w:r>
          </w:p>
        </w:tc>
        <w:tc>
          <w:tcPr>
            <w:tcW w:w="1418" w:type="dxa"/>
            <w:tcBorders>
              <w:bottom w:val="single" w:sz="4" w:space="0" w:color="auto"/>
            </w:tcBorders>
            <w:vAlign w:val="center"/>
          </w:tcPr>
          <w:p w:rsidR="004673C4" w:rsidRPr="00402D18" w:rsidRDefault="005D7DE1" w:rsidP="003845B4">
            <w:pPr>
              <w:pStyle w:val="Tabletext"/>
              <w:keepNext/>
              <w:keepLines/>
              <w:ind w:left="-57" w:right="-57"/>
              <w:jc w:val="center"/>
              <w:rPr>
                <w:rFonts w:ascii="Times" w:hAnsi="Times"/>
              </w:rPr>
            </w:pPr>
            <w:r>
              <w:rPr>
                <w:noProof/>
                <w:color w:val="000000"/>
                <w:szCs w:val="20"/>
                <w:highlight w:val="black"/>
              </w:rPr>
              <w:t>'''</w:t>
            </w:r>
            <w:r w:rsidR="004673C4" w:rsidRPr="00402D18">
              <w:rPr>
                <w:szCs w:val="20"/>
              </w:rPr>
              <w:t>/369 (</w:t>
            </w:r>
            <w:r>
              <w:rPr>
                <w:noProof/>
                <w:color w:val="000000"/>
                <w:szCs w:val="20"/>
                <w:highlight w:val="black"/>
              </w:rPr>
              <w:t>'''''''''</w:t>
            </w:r>
            <w:r w:rsidR="004673C4" w:rsidRPr="00402D18">
              <w:rPr>
                <w:szCs w:val="20"/>
              </w:rPr>
              <w:t>%)</w:t>
            </w:r>
          </w:p>
        </w:tc>
        <w:tc>
          <w:tcPr>
            <w:tcW w:w="1559" w:type="dxa"/>
            <w:vMerge/>
            <w:tcBorders>
              <w:bottom w:val="single" w:sz="4" w:space="0" w:color="auto"/>
            </w:tcBorders>
            <w:shd w:val="clear" w:color="auto" w:fill="auto"/>
            <w:vAlign w:val="center"/>
          </w:tcPr>
          <w:p w:rsidR="004673C4" w:rsidRPr="00402D18" w:rsidRDefault="004673C4" w:rsidP="003845B4">
            <w:pPr>
              <w:pStyle w:val="Tabletext"/>
              <w:keepNext/>
              <w:keepLines/>
              <w:ind w:left="-57" w:right="-57"/>
              <w:jc w:val="center"/>
              <w:rPr>
                <w:rFonts w:ascii="Times" w:hAnsi="Times"/>
              </w:rPr>
            </w:pPr>
          </w:p>
        </w:tc>
        <w:tc>
          <w:tcPr>
            <w:tcW w:w="1559" w:type="dxa"/>
            <w:vMerge/>
            <w:tcBorders>
              <w:bottom w:val="single" w:sz="4" w:space="0" w:color="auto"/>
            </w:tcBorders>
            <w:shd w:val="clear" w:color="auto" w:fill="auto"/>
            <w:vAlign w:val="center"/>
          </w:tcPr>
          <w:p w:rsidR="004673C4" w:rsidRPr="00402D18" w:rsidRDefault="004673C4" w:rsidP="003845B4">
            <w:pPr>
              <w:pStyle w:val="Tabletext"/>
              <w:keepNext/>
              <w:keepLines/>
              <w:ind w:left="-57" w:right="-57"/>
              <w:jc w:val="center"/>
              <w:rPr>
                <w:rFonts w:ascii="Times" w:hAnsi="Times"/>
              </w:rPr>
            </w:pPr>
          </w:p>
        </w:tc>
      </w:tr>
      <w:tr w:rsidR="004673C4" w:rsidRPr="00D064C0" w:rsidTr="004673C4">
        <w:tc>
          <w:tcPr>
            <w:tcW w:w="9067" w:type="dxa"/>
            <w:gridSpan w:val="6"/>
            <w:vAlign w:val="center"/>
          </w:tcPr>
          <w:p w:rsidR="004673C4" w:rsidRPr="00D064C0" w:rsidRDefault="004673C4" w:rsidP="003845B4">
            <w:pPr>
              <w:pStyle w:val="Tabletext"/>
              <w:keepNext/>
              <w:keepLines/>
              <w:ind w:right="-57"/>
              <w:rPr>
                <w:b/>
              </w:rPr>
            </w:pPr>
            <w:r w:rsidRPr="00D064C0">
              <w:rPr>
                <w:b/>
              </w:rPr>
              <w:t>Deaths</w:t>
            </w:r>
          </w:p>
        </w:tc>
      </w:tr>
      <w:tr w:rsidR="004673C4" w:rsidRPr="00D064C0" w:rsidTr="004673C4">
        <w:tc>
          <w:tcPr>
            <w:tcW w:w="2122" w:type="dxa"/>
            <w:vMerge w:val="restart"/>
            <w:vAlign w:val="center"/>
          </w:tcPr>
          <w:p w:rsidR="004673C4" w:rsidRPr="00D064C0" w:rsidRDefault="004673C4" w:rsidP="003845B4">
            <w:pPr>
              <w:pStyle w:val="Tabletext"/>
              <w:keepNext/>
              <w:keepLines/>
            </w:pPr>
            <w:r w:rsidRPr="00D064C0">
              <w:t>Deaths</w:t>
            </w:r>
          </w:p>
        </w:tc>
        <w:tc>
          <w:tcPr>
            <w:tcW w:w="992" w:type="dxa"/>
            <w:vAlign w:val="center"/>
          </w:tcPr>
          <w:p w:rsidR="004673C4" w:rsidRPr="00D064C0" w:rsidRDefault="004673C4" w:rsidP="003845B4">
            <w:pPr>
              <w:pStyle w:val="Tabletext"/>
              <w:keepNext/>
              <w:keepLines/>
              <w:rPr>
                <w:rFonts w:ascii="Times" w:hAnsi="Times"/>
              </w:rPr>
            </w:pPr>
            <w:r w:rsidRPr="00D064C0">
              <w:t>HAWK</w:t>
            </w:r>
          </w:p>
        </w:tc>
        <w:tc>
          <w:tcPr>
            <w:tcW w:w="1417" w:type="dxa"/>
            <w:vAlign w:val="center"/>
          </w:tcPr>
          <w:p w:rsidR="004673C4" w:rsidRPr="00D064C0" w:rsidRDefault="004673C4" w:rsidP="003845B4">
            <w:pPr>
              <w:pStyle w:val="Tabletext"/>
              <w:keepNext/>
              <w:keepLines/>
              <w:ind w:left="-57" w:right="-57"/>
              <w:jc w:val="center"/>
              <w:rPr>
                <w:rFonts w:ascii="Times" w:hAnsi="Times"/>
              </w:rPr>
            </w:pPr>
            <w:r w:rsidRPr="00D064C0">
              <w:rPr>
                <w:szCs w:val="20"/>
              </w:rPr>
              <w:t>8/360 (2.2%)</w:t>
            </w:r>
          </w:p>
        </w:tc>
        <w:tc>
          <w:tcPr>
            <w:tcW w:w="1418" w:type="dxa"/>
            <w:vAlign w:val="center"/>
          </w:tcPr>
          <w:p w:rsidR="004673C4" w:rsidRPr="00D064C0" w:rsidRDefault="004673C4" w:rsidP="003845B4">
            <w:pPr>
              <w:pStyle w:val="Tabletext"/>
              <w:keepNext/>
              <w:keepLines/>
              <w:ind w:left="-57" w:right="-57"/>
              <w:jc w:val="center"/>
              <w:rPr>
                <w:rFonts w:ascii="Times" w:hAnsi="Times"/>
              </w:rPr>
            </w:pPr>
            <w:r w:rsidRPr="00D064C0">
              <w:rPr>
                <w:szCs w:val="20"/>
              </w:rPr>
              <w:t>12/360 (3.3%)</w:t>
            </w:r>
          </w:p>
        </w:tc>
        <w:tc>
          <w:tcPr>
            <w:tcW w:w="1559" w:type="dxa"/>
            <w:vMerge w:val="restart"/>
          </w:tcPr>
          <w:p w:rsidR="004673C4" w:rsidRPr="00D064C0" w:rsidRDefault="004673C4" w:rsidP="003845B4">
            <w:pPr>
              <w:pStyle w:val="Tabletext"/>
              <w:keepNext/>
              <w:keepLines/>
              <w:ind w:left="-57" w:right="-57"/>
              <w:jc w:val="center"/>
              <w:rPr>
                <w:rFonts w:ascii="Times" w:hAnsi="Times"/>
              </w:rPr>
            </w:pPr>
            <w:r w:rsidRPr="00D064C0">
              <w:t>-0.01 [-0.02, 0.00]</w:t>
            </w:r>
          </w:p>
          <w:p w:rsidR="004673C4" w:rsidRPr="00D064C0" w:rsidRDefault="004673C4" w:rsidP="003845B4">
            <w:pPr>
              <w:pStyle w:val="Tabletext"/>
              <w:keepNext/>
              <w:keepLines/>
              <w:ind w:left="-57" w:right="-57"/>
              <w:jc w:val="center"/>
              <w:rPr>
                <w:rFonts w:ascii="Times" w:hAnsi="Times"/>
              </w:rPr>
            </w:pPr>
            <w:r w:rsidRPr="00D064C0">
              <w:t>I</w:t>
            </w:r>
            <w:r w:rsidRPr="00D064C0">
              <w:rPr>
                <w:vertAlign w:val="superscript"/>
              </w:rPr>
              <w:t>2</w:t>
            </w:r>
            <w:r w:rsidRPr="00D064C0">
              <w:t xml:space="preserve"> =</w:t>
            </w:r>
            <w:r w:rsidRPr="00D064C0">
              <w:rPr>
                <w:vertAlign w:val="superscript"/>
              </w:rPr>
              <w:t xml:space="preserve"> </w:t>
            </w:r>
            <w:r w:rsidRPr="00D064C0">
              <w:t>0% (P = 0.84)</w:t>
            </w:r>
          </w:p>
        </w:tc>
        <w:tc>
          <w:tcPr>
            <w:tcW w:w="1559" w:type="dxa"/>
            <w:vMerge w:val="restart"/>
          </w:tcPr>
          <w:p w:rsidR="004673C4" w:rsidRPr="00D064C0" w:rsidRDefault="004673C4" w:rsidP="003845B4">
            <w:pPr>
              <w:pStyle w:val="Tabletext"/>
              <w:keepNext/>
              <w:keepLines/>
              <w:ind w:left="-57" w:right="-57"/>
              <w:jc w:val="center"/>
            </w:pPr>
            <w:r w:rsidRPr="00D064C0">
              <w:t>0.63 [0.31, 1.29]</w:t>
            </w:r>
          </w:p>
          <w:p w:rsidR="004673C4" w:rsidRPr="00D064C0" w:rsidRDefault="004673C4" w:rsidP="003845B4">
            <w:pPr>
              <w:pStyle w:val="Tabletext"/>
              <w:keepNext/>
              <w:keepLines/>
              <w:ind w:left="-57" w:right="-57"/>
              <w:jc w:val="center"/>
            </w:pPr>
            <w:r w:rsidRPr="00D064C0">
              <w:t>I</w:t>
            </w:r>
            <w:r w:rsidRPr="00D064C0">
              <w:rPr>
                <w:vertAlign w:val="superscript"/>
              </w:rPr>
              <w:t>2</w:t>
            </w:r>
            <w:r w:rsidRPr="00D064C0">
              <w:t xml:space="preserve"> =</w:t>
            </w:r>
            <w:r w:rsidRPr="00D064C0">
              <w:rPr>
                <w:vertAlign w:val="superscript"/>
              </w:rPr>
              <w:t xml:space="preserve"> </w:t>
            </w:r>
            <w:r w:rsidRPr="00D064C0">
              <w:t>0% (P = 0.84)</w:t>
            </w:r>
          </w:p>
        </w:tc>
      </w:tr>
      <w:tr w:rsidR="004673C4" w:rsidRPr="00D064C0" w:rsidTr="004673C4">
        <w:tc>
          <w:tcPr>
            <w:tcW w:w="2122" w:type="dxa"/>
            <w:vMerge/>
            <w:tcBorders>
              <w:bottom w:val="single" w:sz="4" w:space="0" w:color="auto"/>
            </w:tcBorders>
            <w:vAlign w:val="center"/>
          </w:tcPr>
          <w:p w:rsidR="004673C4" w:rsidRPr="00D064C0" w:rsidRDefault="004673C4" w:rsidP="003845B4">
            <w:pPr>
              <w:pStyle w:val="Tabletext"/>
              <w:keepNext/>
              <w:keepLines/>
            </w:pPr>
          </w:p>
        </w:tc>
        <w:tc>
          <w:tcPr>
            <w:tcW w:w="992" w:type="dxa"/>
            <w:tcBorders>
              <w:bottom w:val="single" w:sz="4" w:space="0" w:color="auto"/>
            </w:tcBorders>
            <w:vAlign w:val="center"/>
          </w:tcPr>
          <w:p w:rsidR="004673C4" w:rsidRPr="00D064C0" w:rsidRDefault="004673C4" w:rsidP="003845B4">
            <w:pPr>
              <w:pStyle w:val="Tabletext"/>
              <w:keepNext/>
              <w:keepLines/>
            </w:pPr>
            <w:r w:rsidRPr="00D064C0">
              <w:t>HARRIER</w:t>
            </w:r>
          </w:p>
        </w:tc>
        <w:tc>
          <w:tcPr>
            <w:tcW w:w="1417" w:type="dxa"/>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r w:rsidRPr="00D064C0">
              <w:rPr>
                <w:szCs w:val="20"/>
              </w:rPr>
              <w:t>4/370 (1.1%)</w:t>
            </w:r>
          </w:p>
        </w:tc>
        <w:tc>
          <w:tcPr>
            <w:tcW w:w="1418" w:type="dxa"/>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r w:rsidRPr="00D064C0">
              <w:rPr>
                <w:szCs w:val="20"/>
              </w:rPr>
              <w:t>7/369 (1.9%)</w:t>
            </w:r>
          </w:p>
        </w:tc>
        <w:tc>
          <w:tcPr>
            <w:tcW w:w="1559" w:type="dxa"/>
            <w:vMerge/>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p>
        </w:tc>
        <w:tc>
          <w:tcPr>
            <w:tcW w:w="1559" w:type="dxa"/>
            <w:vMerge/>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p>
        </w:tc>
      </w:tr>
      <w:tr w:rsidR="004673C4" w:rsidRPr="00D064C0" w:rsidTr="004673C4">
        <w:tc>
          <w:tcPr>
            <w:tcW w:w="9067" w:type="dxa"/>
            <w:gridSpan w:val="6"/>
            <w:vAlign w:val="center"/>
          </w:tcPr>
          <w:p w:rsidR="004673C4" w:rsidRPr="00D064C0" w:rsidRDefault="004673C4" w:rsidP="003845B4">
            <w:pPr>
              <w:pStyle w:val="Tabletext"/>
              <w:keepNext/>
              <w:keepLines/>
              <w:ind w:right="-57"/>
              <w:rPr>
                <w:b/>
              </w:rPr>
            </w:pPr>
            <w:r w:rsidRPr="00D064C0">
              <w:rPr>
                <w:b/>
              </w:rPr>
              <w:t>Specific ocular AEs</w:t>
            </w:r>
          </w:p>
        </w:tc>
      </w:tr>
      <w:tr w:rsidR="004673C4" w:rsidRPr="00D064C0" w:rsidTr="004673C4">
        <w:tc>
          <w:tcPr>
            <w:tcW w:w="2122" w:type="dxa"/>
            <w:vMerge w:val="restart"/>
            <w:vAlign w:val="center"/>
          </w:tcPr>
          <w:p w:rsidR="004673C4" w:rsidRPr="00D064C0" w:rsidRDefault="004673C4" w:rsidP="003845B4">
            <w:pPr>
              <w:pStyle w:val="Tabletext"/>
              <w:keepNext/>
              <w:keepLines/>
              <w:rPr>
                <w:rFonts w:ascii="Times" w:hAnsi="Times"/>
              </w:rPr>
            </w:pPr>
            <w:r w:rsidRPr="00D064C0">
              <w:t>Uveitis</w:t>
            </w:r>
          </w:p>
        </w:tc>
        <w:tc>
          <w:tcPr>
            <w:tcW w:w="992" w:type="dxa"/>
            <w:vAlign w:val="center"/>
          </w:tcPr>
          <w:p w:rsidR="004673C4" w:rsidRPr="00D064C0" w:rsidRDefault="004673C4" w:rsidP="003845B4">
            <w:pPr>
              <w:pStyle w:val="Tabletext"/>
              <w:keepNext/>
              <w:keepLines/>
              <w:rPr>
                <w:rFonts w:ascii="Times" w:hAnsi="Times"/>
              </w:rPr>
            </w:pPr>
            <w:r w:rsidRPr="00D064C0">
              <w:t>HAWK</w:t>
            </w:r>
          </w:p>
        </w:tc>
        <w:tc>
          <w:tcPr>
            <w:tcW w:w="1417" w:type="dxa"/>
            <w:vAlign w:val="center"/>
          </w:tcPr>
          <w:p w:rsidR="004673C4" w:rsidRPr="00D064C0" w:rsidRDefault="004673C4" w:rsidP="003845B4">
            <w:pPr>
              <w:pStyle w:val="Tabletext"/>
              <w:keepNext/>
              <w:keepLines/>
              <w:ind w:left="-57" w:right="-57"/>
              <w:jc w:val="center"/>
              <w:rPr>
                <w:szCs w:val="20"/>
              </w:rPr>
            </w:pPr>
            <w:r w:rsidRPr="00D064C0">
              <w:rPr>
                <w:szCs w:val="20"/>
              </w:rPr>
              <w:t>8/360 (2.2%)</w:t>
            </w:r>
          </w:p>
        </w:tc>
        <w:tc>
          <w:tcPr>
            <w:tcW w:w="1418" w:type="dxa"/>
            <w:vAlign w:val="center"/>
          </w:tcPr>
          <w:p w:rsidR="004673C4" w:rsidRPr="00D064C0" w:rsidRDefault="004673C4" w:rsidP="003845B4">
            <w:pPr>
              <w:pStyle w:val="Tabletext"/>
              <w:keepNext/>
              <w:keepLines/>
              <w:ind w:left="-57" w:right="-57"/>
              <w:jc w:val="center"/>
              <w:rPr>
                <w:szCs w:val="20"/>
              </w:rPr>
            </w:pPr>
            <w:r w:rsidRPr="00D064C0">
              <w:rPr>
                <w:szCs w:val="20"/>
              </w:rPr>
              <w:t>1/360 (0.3%)</w:t>
            </w:r>
          </w:p>
        </w:tc>
        <w:tc>
          <w:tcPr>
            <w:tcW w:w="1559" w:type="dxa"/>
            <w:vMerge w:val="restart"/>
            <w:vAlign w:val="center"/>
          </w:tcPr>
          <w:p w:rsidR="004673C4" w:rsidRPr="00D064C0" w:rsidRDefault="004673C4" w:rsidP="003845B4">
            <w:pPr>
              <w:pStyle w:val="Tabletext"/>
              <w:keepNext/>
              <w:keepLines/>
              <w:ind w:left="-57" w:right="-57"/>
              <w:jc w:val="center"/>
              <w:rPr>
                <w:b/>
                <w:szCs w:val="20"/>
              </w:rPr>
            </w:pPr>
            <w:r w:rsidRPr="00D064C0">
              <w:rPr>
                <w:b/>
                <w:szCs w:val="20"/>
              </w:rPr>
              <w:t>0.01 [0.00, 0.02]</w:t>
            </w:r>
          </w:p>
          <w:p w:rsidR="004673C4" w:rsidRPr="00D064C0" w:rsidRDefault="004673C4" w:rsidP="003845B4">
            <w:pPr>
              <w:pStyle w:val="Tabletext"/>
              <w:keepNext/>
              <w:keepLines/>
              <w:ind w:left="-57" w:right="-57"/>
              <w:jc w:val="center"/>
              <w:rPr>
                <w:szCs w:val="20"/>
              </w:rPr>
            </w:pPr>
            <w:r w:rsidRPr="00D064C0">
              <w:t>I</w:t>
            </w:r>
            <w:r w:rsidRPr="00D064C0">
              <w:rPr>
                <w:vertAlign w:val="superscript"/>
              </w:rPr>
              <w:t>2</w:t>
            </w:r>
            <w:r w:rsidRPr="00D064C0">
              <w:t xml:space="preserve"> =</w:t>
            </w:r>
            <w:r w:rsidRPr="00D064C0">
              <w:rPr>
                <w:vertAlign w:val="superscript"/>
              </w:rPr>
              <w:t xml:space="preserve"> </w:t>
            </w:r>
            <w:r w:rsidRPr="00D064C0">
              <w:rPr>
                <w:szCs w:val="20"/>
              </w:rPr>
              <w:t>36% (P = 0.21)</w:t>
            </w:r>
          </w:p>
        </w:tc>
        <w:tc>
          <w:tcPr>
            <w:tcW w:w="1559" w:type="dxa"/>
            <w:vMerge w:val="restart"/>
            <w:vAlign w:val="center"/>
          </w:tcPr>
          <w:p w:rsidR="004673C4" w:rsidRPr="00D064C0" w:rsidRDefault="004673C4" w:rsidP="003845B4">
            <w:pPr>
              <w:keepNext/>
              <w:keepLines/>
              <w:ind w:left="-57" w:right="-57"/>
              <w:jc w:val="center"/>
              <w:rPr>
                <w:rFonts w:ascii="Arial Narrow" w:hAnsi="Arial Narrow" w:cs="Times New Roman"/>
                <w:b/>
                <w:snapToGrid/>
                <w:sz w:val="20"/>
              </w:rPr>
            </w:pPr>
            <w:r w:rsidRPr="00D064C0">
              <w:rPr>
                <w:rFonts w:ascii="Arial Narrow" w:hAnsi="Arial Narrow" w:cs="Times New Roman"/>
                <w:b/>
                <w:snapToGrid/>
                <w:sz w:val="20"/>
              </w:rPr>
              <w:t>7.65 [1.40, 41.80]</w:t>
            </w:r>
          </w:p>
          <w:p w:rsidR="004673C4" w:rsidRPr="00D064C0" w:rsidRDefault="004673C4" w:rsidP="003845B4">
            <w:pPr>
              <w:keepNext/>
              <w:keepLines/>
              <w:ind w:left="-57" w:right="-57"/>
              <w:jc w:val="center"/>
              <w:rPr>
                <w:rFonts w:ascii="Arial Narrow" w:hAnsi="Arial Narrow" w:cs="Times New Roman"/>
                <w:snapToGrid/>
                <w:sz w:val="20"/>
              </w:rPr>
            </w:pPr>
            <w:r w:rsidRPr="00D064C0">
              <w:rPr>
                <w:rFonts w:ascii="Arial Narrow" w:hAnsi="Arial Narrow"/>
                <w:sz w:val="20"/>
                <w:szCs w:val="20"/>
              </w:rPr>
              <w:t>I</w:t>
            </w:r>
            <w:r w:rsidRPr="00D064C0">
              <w:rPr>
                <w:rFonts w:ascii="Arial Narrow" w:hAnsi="Arial Narrow"/>
                <w:sz w:val="20"/>
                <w:szCs w:val="20"/>
                <w:vertAlign w:val="superscript"/>
              </w:rPr>
              <w:t>2</w:t>
            </w:r>
            <w:r w:rsidRPr="00D064C0">
              <w:rPr>
                <w:rFonts w:ascii="Arial Narrow" w:hAnsi="Arial Narrow"/>
                <w:sz w:val="20"/>
                <w:szCs w:val="20"/>
              </w:rPr>
              <w:t xml:space="preserve"> =</w:t>
            </w:r>
            <w:r w:rsidRPr="00D064C0">
              <w:rPr>
                <w:vertAlign w:val="superscript"/>
              </w:rPr>
              <w:t xml:space="preserve"> </w:t>
            </w:r>
            <w:r w:rsidRPr="00D064C0">
              <w:rPr>
                <w:rFonts w:ascii="Arial Narrow" w:hAnsi="Arial Narrow" w:cs="Times New Roman"/>
                <w:snapToGrid/>
                <w:sz w:val="20"/>
              </w:rPr>
              <w:t>0% (P= 0.94)</w:t>
            </w:r>
          </w:p>
        </w:tc>
      </w:tr>
      <w:tr w:rsidR="004673C4" w:rsidRPr="00D064C0" w:rsidTr="004673C4">
        <w:trPr>
          <w:trHeight w:val="229"/>
        </w:trPr>
        <w:tc>
          <w:tcPr>
            <w:tcW w:w="2122" w:type="dxa"/>
            <w:vMerge/>
            <w:tcBorders>
              <w:bottom w:val="single" w:sz="4" w:space="0" w:color="auto"/>
            </w:tcBorders>
            <w:vAlign w:val="center"/>
          </w:tcPr>
          <w:p w:rsidR="004673C4" w:rsidRPr="00D064C0" w:rsidRDefault="004673C4" w:rsidP="003845B4">
            <w:pPr>
              <w:pStyle w:val="Tabletext"/>
              <w:keepNext/>
              <w:keepLines/>
            </w:pPr>
          </w:p>
        </w:tc>
        <w:tc>
          <w:tcPr>
            <w:tcW w:w="992" w:type="dxa"/>
            <w:tcBorders>
              <w:bottom w:val="single" w:sz="4" w:space="0" w:color="auto"/>
            </w:tcBorders>
            <w:vAlign w:val="center"/>
          </w:tcPr>
          <w:p w:rsidR="004673C4" w:rsidRPr="00D064C0" w:rsidRDefault="004673C4" w:rsidP="003845B4">
            <w:pPr>
              <w:pStyle w:val="Tabletext"/>
              <w:keepNext/>
              <w:keepLines/>
            </w:pPr>
            <w:r w:rsidRPr="00D064C0">
              <w:t>HARRIER</w:t>
            </w:r>
          </w:p>
        </w:tc>
        <w:tc>
          <w:tcPr>
            <w:tcW w:w="1417" w:type="dxa"/>
            <w:tcBorders>
              <w:bottom w:val="single" w:sz="4" w:space="0" w:color="auto"/>
            </w:tcBorders>
            <w:vAlign w:val="center"/>
          </w:tcPr>
          <w:p w:rsidR="004673C4" w:rsidRPr="00CC5362" w:rsidRDefault="004673C4" w:rsidP="003845B4">
            <w:pPr>
              <w:pStyle w:val="Tabletext"/>
              <w:keepNext/>
              <w:keepLines/>
              <w:ind w:left="-57" w:right="-57"/>
              <w:jc w:val="center"/>
              <w:rPr>
                <w:szCs w:val="20"/>
              </w:rPr>
            </w:pPr>
            <w:r w:rsidRPr="00CC5362">
              <w:rPr>
                <w:szCs w:val="20"/>
              </w:rPr>
              <w:t>3/370 (0.8%)</w:t>
            </w:r>
          </w:p>
        </w:tc>
        <w:tc>
          <w:tcPr>
            <w:tcW w:w="1418" w:type="dxa"/>
            <w:tcBorders>
              <w:bottom w:val="single" w:sz="4" w:space="0" w:color="auto"/>
            </w:tcBorders>
            <w:vAlign w:val="center"/>
          </w:tcPr>
          <w:p w:rsidR="004673C4" w:rsidRPr="00CC5362" w:rsidRDefault="004673C4" w:rsidP="003845B4">
            <w:pPr>
              <w:pStyle w:val="Tabletext"/>
              <w:keepNext/>
              <w:keepLines/>
              <w:ind w:left="-57" w:right="-57"/>
              <w:jc w:val="center"/>
              <w:rPr>
                <w:szCs w:val="20"/>
              </w:rPr>
            </w:pPr>
            <w:r w:rsidRPr="00CC5362">
              <w:rPr>
                <w:szCs w:val="20"/>
              </w:rPr>
              <w:t>0/369 (0%)</w:t>
            </w:r>
          </w:p>
        </w:tc>
        <w:tc>
          <w:tcPr>
            <w:tcW w:w="1559" w:type="dxa"/>
            <w:vMerge/>
            <w:tcBorders>
              <w:bottom w:val="single" w:sz="4" w:space="0" w:color="auto"/>
            </w:tcBorders>
            <w:shd w:val="clear" w:color="auto" w:fill="auto"/>
            <w:vAlign w:val="center"/>
          </w:tcPr>
          <w:p w:rsidR="004673C4" w:rsidRPr="00D064C0" w:rsidRDefault="004673C4" w:rsidP="003845B4">
            <w:pPr>
              <w:pStyle w:val="Tabletext"/>
              <w:keepNext/>
              <w:keepLines/>
              <w:ind w:left="-57" w:right="-57"/>
              <w:jc w:val="center"/>
              <w:rPr>
                <w:rFonts w:ascii="Times" w:hAnsi="Times"/>
              </w:rPr>
            </w:pPr>
          </w:p>
        </w:tc>
        <w:tc>
          <w:tcPr>
            <w:tcW w:w="1559" w:type="dxa"/>
            <w:vMerge/>
            <w:tcBorders>
              <w:bottom w:val="single" w:sz="4" w:space="0" w:color="auto"/>
            </w:tcBorders>
            <w:shd w:val="clear" w:color="auto" w:fill="auto"/>
            <w:vAlign w:val="center"/>
          </w:tcPr>
          <w:p w:rsidR="004673C4" w:rsidRPr="00D064C0" w:rsidRDefault="004673C4" w:rsidP="003845B4">
            <w:pPr>
              <w:pStyle w:val="Tabletext"/>
              <w:keepNext/>
              <w:keepLines/>
              <w:ind w:left="-57" w:right="-57"/>
              <w:jc w:val="center"/>
              <w:rPr>
                <w:rFonts w:ascii="Times" w:hAnsi="Times"/>
              </w:rPr>
            </w:pPr>
          </w:p>
        </w:tc>
      </w:tr>
      <w:tr w:rsidR="004673C4" w:rsidRPr="00D064C0" w:rsidTr="004673C4">
        <w:tc>
          <w:tcPr>
            <w:tcW w:w="2122" w:type="dxa"/>
            <w:vMerge w:val="restart"/>
            <w:vAlign w:val="center"/>
          </w:tcPr>
          <w:p w:rsidR="004673C4" w:rsidRPr="00D064C0" w:rsidRDefault="004673C4" w:rsidP="003845B4">
            <w:pPr>
              <w:pStyle w:val="Tabletext"/>
              <w:keepNext/>
              <w:keepLines/>
            </w:pPr>
            <w:r w:rsidRPr="00D064C0">
              <w:t>Vitreous floater</w:t>
            </w:r>
          </w:p>
        </w:tc>
        <w:tc>
          <w:tcPr>
            <w:tcW w:w="992" w:type="dxa"/>
            <w:vAlign w:val="center"/>
          </w:tcPr>
          <w:p w:rsidR="004673C4" w:rsidRPr="00D064C0" w:rsidRDefault="004673C4" w:rsidP="003845B4">
            <w:pPr>
              <w:pStyle w:val="Tabletext"/>
              <w:keepNext/>
              <w:keepLines/>
              <w:rPr>
                <w:rFonts w:ascii="Times" w:hAnsi="Times"/>
              </w:rPr>
            </w:pPr>
            <w:r w:rsidRPr="00D064C0">
              <w:t>HAWK</w:t>
            </w:r>
          </w:p>
        </w:tc>
        <w:tc>
          <w:tcPr>
            <w:tcW w:w="1417" w:type="dxa"/>
            <w:vAlign w:val="center"/>
          </w:tcPr>
          <w:p w:rsidR="004673C4" w:rsidRPr="00D064C0" w:rsidRDefault="004673C4" w:rsidP="003845B4">
            <w:pPr>
              <w:pStyle w:val="Tabletext"/>
              <w:keepNext/>
              <w:keepLines/>
              <w:ind w:left="-57" w:right="-57"/>
              <w:jc w:val="center"/>
              <w:rPr>
                <w:szCs w:val="20"/>
              </w:rPr>
            </w:pPr>
            <w:r w:rsidRPr="00D064C0">
              <w:rPr>
                <w:szCs w:val="20"/>
              </w:rPr>
              <w:t>22/360 (6.1%)</w:t>
            </w:r>
          </w:p>
        </w:tc>
        <w:tc>
          <w:tcPr>
            <w:tcW w:w="1418" w:type="dxa"/>
            <w:vAlign w:val="center"/>
          </w:tcPr>
          <w:p w:rsidR="004673C4" w:rsidRPr="00D064C0" w:rsidRDefault="004673C4" w:rsidP="003845B4">
            <w:pPr>
              <w:pStyle w:val="Tabletext"/>
              <w:keepNext/>
              <w:keepLines/>
              <w:ind w:left="-57" w:right="-57"/>
              <w:jc w:val="center"/>
              <w:rPr>
                <w:szCs w:val="20"/>
              </w:rPr>
            </w:pPr>
            <w:r w:rsidRPr="00D064C0">
              <w:rPr>
                <w:szCs w:val="20"/>
              </w:rPr>
              <w:t>16/360 (4.4%)</w:t>
            </w:r>
          </w:p>
        </w:tc>
        <w:tc>
          <w:tcPr>
            <w:tcW w:w="1559" w:type="dxa"/>
            <w:vMerge w:val="restart"/>
            <w:vAlign w:val="center"/>
          </w:tcPr>
          <w:p w:rsidR="004673C4" w:rsidRPr="00D064C0" w:rsidRDefault="004673C4" w:rsidP="003845B4">
            <w:pPr>
              <w:pStyle w:val="Tabletext"/>
              <w:keepNext/>
              <w:keepLines/>
              <w:ind w:left="-57" w:right="-57"/>
              <w:jc w:val="center"/>
              <w:rPr>
                <w:b/>
                <w:szCs w:val="20"/>
              </w:rPr>
            </w:pPr>
            <w:r w:rsidRPr="00D064C0">
              <w:rPr>
                <w:b/>
                <w:szCs w:val="20"/>
              </w:rPr>
              <w:t>0.02 [0.00, 0.04]</w:t>
            </w:r>
          </w:p>
          <w:p w:rsidR="004673C4" w:rsidRPr="00D064C0" w:rsidRDefault="004673C4" w:rsidP="003845B4">
            <w:pPr>
              <w:pStyle w:val="Tabletext"/>
              <w:keepNext/>
              <w:keepLines/>
              <w:ind w:left="-57" w:right="-57"/>
              <w:jc w:val="center"/>
              <w:rPr>
                <w:szCs w:val="20"/>
              </w:rPr>
            </w:pPr>
            <w:r w:rsidRPr="00D064C0">
              <w:t>I</w:t>
            </w:r>
            <w:r w:rsidRPr="00D064C0">
              <w:rPr>
                <w:vertAlign w:val="superscript"/>
              </w:rPr>
              <w:t>2</w:t>
            </w:r>
            <w:r w:rsidRPr="00D064C0">
              <w:t xml:space="preserve"> =</w:t>
            </w:r>
            <w:r w:rsidRPr="00D064C0">
              <w:rPr>
                <w:vertAlign w:val="superscript"/>
              </w:rPr>
              <w:t xml:space="preserve"> </w:t>
            </w:r>
            <w:r w:rsidRPr="00D064C0">
              <w:rPr>
                <w:szCs w:val="20"/>
              </w:rPr>
              <w:t>0% (P = 0.60)</w:t>
            </w:r>
          </w:p>
        </w:tc>
        <w:tc>
          <w:tcPr>
            <w:tcW w:w="1559" w:type="dxa"/>
            <w:vMerge w:val="restart"/>
            <w:vAlign w:val="center"/>
          </w:tcPr>
          <w:p w:rsidR="004673C4" w:rsidRPr="00D064C0" w:rsidRDefault="004673C4" w:rsidP="003845B4">
            <w:pPr>
              <w:pStyle w:val="Tabletext"/>
              <w:keepNext/>
              <w:keepLines/>
              <w:ind w:left="-57" w:right="-57"/>
              <w:jc w:val="center"/>
            </w:pPr>
            <w:r w:rsidRPr="00D064C0">
              <w:t>1.83 [0.88, 3.83]</w:t>
            </w:r>
          </w:p>
          <w:p w:rsidR="004673C4" w:rsidRPr="00D064C0" w:rsidRDefault="004673C4" w:rsidP="003845B4">
            <w:pPr>
              <w:pStyle w:val="Tabletext"/>
              <w:keepNext/>
              <w:keepLines/>
              <w:ind w:left="-57" w:right="-57"/>
              <w:jc w:val="center"/>
            </w:pPr>
            <w:r w:rsidRPr="00D064C0">
              <w:t>I</w:t>
            </w:r>
            <w:r w:rsidRPr="00D064C0">
              <w:rPr>
                <w:vertAlign w:val="superscript"/>
              </w:rPr>
              <w:t>2</w:t>
            </w:r>
            <w:r w:rsidRPr="00D064C0">
              <w:t xml:space="preserve"> =</w:t>
            </w:r>
            <w:r w:rsidRPr="00D064C0">
              <w:rPr>
                <w:vertAlign w:val="superscript"/>
              </w:rPr>
              <w:t xml:space="preserve"> </w:t>
            </w:r>
            <w:r w:rsidRPr="00D064C0">
              <w:t>40% (P = 0.20)</w:t>
            </w:r>
          </w:p>
        </w:tc>
      </w:tr>
      <w:tr w:rsidR="004673C4" w:rsidRPr="00D064C0" w:rsidTr="004673C4">
        <w:tc>
          <w:tcPr>
            <w:tcW w:w="2122" w:type="dxa"/>
            <w:vMerge/>
            <w:tcBorders>
              <w:bottom w:val="single" w:sz="4" w:space="0" w:color="auto"/>
            </w:tcBorders>
            <w:vAlign w:val="center"/>
          </w:tcPr>
          <w:p w:rsidR="004673C4" w:rsidRPr="00D064C0" w:rsidRDefault="004673C4" w:rsidP="003845B4">
            <w:pPr>
              <w:pStyle w:val="Tabletext"/>
              <w:keepNext/>
              <w:keepLines/>
            </w:pPr>
          </w:p>
        </w:tc>
        <w:tc>
          <w:tcPr>
            <w:tcW w:w="992" w:type="dxa"/>
            <w:tcBorders>
              <w:bottom w:val="single" w:sz="4" w:space="0" w:color="auto"/>
            </w:tcBorders>
            <w:vAlign w:val="center"/>
          </w:tcPr>
          <w:p w:rsidR="004673C4" w:rsidRPr="00D064C0" w:rsidRDefault="004673C4" w:rsidP="003845B4">
            <w:pPr>
              <w:pStyle w:val="Tabletext"/>
              <w:keepNext/>
              <w:keepLines/>
            </w:pPr>
            <w:r w:rsidRPr="00D064C0">
              <w:t>HARRIER</w:t>
            </w:r>
          </w:p>
        </w:tc>
        <w:tc>
          <w:tcPr>
            <w:tcW w:w="1417" w:type="dxa"/>
            <w:tcBorders>
              <w:bottom w:val="single" w:sz="4" w:space="0" w:color="auto"/>
            </w:tcBorders>
            <w:vAlign w:val="center"/>
          </w:tcPr>
          <w:p w:rsidR="004673C4" w:rsidRPr="00D064C0" w:rsidRDefault="004673C4" w:rsidP="003845B4">
            <w:pPr>
              <w:pStyle w:val="Tabletext"/>
              <w:keepNext/>
              <w:keepLines/>
              <w:ind w:left="-57" w:right="-57"/>
              <w:jc w:val="center"/>
              <w:rPr>
                <w:szCs w:val="20"/>
              </w:rPr>
            </w:pPr>
            <w:r w:rsidRPr="00D064C0">
              <w:rPr>
                <w:szCs w:val="20"/>
              </w:rPr>
              <w:t>15/370 (4.1%)</w:t>
            </w:r>
          </w:p>
        </w:tc>
        <w:tc>
          <w:tcPr>
            <w:tcW w:w="1418" w:type="dxa"/>
            <w:tcBorders>
              <w:bottom w:val="single" w:sz="4" w:space="0" w:color="auto"/>
            </w:tcBorders>
            <w:vAlign w:val="center"/>
          </w:tcPr>
          <w:p w:rsidR="004673C4" w:rsidRPr="00D064C0" w:rsidRDefault="004673C4" w:rsidP="003845B4">
            <w:pPr>
              <w:pStyle w:val="Tabletext"/>
              <w:keepNext/>
              <w:keepLines/>
              <w:ind w:left="-57" w:right="-57"/>
              <w:jc w:val="center"/>
              <w:rPr>
                <w:szCs w:val="20"/>
              </w:rPr>
            </w:pPr>
            <w:r w:rsidRPr="00D064C0">
              <w:rPr>
                <w:szCs w:val="20"/>
              </w:rPr>
              <w:t>5/369 (1.4%)</w:t>
            </w:r>
          </w:p>
        </w:tc>
        <w:tc>
          <w:tcPr>
            <w:tcW w:w="1559" w:type="dxa"/>
            <w:vMerge/>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p>
        </w:tc>
        <w:tc>
          <w:tcPr>
            <w:tcW w:w="1559" w:type="dxa"/>
            <w:vMerge/>
            <w:tcBorders>
              <w:bottom w:val="single" w:sz="4" w:space="0" w:color="auto"/>
            </w:tcBorders>
            <w:vAlign w:val="center"/>
          </w:tcPr>
          <w:p w:rsidR="004673C4" w:rsidRPr="00D064C0" w:rsidRDefault="004673C4" w:rsidP="003845B4">
            <w:pPr>
              <w:pStyle w:val="Tabletext"/>
              <w:keepNext/>
              <w:keepLines/>
              <w:ind w:left="-57" w:right="-57"/>
              <w:jc w:val="center"/>
            </w:pPr>
          </w:p>
        </w:tc>
      </w:tr>
      <w:tr w:rsidR="004673C4" w:rsidRPr="00D064C0" w:rsidTr="004673C4">
        <w:tc>
          <w:tcPr>
            <w:tcW w:w="2122" w:type="dxa"/>
            <w:vMerge w:val="restart"/>
            <w:vAlign w:val="center"/>
          </w:tcPr>
          <w:p w:rsidR="004673C4" w:rsidRPr="00D064C0" w:rsidRDefault="004673C4" w:rsidP="003845B4">
            <w:pPr>
              <w:pStyle w:val="Tabletext"/>
              <w:keepNext/>
              <w:keepLines/>
              <w:rPr>
                <w:rFonts w:ascii="Times" w:hAnsi="Times"/>
              </w:rPr>
            </w:pPr>
            <w:r w:rsidRPr="00D064C0">
              <w:t>Iritis</w:t>
            </w:r>
          </w:p>
        </w:tc>
        <w:tc>
          <w:tcPr>
            <w:tcW w:w="992" w:type="dxa"/>
            <w:vAlign w:val="center"/>
          </w:tcPr>
          <w:p w:rsidR="004673C4" w:rsidRPr="00D064C0" w:rsidRDefault="004673C4" w:rsidP="003845B4">
            <w:pPr>
              <w:pStyle w:val="Tabletext"/>
              <w:keepNext/>
              <w:keepLines/>
              <w:rPr>
                <w:rFonts w:ascii="Times" w:hAnsi="Times"/>
              </w:rPr>
            </w:pPr>
            <w:r w:rsidRPr="00D064C0">
              <w:t>HAWK</w:t>
            </w:r>
          </w:p>
        </w:tc>
        <w:tc>
          <w:tcPr>
            <w:tcW w:w="1417" w:type="dxa"/>
            <w:vAlign w:val="center"/>
          </w:tcPr>
          <w:p w:rsidR="004673C4" w:rsidRPr="00D064C0" w:rsidRDefault="004673C4" w:rsidP="003845B4">
            <w:pPr>
              <w:pStyle w:val="Tabletext"/>
              <w:keepNext/>
              <w:keepLines/>
              <w:ind w:left="-57" w:right="-57"/>
              <w:jc w:val="center"/>
              <w:rPr>
                <w:szCs w:val="20"/>
              </w:rPr>
            </w:pPr>
            <w:r w:rsidRPr="00D064C0">
              <w:rPr>
                <w:szCs w:val="20"/>
              </w:rPr>
              <w:t>9/360 (2.5%)</w:t>
            </w:r>
          </w:p>
        </w:tc>
        <w:tc>
          <w:tcPr>
            <w:tcW w:w="1418" w:type="dxa"/>
            <w:vAlign w:val="center"/>
          </w:tcPr>
          <w:p w:rsidR="004673C4" w:rsidRPr="00D064C0" w:rsidRDefault="004673C4" w:rsidP="003845B4">
            <w:pPr>
              <w:pStyle w:val="Tabletext"/>
              <w:keepNext/>
              <w:keepLines/>
              <w:ind w:left="-57" w:right="-57"/>
              <w:jc w:val="center"/>
              <w:rPr>
                <w:szCs w:val="20"/>
              </w:rPr>
            </w:pPr>
            <w:r w:rsidRPr="00D064C0">
              <w:rPr>
                <w:szCs w:val="20"/>
              </w:rPr>
              <w:t>1/360 (0.3%)</w:t>
            </w:r>
          </w:p>
        </w:tc>
        <w:tc>
          <w:tcPr>
            <w:tcW w:w="1559" w:type="dxa"/>
            <w:vMerge w:val="restart"/>
            <w:vAlign w:val="center"/>
          </w:tcPr>
          <w:p w:rsidR="004673C4" w:rsidRPr="00D064C0" w:rsidRDefault="004673C4" w:rsidP="003845B4">
            <w:pPr>
              <w:pStyle w:val="Tabletext"/>
              <w:keepNext/>
              <w:keepLines/>
              <w:ind w:left="-57" w:right="-57"/>
              <w:jc w:val="center"/>
            </w:pPr>
            <w:r w:rsidRPr="00D064C0">
              <w:rPr>
                <w:szCs w:val="20"/>
              </w:rPr>
              <w:t>0.01 [-0.02, 0.04]</w:t>
            </w:r>
          </w:p>
          <w:p w:rsidR="004673C4" w:rsidRPr="00D064C0" w:rsidRDefault="00855B16" w:rsidP="003845B4">
            <w:pPr>
              <w:pStyle w:val="Tabletext"/>
              <w:keepNext/>
              <w:keepLines/>
              <w:ind w:left="-57" w:right="-57"/>
              <w:jc w:val="center"/>
            </w:pPr>
            <w:r w:rsidRPr="00D064C0">
              <w:t>I</w:t>
            </w:r>
            <w:r w:rsidRPr="00D064C0">
              <w:rPr>
                <w:vertAlign w:val="superscript"/>
              </w:rPr>
              <w:t>2</w:t>
            </w:r>
            <w:r w:rsidRPr="00D064C0">
              <w:t xml:space="preserve"> =</w:t>
            </w:r>
            <w:r w:rsidRPr="00D064C0">
              <w:rPr>
                <w:vertAlign w:val="superscript"/>
              </w:rPr>
              <w:t xml:space="preserve"> </w:t>
            </w:r>
            <w:r w:rsidR="004673C4" w:rsidRPr="00D064C0">
              <w:rPr>
                <w:szCs w:val="20"/>
              </w:rPr>
              <w:t>92% (P&lt; 0.001)</w:t>
            </w:r>
          </w:p>
        </w:tc>
        <w:tc>
          <w:tcPr>
            <w:tcW w:w="1559" w:type="dxa"/>
            <w:vMerge w:val="restart"/>
            <w:vAlign w:val="center"/>
          </w:tcPr>
          <w:p w:rsidR="004673C4" w:rsidRPr="00D064C0" w:rsidRDefault="004673C4" w:rsidP="003845B4">
            <w:pPr>
              <w:pStyle w:val="Tabletext"/>
              <w:keepNext/>
              <w:keepLines/>
              <w:ind w:left="-57" w:right="-57"/>
              <w:jc w:val="center"/>
            </w:pPr>
            <w:r w:rsidRPr="00D064C0">
              <w:rPr>
                <w:szCs w:val="20"/>
              </w:rPr>
              <w:t>2.19 [0.09, 54.06]</w:t>
            </w:r>
          </w:p>
          <w:p w:rsidR="004673C4" w:rsidRPr="00D064C0" w:rsidRDefault="00855B16" w:rsidP="003845B4">
            <w:pPr>
              <w:pStyle w:val="Tabletext"/>
              <w:keepNext/>
              <w:keepLines/>
              <w:ind w:left="-57" w:right="-57"/>
              <w:jc w:val="center"/>
            </w:pPr>
            <w:r w:rsidRPr="00D064C0">
              <w:t>I</w:t>
            </w:r>
            <w:r w:rsidRPr="00D064C0">
              <w:rPr>
                <w:vertAlign w:val="superscript"/>
              </w:rPr>
              <w:t>2</w:t>
            </w:r>
            <w:r w:rsidRPr="00D064C0">
              <w:t xml:space="preserve"> =</w:t>
            </w:r>
            <w:r w:rsidRPr="00D064C0">
              <w:rPr>
                <w:vertAlign w:val="superscript"/>
              </w:rPr>
              <w:t xml:space="preserve"> </w:t>
            </w:r>
            <w:r w:rsidR="004673C4" w:rsidRPr="00D064C0">
              <w:rPr>
                <w:szCs w:val="20"/>
              </w:rPr>
              <w:t>66% (P = 0.09)</w:t>
            </w:r>
          </w:p>
        </w:tc>
      </w:tr>
      <w:tr w:rsidR="004673C4" w:rsidRPr="00D064C0" w:rsidTr="004673C4">
        <w:trPr>
          <w:trHeight w:val="229"/>
        </w:trPr>
        <w:tc>
          <w:tcPr>
            <w:tcW w:w="2122" w:type="dxa"/>
            <w:vMerge/>
            <w:tcBorders>
              <w:bottom w:val="single" w:sz="4" w:space="0" w:color="auto"/>
            </w:tcBorders>
            <w:vAlign w:val="center"/>
          </w:tcPr>
          <w:p w:rsidR="004673C4" w:rsidRPr="00D064C0" w:rsidRDefault="004673C4" w:rsidP="003845B4">
            <w:pPr>
              <w:pStyle w:val="Tabletext"/>
              <w:keepNext/>
              <w:keepLines/>
            </w:pPr>
          </w:p>
        </w:tc>
        <w:tc>
          <w:tcPr>
            <w:tcW w:w="992" w:type="dxa"/>
            <w:tcBorders>
              <w:bottom w:val="single" w:sz="4" w:space="0" w:color="auto"/>
            </w:tcBorders>
            <w:vAlign w:val="center"/>
          </w:tcPr>
          <w:p w:rsidR="004673C4" w:rsidRPr="00D064C0" w:rsidRDefault="004673C4" w:rsidP="003845B4">
            <w:pPr>
              <w:pStyle w:val="Tabletext"/>
              <w:keepNext/>
              <w:keepLines/>
            </w:pPr>
            <w:r w:rsidRPr="00D064C0">
              <w:t>HARRIER</w:t>
            </w:r>
          </w:p>
        </w:tc>
        <w:tc>
          <w:tcPr>
            <w:tcW w:w="1417" w:type="dxa"/>
            <w:tcBorders>
              <w:bottom w:val="single" w:sz="4" w:space="0" w:color="auto"/>
            </w:tcBorders>
            <w:vAlign w:val="center"/>
          </w:tcPr>
          <w:p w:rsidR="004673C4" w:rsidRPr="00D064C0" w:rsidRDefault="004673C4" w:rsidP="003845B4">
            <w:pPr>
              <w:pStyle w:val="Tabletext"/>
              <w:keepNext/>
              <w:keepLines/>
              <w:ind w:left="-57" w:right="-57"/>
              <w:jc w:val="center"/>
              <w:rPr>
                <w:szCs w:val="20"/>
              </w:rPr>
            </w:pPr>
            <w:r w:rsidRPr="00D064C0">
              <w:rPr>
                <w:szCs w:val="20"/>
              </w:rPr>
              <w:t>0/370 (0%)</w:t>
            </w:r>
          </w:p>
        </w:tc>
        <w:tc>
          <w:tcPr>
            <w:tcW w:w="1418" w:type="dxa"/>
            <w:tcBorders>
              <w:bottom w:val="single" w:sz="4" w:space="0" w:color="auto"/>
            </w:tcBorders>
            <w:vAlign w:val="center"/>
          </w:tcPr>
          <w:p w:rsidR="004673C4" w:rsidRPr="00D064C0" w:rsidRDefault="004673C4" w:rsidP="003845B4">
            <w:pPr>
              <w:pStyle w:val="Tabletext"/>
              <w:keepNext/>
              <w:keepLines/>
              <w:ind w:left="-57" w:right="-57"/>
              <w:jc w:val="center"/>
              <w:rPr>
                <w:szCs w:val="20"/>
              </w:rPr>
            </w:pPr>
            <w:r w:rsidRPr="00D064C0">
              <w:rPr>
                <w:szCs w:val="20"/>
              </w:rPr>
              <w:t>1/369 (0.3%)</w:t>
            </w:r>
          </w:p>
        </w:tc>
        <w:tc>
          <w:tcPr>
            <w:tcW w:w="1559" w:type="dxa"/>
            <w:vMerge/>
            <w:tcBorders>
              <w:bottom w:val="single" w:sz="4" w:space="0" w:color="auto"/>
            </w:tcBorders>
            <w:shd w:val="clear" w:color="auto" w:fill="auto"/>
            <w:vAlign w:val="center"/>
          </w:tcPr>
          <w:p w:rsidR="004673C4" w:rsidRPr="00D064C0" w:rsidRDefault="004673C4" w:rsidP="003845B4">
            <w:pPr>
              <w:pStyle w:val="Tabletext"/>
              <w:keepNext/>
              <w:keepLines/>
              <w:ind w:left="-57" w:right="-57"/>
              <w:jc w:val="center"/>
              <w:rPr>
                <w:rFonts w:ascii="Times" w:hAnsi="Times"/>
              </w:rPr>
            </w:pPr>
          </w:p>
        </w:tc>
        <w:tc>
          <w:tcPr>
            <w:tcW w:w="1559" w:type="dxa"/>
            <w:vMerge/>
            <w:tcBorders>
              <w:bottom w:val="single" w:sz="4" w:space="0" w:color="auto"/>
            </w:tcBorders>
            <w:shd w:val="clear" w:color="auto" w:fill="auto"/>
            <w:vAlign w:val="center"/>
          </w:tcPr>
          <w:p w:rsidR="004673C4" w:rsidRPr="00D064C0" w:rsidRDefault="004673C4" w:rsidP="003845B4">
            <w:pPr>
              <w:pStyle w:val="Tabletext"/>
              <w:keepNext/>
              <w:keepLines/>
              <w:ind w:left="-57" w:right="-57"/>
              <w:jc w:val="center"/>
              <w:rPr>
                <w:rFonts w:ascii="Times" w:hAnsi="Times"/>
              </w:rPr>
            </w:pPr>
          </w:p>
        </w:tc>
      </w:tr>
      <w:tr w:rsidR="004673C4" w:rsidRPr="00D064C0" w:rsidTr="004673C4">
        <w:tc>
          <w:tcPr>
            <w:tcW w:w="2122" w:type="dxa"/>
            <w:vMerge w:val="restart"/>
            <w:vAlign w:val="center"/>
          </w:tcPr>
          <w:p w:rsidR="004673C4" w:rsidRPr="00D064C0" w:rsidRDefault="004673C4" w:rsidP="003845B4">
            <w:pPr>
              <w:pStyle w:val="Tabletext"/>
              <w:keepNext/>
              <w:keepLines/>
            </w:pPr>
            <w:r w:rsidRPr="00D064C0">
              <w:t>Retinal pigment epithelial tear</w:t>
            </w:r>
            <w:r w:rsidRPr="00D064C0">
              <w:rPr>
                <w:vertAlign w:val="superscript"/>
              </w:rPr>
              <w:t>e</w:t>
            </w:r>
          </w:p>
        </w:tc>
        <w:tc>
          <w:tcPr>
            <w:tcW w:w="992" w:type="dxa"/>
            <w:vAlign w:val="center"/>
          </w:tcPr>
          <w:p w:rsidR="004673C4" w:rsidRPr="00D064C0" w:rsidRDefault="004673C4" w:rsidP="003845B4">
            <w:pPr>
              <w:pStyle w:val="Tabletext"/>
              <w:keepNext/>
              <w:keepLines/>
              <w:rPr>
                <w:rFonts w:ascii="Times" w:hAnsi="Times"/>
              </w:rPr>
            </w:pPr>
            <w:r w:rsidRPr="00D064C0">
              <w:t>HAWK</w:t>
            </w:r>
          </w:p>
        </w:tc>
        <w:tc>
          <w:tcPr>
            <w:tcW w:w="1417" w:type="dxa"/>
            <w:vAlign w:val="center"/>
          </w:tcPr>
          <w:p w:rsidR="004673C4" w:rsidRPr="00D064C0" w:rsidRDefault="004673C4" w:rsidP="003845B4">
            <w:pPr>
              <w:pStyle w:val="Tabletext"/>
              <w:keepNext/>
              <w:keepLines/>
              <w:ind w:left="-57" w:right="-57"/>
              <w:jc w:val="center"/>
              <w:rPr>
                <w:szCs w:val="20"/>
              </w:rPr>
            </w:pPr>
            <w:r w:rsidRPr="00D064C0">
              <w:t>12/360 (3.3%)</w:t>
            </w:r>
          </w:p>
        </w:tc>
        <w:tc>
          <w:tcPr>
            <w:tcW w:w="1418" w:type="dxa"/>
            <w:vAlign w:val="center"/>
          </w:tcPr>
          <w:p w:rsidR="004673C4" w:rsidRPr="00D064C0" w:rsidRDefault="004673C4" w:rsidP="003845B4">
            <w:pPr>
              <w:pStyle w:val="Tabletext"/>
              <w:keepNext/>
              <w:keepLines/>
              <w:ind w:left="-57" w:right="-57"/>
              <w:jc w:val="center"/>
              <w:rPr>
                <w:szCs w:val="20"/>
              </w:rPr>
            </w:pPr>
            <w:r w:rsidRPr="00D064C0">
              <w:t>4/360 (1.1%)</w:t>
            </w:r>
          </w:p>
        </w:tc>
        <w:tc>
          <w:tcPr>
            <w:tcW w:w="1559" w:type="dxa"/>
            <w:vMerge w:val="restart"/>
            <w:vAlign w:val="center"/>
          </w:tcPr>
          <w:p w:rsidR="004673C4" w:rsidRPr="00D064C0" w:rsidRDefault="004673C4" w:rsidP="003845B4">
            <w:pPr>
              <w:pStyle w:val="Tabletext"/>
              <w:keepNext/>
              <w:keepLines/>
              <w:ind w:left="-57" w:right="-57"/>
              <w:jc w:val="center"/>
              <w:rPr>
                <w:b/>
              </w:rPr>
            </w:pPr>
            <w:r w:rsidRPr="00D064C0">
              <w:rPr>
                <w:b/>
              </w:rPr>
              <w:t>0.01 [0.00, 0.03]</w:t>
            </w:r>
          </w:p>
          <w:p w:rsidR="004673C4" w:rsidRPr="00D064C0" w:rsidRDefault="004673C4" w:rsidP="003845B4">
            <w:pPr>
              <w:pStyle w:val="Tabletext"/>
              <w:keepNext/>
              <w:keepLines/>
              <w:ind w:left="-57" w:right="-57"/>
              <w:jc w:val="center"/>
              <w:rPr>
                <w:szCs w:val="20"/>
              </w:rPr>
            </w:pPr>
            <w:r w:rsidRPr="00D064C0">
              <w:t>I</w:t>
            </w:r>
            <w:r w:rsidRPr="00D064C0">
              <w:rPr>
                <w:vertAlign w:val="superscript"/>
              </w:rPr>
              <w:t>2</w:t>
            </w:r>
            <w:r w:rsidRPr="00D064C0">
              <w:t xml:space="preserve"> =</w:t>
            </w:r>
            <w:r w:rsidRPr="00D064C0">
              <w:rPr>
                <w:vertAlign w:val="superscript"/>
              </w:rPr>
              <w:t xml:space="preserve"> </w:t>
            </w:r>
            <w:r w:rsidRPr="00D064C0">
              <w:t>0% (P = 0.33)</w:t>
            </w:r>
          </w:p>
        </w:tc>
        <w:tc>
          <w:tcPr>
            <w:tcW w:w="1559" w:type="dxa"/>
            <w:vMerge w:val="restart"/>
            <w:vAlign w:val="center"/>
          </w:tcPr>
          <w:p w:rsidR="004673C4" w:rsidRPr="00D064C0" w:rsidRDefault="004673C4" w:rsidP="003845B4">
            <w:pPr>
              <w:pStyle w:val="Tabletext"/>
              <w:keepNext/>
              <w:keepLines/>
              <w:ind w:left="-57" w:right="-57"/>
              <w:jc w:val="center"/>
            </w:pPr>
            <w:r w:rsidRPr="00D064C0">
              <w:t>2.18 [0.99, 4.79]</w:t>
            </w:r>
          </w:p>
          <w:p w:rsidR="004673C4" w:rsidRPr="00D064C0" w:rsidRDefault="004673C4" w:rsidP="003845B4">
            <w:pPr>
              <w:keepNext/>
              <w:keepLines/>
              <w:ind w:left="-57" w:right="-57"/>
              <w:jc w:val="center"/>
              <w:rPr>
                <w:szCs w:val="20"/>
              </w:rPr>
            </w:pPr>
            <w:r w:rsidRPr="00D064C0">
              <w:rPr>
                <w:rFonts w:ascii="Arial Narrow" w:hAnsi="Arial Narrow" w:cs="Times New Roman"/>
                <w:snapToGrid/>
                <w:sz w:val="20"/>
              </w:rPr>
              <w:t>I</w:t>
            </w:r>
            <w:r w:rsidRPr="00D064C0">
              <w:rPr>
                <w:rFonts w:ascii="Arial Narrow" w:hAnsi="Arial Narrow" w:cs="Times New Roman"/>
                <w:snapToGrid/>
                <w:sz w:val="20"/>
                <w:vertAlign w:val="superscript"/>
              </w:rPr>
              <w:t>2</w:t>
            </w:r>
            <w:r w:rsidRPr="00D064C0">
              <w:rPr>
                <w:rFonts w:ascii="Arial Narrow" w:hAnsi="Arial Narrow" w:cs="Times New Roman"/>
                <w:snapToGrid/>
                <w:sz w:val="20"/>
              </w:rPr>
              <w:t xml:space="preserve"> = 0% (P = 0.43)</w:t>
            </w:r>
          </w:p>
        </w:tc>
      </w:tr>
      <w:tr w:rsidR="004673C4" w:rsidRPr="00D064C0" w:rsidTr="004673C4">
        <w:tc>
          <w:tcPr>
            <w:tcW w:w="2122" w:type="dxa"/>
            <w:vMerge/>
            <w:tcBorders>
              <w:bottom w:val="single" w:sz="4" w:space="0" w:color="auto"/>
            </w:tcBorders>
            <w:vAlign w:val="center"/>
          </w:tcPr>
          <w:p w:rsidR="004673C4" w:rsidRPr="00D064C0" w:rsidRDefault="004673C4" w:rsidP="003845B4">
            <w:pPr>
              <w:pStyle w:val="Tabletext"/>
              <w:keepNext/>
              <w:keepLines/>
            </w:pPr>
          </w:p>
        </w:tc>
        <w:tc>
          <w:tcPr>
            <w:tcW w:w="992" w:type="dxa"/>
            <w:tcBorders>
              <w:bottom w:val="single" w:sz="4" w:space="0" w:color="auto"/>
            </w:tcBorders>
            <w:vAlign w:val="center"/>
          </w:tcPr>
          <w:p w:rsidR="004673C4" w:rsidRPr="00D064C0" w:rsidRDefault="004673C4" w:rsidP="003845B4">
            <w:pPr>
              <w:pStyle w:val="Tabletext"/>
              <w:keepNext/>
              <w:keepLines/>
            </w:pPr>
            <w:r w:rsidRPr="00D064C0">
              <w:t>HARRIER</w:t>
            </w:r>
          </w:p>
        </w:tc>
        <w:tc>
          <w:tcPr>
            <w:tcW w:w="1417" w:type="dxa"/>
            <w:tcBorders>
              <w:bottom w:val="single" w:sz="4" w:space="0" w:color="auto"/>
            </w:tcBorders>
            <w:vAlign w:val="center"/>
          </w:tcPr>
          <w:p w:rsidR="004673C4" w:rsidRPr="00D064C0" w:rsidRDefault="004673C4" w:rsidP="003845B4">
            <w:pPr>
              <w:pStyle w:val="Tabletext"/>
              <w:keepNext/>
              <w:keepLines/>
              <w:ind w:left="-57" w:right="-57"/>
              <w:jc w:val="center"/>
              <w:rPr>
                <w:szCs w:val="20"/>
              </w:rPr>
            </w:pPr>
            <w:r w:rsidRPr="00D064C0">
              <w:rPr>
                <w:szCs w:val="20"/>
              </w:rPr>
              <w:t>8/</w:t>
            </w:r>
            <w:r w:rsidR="00134DC4">
              <w:rPr>
                <w:szCs w:val="20"/>
              </w:rPr>
              <w:t>370</w:t>
            </w:r>
            <w:r w:rsidRPr="00D064C0">
              <w:rPr>
                <w:szCs w:val="20"/>
              </w:rPr>
              <w:t xml:space="preserve"> (2.2%)</w:t>
            </w:r>
          </w:p>
        </w:tc>
        <w:tc>
          <w:tcPr>
            <w:tcW w:w="1418" w:type="dxa"/>
            <w:tcBorders>
              <w:bottom w:val="single" w:sz="4" w:space="0" w:color="auto"/>
            </w:tcBorders>
            <w:vAlign w:val="center"/>
          </w:tcPr>
          <w:p w:rsidR="004673C4" w:rsidRPr="00D064C0" w:rsidRDefault="004673C4" w:rsidP="003845B4">
            <w:pPr>
              <w:pStyle w:val="Tabletext"/>
              <w:keepNext/>
              <w:keepLines/>
              <w:ind w:left="-57" w:right="-57"/>
              <w:jc w:val="center"/>
              <w:rPr>
                <w:szCs w:val="20"/>
              </w:rPr>
            </w:pPr>
            <w:r w:rsidRPr="00D064C0">
              <w:rPr>
                <w:szCs w:val="20"/>
              </w:rPr>
              <w:t>5/</w:t>
            </w:r>
            <w:r w:rsidR="00CC5362">
              <w:rPr>
                <w:szCs w:val="20"/>
              </w:rPr>
              <w:t>369</w:t>
            </w:r>
            <w:r w:rsidRPr="00D064C0">
              <w:rPr>
                <w:szCs w:val="20"/>
              </w:rPr>
              <w:t xml:space="preserve"> (1.4%)</w:t>
            </w:r>
          </w:p>
        </w:tc>
        <w:tc>
          <w:tcPr>
            <w:tcW w:w="1559" w:type="dxa"/>
            <w:vMerge/>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p>
        </w:tc>
        <w:tc>
          <w:tcPr>
            <w:tcW w:w="1559" w:type="dxa"/>
            <w:vMerge/>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p>
        </w:tc>
      </w:tr>
      <w:tr w:rsidR="004673C4" w:rsidRPr="00D064C0" w:rsidTr="004673C4">
        <w:tc>
          <w:tcPr>
            <w:tcW w:w="2122" w:type="dxa"/>
            <w:vMerge w:val="restart"/>
            <w:vAlign w:val="center"/>
          </w:tcPr>
          <w:p w:rsidR="004673C4" w:rsidRPr="00D064C0" w:rsidRDefault="004673C4" w:rsidP="003845B4">
            <w:pPr>
              <w:pStyle w:val="Tabletext"/>
              <w:keepNext/>
              <w:keepLines/>
              <w:rPr>
                <w:vertAlign w:val="superscript"/>
              </w:rPr>
            </w:pPr>
            <w:r w:rsidRPr="00D064C0">
              <w:t>Retinal haemorrhage</w:t>
            </w:r>
            <w:r w:rsidRPr="00D064C0">
              <w:rPr>
                <w:vertAlign w:val="superscript"/>
              </w:rPr>
              <w:t>e</w:t>
            </w:r>
          </w:p>
        </w:tc>
        <w:tc>
          <w:tcPr>
            <w:tcW w:w="992" w:type="dxa"/>
            <w:vAlign w:val="center"/>
          </w:tcPr>
          <w:p w:rsidR="004673C4" w:rsidRPr="00D064C0" w:rsidRDefault="004673C4" w:rsidP="003845B4">
            <w:pPr>
              <w:pStyle w:val="Tabletext"/>
              <w:keepNext/>
              <w:keepLines/>
              <w:rPr>
                <w:rFonts w:ascii="Times" w:hAnsi="Times"/>
              </w:rPr>
            </w:pPr>
            <w:r w:rsidRPr="00D064C0">
              <w:t>HAWK</w:t>
            </w:r>
          </w:p>
        </w:tc>
        <w:tc>
          <w:tcPr>
            <w:tcW w:w="1417" w:type="dxa"/>
            <w:vAlign w:val="center"/>
          </w:tcPr>
          <w:p w:rsidR="004673C4" w:rsidRPr="00D064C0" w:rsidRDefault="004673C4" w:rsidP="003845B4">
            <w:pPr>
              <w:pStyle w:val="Tabletext"/>
              <w:keepNext/>
              <w:keepLines/>
              <w:ind w:left="-57" w:right="-57"/>
              <w:jc w:val="center"/>
              <w:rPr>
                <w:szCs w:val="20"/>
              </w:rPr>
            </w:pPr>
            <w:r w:rsidRPr="00D064C0">
              <w:t>21/360 (5.8%)</w:t>
            </w:r>
          </w:p>
        </w:tc>
        <w:tc>
          <w:tcPr>
            <w:tcW w:w="1418" w:type="dxa"/>
            <w:vAlign w:val="center"/>
          </w:tcPr>
          <w:p w:rsidR="004673C4" w:rsidRPr="00D064C0" w:rsidRDefault="004673C4" w:rsidP="003845B4">
            <w:pPr>
              <w:pStyle w:val="Tabletext"/>
              <w:keepNext/>
              <w:keepLines/>
              <w:ind w:left="-57" w:right="-57"/>
              <w:jc w:val="center"/>
              <w:rPr>
                <w:szCs w:val="20"/>
              </w:rPr>
            </w:pPr>
            <w:r w:rsidRPr="00D064C0">
              <w:t>20/360 (5.6%)</w:t>
            </w:r>
          </w:p>
        </w:tc>
        <w:tc>
          <w:tcPr>
            <w:tcW w:w="1559" w:type="dxa"/>
            <w:vMerge w:val="restart"/>
            <w:vAlign w:val="center"/>
          </w:tcPr>
          <w:p w:rsidR="004673C4" w:rsidRPr="00D064C0" w:rsidRDefault="004673C4" w:rsidP="003845B4">
            <w:pPr>
              <w:pStyle w:val="Tabletext"/>
              <w:keepNext/>
              <w:keepLines/>
              <w:ind w:left="-57" w:right="-57"/>
              <w:jc w:val="center"/>
              <w:rPr>
                <w:szCs w:val="20"/>
              </w:rPr>
            </w:pPr>
            <w:r w:rsidRPr="00D064C0">
              <w:t>0.02 [-0.00, 0.03]</w:t>
            </w:r>
          </w:p>
          <w:p w:rsidR="004673C4" w:rsidRPr="00D064C0" w:rsidRDefault="00855B16" w:rsidP="003845B4">
            <w:pPr>
              <w:pStyle w:val="Tabletext"/>
              <w:keepNext/>
              <w:keepLines/>
              <w:ind w:left="-57" w:right="-57"/>
              <w:jc w:val="center"/>
              <w:rPr>
                <w:szCs w:val="20"/>
              </w:rPr>
            </w:pPr>
            <w:r w:rsidRPr="00D064C0">
              <w:t>I</w:t>
            </w:r>
            <w:r w:rsidRPr="00D064C0">
              <w:rPr>
                <w:vertAlign w:val="superscript"/>
              </w:rPr>
              <w:t>2</w:t>
            </w:r>
            <w:r w:rsidRPr="00D064C0">
              <w:t xml:space="preserve"> = </w:t>
            </w:r>
            <w:r w:rsidR="004673C4" w:rsidRPr="00D064C0">
              <w:t>6% (P = 0.30)</w:t>
            </w:r>
          </w:p>
        </w:tc>
        <w:tc>
          <w:tcPr>
            <w:tcW w:w="1559" w:type="dxa"/>
            <w:vMerge w:val="restart"/>
            <w:vAlign w:val="center"/>
          </w:tcPr>
          <w:p w:rsidR="004673C4" w:rsidRPr="00D064C0" w:rsidRDefault="004673C4" w:rsidP="003845B4">
            <w:pPr>
              <w:pStyle w:val="Tabletext"/>
              <w:keepNext/>
              <w:keepLines/>
              <w:ind w:left="-57" w:right="-57"/>
              <w:jc w:val="center"/>
            </w:pPr>
            <w:r w:rsidRPr="00D064C0">
              <w:t>1.59 [0.58, 4.34]</w:t>
            </w:r>
          </w:p>
          <w:p w:rsidR="004673C4" w:rsidRPr="00D064C0" w:rsidRDefault="00855B16" w:rsidP="003845B4">
            <w:pPr>
              <w:pStyle w:val="Tabletext"/>
              <w:keepNext/>
              <w:keepLines/>
              <w:ind w:left="-57" w:right="-57"/>
              <w:jc w:val="center"/>
            </w:pPr>
            <w:r w:rsidRPr="00D064C0">
              <w:t>I</w:t>
            </w:r>
            <w:r w:rsidRPr="00D064C0">
              <w:rPr>
                <w:vertAlign w:val="superscript"/>
              </w:rPr>
              <w:t>2</w:t>
            </w:r>
            <w:r w:rsidRPr="00D064C0">
              <w:t xml:space="preserve"> = </w:t>
            </w:r>
            <w:r w:rsidR="004673C4" w:rsidRPr="00D064C0">
              <w:t>62% (P = 0.11)</w:t>
            </w:r>
          </w:p>
        </w:tc>
      </w:tr>
      <w:tr w:rsidR="004673C4" w:rsidRPr="00D064C0" w:rsidTr="004673C4">
        <w:tc>
          <w:tcPr>
            <w:tcW w:w="2122" w:type="dxa"/>
            <w:vMerge/>
            <w:tcBorders>
              <w:bottom w:val="single" w:sz="4" w:space="0" w:color="auto"/>
            </w:tcBorders>
            <w:vAlign w:val="center"/>
          </w:tcPr>
          <w:p w:rsidR="004673C4" w:rsidRPr="00D064C0" w:rsidRDefault="004673C4" w:rsidP="003845B4">
            <w:pPr>
              <w:pStyle w:val="Tabletext"/>
              <w:keepNext/>
              <w:keepLines/>
            </w:pPr>
          </w:p>
        </w:tc>
        <w:tc>
          <w:tcPr>
            <w:tcW w:w="992" w:type="dxa"/>
            <w:tcBorders>
              <w:bottom w:val="single" w:sz="4" w:space="0" w:color="auto"/>
            </w:tcBorders>
            <w:vAlign w:val="center"/>
          </w:tcPr>
          <w:p w:rsidR="004673C4" w:rsidRPr="00D064C0" w:rsidRDefault="004673C4" w:rsidP="003845B4">
            <w:pPr>
              <w:pStyle w:val="Tabletext"/>
              <w:keepNext/>
              <w:keepLines/>
            </w:pPr>
            <w:r w:rsidRPr="00D064C0">
              <w:t>HARRIER</w:t>
            </w:r>
          </w:p>
        </w:tc>
        <w:tc>
          <w:tcPr>
            <w:tcW w:w="1417" w:type="dxa"/>
            <w:tcBorders>
              <w:bottom w:val="single" w:sz="4" w:space="0" w:color="auto"/>
            </w:tcBorders>
            <w:vAlign w:val="center"/>
          </w:tcPr>
          <w:p w:rsidR="004673C4" w:rsidRPr="00D064C0" w:rsidRDefault="004673C4" w:rsidP="003845B4">
            <w:pPr>
              <w:pStyle w:val="Tabletext"/>
              <w:keepNext/>
              <w:keepLines/>
              <w:ind w:left="-57" w:right="-57"/>
              <w:jc w:val="center"/>
              <w:rPr>
                <w:szCs w:val="20"/>
              </w:rPr>
            </w:pPr>
            <w:r w:rsidRPr="00D064C0">
              <w:t>12/370 (3.2%)</w:t>
            </w:r>
          </w:p>
        </w:tc>
        <w:tc>
          <w:tcPr>
            <w:tcW w:w="1418" w:type="dxa"/>
            <w:tcBorders>
              <w:bottom w:val="single" w:sz="4" w:space="0" w:color="auto"/>
            </w:tcBorders>
            <w:vAlign w:val="center"/>
          </w:tcPr>
          <w:p w:rsidR="004673C4" w:rsidRPr="00D064C0" w:rsidRDefault="004673C4" w:rsidP="003845B4">
            <w:pPr>
              <w:pStyle w:val="Tabletext"/>
              <w:keepNext/>
              <w:keepLines/>
              <w:ind w:left="-57" w:right="-57"/>
              <w:jc w:val="center"/>
              <w:rPr>
                <w:szCs w:val="20"/>
              </w:rPr>
            </w:pPr>
            <w:r w:rsidRPr="00D064C0">
              <w:t>4/369 (1.1%)</w:t>
            </w:r>
          </w:p>
        </w:tc>
        <w:tc>
          <w:tcPr>
            <w:tcW w:w="1559" w:type="dxa"/>
            <w:vMerge/>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p>
        </w:tc>
        <w:tc>
          <w:tcPr>
            <w:tcW w:w="1559" w:type="dxa"/>
            <w:vMerge/>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p>
        </w:tc>
      </w:tr>
      <w:tr w:rsidR="004673C4" w:rsidRPr="00D064C0" w:rsidTr="004673C4">
        <w:tc>
          <w:tcPr>
            <w:tcW w:w="2122" w:type="dxa"/>
            <w:vMerge w:val="restart"/>
            <w:vAlign w:val="center"/>
          </w:tcPr>
          <w:p w:rsidR="004673C4" w:rsidRPr="00D064C0" w:rsidRDefault="004673C4" w:rsidP="003845B4">
            <w:pPr>
              <w:pStyle w:val="Tabletext"/>
              <w:keepNext/>
              <w:keepLines/>
            </w:pPr>
            <w:r w:rsidRPr="00D064C0">
              <w:t>Cataract</w:t>
            </w:r>
          </w:p>
        </w:tc>
        <w:tc>
          <w:tcPr>
            <w:tcW w:w="992" w:type="dxa"/>
            <w:vAlign w:val="center"/>
          </w:tcPr>
          <w:p w:rsidR="004673C4" w:rsidRPr="00D064C0" w:rsidRDefault="004673C4" w:rsidP="003845B4">
            <w:pPr>
              <w:pStyle w:val="Tabletext"/>
              <w:keepNext/>
              <w:keepLines/>
              <w:rPr>
                <w:rFonts w:ascii="Times" w:hAnsi="Times"/>
              </w:rPr>
            </w:pPr>
            <w:r w:rsidRPr="00D064C0">
              <w:t>HAWK</w:t>
            </w:r>
          </w:p>
        </w:tc>
        <w:tc>
          <w:tcPr>
            <w:tcW w:w="1417" w:type="dxa"/>
            <w:vAlign w:val="center"/>
          </w:tcPr>
          <w:p w:rsidR="004673C4" w:rsidRPr="00D064C0" w:rsidRDefault="004673C4" w:rsidP="003845B4">
            <w:pPr>
              <w:pStyle w:val="Tabletext"/>
              <w:keepNext/>
              <w:keepLines/>
              <w:ind w:left="-57" w:right="-57"/>
              <w:jc w:val="center"/>
              <w:rPr>
                <w:szCs w:val="20"/>
              </w:rPr>
            </w:pPr>
            <w:r w:rsidRPr="00D064C0">
              <w:rPr>
                <w:szCs w:val="20"/>
              </w:rPr>
              <w:t>20/360 (5.6)</w:t>
            </w:r>
          </w:p>
        </w:tc>
        <w:tc>
          <w:tcPr>
            <w:tcW w:w="1418" w:type="dxa"/>
            <w:vAlign w:val="center"/>
          </w:tcPr>
          <w:p w:rsidR="004673C4" w:rsidRPr="00D064C0" w:rsidRDefault="004673C4" w:rsidP="003845B4">
            <w:pPr>
              <w:pStyle w:val="Tabletext"/>
              <w:keepNext/>
              <w:keepLines/>
              <w:ind w:left="-57" w:right="-57"/>
              <w:jc w:val="center"/>
              <w:rPr>
                <w:szCs w:val="20"/>
              </w:rPr>
            </w:pPr>
            <w:r w:rsidRPr="00D064C0">
              <w:rPr>
                <w:szCs w:val="20"/>
              </w:rPr>
              <w:t>13/360 (3.6%)</w:t>
            </w:r>
          </w:p>
        </w:tc>
        <w:tc>
          <w:tcPr>
            <w:tcW w:w="1559" w:type="dxa"/>
            <w:vMerge w:val="restart"/>
            <w:vAlign w:val="center"/>
          </w:tcPr>
          <w:p w:rsidR="004673C4" w:rsidRPr="00D064C0" w:rsidRDefault="004673C4" w:rsidP="003845B4">
            <w:pPr>
              <w:pStyle w:val="Tabletext"/>
              <w:keepNext/>
              <w:keepLines/>
              <w:ind w:left="-57" w:right="-57"/>
              <w:jc w:val="center"/>
              <w:rPr>
                <w:szCs w:val="20"/>
              </w:rPr>
            </w:pPr>
            <w:r w:rsidRPr="00D064C0">
              <w:rPr>
                <w:szCs w:val="20"/>
              </w:rPr>
              <w:t>-0.03 [-0.14, 0.07]</w:t>
            </w:r>
          </w:p>
          <w:p w:rsidR="004673C4" w:rsidRPr="00D064C0" w:rsidRDefault="004673C4" w:rsidP="003845B4">
            <w:pPr>
              <w:pStyle w:val="Tabletext"/>
              <w:keepNext/>
              <w:keepLines/>
              <w:ind w:left="-57" w:right="-57"/>
              <w:jc w:val="center"/>
              <w:rPr>
                <w:szCs w:val="20"/>
              </w:rPr>
            </w:pPr>
            <w:r w:rsidRPr="00D064C0">
              <w:t>I</w:t>
            </w:r>
            <w:r w:rsidRPr="00D064C0">
              <w:rPr>
                <w:vertAlign w:val="superscript"/>
              </w:rPr>
              <w:t>2</w:t>
            </w:r>
            <w:r w:rsidRPr="00D064C0">
              <w:t xml:space="preserve"> =</w:t>
            </w:r>
            <w:r w:rsidRPr="00D064C0">
              <w:rPr>
                <w:vertAlign w:val="superscript"/>
              </w:rPr>
              <w:t xml:space="preserve"> </w:t>
            </w:r>
            <w:r w:rsidRPr="00D064C0">
              <w:rPr>
                <w:szCs w:val="20"/>
              </w:rPr>
              <w:t>95% (P&lt; 0.001)</w:t>
            </w:r>
          </w:p>
        </w:tc>
        <w:tc>
          <w:tcPr>
            <w:tcW w:w="1559" w:type="dxa"/>
            <w:vMerge w:val="restart"/>
            <w:vAlign w:val="center"/>
          </w:tcPr>
          <w:p w:rsidR="004673C4" w:rsidRPr="00D064C0" w:rsidRDefault="004673C4" w:rsidP="003845B4">
            <w:pPr>
              <w:keepNext/>
              <w:keepLines/>
              <w:ind w:left="-57" w:right="-57"/>
              <w:jc w:val="center"/>
              <w:rPr>
                <w:rFonts w:ascii="Arial Narrow" w:hAnsi="Arial Narrow"/>
                <w:sz w:val="20"/>
                <w:szCs w:val="20"/>
              </w:rPr>
            </w:pPr>
            <w:r w:rsidRPr="00D064C0">
              <w:rPr>
                <w:rFonts w:ascii="Arial Narrow" w:hAnsi="Arial Narrow"/>
                <w:sz w:val="20"/>
                <w:szCs w:val="20"/>
              </w:rPr>
              <w:t>0.62 [0.11, 3.65]</w:t>
            </w:r>
          </w:p>
          <w:p w:rsidR="004673C4" w:rsidRPr="00D064C0" w:rsidRDefault="004673C4" w:rsidP="003845B4">
            <w:pPr>
              <w:keepNext/>
              <w:keepLines/>
              <w:ind w:left="-57" w:right="-57"/>
              <w:jc w:val="center"/>
              <w:rPr>
                <w:szCs w:val="20"/>
              </w:rPr>
            </w:pPr>
            <w:r w:rsidRPr="00D064C0">
              <w:rPr>
                <w:rFonts w:ascii="Arial Narrow" w:hAnsi="Arial Narrow"/>
                <w:sz w:val="20"/>
                <w:szCs w:val="20"/>
              </w:rPr>
              <w:t>I</w:t>
            </w:r>
            <w:r w:rsidRPr="00D064C0">
              <w:rPr>
                <w:rFonts w:ascii="Arial Narrow" w:hAnsi="Arial Narrow"/>
                <w:sz w:val="20"/>
                <w:szCs w:val="20"/>
                <w:vertAlign w:val="superscript"/>
              </w:rPr>
              <w:t>2</w:t>
            </w:r>
            <w:r w:rsidRPr="00D064C0">
              <w:rPr>
                <w:rFonts w:ascii="Arial Narrow" w:hAnsi="Arial Narrow"/>
                <w:sz w:val="20"/>
                <w:szCs w:val="20"/>
              </w:rPr>
              <w:t xml:space="preserve"> =</w:t>
            </w:r>
            <w:r w:rsidRPr="00D064C0">
              <w:rPr>
                <w:vertAlign w:val="superscript"/>
              </w:rPr>
              <w:t xml:space="preserve"> </w:t>
            </w:r>
            <w:r w:rsidRPr="00D064C0">
              <w:rPr>
                <w:rFonts w:ascii="Arial Narrow" w:hAnsi="Arial Narrow"/>
                <w:sz w:val="20"/>
                <w:szCs w:val="20"/>
              </w:rPr>
              <w:t>93% (P&lt; 0.001)</w:t>
            </w:r>
          </w:p>
        </w:tc>
      </w:tr>
      <w:tr w:rsidR="004673C4" w:rsidRPr="00D064C0" w:rsidTr="004673C4">
        <w:tc>
          <w:tcPr>
            <w:tcW w:w="2122" w:type="dxa"/>
            <w:vMerge/>
            <w:tcBorders>
              <w:bottom w:val="single" w:sz="4" w:space="0" w:color="auto"/>
            </w:tcBorders>
            <w:vAlign w:val="center"/>
          </w:tcPr>
          <w:p w:rsidR="004673C4" w:rsidRPr="00D064C0" w:rsidRDefault="004673C4" w:rsidP="003845B4">
            <w:pPr>
              <w:pStyle w:val="Tabletext"/>
              <w:keepNext/>
              <w:keepLines/>
            </w:pPr>
          </w:p>
        </w:tc>
        <w:tc>
          <w:tcPr>
            <w:tcW w:w="992" w:type="dxa"/>
            <w:tcBorders>
              <w:bottom w:val="single" w:sz="4" w:space="0" w:color="auto"/>
            </w:tcBorders>
            <w:vAlign w:val="center"/>
          </w:tcPr>
          <w:p w:rsidR="004673C4" w:rsidRPr="00D064C0" w:rsidRDefault="004673C4" w:rsidP="003845B4">
            <w:pPr>
              <w:pStyle w:val="Tabletext"/>
              <w:keepNext/>
              <w:keepLines/>
            </w:pPr>
            <w:r w:rsidRPr="00D064C0">
              <w:t>HARRIER</w:t>
            </w:r>
          </w:p>
        </w:tc>
        <w:tc>
          <w:tcPr>
            <w:tcW w:w="1417" w:type="dxa"/>
            <w:tcBorders>
              <w:bottom w:val="single" w:sz="4" w:space="0" w:color="auto"/>
            </w:tcBorders>
            <w:vAlign w:val="center"/>
          </w:tcPr>
          <w:p w:rsidR="004673C4" w:rsidRPr="00D064C0" w:rsidRDefault="004673C4" w:rsidP="003845B4">
            <w:pPr>
              <w:pStyle w:val="Tabletext"/>
              <w:keepNext/>
              <w:keepLines/>
              <w:ind w:left="-57" w:right="-57"/>
              <w:jc w:val="center"/>
              <w:rPr>
                <w:szCs w:val="20"/>
              </w:rPr>
            </w:pPr>
            <w:r w:rsidRPr="00D064C0">
              <w:rPr>
                <w:szCs w:val="20"/>
              </w:rPr>
              <w:t>11/370 (3.0%)</w:t>
            </w:r>
          </w:p>
        </w:tc>
        <w:tc>
          <w:tcPr>
            <w:tcW w:w="1418" w:type="dxa"/>
            <w:tcBorders>
              <w:bottom w:val="single" w:sz="4" w:space="0" w:color="auto"/>
            </w:tcBorders>
            <w:vAlign w:val="center"/>
          </w:tcPr>
          <w:p w:rsidR="004673C4" w:rsidRPr="00D064C0" w:rsidRDefault="004673C4" w:rsidP="003845B4">
            <w:pPr>
              <w:pStyle w:val="Tabletext"/>
              <w:keepNext/>
              <w:keepLines/>
              <w:ind w:left="-57" w:right="-57"/>
              <w:jc w:val="center"/>
              <w:rPr>
                <w:szCs w:val="20"/>
              </w:rPr>
            </w:pPr>
            <w:r w:rsidRPr="00D064C0">
              <w:rPr>
                <w:szCs w:val="20"/>
              </w:rPr>
              <w:t>43/369 (11.7%)</w:t>
            </w:r>
          </w:p>
        </w:tc>
        <w:tc>
          <w:tcPr>
            <w:tcW w:w="1559" w:type="dxa"/>
            <w:vMerge/>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p>
        </w:tc>
        <w:tc>
          <w:tcPr>
            <w:tcW w:w="1559" w:type="dxa"/>
            <w:vMerge/>
            <w:tcBorders>
              <w:bottom w:val="single" w:sz="4" w:space="0" w:color="auto"/>
            </w:tcBorders>
            <w:vAlign w:val="center"/>
          </w:tcPr>
          <w:p w:rsidR="004673C4" w:rsidRPr="00D064C0" w:rsidRDefault="004673C4" w:rsidP="003845B4">
            <w:pPr>
              <w:pStyle w:val="Tabletext"/>
              <w:keepNext/>
              <w:keepLines/>
              <w:ind w:left="-57" w:right="-57"/>
              <w:jc w:val="center"/>
              <w:rPr>
                <w:rFonts w:ascii="Times" w:hAnsi="Times"/>
              </w:rPr>
            </w:pPr>
          </w:p>
        </w:tc>
      </w:tr>
    </w:tbl>
    <w:p w:rsidR="00796DE1" w:rsidRPr="00D064C0" w:rsidRDefault="00796DE1" w:rsidP="003845B4">
      <w:pPr>
        <w:pStyle w:val="TableFooter"/>
        <w:keepNext/>
        <w:keepLines/>
        <w:rPr>
          <w:rFonts w:eastAsia="Calibri"/>
        </w:rPr>
      </w:pPr>
      <w:r w:rsidRPr="00D064C0">
        <w:rPr>
          <w:rFonts w:eastAsia="Calibri"/>
        </w:rPr>
        <w:t>AEs = adverse events; CI = confidence interval; n = number of patients experiencing the event; N = total patients in the group; RD = risk difference; RR = risk ratio; SAEs = serious adverse events</w:t>
      </w:r>
    </w:p>
    <w:p w:rsidR="00796DE1" w:rsidRPr="00D064C0" w:rsidRDefault="00796DE1" w:rsidP="003845B4">
      <w:pPr>
        <w:pStyle w:val="TableFooter"/>
        <w:keepNext/>
        <w:keepLines/>
        <w:rPr>
          <w:rFonts w:eastAsia="Calibri"/>
          <w:b/>
        </w:rPr>
      </w:pPr>
      <w:r w:rsidRPr="00D064C0">
        <w:rPr>
          <w:rFonts w:eastAsia="Calibri"/>
          <w:b/>
        </w:rPr>
        <w:t>Note: Statistically significant difference</w:t>
      </w:r>
      <w:r w:rsidR="004D229F" w:rsidRPr="00D064C0">
        <w:rPr>
          <w:rFonts w:eastAsia="Calibri"/>
          <w:b/>
        </w:rPr>
        <w:t>s</w:t>
      </w:r>
      <w:r w:rsidRPr="00D064C0">
        <w:rPr>
          <w:rFonts w:eastAsia="Calibri"/>
          <w:b/>
        </w:rPr>
        <w:t xml:space="preserve"> are presented in bold</w:t>
      </w:r>
    </w:p>
    <w:p w:rsidR="00970BD5" w:rsidRPr="00D064C0" w:rsidRDefault="00970BD5" w:rsidP="003845B4">
      <w:pPr>
        <w:pStyle w:val="TableFooter"/>
        <w:keepNext/>
        <w:keepLines/>
        <w:rPr>
          <w:rFonts w:eastAsia="Calibri"/>
        </w:rPr>
      </w:pPr>
      <w:r w:rsidRPr="00D064C0">
        <w:rPr>
          <w:rFonts w:eastAsia="Calibri"/>
          <w:vertAlign w:val="superscript"/>
        </w:rPr>
        <w:t xml:space="preserve">a </w:t>
      </w:r>
      <w:r w:rsidRPr="00D064C0">
        <w:rPr>
          <w:rFonts w:eastAsia="Calibri"/>
        </w:rPr>
        <w:t>Brolucizumab vs. aflibercept. A result of &lt;0 indicates treatment effect favouring brolucizumab.</w:t>
      </w:r>
    </w:p>
    <w:p w:rsidR="00970BD5" w:rsidRPr="00D064C0" w:rsidRDefault="00970BD5" w:rsidP="003845B4">
      <w:pPr>
        <w:pStyle w:val="TableFooter"/>
        <w:keepNext/>
        <w:keepLines/>
        <w:rPr>
          <w:rFonts w:eastAsia="Calibri"/>
        </w:rPr>
      </w:pPr>
      <w:r w:rsidRPr="00D064C0">
        <w:rPr>
          <w:rFonts w:eastAsia="Calibri"/>
          <w:vertAlign w:val="superscript"/>
        </w:rPr>
        <w:t xml:space="preserve">b </w:t>
      </w:r>
      <w:r w:rsidRPr="00D064C0">
        <w:rPr>
          <w:rFonts w:eastAsia="Calibri"/>
        </w:rPr>
        <w:t>Brolucizumab vs. aflibercept. A result of &lt;1 indicates treatment effect favouring brolucizumab.</w:t>
      </w:r>
    </w:p>
    <w:p w:rsidR="00970BD5" w:rsidRPr="00D064C0" w:rsidRDefault="00970BD5" w:rsidP="003845B4">
      <w:pPr>
        <w:pStyle w:val="TableFooter"/>
        <w:keepNext/>
        <w:keepLines/>
        <w:rPr>
          <w:rFonts w:eastAsia="Calibri"/>
        </w:rPr>
      </w:pPr>
      <w:r w:rsidRPr="00D064C0">
        <w:rPr>
          <w:vertAlign w:val="superscript"/>
        </w:rPr>
        <w:t xml:space="preserve">c </w:t>
      </w:r>
      <w:r w:rsidRPr="00D064C0">
        <w:rPr>
          <w:rFonts w:eastAsia="Calibri"/>
        </w:rPr>
        <w:t xml:space="preserve">Data on treatment (procedure)-related serious ocular AEs were derived from Table 14.3.1-4.1_Y2, p19585 of the HAWK CSR and Table 14.3.1-4.1_Y2, p13998 </w:t>
      </w:r>
      <w:r w:rsidR="004673C4" w:rsidRPr="00D064C0">
        <w:rPr>
          <w:rFonts w:eastAsia="Calibri"/>
        </w:rPr>
        <w:t xml:space="preserve">of the </w:t>
      </w:r>
      <w:r w:rsidRPr="00D064C0">
        <w:rPr>
          <w:rFonts w:eastAsia="Calibri"/>
        </w:rPr>
        <w:t>HARRIER CSR. Pooled RR and RD were calculated during the evaluation using the Stata 14 software.</w:t>
      </w:r>
    </w:p>
    <w:p w:rsidR="00970BD5" w:rsidRPr="00D064C0" w:rsidRDefault="00970BD5" w:rsidP="003845B4">
      <w:pPr>
        <w:pStyle w:val="TableFooter"/>
        <w:keepNext/>
        <w:keepLines/>
        <w:rPr>
          <w:rFonts w:eastAsia="Calibri"/>
        </w:rPr>
      </w:pPr>
      <w:r w:rsidRPr="00D064C0">
        <w:rPr>
          <w:vertAlign w:val="superscript"/>
        </w:rPr>
        <w:t>d</w:t>
      </w:r>
      <w:r w:rsidRPr="00D064C0">
        <w:t xml:space="preserve"> </w:t>
      </w:r>
      <w:r w:rsidRPr="00D064C0">
        <w:rPr>
          <w:rFonts w:eastAsia="Calibri"/>
        </w:rPr>
        <w:t xml:space="preserve">Data on treatment (procedure)-related serious non-ocular AEs were derived from Table 14.3.1-4.2_Y2, p19590 of the HAWK CSR and Table 14.3.1-4.2_Y2, p14004 </w:t>
      </w:r>
      <w:r w:rsidR="004673C4" w:rsidRPr="00D064C0">
        <w:rPr>
          <w:rFonts w:eastAsia="Calibri"/>
        </w:rPr>
        <w:t xml:space="preserve">of the </w:t>
      </w:r>
      <w:r w:rsidRPr="00D064C0">
        <w:rPr>
          <w:rFonts w:eastAsia="Calibri"/>
        </w:rPr>
        <w:t>HARRIER CSR. Pooled RR and RD were calculated during the evaluation using the Stata 14 software</w:t>
      </w:r>
    </w:p>
    <w:p w:rsidR="00970BD5" w:rsidRPr="00D064C0" w:rsidRDefault="00970BD5" w:rsidP="003845B4">
      <w:pPr>
        <w:pStyle w:val="TableFooter"/>
        <w:keepNext/>
        <w:keepLines/>
        <w:rPr>
          <w:rFonts w:eastAsia="Calibri"/>
        </w:rPr>
      </w:pPr>
      <w:r w:rsidRPr="00D064C0">
        <w:rPr>
          <w:rFonts w:eastAsia="Calibri"/>
          <w:vertAlign w:val="superscript"/>
        </w:rPr>
        <w:t>e</w:t>
      </w:r>
      <w:r w:rsidRPr="00D064C0">
        <w:rPr>
          <w:rFonts w:eastAsia="Calibri"/>
        </w:rPr>
        <w:t xml:space="preserve"> Data on retinal pigment epithelia tear </w:t>
      </w:r>
      <w:r w:rsidR="004673C4" w:rsidRPr="00D064C0">
        <w:rPr>
          <w:rFonts w:eastAsia="Calibri"/>
        </w:rPr>
        <w:t xml:space="preserve">and retinal haemorrhage </w:t>
      </w:r>
      <w:r w:rsidRPr="00D064C0">
        <w:rPr>
          <w:rFonts w:eastAsia="Calibri"/>
        </w:rPr>
        <w:t>events were not presented in the submission, but were derived from Table 12-8, p254 of the HAWK CSR and Table 12-8, pp233-234 of the HARRIER CSR. Pooled RR and RD were calculated during the evaluation using the Stata 14 software.</w:t>
      </w:r>
    </w:p>
    <w:p w:rsidR="00970BD5" w:rsidRPr="00D064C0" w:rsidRDefault="00970BD5" w:rsidP="003845B4">
      <w:pPr>
        <w:pStyle w:val="TableFooter"/>
        <w:keepNext/>
        <w:keepLines/>
      </w:pPr>
      <w:r w:rsidRPr="00D064C0">
        <w:t xml:space="preserve">Source: Table 2-31, Table 2-34, Table 2-37, </w:t>
      </w:r>
      <w:r w:rsidRPr="00D064C0">
        <w:rPr>
          <w:rFonts w:eastAsia="Calibri"/>
        </w:rPr>
        <w:t xml:space="preserve">Table 2-46, </w:t>
      </w:r>
      <w:r w:rsidRPr="00D064C0">
        <w:t xml:space="preserve">Table 2-53, Table 2-54, Table 2-55, and </w:t>
      </w:r>
      <w:r w:rsidRPr="00D064C0">
        <w:rPr>
          <w:rFonts w:eastAsia="Calibri"/>
        </w:rPr>
        <w:t xml:space="preserve">Table 2-56, Section 2 of the </w:t>
      </w:r>
      <w:r w:rsidRPr="00D064C0">
        <w:t>submission</w:t>
      </w:r>
    </w:p>
    <w:p w:rsidR="00796DE1" w:rsidRPr="005B133E" w:rsidRDefault="00796DE1" w:rsidP="00796DE1"/>
    <w:p w:rsidR="00FE0617" w:rsidRPr="00D064C0" w:rsidRDefault="00A64155" w:rsidP="00917BC7">
      <w:pPr>
        <w:pStyle w:val="ListParagraph"/>
        <w:widowControl/>
        <w:numPr>
          <w:ilvl w:val="1"/>
          <w:numId w:val="1"/>
        </w:numPr>
        <w:spacing w:after="120"/>
      </w:pPr>
      <w:r w:rsidRPr="00D064C0">
        <w:lastRenderedPageBreak/>
        <w:t>The r</w:t>
      </w:r>
      <w:r w:rsidR="00796DE1" w:rsidRPr="00D064C0">
        <w:t xml:space="preserve">esults of </w:t>
      </w:r>
      <w:r w:rsidRPr="00D064C0">
        <w:t xml:space="preserve">the </w:t>
      </w:r>
      <w:r w:rsidR="00796DE1" w:rsidRPr="00D064C0">
        <w:t>meta-</w:t>
      </w:r>
      <w:r w:rsidRPr="00D064C0">
        <w:t xml:space="preserve">analyses </w:t>
      </w:r>
      <w:r w:rsidR="00796DE1" w:rsidRPr="00D064C0">
        <w:t xml:space="preserve">showed </w:t>
      </w:r>
      <w:r w:rsidR="00321411" w:rsidRPr="00D064C0">
        <w:t xml:space="preserve">that </w:t>
      </w:r>
      <w:r w:rsidR="00741601" w:rsidRPr="00D064C0">
        <w:t xml:space="preserve">the incidence of </w:t>
      </w:r>
      <w:r w:rsidR="00A9109E">
        <w:t xml:space="preserve">total </w:t>
      </w:r>
      <w:r w:rsidR="00741601" w:rsidRPr="00D064C0">
        <w:t xml:space="preserve">ocular AEs, non-ocular AEs, AEs leading to treatment withdrawal and fatal events was generally comparable between brolucizumab and aflibercept. </w:t>
      </w:r>
      <w:r w:rsidR="00A9109E">
        <w:t xml:space="preserve">However, </w:t>
      </w:r>
      <w:r w:rsidR="00796DE1" w:rsidRPr="00D064C0">
        <w:t>a statistically significantly greater proportion of subjects in the brolucizumab arm experienc</w:t>
      </w:r>
      <w:r w:rsidR="00321411" w:rsidRPr="00D064C0">
        <w:t>ed</w:t>
      </w:r>
      <w:r w:rsidR="00796DE1" w:rsidRPr="00D064C0">
        <w:t xml:space="preserve"> serious </w:t>
      </w:r>
      <w:r w:rsidR="00D22E5E" w:rsidRPr="00D064C0">
        <w:t xml:space="preserve">ocular </w:t>
      </w:r>
      <w:r w:rsidR="00796DE1" w:rsidRPr="00D064C0">
        <w:t xml:space="preserve">AEs in the study eye compared with aflibercept at Week 96 </w:t>
      </w:r>
      <w:r w:rsidR="00321411" w:rsidRPr="00D064C0">
        <w:t xml:space="preserve">(3.4% (25/730) vs. 1.5% (11/729); </w:t>
      </w:r>
      <w:r w:rsidR="007E7BE7" w:rsidRPr="00D064C0">
        <w:t>risk ratio (</w:t>
      </w:r>
      <w:r w:rsidR="00321411" w:rsidRPr="00D064C0">
        <w:t>RR</w:t>
      </w:r>
      <w:r w:rsidR="007E7BE7" w:rsidRPr="00D064C0">
        <w:t>)</w:t>
      </w:r>
      <w:r w:rsidR="00321411" w:rsidRPr="00D064C0">
        <w:t>: 2.27 [</w:t>
      </w:r>
      <w:r w:rsidR="00F71346" w:rsidRPr="00D064C0">
        <w:t xml:space="preserve">95% CI: </w:t>
      </w:r>
      <w:r w:rsidR="00321411" w:rsidRPr="00D064C0">
        <w:t>1.12, 4.58])</w:t>
      </w:r>
      <w:r w:rsidR="00796DE1" w:rsidRPr="00D064C0">
        <w:t xml:space="preserve">. Similar results were reported when only </w:t>
      </w:r>
      <w:r w:rsidR="00855B16" w:rsidRPr="00D064C0">
        <w:t xml:space="preserve">drug-related or administration procedure-related </w:t>
      </w:r>
      <w:r w:rsidR="00796DE1" w:rsidRPr="00D064C0">
        <w:t xml:space="preserve">serious ocular AEs were considered </w:t>
      </w:r>
      <w:r w:rsidR="007E7BE7" w:rsidRPr="00D064C0">
        <w:t>(</w:t>
      </w:r>
      <w:r w:rsidR="005D7DE1">
        <w:rPr>
          <w:noProof/>
          <w:color w:val="000000"/>
          <w:highlight w:val="black"/>
        </w:rPr>
        <w:t>'''''''</w:t>
      </w:r>
      <w:r w:rsidR="007E7BE7" w:rsidRPr="00FB6908">
        <w:t>% (</w:t>
      </w:r>
      <w:r w:rsidR="005D7DE1">
        <w:rPr>
          <w:noProof/>
          <w:color w:val="000000"/>
          <w:highlight w:val="black"/>
        </w:rPr>
        <w:t>''''''</w:t>
      </w:r>
      <w:r w:rsidR="007E7BE7" w:rsidRPr="00FB6908">
        <w:t xml:space="preserve">730) vs. </w:t>
      </w:r>
      <w:r w:rsidR="005D7DE1">
        <w:rPr>
          <w:noProof/>
          <w:color w:val="000000"/>
          <w:highlight w:val="black"/>
        </w:rPr>
        <w:t>''''''</w:t>
      </w:r>
      <w:r w:rsidR="007E7BE7" w:rsidRPr="00FB6908">
        <w:t>%</w:t>
      </w:r>
      <w:r w:rsidR="007E7BE7" w:rsidRPr="00814321">
        <w:t xml:space="preserve"> </w:t>
      </w:r>
      <w:r w:rsidR="007E7BE7" w:rsidRPr="00FB6908">
        <w:t>(</w:t>
      </w:r>
      <w:r w:rsidR="005D7DE1">
        <w:rPr>
          <w:noProof/>
          <w:color w:val="000000"/>
          <w:highlight w:val="black"/>
        </w:rPr>
        <w:t>'''''</w:t>
      </w:r>
      <w:r w:rsidR="007E7BE7" w:rsidRPr="00FB6908">
        <w:t xml:space="preserve">729); RR: </w:t>
      </w:r>
      <w:r w:rsidR="005D7DE1">
        <w:rPr>
          <w:noProof/>
          <w:color w:val="000000"/>
          <w:highlight w:val="black"/>
        </w:rPr>
        <w:t>''''''''</w:t>
      </w:r>
      <w:r w:rsidR="007E7BE7" w:rsidRPr="00FB6908">
        <w:t xml:space="preserve"> [</w:t>
      </w:r>
      <w:r w:rsidR="00F71346" w:rsidRPr="00FB6908">
        <w:t xml:space="preserve">95% CI: </w:t>
      </w:r>
      <w:r w:rsidR="005D7DE1">
        <w:rPr>
          <w:noProof/>
          <w:color w:val="000000"/>
          <w:highlight w:val="black"/>
        </w:rPr>
        <w:t>''''''''' '''''''''''</w:t>
      </w:r>
      <w:r w:rsidR="007E7BE7" w:rsidRPr="00FB6908">
        <w:t>])</w:t>
      </w:r>
      <w:r w:rsidR="00796DE1" w:rsidRPr="00D064C0">
        <w:t xml:space="preserve">. Conversely, </w:t>
      </w:r>
      <w:r w:rsidR="007E7BE7" w:rsidRPr="00D064C0">
        <w:t xml:space="preserve">patients treated with brolucizumab had a lower </w:t>
      </w:r>
      <w:r w:rsidR="00796DE1" w:rsidRPr="00D064C0">
        <w:t xml:space="preserve">incidence </w:t>
      </w:r>
      <w:r w:rsidR="00953DE0" w:rsidRPr="00D064C0">
        <w:t xml:space="preserve">of </w:t>
      </w:r>
      <w:r w:rsidR="00953DE0">
        <w:t>non</w:t>
      </w:r>
      <w:r w:rsidR="00796DE1" w:rsidRPr="00D064C0">
        <w:t xml:space="preserve">-ocular </w:t>
      </w:r>
      <w:r w:rsidR="00EF6BDC">
        <w:t>S</w:t>
      </w:r>
      <w:r w:rsidR="00796DE1" w:rsidRPr="00D064C0">
        <w:t xml:space="preserve">AEs </w:t>
      </w:r>
      <w:r w:rsidR="007E7BE7" w:rsidRPr="00D064C0">
        <w:t>(21.1% (154/730) vs. 26.7% (195/729); RR: 0.79 [</w:t>
      </w:r>
      <w:r w:rsidR="00F71346" w:rsidRPr="00D064C0">
        <w:t xml:space="preserve">95% CI: </w:t>
      </w:r>
      <w:r w:rsidR="007E7BE7" w:rsidRPr="00D064C0">
        <w:t>0.66, 0.95])</w:t>
      </w:r>
      <w:r w:rsidR="00796DE1" w:rsidRPr="00D064C0">
        <w:t xml:space="preserve">. However, </w:t>
      </w:r>
      <w:r w:rsidR="007024C7" w:rsidRPr="00D064C0">
        <w:t xml:space="preserve">the </w:t>
      </w:r>
      <w:r w:rsidR="00796DE1" w:rsidRPr="00D064C0">
        <w:t xml:space="preserve">majority of these non-ocular </w:t>
      </w:r>
      <w:r w:rsidR="00EF6BDC">
        <w:t>S</w:t>
      </w:r>
      <w:r w:rsidR="00796DE1" w:rsidRPr="00D064C0">
        <w:t>AEs were assessed by the investigator as unrelated to VEGF therapy. The difference</w:t>
      </w:r>
      <w:r w:rsidR="00741601" w:rsidRPr="00D064C0">
        <w:t xml:space="preserve"> </w:t>
      </w:r>
      <w:r w:rsidR="00796DE1" w:rsidRPr="00D064C0">
        <w:t xml:space="preserve">in </w:t>
      </w:r>
      <w:r w:rsidR="00741601" w:rsidRPr="00D064C0">
        <w:t xml:space="preserve">the rate of </w:t>
      </w:r>
      <w:r w:rsidR="00796DE1" w:rsidRPr="00D064C0">
        <w:t xml:space="preserve">treatment (procedure)-related non-ocular </w:t>
      </w:r>
      <w:r w:rsidR="00EF6BDC">
        <w:t>S</w:t>
      </w:r>
      <w:r w:rsidR="00796DE1" w:rsidRPr="00D064C0">
        <w:t xml:space="preserve">AEs </w:t>
      </w:r>
      <w:r w:rsidR="00741601" w:rsidRPr="00D064C0">
        <w:t>between the two treatment groups did not reach statistical significance</w:t>
      </w:r>
      <w:r w:rsidR="00796DE1" w:rsidRPr="00D064C0">
        <w:t xml:space="preserve">.  </w:t>
      </w:r>
    </w:p>
    <w:p w:rsidR="00FE0617" w:rsidRDefault="00741601" w:rsidP="00917BC7">
      <w:pPr>
        <w:pStyle w:val="ListParagraph"/>
        <w:widowControl/>
        <w:numPr>
          <w:ilvl w:val="1"/>
          <w:numId w:val="1"/>
        </w:numPr>
        <w:spacing w:after="120"/>
      </w:pPr>
      <w:r w:rsidRPr="00D064C0">
        <w:t>T</w:t>
      </w:r>
      <w:r w:rsidR="00796DE1" w:rsidRPr="00D064C0">
        <w:t>here were significantly more uveitis events in the brolucizumab arm</w:t>
      </w:r>
      <w:r w:rsidR="007024C7" w:rsidRPr="00D064C0">
        <w:t xml:space="preserve"> compared with the aflibercept arm</w:t>
      </w:r>
      <w:r w:rsidR="00796DE1" w:rsidRPr="00D064C0">
        <w:t xml:space="preserve"> at Week 96. The </w:t>
      </w:r>
      <w:r w:rsidR="004673C4" w:rsidRPr="00D064C0">
        <w:t xml:space="preserve">pooled risk differences in the rates of </w:t>
      </w:r>
      <w:r w:rsidR="00796DE1" w:rsidRPr="00D064C0">
        <w:t xml:space="preserve">vitreous floater and retinal pigment epithelial tear were also </w:t>
      </w:r>
      <w:r w:rsidR="004673C4" w:rsidRPr="00D064C0">
        <w:t>marginally statistically significant, favouring aflibercept. The incidence of iritis and retinal haemorrhage was higher in the brolucizumab arm compared with aflibercept in one of the clinical trial</w:t>
      </w:r>
      <w:r w:rsidR="00FC6795">
        <w:t>s</w:t>
      </w:r>
      <w:r w:rsidR="00F43DE4">
        <w:t>,</w:t>
      </w:r>
      <w:r w:rsidR="004673C4" w:rsidRPr="00D064C0">
        <w:t xml:space="preserve"> but the rates of these two events were similar in the other trial. The pooled </w:t>
      </w:r>
      <w:r w:rsidR="00855B16" w:rsidRPr="00D064C0">
        <w:t>estimate</w:t>
      </w:r>
      <w:r w:rsidR="004673C4" w:rsidRPr="00D064C0">
        <w:t xml:space="preserve">s did not reach statistical significance. </w:t>
      </w:r>
      <w:r w:rsidR="00796DE1" w:rsidRPr="00D064C0">
        <w:t xml:space="preserve">Results </w:t>
      </w:r>
      <w:r w:rsidR="007024C7" w:rsidRPr="00D064C0">
        <w:t>for</w:t>
      </w:r>
      <w:r w:rsidR="00796DE1" w:rsidRPr="00D064C0">
        <w:t xml:space="preserve"> cataract</w:t>
      </w:r>
      <w:r w:rsidR="007024C7" w:rsidRPr="00D064C0">
        <w:t>s</w:t>
      </w:r>
      <w:r w:rsidR="00796DE1" w:rsidRPr="00D064C0">
        <w:t xml:space="preserve"> </w:t>
      </w:r>
      <w:r w:rsidR="007024C7" w:rsidRPr="00D064C0">
        <w:t>were inconsistent</w:t>
      </w:r>
      <w:r w:rsidR="00796DE1" w:rsidRPr="00D064C0">
        <w:t xml:space="preserve"> between the HAWK and HARRIER trials. No conclusion could be drawn for this outcome.</w:t>
      </w:r>
      <w:r w:rsidR="00A9109E">
        <w:t xml:space="preserve"> </w:t>
      </w:r>
    </w:p>
    <w:p w:rsidR="00796DE1" w:rsidRPr="008D6A5E" w:rsidRDefault="00E26792" w:rsidP="00917BC7">
      <w:pPr>
        <w:pStyle w:val="ListParagraph"/>
        <w:widowControl/>
        <w:numPr>
          <w:ilvl w:val="1"/>
          <w:numId w:val="1"/>
        </w:numPr>
        <w:spacing w:after="120"/>
      </w:pPr>
      <w:r w:rsidRPr="008D6A5E">
        <w:rPr>
          <w:iCs/>
        </w:rPr>
        <w:t xml:space="preserve">The PSCR argued that the rate of ocular SAEs in the brolucizumab arm, while statistically inferior to aflibercept, </w:t>
      </w:r>
      <w:r w:rsidR="00DF020F">
        <w:rPr>
          <w:iCs/>
        </w:rPr>
        <w:t>was</w:t>
      </w:r>
      <w:r w:rsidRPr="008D6A5E">
        <w:rPr>
          <w:iCs/>
        </w:rPr>
        <w:t xml:space="preserve"> low in magnitude and the extent of any inferiority, if it is a real effect, is small. The PSCR stated that the safety profile for brolucizumab could be described as different, but clinically non-inferior.</w:t>
      </w:r>
      <w:r w:rsidR="001E1E90">
        <w:rPr>
          <w:iCs/>
        </w:rPr>
        <w:t xml:space="preserve"> </w:t>
      </w:r>
      <w:r w:rsidR="00A9109E" w:rsidRPr="008D6A5E">
        <w:rPr>
          <w:iCs/>
        </w:rPr>
        <w:t xml:space="preserve">The ESC </w:t>
      </w:r>
      <w:r w:rsidR="001F1CA3" w:rsidRPr="008D6A5E">
        <w:rPr>
          <w:iCs/>
        </w:rPr>
        <w:t>considered</w:t>
      </w:r>
      <w:r w:rsidR="00A9109E" w:rsidRPr="008D6A5E">
        <w:rPr>
          <w:iCs/>
        </w:rPr>
        <w:t xml:space="preserve"> the overall ocular </w:t>
      </w:r>
      <w:r w:rsidRPr="008D6A5E">
        <w:rPr>
          <w:iCs/>
        </w:rPr>
        <w:t>SAE</w:t>
      </w:r>
      <w:r w:rsidR="00A9109E" w:rsidRPr="008D6A5E">
        <w:rPr>
          <w:iCs/>
        </w:rPr>
        <w:t xml:space="preserve"> rate with brolucizumab was significant</w:t>
      </w:r>
      <w:r w:rsidR="002F1E15" w:rsidRPr="008D6A5E">
        <w:rPr>
          <w:iCs/>
        </w:rPr>
        <w:t xml:space="preserve"> and not non-inferior to aflibercept</w:t>
      </w:r>
      <w:r w:rsidR="00A9109E" w:rsidRPr="008D6A5E">
        <w:rPr>
          <w:iCs/>
        </w:rPr>
        <w:t>.</w:t>
      </w:r>
      <w:r w:rsidR="00A9109E" w:rsidRPr="008D6A5E">
        <w:t xml:space="preserve"> </w:t>
      </w:r>
      <w:r w:rsidR="00127FB8">
        <w:rPr>
          <w:iCs/>
        </w:rPr>
        <w:t>The</w:t>
      </w:r>
      <w:r w:rsidR="003F347E">
        <w:rPr>
          <w:iCs/>
        </w:rPr>
        <w:t xml:space="preserve"> Sponsor stated in the</w:t>
      </w:r>
      <w:r w:rsidR="00476818">
        <w:rPr>
          <w:iCs/>
        </w:rPr>
        <w:t xml:space="preserve"> Pre-PBAC response </w:t>
      </w:r>
      <w:r w:rsidR="00127FB8">
        <w:rPr>
          <w:iCs/>
        </w:rPr>
        <w:t>that the majority of the ocular SAEs were assessed by the investigator as mild or moderate, and resolved without sequelae</w:t>
      </w:r>
      <w:r w:rsidR="003F347E">
        <w:rPr>
          <w:iCs/>
        </w:rPr>
        <w:t xml:space="preserve"> after treatment with topical corticosteroids</w:t>
      </w:r>
      <w:r w:rsidR="00127FB8">
        <w:rPr>
          <w:iCs/>
        </w:rPr>
        <w:t xml:space="preserve">. </w:t>
      </w:r>
    </w:p>
    <w:p w:rsidR="00741601" w:rsidRDefault="00741601" w:rsidP="00917BC7">
      <w:pPr>
        <w:pStyle w:val="ListParagraph"/>
        <w:widowControl/>
        <w:numPr>
          <w:ilvl w:val="1"/>
          <w:numId w:val="1"/>
        </w:numPr>
        <w:spacing w:after="120"/>
      </w:pPr>
      <w:r w:rsidRPr="00D064C0">
        <w:t>One fatal event (2.2%) in the brolucizumab 6 mg arm of the OSPREY trial was considered treatment-related. This patient died from ischemic heart disease. The principal investigator assessed this event as serious, severe, and related to brolucizumab, as causality could not be ruled out (OSPREY CSR). The CSR of the HAWK trial also reported one patient (0.3%) receiving brolucizumab 3 mg</w:t>
      </w:r>
      <w:r w:rsidRPr="00D064C0">
        <w:rPr>
          <w:rStyle w:val="FootnoteReference"/>
        </w:rPr>
        <w:footnoteReference w:id="2"/>
      </w:r>
      <w:r w:rsidRPr="00D064C0">
        <w:t xml:space="preserve"> experienced a serious AE with a fatal outcome (cerebrovascular accident) which was considered to be related to study treatment by the investigator (p267 of the HAWK CSR).</w:t>
      </w:r>
    </w:p>
    <w:p w:rsidR="003F347E" w:rsidRPr="00D064C0" w:rsidRDefault="003F347E" w:rsidP="00917BC7">
      <w:pPr>
        <w:pStyle w:val="ListParagraph"/>
        <w:widowControl/>
        <w:numPr>
          <w:ilvl w:val="1"/>
          <w:numId w:val="1"/>
        </w:numPr>
        <w:spacing w:after="120"/>
      </w:pPr>
      <w:r>
        <w:rPr>
          <w:iCs/>
        </w:rPr>
        <w:lastRenderedPageBreak/>
        <w:t>The PBAC reiterated the safety concerns of the ESC, and considered that the claim of non-inferior safety may not be adequately supported. The PBAC noted the higher incidence of ocular SAEs with brolucizumab (uveitis, vitreous floater, and retinal pigment epithelial tear) and lower incidence of non-ocular SAEs with brolucizumab</w:t>
      </w:r>
      <w:r w:rsidR="000A104E">
        <w:rPr>
          <w:iCs/>
        </w:rPr>
        <w:t>.</w:t>
      </w:r>
    </w:p>
    <w:p w:rsidR="00796DE1" w:rsidRPr="00D064C0" w:rsidRDefault="00796DE1" w:rsidP="00917BC7">
      <w:pPr>
        <w:pStyle w:val="Heading2"/>
        <w:keepNext/>
        <w:keepLines/>
        <w:spacing w:after="120"/>
      </w:pPr>
      <w:bookmarkStart w:id="12" w:name="_Toc371170709"/>
      <w:bookmarkStart w:id="13" w:name="_Toc19612023"/>
      <w:r w:rsidRPr="00D064C0">
        <w:t>Clinical claim</w:t>
      </w:r>
      <w:bookmarkEnd w:id="12"/>
      <w:bookmarkEnd w:id="13"/>
    </w:p>
    <w:p w:rsidR="00796DE1" w:rsidRPr="00D064C0" w:rsidRDefault="00796DE1" w:rsidP="00917BC7">
      <w:pPr>
        <w:pStyle w:val="ListParagraph"/>
        <w:keepNext/>
        <w:keepLines/>
        <w:widowControl/>
        <w:numPr>
          <w:ilvl w:val="1"/>
          <w:numId w:val="1"/>
        </w:numPr>
        <w:spacing w:after="120"/>
      </w:pPr>
      <w:r w:rsidRPr="00D064C0">
        <w:t>The submission described brolucizumab 6 mg as non-inferior in terms of effectiveness and equivalent in terms of safety compared with aflibercept 2 mg.</w:t>
      </w:r>
    </w:p>
    <w:p w:rsidR="00801DD4" w:rsidRDefault="00B76C22" w:rsidP="00917BC7">
      <w:pPr>
        <w:pStyle w:val="ListParagraph"/>
        <w:widowControl/>
        <w:numPr>
          <w:ilvl w:val="1"/>
          <w:numId w:val="1"/>
        </w:numPr>
        <w:spacing w:after="120"/>
      </w:pPr>
      <w:r>
        <w:t>The PBAC considered that t</w:t>
      </w:r>
      <w:r w:rsidR="00796DE1" w:rsidRPr="00D064C0">
        <w:t xml:space="preserve">he </w:t>
      </w:r>
      <w:r>
        <w:t>claim of non-inferior</w:t>
      </w:r>
      <w:r w:rsidR="00796DE1" w:rsidRPr="00D064C0">
        <w:t xml:space="preserve"> comparative effectiveness of brolucizumab 6 mg and aflibercept 2 mg</w:t>
      </w:r>
      <w:r w:rsidR="00866FBA" w:rsidRPr="00D064C0">
        <w:t>, at the doses used in the trials,</w:t>
      </w:r>
      <w:r w:rsidR="00796DE1" w:rsidRPr="00D064C0">
        <w:t xml:space="preserve"> was </w:t>
      </w:r>
      <w:r>
        <w:t>reasonable</w:t>
      </w:r>
      <w:r w:rsidR="00796DE1" w:rsidRPr="00D064C0">
        <w:t>.</w:t>
      </w:r>
    </w:p>
    <w:p w:rsidR="00B76C22" w:rsidRDefault="00801DD4" w:rsidP="00917BC7">
      <w:pPr>
        <w:pStyle w:val="ListParagraph"/>
        <w:widowControl/>
        <w:numPr>
          <w:ilvl w:val="1"/>
          <w:numId w:val="1"/>
        </w:numPr>
        <w:spacing w:after="120"/>
      </w:pPr>
      <w:r w:rsidRPr="00D064C0">
        <w:t xml:space="preserve">However, </w:t>
      </w:r>
      <w:r w:rsidRPr="00143D72">
        <w:t>the</w:t>
      </w:r>
      <w:r>
        <w:t xml:space="preserve"> PBAC agreed with the</w:t>
      </w:r>
      <w:r w:rsidRPr="00143D72">
        <w:t xml:space="preserve"> </w:t>
      </w:r>
      <w:r w:rsidRPr="00801DD4">
        <w:rPr>
          <w:iCs/>
        </w:rPr>
        <w:t>ESC that the</w:t>
      </w:r>
      <w:r w:rsidRPr="00143D72">
        <w:t xml:space="preserve"> applicability of the results to the Australian clinical setting was limited </w:t>
      </w:r>
      <w:r>
        <w:t xml:space="preserve">due to the 8-weekly fixed-dosing treatment regimen used for aflibercept (see paragraph 6.9) and the less flexible treatment regimen for brolucizumab compared with its PI (see paragraph 6.8). </w:t>
      </w:r>
      <w:r w:rsidRPr="00801DD4">
        <w:rPr>
          <w:iCs/>
        </w:rPr>
        <w:t xml:space="preserve">Additional applicability issues were that not all patients in the HAWK and HARRIER trials had </w:t>
      </w:r>
      <w:r w:rsidRPr="00D064C0">
        <w:t>subfoveal CNV lesions</w:t>
      </w:r>
      <w:r w:rsidRPr="00801DD4" w:rsidDel="00801DD4">
        <w:rPr>
          <w:iCs/>
        </w:rPr>
        <w:t xml:space="preserve"> </w:t>
      </w:r>
      <w:r w:rsidRPr="00801DD4">
        <w:rPr>
          <w:iCs/>
        </w:rPr>
        <w:t xml:space="preserve">(see </w:t>
      </w:r>
      <w:r>
        <w:t>paragraph 6.16</w:t>
      </w:r>
      <w:r w:rsidRPr="00801DD4">
        <w:rPr>
          <w:iCs/>
        </w:rPr>
        <w:t>) and p</w:t>
      </w:r>
      <w:r w:rsidRPr="00D064C0">
        <w:t xml:space="preserve">atients who had received prior treatment for neovascular AMD were excluded from the brolucizumab trials </w:t>
      </w:r>
      <w:r>
        <w:t>(see paragraph 2.5).</w:t>
      </w:r>
    </w:p>
    <w:p w:rsidR="00796DE1" w:rsidRPr="00D064C0" w:rsidRDefault="00397BB3" w:rsidP="00917BC7">
      <w:pPr>
        <w:pStyle w:val="ListParagraph"/>
        <w:widowControl/>
        <w:numPr>
          <w:ilvl w:val="1"/>
          <w:numId w:val="1"/>
        </w:numPr>
        <w:spacing w:after="120"/>
      </w:pPr>
      <w:r w:rsidRPr="00D064C0">
        <w:t>The submission’s claim</w:t>
      </w:r>
      <w:r w:rsidR="00796DE1" w:rsidRPr="00D064C0">
        <w:t xml:space="preserve"> that brolucizumab would </w:t>
      </w:r>
      <w:r w:rsidRPr="00D064C0">
        <w:t>provide the benefit of</w:t>
      </w:r>
      <w:r w:rsidR="00796DE1" w:rsidRPr="00D064C0">
        <w:t xml:space="preserve"> less frequent dosing </w:t>
      </w:r>
      <w:r w:rsidRPr="00D064C0">
        <w:t>compared with</w:t>
      </w:r>
      <w:r w:rsidR="00796DE1" w:rsidRPr="00D064C0">
        <w:t xml:space="preserve"> currently available anti-VEGFs</w:t>
      </w:r>
      <w:r w:rsidRPr="00D064C0">
        <w:t>,</w:t>
      </w:r>
      <w:r w:rsidR="008D593D" w:rsidRPr="00D064C0">
        <w:t xml:space="preserve"> while maintaining the same efficacy,</w:t>
      </w:r>
      <w:r w:rsidR="00796DE1" w:rsidRPr="00D064C0">
        <w:t xml:space="preserve"> was poorly supported by the evidence given:</w:t>
      </w:r>
    </w:p>
    <w:p w:rsidR="00796DE1" w:rsidRPr="00D064C0" w:rsidRDefault="00796DE1" w:rsidP="00917BC7">
      <w:pPr>
        <w:pStyle w:val="ListParagraph"/>
        <w:widowControl/>
        <w:numPr>
          <w:ilvl w:val="0"/>
          <w:numId w:val="3"/>
        </w:numPr>
        <w:spacing w:after="120"/>
        <w:ind w:left="1077" w:hanging="357"/>
      </w:pPr>
      <w:r w:rsidRPr="00D064C0">
        <w:t>Patients in the aflibercept arm of the trials could not extend the treatment interval beyond q8w; and</w:t>
      </w:r>
    </w:p>
    <w:p w:rsidR="00796DE1" w:rsidRPr="00D064C0" w:rsidRDefault="00796DE1" w:rsidP="00917BC7">
      <w:pPr>
        <w:pStyle w:val="ListParagraph"/>
        <w:widowControl/>
        <w:numPr>
          <w:ilvl w:val="0"/>
          <w:numId w:val="3"/>
        </w:numPr>
        <w:spacing w:after="120"/>
        <w:ind w:left="1077" w:hanging="357"/>
      </w:pPr>
      <w:r w:rsidRPr="00D064C0">
        <w:t>The probability of a patient being maintained on the brolucizumab q12w regimen up to Week 44 of the trials was only 56% in HAWK and 51% in HARRIER.</w:t>
      </w:r>
    </w:p>
    <w:p w:rsidR="00796DE1" w:rsidRPr="008D6A5E" w:rsidRDefault="009E7281" w:rsidP="00917BC7">
      <w:pPr>
        <w:pStyle w:val="ListParagraph"/>
        <w:widowControl/>
        <w:numPr>
          <w:ilvl w:val="1"/>
          <w:numId w:val="1"/>
        </w:numPr>
        <w:spacing w:after="120"/>
      </w:pPr>
      <w:r w:rsidRPr="008D6A5E">
        <w:rPr>
          <w:iCs/>
        </w:rPr>
        <w:t xml:space="preserve">The </w:t>
      </w:r>
      <w:r w:rsidR="00B76C22">
        <w:rPr>
          <w:iCs/>
        </w:rPr>
        <w:t>PBAC considered</w:t>
      </w:r>
      <w:r w:rsidRPr="008D6A5E">
        <w:rPr>
          <w:iCs/>
        </w:rPr>
        <w:t xml:space="preserve"> that</w:t>
      </w:r>
      <w:r w:rsidRPr="008D6A5E">
        <w:t xml:space="preserve"> t</w:t>
      </w:r>
      <w:r w:rsidR="00796DE1" w:rsidRPr="008D6A5E">
        <w:t xml:space="preserve">he non-inferior claim of brolucizumab versus aflibercept in terms of </w:t>
      </w:r>
      <w:r w:rsidR="00B76C22">
        <w:t xml:space="preserve">comparative </w:t>
      </w:r>
      <w:r w:rsidR="00796DE1" w:rsidRPr="008D6A5E">
        <w:t xml:space="preserve">safety was not </w:t>
      </w:r>
      <w:r w:rsidR="00A9109E" w:rsidRPr="008D6A5E">
        <w:rPr>
          <w:iCs/>
        </w:rPr>
        <w:t>adequately</w:t>
      </w:r>
      <w:r w:rsidR="00A9109E" w:rsidRPr="008D6A5E">
        <w:t xml:space="preserve"> </w:t>
      </w:r>
      <w:r w:rsidR="00796DE1" w:rsidRPr="008D6A5E">
        <w:t>supported by the clinical evidence:</w:t>
      </w:r>
    </w:p>
    <w:p w:rsidR="00796DE1" w:rsidRPr="00D064C0" w:rsidRDefault="00796DE1" w:rsidP="00917BC7">
      <w:pPr>
        <w:pStyle w:val="ListParagraph"/>
        <w:widowControl/>
        <w:numPr>
          <w:ilvl w:val="0"/>
          <w:numId w:val="3"/>
        </w:numPr>
        <w:spacing w:after="120"/>
        <w:ind w:left="1077" w:hanging="357"/>
      </w:pPr>
      <w:r w:rsidRPr="00D064C0">
        <w:t xml:space="preserve">Results of meta-analyses of the safety data from the HAWK and HARRIER trials indicated higher rates of ocular </w:t>
      </w:r>
      <w:r w:rsidR="00957671">
        <w:t>S</w:t>
      </w:r>
      <w:r w:rsidRPr="00D064C0">
        <w:t xml:space="preserve">AEs and treatment (procedure)-related ocular </w:t>
      </w:r>
      <w:r w:rsidR="00957671">
        <w:t>S</w:t>
      </w:r>
      <w:r w:rsidRPr="00D064C0">
        <w:t>AEs in patients receiving brolucizumab compared with those treated with aflibercept;</w:t>
      </w:r>
      <w:r w:rsidR="009E7281">
        <w:t xml:space="preserve"> </w:t>
      </w:r>
    </w:p>
    <w:p w:rsidR="00796DE1" w:rsidRDefault="00796DE1" w:rsidP="00917BC7">
      <w:pPr>
        <w:pStyle w:val="ListParagraph"/>
        <w:widowControl/>
        <w:numPr>
          <w:ilvl w:val="0"/>
          <w:numId w:val="3"/>
        </w:numPr>
        <w:spacing w:after="120"/>
        <w:ind w:left="1077" w:hanging="357"/>
      </w:pPr>
      <w:r w:rsidRPr="00D064C0">
        <w:t xml:space="preserve">Although the incidence of non-ocular </w:t>
      </w:r>
      <w:r w:rsidR="00957671">
        <w:t>S</w:t>
      </w:r>
      <w:r w:rsidRPr="00D064C0">
        <w:t>AEs was lower for brolucizumab than for aflibercept, the majority of these AEs were considered unrelated to study drug or drug administration procedure.</w:t>
      </w:r>
    </w:p>
    <w:p w:rsidR="00B60939" w:rsidRPr="005B133E" w:rsidRDefault="00B60939" w:rsidP="00917BC7">
      <w:pPr>
        <w:pStyle w:val="Heading2"/>
        <w:spacing w:after="120"/>
      </w:pPr>
      <w:bookmarkStart w:id="14" w:name="_Toc19612024"/>
      <w:r w:rsidRPr="005B133E">
        <w:t>Economic analysis</w:t>
      </w:r>
      <w:bookmarkEnd w:id="14"/>
      <w:r w:rsidR="00491B3A" w:rsidRPr="005B133E">
        <w:t xml:space="preserve"> </w:t>
      </w:r>
    </w:p>
    <w:p w:rsidR="00604E51" w:rsidRPr="008D6A5E" w:rsidRDefault="00604E51" w:rsidP="00917BC7">
      <w:pPr>
        <w:pStyle w:val="ListParagraph"/>
        <w:widowControl/>
        <w:numPr>
          <w:ilvl w:val="1"/>
          <w:numId w:val="1"/>
        </w:numPr>
        <w:spacing w:after="120"/>
      </w:pPr>
      <w:r w:rsidRPr="008D6A5E">
        <w:t>The submission presented a cost-minimisation analysis</w:t>
      </w:r>
      <w:r w:rsidR="00762324" w:rsidRPr="008D6A5E">
        <w:t xml:space="preserve"> (CMA)</w:t>
      </w:r>
      <w:r w:rsidRPr="008D6A5E">
        <w:t xml:space="preserve"> of brolucizumab to aflibercept based on direct randomised trials of HAWK and HARRIER. </w:t>
      </w:r>
      <w:r w:rsidR="009E7281" w:rsidRPr="008D6A5E">
        <w:t xml:space="preserve">The </w:t>
      </w:r>
      <w:r w:rsidR="002C75C0">
        <w:t xml:space="preserve">Commentary </w:t>
      </w:r>
      <w:r w:rsidR="009E7281" w:rsidRPr="008D6A5E">
        <w:lastRenderedPageBreak/>
        <w:t xml:space="preserve">considered </w:t>
      </w:r>
      <w:r w:rsidR="00F24325">
        <w:t xml:space="preserve">it may not be appropriate to conduct a </w:t>
      </w:r>
      <w:r w:rsidR="009E7281" w:rsidRPr="008D6A5E">
        <w:t>cost</w:t>
      </w:r>
      <w:r w:rsidR="003162DB">
        <w:t>-</w:t>
      </w:r>
      <w:r w:rsidR="009E7281" w:rsidRPr="008D6A5E">
        <w:t>minimisation analysis given</w:t>
      </w:r>
      <w:r w:rsidR="00147B72" w:rsidRPr="008D6A5E">
        <w:t xml:space="preserve"> brolucizumab may not be non-inferior to aflibercept for</w:t>
      </w:r>
      <w:r w:rsidR="009E7281" w:rsidRPr="008D6A5E">
        <w:t xml:space="preserve"> safety.</w:t>
      </w:r>
    </w:p>
    <w:p w:rsidR="00D0001D" w:rsidRPr="008D6A5E" w:rsidRDefault="00604E51" w:rsidP="00476818">
      <w:pPr>
        <w:pStyle w:val="ListParagraph"/>
        <w:widowControl/>
        <w:numPr>
          <w:ilvl w:val="1"/>
          <w:numId w:val="1"/>
        </w:numPr>
        <w:spacing w:after="120"/>
      </w:pPr>
      <w:r w:rsidRPr="008D6A5E">
        <w:t xml:space="preserve">The equi-effective doses </w:t>
      </w:r>
      <w:r w:rsidR="00F24325">
        <w:t xml:space="preserve">were </w:t>
      </w:r>
      <w:r w:rsidRPr="008D6A5E">
        <w:t>estimated</w:t>
      </w:r>
      <w:r w:rsidR="00E811B6">
        <w:t xml:space="preserve"> by the Sponsor</w:t>
      </w:r>
      <w:r w:rsidRPr="008D6A5E">
        <w:t xml:space="preserve"> as brolucizumab 6</w:t>
      </w:r>
      <w:r w:rsidR="004C63B1" w:rsidRPr="008D6A5E">
        <w:t> </w:t>
      </w:r>
      <w:r w:rsidRPr="008D6A5E">
        <w:t xml:space="preserve">mg </w:t>
      </w:r>
      <w:r w:rsidR="005D7DE1">
        <w:rPr>
          <w:noProof/>
          <w:color w:val="000000"/>
          <w:highlight w:val="black"/>
        </w:rPr>
        <w:t>'''''''''</w:t>
      </w:r>
      <w:r w:rsidRPr="008D6A5E">
        <w:t xml:space="preserve"> administrations per year and aflibercept 2</w:t>
      </w:r>
      <w:r w:rsidR="004C63B1" w:rsidRPr="008D6A5E">
        <w:t> </w:t>
      </w:r>
      <w:r w:rsidRPr="008D6A5E">
        <w:t xml:space="preserve">mg </w:t>
      </w:r>
      <w:r w:rsidR="005D7DE1">
        <w:rPr>
          <w:noProof/>
          <w:color w:val="000000"/>
          <w:highlight w:val="black"/>
        </w:rPr>
        <w:t>''''''''</w:t>
      </w:r>
      <w:r w:rsidRPr="008D6A5E">
        <w:t xml:space="preserve"> administrations per year for the maintenance treatment phase. </w:t>
      </w:r>
      <w:r w:rsidR="00762324" w:rsidRPr="008D6A5E">
        <w:t>The</w:t>
      </w:r>
      <w:r w:rsidR="00E811B6">
        <w:t xml:space="preserve"> </w:t>
      </w:r>
      <w:r w:rsidR="00223D6D">
        <w:t xml:space="preserve">ESC considered </w:t>
      </w:r>
      <w:r w:rsidR="00762324" w:rsidRPr="008D6A5E">
        <w:t>that the HAWK and HARRIER trial designs were likely to have biased the CMA against aflibercept</w:t>
      </w:r>
      <w:r w:rsidR="00BA1D3E">
        <w:rPr>
          <w:iCs/>
        </w:rPr>
        <w:t xml:space="preserve">, and </w:t>
      </w:r>
      <w:r w:rsidR="00D0001D" w:rsidRPr="008D6A5E">
        <w:rPr>
          <w:iCs/>
        </w:rPr>
        <w:t>that the proposed</w:t>
      </w:r>
      <w:r w:rsidR="00D0001D" w:rsidRPr="008D6A5E">
        <w:t xml:space="preserve"> </w:t>
      </w:r>
      <w:r w:rsidR="00D0001D" w:rsidRPr="008D6A5E">
        <w:rPr>
          <w:iCs/>
        </w:rPr>
        <w:t>equi-effective doses</w:t>
      </w:r>
      <w:r w:rsidR="000748AF" w:rsidRPr="008D6A5E">
        <w:rPr>
          <w:iCs/>
        </w:rPr>
        <w:t xml:space="preserve"> are </w:t>
      </w:r>
      <w:r w:rsidR="00147B72" w:rsidRPr="008D6A5E">
        <w:rPr>
          <w:iCs/>
        </w:rPr>
        <w:t>uncertain</w:t>
      </w:r>
      <w:r w:rsidR="000748AF" w:rsidRPr="008D6A5E">
        <w:rPr>
          <w:iCs/>
        </w:rPr>
        <w:t xml:space="preserve"> because they</w:t>
      </w:r>
      <w:r w:rsidR="00D0001D" w:rsidRPr="008D6A5E">
        <w:rPr>
          <w:iCs/>
        </w:rPr>
        <w:t xml:space="preserve"> may not be realised</w:t>
      </w:r>
      <w:r w:rsidR="000748AF" w:rsidRPr="008D6A5E">
        <w:rPr>
          <w:iCs/>
        </w:rPr>
        <w:t xml:space="preserve"> in clinical practice</w:t>
      </w:r>
      <w:r w:rsidR="00223D6D">
        <w:rPr>
          <w:iCs/>
        </w:rPr>
        <w:t xml:space="preserve">. </w:t>
      </w:r>
      <w:r w:rsidR="00223D6D" w:rsidRPr="00223D6D">
        <w:t>The ESC considered that</w:t>
      </w:r>
      <w:r w:rsidR="00223D6D">
        <w:t xml:space="preserve"> in clinical practice</w:t>
      </w:r>
      <w:r w:rsidR="00223D6D" w:rsidRPr="00223D6D">
        <w:t xml:space="preserve"> a 1:1 dose relativity was more likely</w:t>
      </w:r>
      <w:r w:rsidR="00223D6D">
        <w:t xml:space="preserve">. </w:t>
      </w:r>
      <w:r w:rsidR="008E7CFF">
        <w:t>In the pre</w:t>
      </w:r>
      <w:r w:rsidR="00787A4D">
        <w:t xml:space="preserve">-PBAC </w:t>
      </w:r>
      <w:r w:rsidR="00DA5579">
        <w:t>response</w:t>
      </w:r>
      <w:r w:rsidR="00787A4D">
        <w:t xml:space="preserve">, the </w:t>
      </w:r>
      <w:r w:rsidR="00E811B6">
        <w:t>S</w:t>
      </w:r>
      <w:r w:rsidR="00787A4D">
        <w:t>ponsor accept</w:t>
      </w:r>
      <w:r w:rsidR="00DA5579">
        <w:t>ed</w:t>
      </w:r>
      <w:r w:rsidR="00787A4D">
        <w:t xml:space="preserve"> that the injection frequency ratio</w:t>
      </w:r>
      <w:r w:rsidR="00BA1D3E">
        <w:t xml:space="preserve"> of brolucizumab</w:t>
      </w:r>
      <w:r w:rsidR="00787A4D">
        <w:t xml:space="preserve"> with aflibercept and ranibizumab should be 1:1.</w:t>
      </w:r>
      <w:r w:rsidR="00380678">
        <w:t xml:space="preserve"> </w:t>
      </w:r>
    </w:p>
    <w:p w:rsidR="00604E51" w:rsidRPr="008D6A5E" w:rsidRDefault="00604E51" w:rsidP="00917BC7">
      <w:pPr>
        <w:pStyle w:val="ListParagraph"/>
        <w:widowControl/>
        <w:numPr>
          <w:ilvl w:val="1"/>
          <w:numId w:val="1"/>
        </w:numPr>
        <w:spacing w:after="120"/>
      </w:pPr>
      <w:r w:rsidRPr="008D6A5E">
        <w:t xml:space="preserve">In its consideration of aflibercept for subfoveal CNV due to AMD, the PBAC considered it was uncertain whether less frequent injections would eventuate with aflibercept treatment compared to ranibizumab treatment, and considered that the number of injections per patient per year for each product is likely to be similar (p3, aflibercept </w:t>
      </w:r>
      <w:r w:rsidR="0050258B">
        <w:t>PSD</w:t>
      </w:r>
      <w:r w:rsidR="00AD67E9" w:rsidRPr="008D6A5E">
        <w:t>, March 2012 PBAC meeting).</w:t>
      </w:r>
    </w:p>
    <w:p w:rsidR="00604E51" w:rsidRPr="008D6A5E" w:rsidRDefault="00604E51" w:rsidP="00917BC7">
      <w:pPr>
        <w:pStyle w:val="ListParagraph"/>
        <w:widowControl/>
        <w:numPr>
          <w:ilvl w:val="1"/>
          <w:numId w:val="1"/>
        </w:numPr>
        <w:spacing w:after="120"/>
      </w:pPr>
      <w:r w:rsidRPr="008D6A5E">
        <w:t>The submission noted that the prices of aflibercept and ranibizumab had been linked via cost-minimisation since the date of PBS-listing of aflibercept in December 2012. However, since the introduction of F1 anniversary cuts, which apply to individual drugs at different times, the prices of these two</w:t>
      </w:r>
      <w:r w:rsidR="00380678">
        <w:t xml:space="preserve"> agents</w:t>
      </w:r>
      <w:r w:rsidRPr="008D6A5E">
        <w:t xml:space="preserve"> are no longer the same:</w:t>
      </w:r>
    </w:p>
    <w:p w:rsidR="00604E51" w:rsidRPr="008D6A5E" w:rsidRDefault="00604E51" w:rsidP="00917BC7">
      <w:pPr>
        <w:pStyle w:val="ListParagraph"/>
        <w:widowControl/>
        <w:numPr>
          <w:ilvl w:val="0"/>
          <w:numId w:val="3"/>
        </w:numPr>
        <w:spacing w:after="120"/>
        <w:ind w:left="1077" w:hanging="357"/>
      </w:pPr>
      <w:r w:rsidRPr="008D6A5E">
        <w:t xml:space="preserve">Aflibercept was subject to a 5% F1 anniversary cut on </w:t>
      </w:r>
      <w:r w:rsidR="00F47E0B" w:rsidRPr="008D6A5E">
        <w:t>1</w:t>
      </w:r>
      <w:r w:rsidRPr="008D6A5E">
        <w:t xml:space="preserve"> April 2018; </w:t>
      </w:r>
    </w:p>
    <w:p w:rsidR="00604E51" w:rsidRPr="008D6A5E" w:rsidRDefault="00604E51" w:rsidP="00917BC7">
      <w:pPr>
        <w:pStyle w:val="ListParagraph"/>
        <w:widowControl/>
        <w:numPr>
          <w:ilvl w:val="0"/>
          <w:numId w:val="3"/>
        </w:numPr>
        <w:spacing w:after="120"/>
        <w:ind w:left="1077" w:hanging="357"/>
      </w:pPr>
      <w:r w:rsidRPr="008D6A5E">
        <w:t>Ranibizumab was subject to a 10% F1 anniversary cut on 1 April 2018.</w:t>
      </w:r>
    </w:p>
    <w:p w:rsidR="00604E51" w:rsidRPr="008D6A5E" w:rsidRDefault="00DA5579" w:rsidP="00917BC7">
      <w:pPr>
        <w:pStyle w:val="ListParagraph"/>
        <w:widowControl/>
        <w:numPr>
          <w:ilvl w:val="1"/>
          <w:numId w:val="1"/>
        </w:numPr>
        <w:spacing w:after="120"/>
      </w:pPr>
      <w:r>
        <w:t>T</w:t>
      </w:r>
      <w:r w:rsidR="00604E51" w:rsidRPr="008D6A5E">
        <w:t xml:space="preserve">he submission requested that the listing of brolucizumab be considered under the pricing arrangements outlined in Clause 5.7 of the Strategic Agreement. Specifically, brolucizumab would not be subject to the statutory price reductions that have been applied to the comparator regimens. </w:t>
      </w:r>
      <w:r>
        <w:t xml:space="preserve">The </w:t>
      </w:r>
      <w:r w:rsidR="00604E51" w:rsidRPr="008D6A5E">
        <w:t>PBAC have previously considered</w:t>
      </w:r>
      <w:r w:rsidR="004D5667" w:rsidRPr="008D6A5E">
        <w:t xml:space="preserve"> that the application of Claus</w:t>
      </w:r>
      <w:r w:rsidR="00604E51" w:rsidRPr="008D6A5E">
        <w:t xml:space="preserve">e 5.7 of the Strategic Agreement is determined by the Minister (or Delegate), and is not a matter for PBAC (para 6.41, </w:t>
      </w:r>
      <w:r w:rsidR="004D5667" w:rsidRPr="008D6A5E">
        <w:t>levonorgestrel</w:t>
      </w:r>
      <w:r w:rsidR="00604E51" w:rsidRPr="008D6A5E">
        <w:t xml:space="preserve"> PSD, March 2019 Meeting). Therefore, this remains for consideration by the Minister (or Delegate).</w:t>
      </w:r>
      <w:r w:rsidR="00762324" w:rsidRPr="008D6A5E">
        <w:t xml:space="preserve"> </w:t>
      </w:r>
      <w:r w:rsidR="00762324" w:rsidRPr="008D6A5E">
        <w:rPr>
          <w:iCs/>
        </w:rPr>
        <w:t xml:space="preserve">The Sponsor </w:t>
      </w:r>
      <w:r w:rsidR="00953DE0" w:rsidRPr="008D6A5E">
        <w:rPr>
          <w:iCs/>
        </w:rPr>
        <w:t xml:space="preserve">acknowledged </w:t>
      </w:r>
      <w:r w:rsidR="00953DE0">
        <w:rPr>
          <w:iCs/>
        </w:rPr>
        <w:t>that</w:t>
      </w:r>
      <w:r w:rsidR="00762324" w:rsidRPr="008D6A5E">
        <w:rPr>
          <w:iCs/>
        </w:rPr>
        <w:t xml:space="preserve"> application of the Strategic Agreement is not for PBAC consideration, and it can be determined following a PBAC recommendation on a cost-minimisation basis to either ranibizumab or aflibercept.</w:t>
      </w:r>
    </w:p>
    <w:p w:rsidR="00604E51" w:rsidRPr="00D064C0" w:rsidRDefault="00604E51" w:rsidP="00917BC7">
      <w:pPr>
        <w:pStyle w:val="ListParagraph"/>
        <w:widowControl/>
        <w:numPr>
          <w:ilvl w:val="1"/>
          <w:numId w:val="1"/>
        </w:numPr>
        <w:spacing w:after="120"/>
      </w:pPr>
      <w:r w:rsidRPr="00D064C0">
        <w:t>The submission presented two cost-minimised prices of brolucizumab:</w:t>
      </w:r>
    </w:p>
    <w:p w:rsidR="00604E51" w:rsidRPr="00D064C0" w:rsidRDefault="00604E51" w:rsidP="00917BC7">
      <w:pPr>
        <w:pStyle w:val="ListParagraph"/>
        <w:widowControl/>
        <w:numPr>
          <w:ilvl w:val="0"/>
          <w:numId w:val="3"/>
        </w:numPr>
        <w:spacing w:after="120"/>
        <w:ind w:left="1077" w:hanging="357"/>
      </w:pPr>
      <w:r w:rsidRPr="00D064C0">
        <w:t>Prior to 30 June 2022: based on the pre-anniversary cut price of aflibercept/ranibizumab, in line with Clause 5.7 of the Strategic Agreement; and</w:t>
      </w:r>
    </w:p>
    <w:p w:rsidR="00604E51" w:rsidRPr="00D064C0" w:rsidRDefault="00604E51" w:rsidP="00917BC7">
      <w:pPr>
        <w:pStyle w:val="ListParagraph"/>
        <w:widowControl/>
        <w:numPr>
          <w:ilvl w:val="0"/>
          <w:numId w:val="3"/>
        </w:numPr>
        <w:spacing w:after="120"/>
        <w:ind w:left="1077" w:hanging="357"/>
      </w:pPr>
      <w:r w:rsidRPr="00D064C0">
        <w:t>From 1 July 2022: based on the current weighted average price of aflibercept/ranibizumab</w:t>
      </w:r>
      <w:r w:rsidR="00C25AE1" w:rsidRPr="00D064C0">
        <w:t xml:space="preserve">. This price will remain current at the expiration of the Strategic Agreement in </w:t>
      </w:r>
      <w:r w:rsidR="00F47E0B" w:rsidRPr="00D064C0">
        <w:t>July</w:t>
      </w:r>
      <w:r w:rsidR="00C25AE1" w:rsidRPr="00D064C0">
        <w:t xml:space="preserve"> 2022</w:t>
      </w:r>
      <w:r w:rsidRPr="00D064C0">
        <w:t>.</w:t>
      </w:r>
    </w:p>
    <w:p w:rsidR="00604E51" w:rsidRPr="00D064C0" w:rsidRDefault="00604E51" w:rsidP="00917BC7">
      <w:pPr>
        <w:pStyle w:val="ListParagraph"/>
        <w:widowControl/>
        <w:numPr>
          <w:ilvl w:val="1"/>
          <w:numId w:val="1"/>
        </w:numPr>
        <w:spacing w:after="120"/>
      </w:pPr>
      <w:r w:rsidRPr="00D064C0">
        <w:lastRenderedPageBreak/>
        <w:t xml:space="preserve">A summary of the prices associated with comparator regimens used in the </w:t>
      </w:r>
      <w:r w:rsidR="007844DC">
        <w:t>CMA</w:t>
      </w:r>
      <w:r w:rsidRPr="00D064C0">
        <w:t xml:space="preserve"> is provided in </w:t>
      </w:r>
      <w:r w:rsidR="00062CBF">
        <w:t>Table 6</w:t>
      </w:r>
      <w:r w:rsidRPr="00D064C0">
        <w:t xml:space="preserve"> below.</w:t>
      </w:r>
    </w:p>
    <w:p w:rsidR="00604E51" w:rsidRPr="00DA0AA6" w:rsidRDefault="00604E51" w:rsidP="00A2386B">
      <w:pPr>
        <w:pStyle w:val="Caption"/>
        <w:keepLines/>
      </w:pPr>
      <w:r w:rsidRPr="00DA0AA6">
        <w:t xml:space="preserve">Table </w:t>
      </w:r>
      <w:r w:rsidR="0060797A">
        <w:rPr>
          <w:noProof/>
        </w:rPr>
        <w:t>6</w:t>
      </w:r>
      <w:r w:rsidRPr="00DA0AA6">
        <w:t xml:space="preserve">: Published and effective </w:t>
      </w:r>
      <w:r w:rsidR="00274780">
        <w:t>ex-manufacturer</w:t>
      </w:r>
      <w:r w:rsidRPr="00DA0AA6">
        <w:t xml:space="preserve"> prices </w:t>
      </w:r>
      <w:r>
        <w:t>used</w:t>
      </w:r>
      <w:r w:rsidR="00380678">
        <w:t xml:space="preserve"> in</w:t>
      </w:r>
      <w:r w:rsidRPr="00DA0AA6">
        <w:t xml:space="preserve"> the cost-minimisation analys</w:t>
      </w:r>
      <w:r>
        <w:t>e</w:t>
      </w:r>
      <w:r w:rsidRPr="00DA0AA6">
        <w:t>s</w:t>
      </w:r>
    </w:p>
    <w:tbl>
      <w:tblPr>
        <w:tblStyle w:val="TableGrid"/>
        <w:tblW w:w="9556" w:type="dxa"/>
        <w:tblLayout w:type="fixed"/>
        <w:tblCellMar>
          <w:left w:w="28" w:type="dxa"/>
          <w:right w:w="28" w:type="dxa"/>
        </w:tblCellMar>
        <w:tblLook w:val="04A0" w:firstRow="1" w:lastRow="0" w:firstColumn="1" w:lastColumn="0" w:noHBand="0" w:noVBand="1"/>
        <w:tblCaption w:val="Table 6: Published and effective ex-manufacturer prices used in the cost-minimisation analyses"/>
      </w:tblPr>
      <w:tblGrid>
        <w:gridCol w:w="279"/>
        <w:gridCol w:w="5386"/>
        <w:gridCol w:w="1418"/>
        <w:gridCol w:w="1223"/>
        <w:gridCol w:w="1250"/>
      </w:tblGrid>
      <w:tr w:rsidR="00364719" w:rsidRPr="00DA0AA6" w:rsidTr="00F717D5">
        <w:trPr>
          <w:tblHeader/>
        </w:trPr>
        <w:tc>
          <w:tcPr>
            <w:tcW w:w="5665" w:type="dxa"/>
            <w:gridSpan w:val="2"/>
            <w:noWrap/>
            <w:hideMark/>
          </w:tcPr>
          <w:p w:rsidR="00364719" w:rsidRPr="00DA0AA6" w:rsidRDefault="00364719" w:rsidP="00A2386B">
            <w:pPr>
              <w:pStyle w:val="Tabletext"/>
              <w:keepNext/>
              <w:keepLines/>
              <w:rPr>
                <w:szCs w:val="20"/>
                <w:lang w:eastAsia="en-AU"/>
              </w:rPr>
            </w:pPr>
          </w:p>
        </w:tc>
        <w:tc>
          <w:tcPr>
            <w:tcW w:w="1418" w:type="dxa"/>
            <w:noWrap/>
            <w:hideMark/>
          </w:tcPr>
          <w:p w:rsidR="00364719" w:rsidRPr="00DA0AA6" w:rsidRDefault="00364719" w:rsidP="00A2386B">
            <w:pPr>
              <w:pStyle w:val="Tabletext"/>
              <w:keepNext/>
              <w:keepLines/>
              <w:tabs>
                <w:tab w:val="left" w:pos="1277"/>
              </w:tabs>
              <w:ind w:right="87"/>
              <w:jc w:val="center"/>
              <w:rPr>
                <w:rFonts w:cs="Calibri"/>
                <w:b/>
                <w:color w:val="000000"/>
                <w:szCs w:val="20"/>
                <w:lang w:eastAsia="en-AU"/>
              </w:rPr>
            </w:pPr>
            <w:r w:rsidRPr="00DA0AA6">
              <w:rPr>
                <w:rFonts w:cs="Calibri"/>
                <w:b/>
                <w:color w:val="000000"/>
                <w:szCs w:val="20"/>
                <w:lang w:eastAsia="en-AU"/>
              </w:rPr>
              <w:t>Aflibercept</w:t>
            </w:r>
            <w:r w:rsidRPr="00DA0AA6">
              <w:rPr>
                <w:rFonts w:cs="Calibri"/>
                <w:b/>
                <w:color w:val="000000"/>
                <w:szCs w:val="20"/>
                <w:vertAlign w:val="superscript"/>
                <w:lang w:eastAsia="en-AU"/>
              </w:rPr>
              <w:t>a</w:t>
            </w:r>
          </w:p>
        </w:tc>
        <w:tc>
          <w:tcPr>
            <w:tcW w:w="1223" w:type="dxa"/>
            <w:noWrap/>
            <w:hideMark/>
          </w:tcPr>
          <w:p w:rsidR="00364719" w:rsidRPr="00DA0AA6" w:rsidRDefault="00364719" w:rsidP="00A2386B">
            <w:pPr>
              <w:pStyle w:val="Tabletext"/>
              <w:keepNext/>
              <w:keepLines/>
              <w:ind w:right="87"/>
              <w:jc w:val="center"/>
              <w:rPr>
                <w:rFonts w:cs="Calibri"/>
                <w:b/>
                <w:color w:val="000000"/>
                <w:szCs w:val="20"/>
                <w:lang w:eastAsia="en-AU"/>
              </w:rPr>
            </w:pPr>
            <w:r w:rsidRPr="00DA0AA6">
              <w:rPr>
                <w:rFonts w:cs="Calibri"/>
                <w:b/>
                <w:color w:val="000000"/>
                <w:szCs w:val="20"/>
                <w:lang w:eastAsia="en-AU"/>
              </w:rPr>
              <w:t>Ranibizumab</w:t>
            </w:r>
          </w:p>
        </w:tc>
        <w:tc>
          <w:tcPr>
            <w:tcW w:w="1250" w:type="dxa"/>
            <w:noWrap/>
            <w:hideMark/>
          </w:tcPr>
          <w:p w:rsidR="00364719" w:rsidRPr="00DA0AA6" w:rsidRDefault="00364719" w:rsidP="00A2386B">
            <w:pPr>
              <w:pStyle w:val="Tabletext"/>
              <w:keepNext/>
              <w:keepLines/>
              <w:ind w:right="87"/>
              <w:jc w:val="center"/>
              <w:rPr>
                <w:rFonts w:cs="Calibri"/>
                <w:b/>
                <w:color w:val="000000"/>
                <w:szCs w:val="20"/>
                <w:lang w:eastAsia="en-AU"/>
              </w:rPr>
            </w:pPr>
            <w:r w:rsidRPr="00DA0AA6">
              <w:rPr>
                <w:rFonts w:cs="Calibri"/>
                <w:b/>
                <w:color w:val="000000"/>
                <w:szCs w:val="20"/>
                <w:lang w:eastAsia="en-AU"/>
              </w:rPr>
              <w:t>Weighted</w:t>
            </w:r>
            <w:r w:rsidRPr="00DA0AA6">
              <w:rPr>
                <w:rFonts w:cs="Calibri"/>
                <w:b/>
                <w:color w:val="000000"/>
                <w:szCs w:val="20"/>
                <w:vertAlign w:val="superscript"/>
                <w:lang w:eastAsia="en-AU"/>
              </w:rPr>
              <w:t>b</w:t>
            </w:r>
          </w:p>
        </w:tc>
      </w:tr>
      <w:tr w:rsidR="00364719" w:rsidRPr="00DA0AA6" w:rsidTr="00F717D5">
        <w:trPr>
          <w:tblHeader/>
        </w:trPr>
        <w:tc>
          <w:tcPr>
            <w:tcW w:w="9556" w:type="dxa"/>
            <w:gridSpan w:val="5"/>
            <w:noWrap/>
            <w:hideMark/>
          </w:tcPr>
          <w:p w:rsidR="00364719" w:rsidRPr="00DA0AA6" w:rsidRDefault="00364719" w:rsidP="00A2386B">
            <w:pPr>
              <w:pStyle w:val="Tabletext"/>
              <w:keepNext/>
              <w:keepLines/>
              <w:ind w:right="87"/>
              <w:rPr>
                <w:szCs w:val="20"/>
                <w:lang w:eastAsia="en-AU"/>
              </w:rPr>
            </w:pPr>
            <w:r w:rsidRPr="00DA0AA6">
              <w:rPr>
                <w:rFonts w:cs="Calibri"/>
                <w:b/>
                <w:bCs/>
                <w:color w:val="000000"/>
                <w:szCs w:val="20"/>
                <w:lang w:eastAsia="en-AU"/>
              </w:rPr>
              <w:t>Listed Price</w:t>
            </w:r>
          </w:p>
        </w:tc>
      </w:tr>
      <w:tr w:rsidR="00604E51" w:rsidRPr="00DA0AA6" w:rsidTr="00F717D5">
        <w:trPr>
          <w:tblHeader/>
        </w:trPr>
        <w:tc>
          <w:tcPr>
            <w:tcW w:w="279" w:type="dxa"/>
            <w:noWrap/>
            <w:hideMark/>
          </w:tcPr>
          <w:p w:rsidR="00604E51" w:rsidRPr="00DA0AA6" w:rsidRDefault="00604E51" w:rsidP="00A2386B">
            <w:pPr>
              <w:pStyle w:val="Tabletext"/>
              <w:keepNext/>
              <w:keepLines/>
              <w:rPr>
                <w:rFonts w:cs="Calibri"/>
                <w:color w:val="000000"/>
                <w:szCs w:val="20"/>
                <w:lang w:eastAsia="en-AU"/>
              </w:rPr>
            </w:pPr>
            <w:r w:rsidRPr="00DA0AA6">
              <w:rPr>
                <w:rFonts w:cs="Calibri"/>
                <w:color w:val="000000"/>
                <w:szCs w:val="20"/>
                <w:lang w:eastAsia="en-AU"/>
              </w:rPr>
              <w:t>A</w:t>
            </w:r>
          </w:p>
        </w:tc>
        <w:tc>
          <w:tcPr>
            <w:tcW w:w="5386" w:type="dxa"/>
            <w:noWrap/>
            <w:hideMark/>
          </w:tcPr>
          <w:p w:rsidR="00604E51" w:rsidRPr="00DA0AA6" w:rsidRDefault="00604E51" w:rsidP="00A2386B">
            <w:pPr>
              <w:pStyle w:val="Tabletext"/>
              <w:keepNext/>
              <w:keepLines/>
              <w:rPr>
                <w:rFonts w:cs="Calibri"/>
                <w:color w:val="000000"/>
                <w:szCs w:val="20"/>
                <w:lang w:eastAsia="en-AU"/>
              </w:rPr>
            </w:pPr>
            <w:r w:rsidRPr="00DA0AA6">
              <w:rPr>
                <w:rFonts w:cs="Calibri"/>
                <w:color w:val="000000"/>
                <w:szCs w:val="20"/>
                <w:lang w:eastAsia="en-AU"/>
              </w:rPr>
              <w:t xml:space="preserve">Pre-anniversary cuts published </w:t>
            </w:r>
            <w:r w:rsidR="00274780">
              <w:rPr>
                <w:rFonts w:cs="Calibri"/>
                <w:color w:val="000000"/>
                <w:szCs w:val="20"/>
                <w:lang w:eastAsia="en-AU"/>
              </w:rPr>
              <w:t>ex-manufacturer</w:t>
            </w:r>
            <w:r w:rsidRPr="00DA0AA6">
              <w:rPr>
                <w:rFonts w:cs="Calibri"/>
                <w:color w:val="000000"/>
                <w:szCs w:val="20"/>
                <w:lang w:eastAsia="en-AU"/>
              </w:rPr>
              <w:t xml:space="preserve"> price</w:t>
            </w:r>
          </w:p>
        </w:tc>
        <w:tc>
          <w:tcPr>
            <w:tcW w:w="1418" w:type="dxa"/>
            <w:noWrap/>
            <w:hideMark/>
          </w:tcPr>
          <w:p w:rsidR="00604E51" w:rsidRPr="00DA0AA6" w:rsidRDefault="00604E51"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$1,036.00</w:t>
            </w:r>
          </w:p>
        </w:tc>
        <w:tc>
          <w:tcPr>
            <w:tcW w:w="1223" w:type="dxa"/>
            <w:noWrap/>
            <w:hideMark/>
          </w:tcPr>
          <w:p w:rsidR="00604E51" w:rsidRPr="00DA0AA6" w:rsidRDefault="00604E51"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$1,036.00</w:t>
            </w:r>
          </w:p>
        </w:tc>
        <w:tc>
          <w:tcPr>
            <w:tcW w:w="1250" w:type="dxa"/>
            <w:noWrap/>
            <w:hideMark/>
          </w:tcPr>
          <w:p w:rsidR="00604E51" w:rsidRPr="00DA0AA6" w:rsidRDefault="00604E51"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$1,036.00</w:t>
            </w:r>
          </w:p>
        </w:tc>
      </w:tr>
      <w:tr w:rsidR="00604E51" w:rsidRPr="00DA0AA6" w:rsidTr="00F717D5">
        <w:trPr>
          <w:tblHeader/>
        </w:trPr>
        <w:tc>
          <w:tcPr>
            <w:tcW w:w="279" w:type="dxa"/>
            <w:noWrap/>
            <w:hideMark/>
          </w:tcPr>
          <w:p w:rsidR="00604E51" w:rsidRPr="00DA0AA6" w:rsidRDefault="00604E51" w:rsidP="00A2386B">
            <w:pPr>
              <w:pStyle w:val="Tabletext"/>
              <w:keepNext/>
              <w:keepLines/>
              <w:rPr>
                <w:rFonts w:cs="Calibri"/>
                <w:color w:val="000000"/>
                <w:szCs w:val="20"/>
                <w:lang w:eastAsia="en-AU"/>
              </w:rPr>
            </w:pPr>
            <w:r w:rsidRPr="00DA0AA6">
              <w:rPr>
                <w:rFonts w:cs="Calibri"/>
                <w:color w:val="000000"/>
                <w:szCs w:val="20"/>
                <w:lang w:eastAsia="en-AU"/>
              </w:rPr>
              <w:t>B</w:t>
            </w:r>
          </w:p>
        </w:tc>
        <w:tc>
          <w:tcPr>
            <w:tcW w:w="5386" w:type="dxa"/>
            <w:noWrap/>
            <w:hideMark/>
          </w:tcPr>
          <w:p w:rsidR="00604E51" w:rsidRPr="00DA0AA6" w:rsidRDefault="00604E51" w:rsidP="00A2386B">
            <w:pPr>
              <w:pStyle w:val="Tabletext"/>
              <w:keepNext/>
              <w:keepLines/>
              <w:rPr>
                <w:rFonts w:cs="Calibri"/>
                <w:color w:val="000000"/>
                <w:szCs w:val="20"/>
                <w:lang w:eastAsia="en-AU"/>
              </w:rPr>
            </w:pPr>
            <w:r w:rsidRPr="00DA0AA6">
              <w:rPr>
                <w:rFonts w:cs="Calibri"/>
                <w:color w:val="000000"/>
                <w:szCs w:val="20"/>
                <w:lang w:eastAsia="en-AU"/>
              </w:rPr>
              <w:t>Anniversary cuts (from April 2018)</w:t>
            </w:r>
          </w:p>
        </w:tc>
        <w:tc>
          <w:tcPr>
            <w:tcW w:w="1418" w:type="dxa"/>
            <w:noWrap/>
            <w:hideMark/>
          </w:tcPr>
          <w:p w:rsidR="00604E51" w:rsidRPr="00DA0AA6" w:rsidRDefault="00604E51"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5%</w:t>
            </w:r>
          </w:p>
        </w:tc>
        <w:tc>
          <w:tcPr>
            <w:tcW w:w="1223" w:type="dxa"/>
            <w:noWrap/>
            <w:hideMark/>
          </w:tcPr>
          <w:p w:rsidR="00604E51" w:rsidRPr="00DA0AA6" w:rsidRDefault="00604E51"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10%</w:t>
            </w:r>
          </w:p>
        </w:tc>
        <w:tc>
          <w:tcPr>
            <w:tcW w:w="1250" w:type="dxa"/>
            <w:noWrap/>
            <w:hideMark/>
          </w:tcPr>
          <w:p w:rsidR="00604E51" w:rsidRPr="00DA0AA6" w:rsidRDefault="00604E51" w:rsidP="00A2386B">
            <w:pPr>
              <w:pStyle w:val="Tabletext"/>
              <w:keepNext/>
              <w:keepLines/>
              <w:ind w:right="87"/>
              <w:jc w:val="center"/>
              <w:rPr>
                <w:rFonts w:cs="Calibri"/>
                <w:color w:val="000000"/>
                <w:szCs w:val="20"/>
                <w:lang w:eastAsia="en-AU"/>
              </w:rPr>
            </w:pPr>
          </w:p>
        </w:tc>
      </w:tr>
      <w:tr w:rsidR="00604E51" w:rsidRPr="00DA0AA6" w:rsidTr="00F717D5">
        <w:trPr>
          <w:tblHeader/>
        </w:trPr>
        <w:tc>
          <w:tcPr>
            <w:tcW w:w="279" w:type="dxa"/>
            <w:noWrap/>
            <w:hideMark/>
          </w:tcPr>
          <w:p w:rsidR="00604E51" w:rsidRPr="00DA0AA6" w:rsidRDefault="00604E51" w:rsidP="00A2386B">
            <w:pPr>
              <w:pStyle w:val="Tabletext"/>
              <w:keepNext/>
              <w:keepLines/>
              <w:rPr>
                <w:rFonts w:cs="Calibri"/>
                <w:color w:val="000000"/>
                <w:szCs w:val="20"/>
                <w:lang w:eastAsia="en-AU"/>
              </w:rPr>
            </w:pPr>
            <w:r w:rsidRPr="00DA0AA6">
              <w:rPr>
                <w:rFonts w:cs="Calibri"/>
                <w:color w:val="000000"/>
                <w:szCs w:val="20"/>
                <w:lang w:eastAsia="en-AU"/>
              </w:rPr>
              <w:t>C</w:t>
            </w:r>
          </w:p>
        </w:tc>
        <w:tc>
          <w:tcPr>
            <w:tcW w:w="5386" w:type="dxa"/>
            <w:noWrap/>
            <w:hideMark/>
          </w:tcPr>
          <w:p w:rsidR="00604E51" w:rsidRPr="00DA0AA6" w:rsidRDefault="00604E51" w:rsidP="00A2386B">
            <w:pPr>
              <w:pStyle w:val="Tabletext"/>
              <w:keepNext/>
              <w:keepLines/>
              <w:rPr>
                <w:rFonts w:cs="Calibri"/>
                <w:color w:val="000000"/>
                <w:szCs w:val="20"/>
                <w:lang w:eastAsia="en-AU"/>
              </w:rPr>
            </w:pPr>
            <w:r w:rsidRPr="00DA0AA6">
              <w:rPr>
                <w:rFonts w:cs="Calibri"/>
                <w:color w:val="000000"/>
                <w:szCs w:val="20"/>
                <w:lang w:eastAsia="en-AU"/>
              </w:rPr>
              <w:t xml:space="preserve">Current published </w:t>
            </w:r>
            <w:r w:rsidR="00274780">
              <w:rPr>
                <w:rFonts w:cs="Calibri"/>
                <w:color w:val="000000"/>
                <w:szCs w:val="20"/>
                <w:lang w:eastAsia="en-AU"/>
              </w:rPr>
              <w:t>ex-manufacturer</w:t>
            </w:r>
            <w:r w:rsidRPr="00DA0AA6">
              <w:rPr>
                <w:rFonts w:cs="Calibri"/>
                <w:color w:val="000000"/>
                <w:szCs w:val="20"/>
                <w:lang w:eastAsia="en-AU"/>
              </w:rPr>
              <w:t xml:space="preserve"> price</w:t>
            </w:r>
          </w:p>
        </w:tc>
        <w:tc>
          <w:tcPr>
            <w:tcW w:w="1418" w:type="dxa"/>
            <w:noWrap/>
            <w:hideMark/>
          </w:tcPr>
          <w:p w:rsidR="00604E51" w:rsidRPr="00DA0AA6" w:rsidRDefault="00604E51"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$984.20</w:t>
            </w:r>
          </w:p>
        </w:tc>
        <w:tc>
          <w:tcPr>
            <w:tcW w:w="1223" w:type="dxa"/>
            <w:noWrap/>
            <w:hideMark/>
          </w:tcPr>
          <w:p w:rsidR="00604E51" w:rsidRPr="00DA0AA6" w:rsidRDefault="00604E51"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$932.40</w:t>
            </w:r>
          </w:p>
        </w:tc>
        <w:tc>
          <w:tcPr>
            <w:tcW w:w="1250" w:type="dxa"/>
            <w:noWrap/>
            <w:hideMark/>
          </w:tcPr>
          <w:p w:rsidR="00604E51" w:rsidRPr="00DA0AA6" w:rsidRDefault="00604E51"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$962.94</w:t>
            </w:r>
          </w:p>
        </w:tc>
      </w:tr>
      <w:tr w:rsidR="00364719" w:rsidRPr="00DA0AA6" w:rsidTr="00F717D5">
        <w:trPr>
          <w:tblHeader/>
        </w:trPr>
        <w:tc>
          <w:tcPr>
            <w:tcW w:w="9556" w:type="dxa"/>
            <w:gridSpan w:val="5"/>
            <w:noWrap/>
            <w:hideMark/>
          </w:tcPr>
          <w:p w:rsidR="00364719" w:rsidRPr="00DA0AA6" w:rsidRDefault="00364719" w:rsidP="00A2386B">
            <w:pPr>
              <w:pStyle w:val="Tabletext"/>
              <w:keepNext/>
              <w:keepLines/>
              <w:ind w:right="87"/>
              <w:rPr>
                <w:szCs w:val="20"/>
                <w:lang w:eastAsia="en-AU"/>
              </w:rPr>
            </w:pPr>
            <w:r w:rsidRPr="00DA0AA6">
              <w:rPr>
                <w:rFonts w:cs="Calibri"/>
                <w:b/>
                <w:bCs/>
                <w:color w:val="000000"/>
                <w:szCs w:val="20"/>
                <w:lang w:eastAsia="en-AU"/>
              </w:rPr>
              <w:t>Effective Price</w:t>
            </w:r>
          </w:p>
        </w:tc>
      </w:tr>
      <w:tr w:rsidR="00604E51" w:rsidRPr="00DA0AA6" w:rsidTr="00F717D5">
        <w:trPr>
          <w:tblHeader/>
        </w:trPr>
        <w:tc>
          <w:tcPr>
            <w:tcW w:w="279" w:type="dxa"/>
            <w:noWrap/>
            <w:hideMark/>
          </w:tcPr>
          <w:p w:rsidR="00604E51" w:rsidRPr="00DA0AA6" w:rsidRDefault="00604E51" w:rsidP="00A2386B">
            <w:pPr>
              <w:pStyle w:val="Tabletext"/>
              <w:keepNext/>
              <w:keepLines/>
              <w:rPr>
                <w:rFonts w:cs="Calibri"/>
                <w:color w:val="000000"/>
                <w:szCs w:val="20"/>
                <w:lang w:eastAsia="en-AU"/>
              </w:rPr>
            </w:pPr>
            <w:r w:rsidRPr="00DA0AA6">
              <w:rPr>
                <w:rFonts w:cs="Calibri"/>
                <w:color w:val="000000"/>
                <w:szCs w:val="20"/>
                <w:lang w:eastAsia="en-AU"/>
              </w:rPr>
              <w:t>F</w:t>
            </w:r>
          </w:p>
        </w:tc>
        <w:tc>
          <w:tcPr>
            <w:tcW w:w="5386" w:type="dxa"/>
            <w:noWrap/>
            <w:hideMark/>
          </w:tcPr>
          <w:p w:rsidR="00604E51" w:rsidRPr="00DA0AA6" w:rsidRDefault="00604E51" w:rsidP="00A2386B">
            <w:pPr>
              <w:pStyle w:val="Tabletext"/>
              <w:keepNext/>
              <w:keepLines/>
              <w:rPr>
                <w:rFonts w:cs="Calibri"/>
                <w:color w:val="000000"/>
                <w:szCs w:val="20"/>
                <w:lang w:eastAsia="en-AU"/>
              </w:rPr>
            </w:pPr>
            <w:r w:rsidRPr="00DA0AA6">
              <w:rPr>
                <w:rFonts w:cs="Calibri"/>
                <w:color w:val="000000"/>
                <w:szCs w:val="20"/>
                <w:lang w:eastAsia="en-AU"/>
              </w:rPr>
              <w:t xml:space="preserve">Pre-anniversary cuts effective </w:t>
            </w:r>
            <w:r w:rsidR="00274780">
              <w:rPr>
                <w:rFonts w:cs="Calibri"/>
                <w:color w:val="000000"/>
                <w:szCs w:val="20"/>
                <w:lang w:eastAsia="en-AU"/>
              </w:rPr>
              <w:t>ex-manufacturer</w:t>
            </w:r>
            <w:r w:rsidRPr="00DA0AA6">
              <w:rPr>
                <w:rFonts w:cs="Calibri"/>
                <w:color w:val="000000"/>
                <w:szCs w:val="20"/>
                <w:lang w:eastAsia="en-AU"/>
              </w:rPr>
              <w:t xml:space="preserve"> price</w:t>
            </w:r>
          </w:p>
        </w:tc>
        <w:tc>
          <w:tcPr>
            <w:tcW w:w="1418" w:type="dxa"/>
            <w:noWrap/>
            <w:hideMark/>
          </w:tcPr>
          <w:p w:rsidR="00604E51" w:rsidRPr="00DA0AA6" w:rsidRDefault="00604E51"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w:t>
            </w:r>
            <w:r w:rsidR="005D7DE1">
              <w:rPr>
                <w:rFonts w:cs="Calibri"/>
                <w:noProof/>
                <w:color w:val="000000"/>
                <w:szCs w:val="20"/>
                <w:highlight w:val="black"/>
                <w:lang w:eastAsia="en-AU"/>
              </w:rPr>
              <w:t>'''''''''''''''''</w:t>
            </w:r>
          </w:p>
        </w:tc>
        <w:tc>
          <w:tcPr>
            <w:tcW w:w="1223" w:type="dxa"/>
            <w:noWrap/>
            <w:hideMark/>
          </w:tcPr>
          <w:p w:rsidR="00604E51" w:rsidRPr="00DA0AA6" w:rsidRDefault="00604E51"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w:t>
            </w:r>
            <w:r w:rsidR="005D7DE1">
              <w:rPr>
                <w:rFonts w:cs="Calibri"/>
                <w:noProof/>
                <w:color w:val="000000"/>
                <w:szCs w:val="20"/>
                <w:highlight w:val="black"/>
                <w:lang w:eastAsia="en-AU"/>
              </w:rPr>
              <w:t>''''''''''''''''</w:t>
            </w:r>
          </w:p>
        </w:tc>
        <w:tc>
          <w:tcPr>
            <w:tcW w:w="1250" w:type="dxa"/>
            <w:noWrap/>
            <w:hideMark/>
          </w:tcPr>
          <w:p w:rsidR="00604E51" w:rsidRPr="00DA0AA6" w:rsidRDefault="00841186"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w:t>
            </w:r>
            <w:r w:rsidR="005D7DE1">
              <w:rPr>
                <w:rFonts w:cs="Calibri"/>
                <w:noProof/>
                <w:color w:val="000000"/>
                <w:szCs w:val="20"/>
                <w:highlight w:val="black"/>
                <w:lang w:eastAsia="en-AU"/>
              </w:rPr>
              <w:t>''''''''''''''''</w:t>
            </w:r>
          </w:p>
        </w:tc>
      </w:tr>
      <w:tr w:rsidR="00604E51" w:rsidRPr="00DA0AA6" w:rsidTr="00F717D5">
        <w:trPr>
          <w:tblHeader/>
        </w:trPr>
        <w:tc>
          <w:tcPr>
            <w:tcW w:w="279" w:type="dxa"/>
            <w:noWrap/>
            <w:hideMark/>
          </w:tcPr>
          <w:p w:rsidR="00604E51" w:rsidRPr="00DA0AA6" w:rsidRDefault="00604E51" w:rsidP="00A2386B">
            <w:pPr>
              <w:pStyle w:val="Tabletext"/>
              <w:keepNext/>
              <w:keepLines/>
              <w:rPr>
                <w:rFonts w:cs="Calibri"/>
                <w:color w:val="000000"/>
                <w:szCs w:val="20"/>
                <w:lang w:eastAsia="en-AU"/>
              </w:rPr>
            </w:pPr>
            <w:r w:rsidRPr="00DA0AA6">
              <w:rPr>
                <w:rFonts w:cs="Calibri"/>
                <w:color w:val="000000"/>
                <w:szCs w:val="20"/>
                <w:lang w:eastAsia="en-AU"/>
              </w:rPr>
              <w:t>G</w:t>
            </w:r>
          </w:p>
        </w:tc>
        <w:tc>
          <w:tcPr>
            <w:tcW w:w="5386" w:type="dxa"/>
            <w:noWrap/>
            <w:hideMark/>
          </w:tcPr>
          <w:p w:rsidR="00604E51" w:rsidRPr="00DA0AA6" w:rsidRDefault="00604E51" w:rsidP="00A2386B">
            <w:pPr>
              <w:pStyle w:val="Tabletext"/>
              <w:keepNext/>
              <w:keepLines/>
              <w:rPr>
                <w:rFonts w:cs="Calibri"/>
                <w:color w:val="000000"/>
                <w:szCs w:val="20"/>
                <w:lang w:eastAsia="en-AU"/>
              </w:rPr>
            </w:pPr>
            <w:r w:rsidRPr="00DA0AA6">
              <w:rPr>
                <w:rFonts w:cs="Calibri"/>
                <w:color w:val="000000"/>
                <w:szCs w:val="20"/>
                <w:lang w:eastAsia="en-AU"/>
              </w:rPr>
              <w:t>Anniversary cuts (from April 2018)</w:t>
            </w:r>
          </w:p>
        </w:tc>
        <w:tc>
          <w:tcPr>
            <w:tcW w:w="1418" w:type="dxa"/>
            <w:noWrap/>
            <w:hideMark/>
          </w:tcPr>
          <w:p w:rsidR="00604E51" w:rsidRPr="00DA0AA6" w:rsidRDefault="00604E51"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5%</w:t>
            </w:r>
          </w:p>
        </w:tc>
        <w:tc>
          <w:tcPr>
            <w:tcW w:w="1223" w:type="dxa"/>
            <w:noWrap/>
            <w:hideMark/>
          </w:tcPr>
          <w:p w:rsidR="00604E51" w:rsidRPr="00DA0AA6" w:rsidRDefault="00604E51"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10%</w:t>
            </w:r>
          </w:p>
        </w:tc>
        <w:tc>
          <w:tcPr>
            <w:tcW w:w="1250" w:type="dxa"/>
            <w:noWrap/>
            <w:hideMark/>
          </w:tcPr>
          <w:p w:rsidR="00604E51" w:rsidRPr="00DA0AA6" w:rsidRDefault="00604E51" w:rsidP="00A2386B">
            <w:pPr>
              <w:pStyle w:val="Tabletext"/>
              <w:keepNext/>
              <w:keepLines/>
              <w:ind w:right="87"/>
              <w:jc w:val="center"/>
              <w:rPr>
                <w:rFonts w:cs="Calibri"/>
                <w:color w:val="000000"/>
                <w:szCs w:val="20"/>
                <w:lang w:eastAsia="en-AU"/>
              </w:rPr>
            </w:pPr>
          </w:p>
        </w:tc>
      </w:tr>
      <w:tr w:rsidR="00604E51" w:rsidRPr="00DA0AA6" w:rsidTr="00F717D5">
        <w:trPr>
          <w:tblHeader/>
        </w:trPr>
        <w:tc>
          <w:tcPr>
            <w:tcW w:w="279" w:type="dxa"/>
            <w:noWrap/>
            <w:hideMark/>
          </w:tcPr>
          <w:p w:rsidR="00604E51" w:rsidRPr="00DA0AA6" w:rsidRDefault="00604E51" w:rsidP="00A2386B">
            <w:pPr>
              <w:pStyle w:val="Tabletext"/>
              <w:keepNext/>
              <w:keepLines/>
              <w:rPr>
                <w:rFonts w:cs="Calibri"/>
                <w:color w:val="000000"/>
                <w:szCs w:val="20"/>
                <w:lang w:eastAsia="en-AU"/>
              </w:rPr>
            </w:pPr>
            <w:r w:rsidRPr="00DA0AA6">
              <w:rPr>
                <w:rFonts w:cs="Calibri"/>
                <w:color w:val="000000"/>
                <w:szCs w:val="20"/>
                <w:lang w:eastAsia="en-AU"/>
              </w:rPr>
              <w:t>H</w:t>
            </w:r>
          </w:p>
        </w:tc>
        <w:tc>
          <w:tcPr>
            <w:tcW w:w="5386" w:type="dxa"/>
            <w:noWrap/>
            <w:hideMark/>
          </w:tcPr>
          <w:p w:rsidR="00604E51" w:rsidRPr="00DA0AA6" w:rsidRDefault="00604E51" w:rsidP="00A2386B">
            <w:pPr>
              <w:pStyle w:val="Tabletext"/>
              <w:keepNext/>
              <w:keepLines/>
              <w:rPr>
                <w:rFonts w:cs="Calibri"/>
                <w:color w:val="000000"/>
                <w:szCs w:val="20"/>
                <w:lang w:eastAsia="en-AU"/>
              </w:rPr>
            </w:pPr>
            <w:r w:rsidRPr="00DA0AA6">
              <w:rPr>
                <w:rFonts w:cs="Calibri"/>
                <w:color w:val="000000"/>
                <w:szCs w:val="20"/>
                <w:lang w:eastAsia="en-AU"/>
              </w:rPr>
              <w:t xml:space="preserve">Current effective </w:t>
            </w:r>
            <w:r w:rsidR="00274780">
              <w:rPr>
                <w:rFonts w:cs="Calibri"/>
                <w:color w:val="000000"/>
                <w:szCs w:val="20"/>
                <w:lang w:eastAsia="en-AU"/>
              </w:rPr>
              <w:t>ex-manufacturer</w:t>
            </w:r>
            <w:r w:rsidRPr="00DA0AA6">
              <w:rPr>
                <w:rFonts w:cs="Calibri"/>
                <w:color w:val="000000"/>
                <w:szCs w:val="20"/>
                <w:lang w:eastAsia="en-AU"/>
              </w:rPr>
              <w:t xml:space="preserve"> price</w:t>
            </w:r>
          </w:p>
        </w:tc>
        <w:tc>
          <w:tcPr>
            <w:tcW w:w="1418" w:type="dxa"/>
            <w:noWrap/>
            <w:hideMark/>
          </w:tcPr>
          <w:p w:rsidR="00604E51" w:rsidRPr="00DA0AA6" w:rsidRDefault="00604E51"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w:t>
            </w:r>
            <w:r w:rsidR="005D7DE1">
              <w:rPr>
                <w:rFonts w:cs="Calibri"/>
                <w:noProof/>
                <w:color w:val="000000"/>
                <w:szCs w:val="20"/>
                <w:highlight w:val="black"/>
                <w:lang w:eastAsia="en-AU"/>
              </w:rPr>
              <w:t>'''''''''''''''''</w:t>
            </w:r>
          </w:p>
        </w:tc>
        <w:tc>
          <w:tcPr>
            <w:tcW w:w="1223" w:type="dxa"/>
            <w:noWrap/>
            <w:hideMark/>
          </w:tcPr>
          <w:p w:rsidR="00604E51" w:rsidRPr="00DA0AA6" w:rsidRDefault="00604E51"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w:t>
            </w:r>
            <w:r w:rsidR="005D7DE1">
              <w:rPr>
                <w:rFonts w:cs="Calibri"/>
                <w:noProof/>
                <w:color w:val="000000"/>
                <w:szCs w:val="20"/>
                <w:highlight w:val="black"/>
                <w:lang w:eastAsia="en-AU"/>
              </w:rPr>
              <w:t>'''''''''''''''</w:t>
            </w:r>
          </w:p>
        </w:tc>
        <w:tc>
          <w:tcPr>
            <w:tcW w:w="1250" w:type="dxa"/>
            <w:noWrap/>
            <w:hideMark/>
          </w:tcPr>
          <w:p w:rsidR="00604E51" w:rsidRPr="00DA0AA6" w:rsidRDefault="00604E51" w:rsidP="00A2386B">
            <w:pPr>
              <w:pStyle w:val="Tabletext"/>
              <w:keepNext/>
              <w:keepLines/>
              <w:ind w:right="87"/>
              <w:jc w:val="center"/>
              <w:rPr>
                <w:rFonts w:cs="Calibri"/>
                <w:color w:val="000000"/>
                <w:szCs w:val="20"/>
                <w:lang w:eastAsia="en-AU"/>
              </w:rPr>
            </w:pPr>
            <w:r w:rsidRPr="00DA0AA6">
              <w:rPr>
                <w:rFonts w:cs="Calibri"/>
                <w:color w:val="000000"/>
                <w:szCs w:val="20"/>
                <w:lang w:eastAsia="en-AU"/>
              </w:rPr>
              <w:t>$</w:t>
            </w:r>
            <w:r w:rsidR="005D7DE1">
              <w:rPr>
                <w:rFonts w:cs="Calibri"/>
                <w:noProof/>
                <w:color w:val="000000"/>
                <w:szCs w:val="20"/>
                <w:highlight w:val="black"/>
                <w:lang w:eastAsia="en-AU"/>
              </w:rPr>
              <w:t>'''''''''''''''</w:t>
            </w:r>
          </w:p>
        </w:tc>
      </w:tr>
    </w:tbl>
    <w:p w:rsidR="00604E51" w:rsidRPr="00517878" w:rsidRDefault="00604E51" w:rsidP="00A2386B">
      <w:pPr>
        <w:pStyle w:val="TableFooter"/>
        <w:keepNext/>
        <w:keepLines/>
        <w:rPr>
          <w:rStyle w:val="TableFooterChar"/>
        </w:rPr>
      </w:pPr>
      <w:r>
        <w:rPr>
          <w:rStyle w:val="TableFooterChar"/>
          <w:vertAlign w:val="superscript"/>
        </w:rPr>
        <w:t>a</w:t>
      </w:r>
      <w:r w:rsidR="004D5667">
        <w:rPr>
          <w:rStyle w:val="TableFooterChar"/>
          <w:vertAlign w:val="superscript"/>
        </w:rPr>
        <w:t xml:space="preserve"> </w:t>
      </w:r>
      <w:r>
        <w:rPr>
          <w:rStyle w:val="TableFooterChar"/>
        </w:rPr>
        <w:t>Since r</w:t>
      </w:r>
      <w:r>
        <w:t xml:space="preserve">anibizumab is provided by the same sponsor, it was known by the submission. The submission assumed that the aflibercept effective price is equivalent to ranibizumab at the time of listing </w:t>
      </w:r>
    </w:p>
    <w:p w:rsidR="00604E51" w:rsidRPr="00650379" w:rsidRDefault="00604E51" w:rsidP="00A2386B">
      <w:pPr>
        <w:keepNext/>
        <w:keepLines/>
        <w:rPr>
          <w:rFonts w:cs="Calibri"/>
          <w:i/>
          <w:snapToGrid/>
          <w:sz w:val="22"/>
        </w:rPr>
      </w:pPr>
      <w:r>
        <w:rPr>
          <w:rStyle w:val="TableFooterChar"/>
          <w:vertAlign w:val="superscript"/>
        </w:rPr>
        <w:t>b</w:t>
      </w:r>
      <w:r w:rsidR="004D5667">
        <w:rPr>
          <w:rStyle w:val="TableFooterChar"/>
          <w:vertAlign w:val="superscript"/>
        </w:rPr>
        <w:t xml:space="preserve"> </w:t>
      </w:r>
      <w:r w:rsidRPr="00517878">
        <w:rPr>
          <w:rStyle w:val="TableFooterChar"/>
        </w:rPr>
        <w:t>Weighted based on PBS usage statistics for aflibercept (Item 2168D; 58.95%) and ranibizumab (Items 1382R and 10138N; 41.05%) between January and December 2018</w:t>
      </w:r>
      <w:r>
        <w:rPr>
          <w:rFonts w:cs="Calibri"/>
          <w:snapToGrid/>
          <w:sz w:val="22"/>
        </w:rPr>
        <w:t>.</w:t>
      </w:r>
    </w:p>
    <w:p w:rsidR="00604E51" w:rsidRDefault="00604E51" w:rsidP="00A2386B">
      <w:pPr>
        <w:pStyle w:val="TableFooter"/>
        <w:keepNext/>
        <w:keepLines/>
      </w:pPr>
      <w:r>
        <w:t xml:space="preserve">Source: </w:t>
      </w:r>
      <w:r w:rsidR="00ED52E3">
        <w:t>Compiled</w:t>
      </w:r>
      <w:r>
        <w:t xml:space="preserve"> during the evaluation based on information presented in ‘Section 3 model_brolucizumab.xlsx’. </w:t>
      </w:r>
    </w:p>
    <w:p w:rsidR="00604E51" w:rsidRPr="00DA0AA6" w:rsidRDefault="00604E51" w:rsidP="00604E51"/>
    <w:p w:rsidR="00604E51" w:rsidRDefault="00604E51" w:rsidP="00F46163">
      <w:pPr>
        <w:pStyle w:val="ListParagraph"/>
        <w:widowControl/>
        <w:numPr>
          <w:ilvl w:val="1"/>
          <w:numId w:val="1"/>
        </w:numPr>
        <w:spacing w:after="120"/>
      </w:pPr>
      <w:r w:rsidRPr="00D064C0">
        <w:t xml:space="preserve">The submission used the dispensed price for maximum quantity (DPMQ) to calculate the cost-minimised price of brolucizumab. It is noted that pricing agreements are made by Government under the </w:t>
      </w:r>
      <w:r w:rsidRPr="003C5016">
        <w:rPr>
          <w:i/>
        </w:rPr>
        <w:t>National Health Act 1953</w:t>
      </w:r>
      <w:r w:rsidRPr="00D064C0">
        <w:t xml:space="preserve"> at the ex-manufacturer level and, as such, the prices would be agreed on this basis. It is not usually the case that pharmacy and wholesaler mark-ups are considered for the purpose of cost-minimisation as they do not relate to the cost of the medicine. The evaluation revised the submission’s base case so that the cost-minimisation analysis was performed based on the ex</w:t>
      </w:r>
      <w:r w:rsidR="00B63101" w:rsidRPr="00D064C0">
        <w:t>-</w:t>
      </w:r>
      <w:r w:rsidRPr="00D064C0">
        <w:t>manufacturer price, rather than the dispensed price.</w:t>
      </w:r>
    </w:p>
    <w:p w:rsidR="00F43FD6" w:rsidRDefault="00604E51" w:rsidP="00F46163">
      <w:pPr>
        <w:pStyle w:val="ListParagraph"/>
        <w:numPr>
          <w:ilvl w:val="1"/>
          <w:numId w:val="1"/>
        </w:numPr>
        <w:spacing w:after="120"/>
      </w:pPr>
      <w:r w:rsidRPr="00D064C0">
        <w:t xml:space="preserve">The </w:t>
      </w:r>
      <w:r w:rsidR="00C1707E">
        <w:t>CMA in the submission</w:t>
      </w:r>
      <w:r w:rsidRPr="00D064C0">
        <w:t xml:space="preserve"> us</w:t>
      </w:r>
      <w:r w:rsidR="00C1707E">
        <w:t>ed</w:t>
      </w:r>
      <w:r w:rsidRPr="00D064C0">
        <w:t xml:space="preserve"> the pre-anniversary price cut effective ex-manufacture</w:t>
      </w:r>
      <w:r w:rsidR="00062CBF">
        <w:t>r</w:t>
      </w:r>
      <w:r w:rsidRPr="00D064C0">
        <w:t xml:space="preserve"> price of aflibercept</w:t>
      </w:r>
      <w:r w:rsidR="00062CBF">
        <w:t xml:space="preserve"> </w:t>
      </w:r>
      <w:r w:rsidRPr="00D064C0">
        <w:t>and the current weighted effective price of aflibercept and ranibizumab</w:t>
      </w:r>
      <w:r w:rsidR="00C1707E">
        <w:t>.</w:t>
      </w:r>
      <w:r w:rsidRPr="00D064C0">
        <w:t xml:space="preserve"> </w:t>
      </w:r>
      <w:r w:rsidR="00F43FD6" w:rsidRPr="00F43FD6">
        <w:t xml:space="preserve">The submission proposed an AEMP for brolucizumab of </w:t>
      </w:r>
      <w:r w:rsidR="00F43FD6">
        <w:t>$</w:t>
      </w:r>
      <w:r w:rsidR="005D7DE1">
        <w:rPr>
          <w:noProof/>
          <w:color w:val="000000"/>
          <w:highlight w:val="black"/>
        </w:rPr>
        <w:t>''''''''''''</w:t>
      </w:r>
      <w:r w:rsidR="00F43FD6" w:rsidRPr="00F43FD6">
        <w:t xml:space="preserve"> until 30 June 2022, based on</w:t>
      </w:r>
      <w:r w:rsidR="00C1707E">
        <w:t xml:space="preserve"> a dose</w:t>
      </w:r>
      <w:r w:rsidR="00E55BD1">
        <w:t xml:space="preserve"> relativity of </w:t>
      </w:r>
      <w:r w:rsidR="005D7DE1">
        <w:rPr>
          <w:noProof/>
          <w:color w:val="000000"/>
          <w:highlight w:val="black"/>
        </w:rPr>
        <w:t>'''''''''</w:t>
      </w:r>
      <w:r w:rsidR="00086793">
        <w:t xml:space="preserve"> </w:t>
      </w:r>
      <w:r w:rsidR="00C1707E">
        <w:t>(aflibercept)</w:t>
      </w:r>
      <w:r w:rsidR="00086793">
        <w:t xml:space="preserve">: </w:t>
      </w:r>
      <w:r w:rsidR="005D7DE1">
        <w:rPr>
          <w:noProof/>
          <w:color w:val="000000"/>
          <w:highlight w:val="black"/>
        </w:rPr>
        <w:t>'''''''''</w:t>
      </w:r>
      <w:r w:rsidR="00086793">
        <w:t xml:space="preserve"> </w:t>
      </w:r>
      <w:r w:rsidR="00C1707E">
        <w:t>(brolucizumab)</w:t>
      </w:r>
      <w:r w:rsidR="00037428">
        <w:t xml:space="preserve"> and the pre-</w:t>
      </w:r>
      <w:r w:rsidR="0050258B">
        <w:t>anniversary</w:t>
      </w:r>
      <w:r w:rsidR="00037428">
        <w:t xml:space="preserve"> price cut of </w:t>
      </w:r>
      <w:r w:rsidR="00781EB5">
        <w:t>aflibercept/ranibizumab ($</w:t>
      </w:r>
      <w:r w:rsidR="005D7DE1">
        <w:rPr>
          <w:noProof/>
          <w:color w:val="000000"/>
          <w:highlight w:val="black"/>
        </w:rPr>
        <w:t>''''''''''''</w:t>
      </w:r>
      <w:r w:rsidR="00781EB5">
        <w:t>)</w:t>
      </w:r>
      <w:r w:rsidR="00C1707E">
        <w:t>.</w:t>
      </w:r>
      <w:r w:rsidR="00F43FD6" w:rsidRPr="00F43FD6">
        <w:t xml:space="preserve"> </w:t>
      </w:r>
      <w:r w:rsidR="00037428">
        <w:t>From 1 July 2022, the proposed brolucizumab AEMP was $</w:t>
      </w:r>
      <w:r w:rsidR="005D7DE1">
        <w:rPr>
          <w:noProof/>
          <w:color w:val="000000"/>
          <w:highlight w:val="black"/>
        </w:rPr>
        <w:t>''''''''''''''</w:t>
      </w:r>
      <w:r w:rsidR="00037428">
        <w:t>, based on a dose relativity</w:t>
      </w:r>
      <w:r w:rsidR="00086793">
        <w:t xml:space="preserve"> of </w:t>
      </w:r>
      <w:r w:rsidR="005D7DE1">
        <w:rPr>
          <w:noProof/>
          <w:color w:val="000000"/>
          <w:highlight w:val="black"/>
        </w:rPr>
        <w:t>''''''''</w:t>
      </w:r>
      <w:r w:rsidR="00037428">
        <w:t>:</w:t>
      </w:r>
      <w:r w:rsidR="005D7DE1">
        <w:rPr>
          <w:noProof/>
          <w:color w:val="000000"/>
          <w:highlight w:val="black"/>
        </w:rPr>
        <w:t>'''''''''</w:t>
      </w:r>
      <w:r w:rsidR="00037428">
        <w:t xml:space="preserve"> and a weighted </w:t>
      </w:r>
      <w:r w:rsidR="00781EB5">
        <w:t>aflibercept/ranibizumab price ($</w:t>
      </w:r>
      <w:r w:rsidR="005D7DE1">
        <w:rPr>
          <w:noProof/>
          <w:color w:val="000000"/>
          <w:highlight w:val="black"/>
        </w:rPr>
        <w:t>''''''''''''''</w:t>
      </w:r>
      <w:r w:rsidR="00781EB5">
        <w:t>).</w:t>
      </w:r>
    </w:p>
    <w:p w:rsidR="008E322B" w:rsidRPr="00086793" w:rsidRDefault="00432488" w:rsidP="00F46163">
      <w:pPr>
        <w:pStyle w:val="ListParagraph"/>
        <w:numPr>
          <w:ilvl w:val="1"/>
          <w:numId w:val="1"/>
        </w:numPr>
        <w:spacing w:after="120"/>
      </w:pPr>
      <w:r w:rsidRPr="00086793">
        <w:t xml:space="preserve">The pre-PBAC response </w:t>
      </w:r>
      <w:r w:rsidR="00261B84" w:rsidRPr="00086793">
        <w:t xml:space="preserve">provided revised prices assuming </w:t>
      </w:r>
      <w:r w:rsidR="00BD72FA" w:rsidRPr="00086793">
        <w:t>a dose relativity of 6.03 (aflibercept) : 6.03 (brolucizumab)</w:t>
      </w:r>
      <w:r w:rsidR="00086793" w:rsidRPr="00086793">
        <w:t xml:space="preserve">, corresponding to an </w:t>
      </w:r>
      <w:r w:rsidR="00261B84" w:rsidRPr="00086793">
        <w:t>AEMP of $</w:t>
      </w:r>
      <w:r w:rsidR="005D7DE1">
        <w:rPr>
          <w:noProof/>
          <w:color w:val="000000"/>
          <w:highlight w:val="black"/>
        </w:rPr>
        <w:t>'''''''''''''</w:t>
      </w:r>
      <w:r w:rsidR="00261B84" w:rsidRPr="00086793">
        <w:t xml:space="preserve"> until 30 June 2022 and </w:t>
      </w:r>
      <w:r w:rsidR="00BD72FA" w:rsidRPr="00086793">
        <w:t>$</w:t>
      </w:r>
      <w:r w:rsidR="005D7DE1">
        <w:rPr>
          <w:noProof/>
          <w:color w:val="000000"/>
          <w:highlight w:val="black"/>
        </w:rPr>
        <w:t>''''''''''''''</w:t>
      </w:r>
      <w:r w:rsidR="00BD72FA" w:rsidRPr="00086793">
        <w:t xml:space="preserve"> </w:t>
      </w:r>
      <w:r w:rsidR="00261B84" w:rsidRPr="00086793">
        <w:t xml:space="preserve">after 1 July 2022. The PBAC considered 1:1 </w:t>
      </w:r>
      <w:r w:rsidR="00BD72FA" w:rsidRPr="00086793">
        <w:t>substitution</w:t>
      </w:r>
      <w:r w:rsidR="00261B84" w:rsidRPr="00086793">
        <w:t xml:space="preserve"> was appropriate</w:t>
      </w:r>
      <w:r w:rsidR="00BD72FA" w:rsidRPr="00086793">
        <w:t xml:space="preserve">. </w:t>
      </w:r>
    </w:p>
    <w:p w:rsidR="00604E51" w:rsidRPr="006E686A" w:rsidRDefault="00F47E0B" w:rsidP="00F46163">
      <w:pPr>
        <w:pStyle w:val="ListParagraph"/>
        <w:widowControl/>
        <w:numPr>
          <w:ilvl w:val="1"/>
          <w:numId w:val="1"/>
        </w:numPr>
        <w:spacing w:after="120"/>
      </w:pPr>
      <w:r w:rsidRPr="00D064C0">
        <w:t>As noted in the PBAC Guidelines</w:t>
      </w:r>
      <w:r w:rsidR="00364719" w:rsidRPr="00D064C0">
        <w:t xml:space="preserve"> (2016, v5.0)</w:t>
      </w:r>
      <w:r w:rsidRPr="00D064C0">
        <w:t xml:space="preserve">, PBAC is required to consider the effectiveness and cost of the proposed medicine compared with alternative therapies. The Guidelines state that, under the National Health Act 1953, Section 101 (3B), the PBAC cannot make a positive recommendation for a medicine that is substantially more costly than an alternative medicine unless it is satisfied that the proposed medicine also provides a significant improvement </w:t>
      </w:r>
      <w:r w:rsidR="007F7C85">
        <w:t xml:space="preserve">in </w:t>
      </w:r>
      <w:r w:rsidRPr="00D064C0">
        <w:t xml:space="preserve">health. The alternative therapies, </w:t>
      </w:r>
      <w:r w:rsidRPr="00D064C0">
        <w:lastRenderedPageBreak/>
        <w:t xml:space="preserve">in this case, may include aflibercept and ranibizumab. </w:t>
      </w:r>
      <w:r w:rsidR="00762324" w:rsidRPr="008D6A5E">
        <w:rPr>
          <w:iCs/>
        </w:rPr>
        <w:t xml:space="preserve">The </w:t>
      </w:r>
      <w:r w:rsidR="007844DC">
        <w:rPr>
          <w:iCs/>
        </w:rPr>
        <w:t>PBAC</w:t>
      </w:r>
      <w:r w:rsidR="007844DC" w:rsidRPr="008D6A5E">
        <w:rPr>
          <w:iCs/>
        </w:rPr>
        <w:t xml:space="preserve"> </w:t>
      </w:r>
      <w:r w:rsidR="007844DC">
        <w:rPr>
          <w:iCs/>
        </w:rPr>
        <w:t>noted</w:t>
      </w:r>
      <w:r w:rsidR="007844DC" w:rsidRPr="008D6A5E">
        <w:rPr>
          <w:iCs/>
        </w:rPr>
        <w:t xml:space="preserve"> </w:t>
      </w:r>
      <w:r w:rsidR="00762324" w:rsidRPr="008D6A5E">
        <w:rPr>
          <w:iCs/>
        </w:rPr>
        <w:t>that</w:t>
      </w:r>
      <w:r w:rsidR="009408FA">
        <w:rPr>
          <w:iCs/>
        </w:rPr>
        <w:t xml:space="preserve"> </w:t>
      </w:r>
      <w:r w:rsidR="00762324" w:rsidRPr="008D6A5E">
        <w:rPr>
          <w:iCs/>
        </w:rPr>
        <w:t xml:space="preserve">ranibizumab </w:t>
      </w:r>
      <w:r w:rsidR="00E95A3D">
        <w:rPr>
          <w:iCs/>
        </w:rPr>
        <w:t xml:space="preserve">is the </w:t>
      </w:r>
      <w:r w:rsidR="008E322B">
        <w:rPr>
          <w:iCs/>
        </w:rPr>
        <w:t>lowest cost alternative</w:t>
      </w:r>
      <w:r w:rsidR="00762324" w:rsidRPr="008D6A5E">
        <w:rPr>
          <w:iCs/>
        </w:rPr>
        <w:t xml:space="preserve"> </w:t>
      </w:r>
      <w:r w:rsidR="007844DC">
        <w:rPr>
          <w:iCs/>
        </w:rPr>
        <w:t xml:space="preserve">and </w:t>
      </w:r>
      <w:r w:rsidR="009408FA">
        <w:rPr>
          <w:iCs/>
        </w:rPr>
        <w:t xml:space="preserve">advised </w:t>
      </w:r>
      <w:r w:rsidR="007844DC">
        <w:rPr>
          <w:iCs/>
        </w:rPr>
        <w:t xml:space="preserve">that </w:t>
      </w:r>
      <w:r w:rsidR="007844DC" w:rsidRPr="006E686A">
        <w:rPr>
          <w:iCs/>
        </w:rPr>
        <w:t>the CMA for brolucizumab</w:t>
      </w:r>
      <w:r w:rsidR="00F8311E" w:rsidRPr="006E686A">
        <w:rPr>
          <w:iCs/>
        </w:rPr>
        <w:t xml:space="preserve"> should be performed against the </w:t>
      </w:r>
      <w:r w:rsidR="007F7C85">
        <w:rPr>
          <w:iCs/>
        </w:rPr>
        <w:t>lowest cost</w:t>
      </w:r>
      <w:r w:rsidR="00F8311E" w:rsidRPr="006E686A">
        <w:rPr>
          <w:iCs/>
        </w:rPr>
        <w:t xml:space="preserve"> anti-VEGF</w:t>
      </w:r>
      <w:r w:rsidR="00762324" w:rsidRPr="006E686A">
        <w:rPr>
          <w:iCs/>
        </w:rPr>
        <w:t>.</w:t>
      </w:r>
    </w:p>
    <w:p w:rsidR="00604E51" w:rsidRPr="002C2775" w:rsidRDefault="00604E51" w:rsidP="00F46163">
      <w:pPr>
        <w:pStyle w:val="Heading2"/>
        <w:spacing w:after="120"/>
      </w:pPr>
      <w:bookmarkStart w:id="15" w:name="_Toc371170711"/>
      <w:bookmarkStart w:id="16" w:name="_Toc19612025"/>
      <w:r w:rsidRPr="002C2775">
        <w:t>Drug cost/patient/year</w:t>
      </w:r>
      <w:bookmarkEnd w:id="15"/>
      <w:bookmarkEnd w:id="16"/>
    </w:p>
    <w:p w:rsidR="00604E51" w:rsidRPr="00D064C0" w:rsidRDefault="00604E51" w:rsidP="00F46163">
      <w:pPr>
        <w:pStyle w:val="ListParagraph"/>
        <w:widowControl/>
        <w:numPr>
          <w:ilvl w:val="1"/>
          <w:numId w:val="1"/>
        </w:numPr>
        <w:spacing w:after="120"/>
      </w:pPr>
      <w:r w:rsidRPr="00D064C0">
        <w:t xml:space="preserve">As noted above, </w:t>
      </w:r>
      <w:r w:rsidR="00251103">
        <w:t xml:space="preserve">the submission </w:t>
      </w:r>
      <w:r w:rsidRPr="00D064C0">
        <w:t xml:space="preserve">proposed two prices of brolucizumab; one that would apply until 30 June 2022, and one that would apply after 1 July 2022. </w:t>
      </w:r>
    </w:p>
    <w:p w:rsidR="00E95A3D" w:rsidRDefault="00E95A3D" w:rsidP="00F46163">
      <w:pPr>
        <w:pStyle w:val="ListParagraph"/>
        <w:widowControl/>
        <w:numPr>
          <w:ilvl w:val="1"/>
          <w:numId w:val="1"/>
        </w:numPr>
        <w:spacing w:after="120"/>
      </w:pPr>
      <w:r>
        <w:t xml:space="preserve">Based on the prices in the submission and the </w:t>
      </w:r>
      <w:r w:rsidRPr="00E95A3D">
        <w:t>pooled average number of doses per year (</w:t>
      </w:r>
      <w:r w:rsidR="005D7DE1">
        <w:rPr>
          <w:noProof/>
          <w:color w:val="000000"/>
          <w:highlight w:val="black"/>
        </w:rPr>
        <w:t>''''''''</w:t>
      </w:r>
      <w:r w:rsidRPr="00E95A3D">
        <w:t>) between Week 48 and Week 92 in the HAWK and HARRIER trials</w:t>
      </w:r>
      <w:r>
        <w:t>, the total cost of brolucizumab</w:t>
      </w:r>
      <w:r w:rsidR="0003697C">
        <w:t>/</w:t>
      </w:r>
      <w:r>
        <w:t>patient</w:t>
      </w:r>
      <w:r w:rsidR="0003697C">
        <w:t>/</w:t>
      </w:r>
      <w:r>
        <w:t>year in the maintenance phase is</w:t>
      </w:r>
      <w:r w:rsidR="00093812">
        <w:t xml:space="preserve"> as follows.</w:t>
      </w:r>
    </w:p>
    <w:p w:rsidR="00E95A3D" w:rsidRDefault="00E95A3D" w:rsidP="00F46163">
      <w:pPr>
        <w:pStyle w:val="ListParagraph"/>
        <w:widowControl/>
        <w:numPr>
          <w:ilvl w:val="0"/>
          <w:numId w:val="40"/>
        </w:numPr>
        <w:spacing w:after="120"/>
      </w:pPr>
      <w:r>
        <w:t>For doses di</w:t>
      </w:r>
      <w:r w:rsidR="00537199">
        <w:t>spensed prior to 30 June 2022</w:t>
      </w:r>
      <w:r w:rsidR="0025768E">
        <w:t xml:space="preserve"> using a brolucizumab price of $</w:t>
      </w:r>
      <w:r w:rsidR="005D7DE1">
        <w:rPr>
          <w:noProof/>
          <w:color w:val="000000"/>
          <w:highlight w:val="black"/>
        </w:rPr>
        <w:t>''''''''''''</w:t>
      </w:r>
      <w:r w:rsidR="00537199">
        <w:t xml:space="preserve">: </w:t>
      </w:r>
      <w:r w:rsidR="00CB33AD">
        <w:t>drug cost/patient/year=</w:t>
      </w:r>
      <w:r w:rsidR="00537199">
        <w:t>$</w:t>
      </w:r>
      <w:r w:rsidR="005D7DE1">
        <w:rPr>
          <w:noProof/>
          <w:color w:val="000000"/>
          <w:highlight w:val="black"/>
        </w:rPr>
        <w:t>'''''''''</w:t>
      </w:r>
      <w:r w:rsidR="00537199">
        <w:t>. Incorporating the cost of administration ($1,547), the total cost is $</w:t>
      </w:r>
      <w:r w:rsidR="005D7DE1">
        <w:rPr>
          <w:noProof/>
          <w:color w:val="000000"/>
          <w:highlight w:val="black"/>
        </w:rPr>
        <w:t>'''''''''''</w:t>
      </w:r>
      <w:r w:rsidR="00537199">
        <w:t xml:space="preserve">. </w:t>
      </w:r>
    </w:p>
    <w:p w:rsidR="00E95A3D" w:rsidRDefault="00E95A3D" w:rsidP="00F46163">
      <w:pPr>
        <w:pStyle w:val="ListParagraph"/>
        <w:widowControl/>
        <w:numPr>
          <w:ilvl w:val="0"/>
          <w:numId w:val="40"/>
        </w:numPr>
        <w:spacing w:after="120"/>
      </w:pPr>
      <w:r>
        <w:t>For doses dispensed after 1 July 2022</w:t>
      </w:r>
      <w:r w:rsidR="0025768E">
        <w:t xml:space="preserve"> using a brolucizumab price of $</w:t>
      </w:r>
      <w:r w:rsidR="005D7DE1">
        <w:rPr>
          <w:noProof/>
          <w:color w:val="000000"/>
          <w:highlight w:val="black"/>
        </w:rPr>
        <w:t>''''''''''''</w:t>
      </w:r>
      <w:r>
        <w:t xml:space="preserve">: </w:t>
      </w:r>
      <w:r w:rsidR="00CB33AD">
        <w:t>drug cost/patient/year=</w:t>
      </w:r>
      <w:r w:rsidR="00537199">
        <w:t>$</w:t>
      </w:r>
      <w:r w:rsidR="005D7DE1">
        <w:rPr>
          <w:noProof/>
          <w:color w:val="000000"/>
          <w:highlight w:val="black"/>
        </w:rPr>
        <w:t>''''''''''</w:t>
      </w:r>
      <w:r w:rsidR="00537199">
        <w:t xml:space="preserve">. Incorporating the cost of administration ($1,547), the total cost is </w:t>
      </w:r>
      <w:r>
        <w:t>$</w:t>
      </w:r>
      <w:r w:rsidR="005D7DE1">
        <w:rPr>
          <w:noProof/>
          <w:color w:val="000000"/>
          <w:highlight w:val="black"/>
        </w:rPr>
        <w:t>'''''''''''</w:t>
      </w:r>
      <w:r>
        <w:t>.</w:t>
      </w:r>
    </w:p>
    <w:p w:rsidR="00E95A3D" w:rsidRDefault="00E95A3D" w:rsidP="00F46163">
      <w:pPr>
        <w:pStyle w:val="ListParagraph"/>
        <w:keepNext/>
        <w:widowControl/>
        <w:numPr>
          <w:ilvl w:val="1"/>
          <w:numId w:val="1"/>
        </w:numPr>
        <w:spacing w:after="120"/>
      </w:pPr>
      <w:r>
        <w:t xml:space="preserve">Based on the prices in the pre-PBAC response </w:t>
      </w:r>
      <w:r w:rsidR="00537199">
        <w:t>and equivalent number of doses per year to aflibercept (</w:t>
      </w:r>
      <w:r w:rsidR="005D7DE1">
        <w:rPr>
          <w:noProof/>
          <w:color w:val="000000"/>
          <w:highlight w:val="black"/>
        </w:rPr>
        <w:t>''''''''</w:t>
      </w:r>
      <w:r w:rsidR="00537199">
        <w:t>), the total cost of brolucizumab</w:t>
      </w:r>
      <w:r w:rsidR="0003697C">
        <w:t>/</w:t>
      </w:r>
      <w:r w:rsidR="00537199">
        <w:t>patient</w:t>
      </w:r>
      <w:r w:rsidR="0003697C">
        <w:t>/</w:t>
      </w:r>
      <w:r w:rsidR="00537199">
        <w:t>year in the maintenance phase is</w:t>
      </w:r>
      <w:r w:rsidR="007C7BA8">
        <w:t xml:space="preserve"> the same as in the submission due to the increased number of doses at a lower price,</w:t>
      </w:r>
      <w:r w:rsidR="00810347">
        <w:t xml:space="preserve"> as follows.</w:t>
      </w:r>
    </w:p>
    <w:p w:rsidR="00537199" w:rsidRDefault="00537199" w:rsidP="00F46163">
      <w:pPr>
        <w:pStyle w:val="ListParagraph"/>
        <w:keepNext/>
        <w:widowControl/>
        <w:numPr>
          <w:ilvl w:val="0"/>
          <w:numId w:val="41"/>
        </w:numPr>
        <w:spacing w:after="120"/>
      </w:pPr>
      <w:r>
        <w:t>For doses dispensed prior to 30 June 2022</w:t>
      </w:r>
      <w:r w:rsidR="0025768E">
        <w:t xml:space="preserve"> using a brolucizumab price of </w:t>
      </w:r>
      <w:r w:rsidR="00490E1D" w:rsidRPr="00DA0AA6">
        <w:rPr>
          <w:rFonts w:cs="Calibri"/>
          <w:color w:val="000000"/>
          <w:szCs w:val="20"/>
          <w:lang w:eastAsia="en-AU"/>
        </w:rPr>
        <w:t>$</w:t>
      </w:r>
      <w:r w:rsidR="005D7DE1">
        <w:rPr>
          <w:rFonts w:cs="Calibri"/>
          <w:noProof/>
          <w:color w:val="000000"/>
          <w:szCs w:val="20"/>
          <w:highlight w:val="black"/>
          <w:lang w:eastAsia="en-AU"/>
        </w:rPr>
        <w:t>'''''''''''''</w:t>
      </w:r>
      <w:r>
        <w:t xml:space="preserve">: </w:t>
      </w:r>
      <w:r w:rsidR="0025768E">
        <w:t>drug cost/patient/year</w:t>
      </w:r>
      <w:r w:rsidR="0025768E" w:rsidRPr="00490E1D">
        <w:t>=</w:t>
      </w:r>
      <w:r w:rsidR="00490E1D" w:rsidRPr="00490E1D">
        <w:t>$</w:t>
      </w:r>
      <w:r w:rsidR="005D7DE1">
        <w:rPr>
          <w:noProof/>
          <w:color w:val="000000"/>
          <w:highlight w:val="black"/>
        </w:rPr>
        <w:t>'''''''''''</w:t>
      </w:r>
      <w:r w:rsidR="0025768E">
        <w:t>. Incorporating the cost of administration ($</w:t>
      </w:r>
      <w:r w:rsidR="00490E1D">
        <w:t>1,814</w:t>
      </w:r>
      <w:r w:rsidR="0025768E">
        <w:t xml:space="preserve">), the total cost is </w:t>
      </w:r>
      <w:r w:rsidR="0025768E" w:rsidRPr="00CC3B68">
        <w:t>$</w:t>
      </w:r>
      <w:r w:rsidR="005D7DE1">
        <w:rPr>
          <w:noProof/>
          <w:color w:val="000000"/>
          <w:highlight w:val="black"/>
        </w:rPr>
        <w:t>''''''''''</w:t>
      </w:r>
      <w:r w:rsidR="0025768E">
        <w:t>.</w:t>
      </w:r>
    </w:p>
    <w:p w:rsidR="00537199" w:rsidRPr="00D064C0" w:rsidRDefault="00537199" w:rsidP="00F46163">
      <w:pPr>
        <w:pStyle w:val="ListParagraph"/>
        <w:keepNext/>
        <w:widowControl/>
        <w:numPr>
          <w:ilvl w:val="0"/>
          <w:numId w:val="41"/>
        </w:numPr>
        <w:spacing w:after="120"/>
      </w:pPr>
      <w:r>
        <w:t>For doses dispensed after 1 July 2022</w:t>
      </w:r>
      <w:r w:rsidR="0025768E">
        <w:t xml:space="preserve"> using a brolucizumab price of </w:t>
      </w:r>
      <w:r w:rsidR="00490E1D" w:rsidRPr="00DA0AA6">
        <w:rPr>
          <w:rFonts w:cs="Calibri"/>
          <w:color w:val="000000"/>
          <w:szCs w:val="20"/>
          <w:lang w:eastAsia="en-AU"/>
        </w:rPr>
        <w:t>$</w:t>
      </w:r>
      <w:r w:rsidR="005D7DE1">
        <w:rPr>
          <w:rFonts w:cs="Calibri"/>
          <w:noProof/>
          <w:color w:val="000000"/>
          <w:szCs w:val="20"/>
          <w:highlight w:val="black"/>
          <w:lang w:eastAsia="en-AU"/>
        </w:rPr>
        <w:t>''''''''''''''</w:t>
      </w:r>
      <w:r>
        <w:t xml:space="preserve">: </w:t>
      </w:r>
      <w:r w:rsidR="00730DCB">
        <w:t>drug cost/patient/year=</w:t>
      </w:r>
      <w:r w:rsidR="00490E1D">
        <w:t>$</w:t>
      </w:r>
      <w:r w:rsidR="005D7DE1">
        <w:rPr>
          <w:noProof/>
          <w:color w:val="000000"/>
          <w:highlight w:val="black"/>
        </w:rPr>
        <w:t>'''''''''''</w:t>
      </w:r>
      <w:r w:rsidR="00730DCB">
        <w:t>. Incorporating the cost of administration ($</w:t>
      </w:r>
      <w:r w:rsidR="00490E1D" w:rsidRPr="00490E1D">
        <w:t>1,814</w:t>
      </w:r>
      <w:r w:rsidR="00730DCB">
        <w:t>), the total cost is $</w:t>
      </w:r>
      <w:r w:rsidR="005D7DE1">
        <w:rPr>
          <w:noProof/>
          <w:color w:val="000000"/>
          <w:highlight w:val="black"/>
        </w:rPr>
        <w:t>'''''''''''</w:t>
      </w:r>
      <w:r w:rsidR="007C7BA8">
        <w:t>.</w:t>
      </w:r>
    </w:p>
    <w:p w:rsidR="00604E51" w:rsidRDefault="00DC6FFD" w:rsidP="00F46163">
      <w:pPr>
        <w:pStyle w:val="ListParagraph"/>
        <w:widowControl/>
        <w:numPr>
          <w:ilvl w:val="1"/>
          <w:numId w:val="1"/>
        </w:numPr>
        <w:spacing w:after="120"/>
      </w:pPr>
      <w:r w:rsidRPr="00D064C0">
        <w:t>The total cost of aflibercept and ranibizumab per patient per year at the maintenance phase is $</w:t>
      </w:r>
      <w:r w:rsidR="005D7DE1">
        <w:rPr>
          <w:noProof/>
          <w:color w:val="000000"/>
          <w:highlight w:val="black"/>
        </w:rPr>
        <w:t>'''''''''''</w:t>
      </w:r>
      <w:r w:rsidR="00515D5A" w:rsidRPr="00D064C0">
        <w:t>. This is</w:t>
      </w:r>
      <w:r w:rsidRPr="00D064C0">
        <w:t xml:space="preserve"> based on the pooled average number of doses per year (6.03) between Week 4</w:t>
      </w:r>
      <w:r w:rsidR="004B166B" w:rsidRPr="00D064C0">
        <w:t>8</w:t>
      </w:r>
      <w:r w:rsidRPr="00D064C0">
        <w:t xml:space="preserve"> and Week 92 in the HAWK and HARRIER trials, and the </w:t>
      </w:r>
      <w:r w:rsidRPr="00D064C0">
        <w:rPr>
          <w:u w:val="single"/>
        </w:rPr>
        <w:t>current</w:t>
      </w:r>
      <w:r w:rsidRPr="00D064C0">
        <w:t xml:space="preserve"> weighted effective prices of aflibercept and ranibizumab ($</w:t>
      </w:r>
      <w:r w:rsidR="005D7DE1">
        <w:rPr>
          <w:noProof/>
          <w:color w:val="000000"/>
          <w:highlight w:val="black"/>
        </w:rPr>
        <w:t>''''''''''''</w:t>
      </w:r>
      <w:r w:rsidRPr="00D064C0">
        <w:t>)</w:t>
      </w:r>
      <w:r w:rsidRPr="00D064C0">
        <w:footnoteReference w:id="3"/>
      </w:r>
      <w:r w:rsidRPr="00D064C0">
        <w:t>. An additional cost associated with administration would also apply ($1,814), resulting in a total cost of $</w:t>
      </w:r>
      <w:r w:rsidR="005D7DE1">
        <w:rPr>
          <w:noProof/>
          <w:color w:val="000000"/>
          <w:highlight w:val="black"/>
        </w:rPr>
        <w:t>''''''''''</w:t>
      </w:r>
      <w:r w:rsidRPr="00D064C0">
        <w:t xml:space="preserve"> per patient per year. </w:t>
      </w:r>
    </w:p>
    <w:p w:rsidR="00B60939" w:rsidRPr="00C9624D" w:rsidRDefault="00B60939" w:rsidP="007A775A">
      <w:pPr>
        <w:pStyle w:val="Heading2"/>
        <w:keepNext/>
        <w:widowControl/>
        <w:spacing w:after="120"/>
      </w:pPr>
      <w:bookmarkStart w:id="17" w:name="_Toc19612026"/>
      <w:r w:rsidRPr="00C9624D">
        <w:lastRenderedPageBreak/>
        <w:t>Estimated PBS usage &amp; financial implications</w:t>
      </w:r>
      <w:bookmarkEnd w:id="17"/>
    </w:p>
    <w:p w:rsidR="00DC6FFD" w:rsidRPr="00B201A4" w:rsidRDefault="00987C6D" w:rsidP="00F46163">
      <w:pPr>
        <w:pStyle w:val="ListParagraph"/>
        <w:widowControl/>
        <w:numPr>
          <w:ilvl w:val="1"/>
          <w:numId w:val="1"/>
        </w:numPr>
        <w:spacing w:after="120"/>
      </w:pPr>
      <w:r>
        <w:t>This submission was not</w:t>
      </w:r>
      <w:r w:rsidR="00DC6FFD">
        <w:t xml:space="preserve"> considered by DUSC</w:t>
      </w:r>
      <w:r w:rsidR="00DC6FFD" w:rsidRPr="00B50DB8">
        <w:rPr>
          <w:color w:val="0070C0"/>
        </w:rPr>
        <w:t>.</w:t>
      </w:r>
      <w:r w:rsidR="00AE03B6">
        <w:t xml:space="preserve"> </w:t>
      </w:r>
      <w:r w:rsidR="00DC6FFD">
        <w:t>The submission used a market-share approach to predict the likely use and financial impact of listing brolucizumab on the PBS.</w:t>
      </w:r>
    </w:p>
    <w:p w:rsidR="00DC6FFD" w:rsidRPr="007D3AB1" w:rsidRDefault="00DC6FFD" w:rsidP="00F46163">
      <w:pPr>
        <w:pStyle w:val="ListParagraph"/>
        <w:widowControl/>
        <w:numPr>
          <w:ilvl w:val="1"/>
          <w:numId w:val="1"/>
        </w:numPr>
        <w:spacing w:after="120"/>
      </w:pPr>
      <w:r w:rsidRPr="00B63C66">
        <w:rPr>
          <w:color w:val="000000" w:themeColor="text1"/>
        </w:rPr>
        <w:t xml:space="preserve">The </w:t>
      </w:r>
      <w:r>
        <w:rPr>
          <w:color w:val="000000" w:themeColor="text1"/>
        </w:rPr>
        <w:t xml:space="preserve">estimated use and financial implications of listing brolucizumab on the PBS </w:t>
      </w:r>
      <w:r w:rsidR="00B46800">
        <w:rPr>
          <w:color w:val="000000" w:themeColor="text1"/>
        </w:rPr>
        <w:t xml:space="preserve">provided in the pre-PBAC response </w:t>
      </w:r>
      <w:r w:rsidR="0093736C">
        <w:rPr>
          <w:color w:val="000000" w:themeColor="text1"/>
        </w:rPr>
        <w:t xml:space="preserve">(using the prices proposed in paragraph </w:t>
      </w:r>
      <w:r w:rsidR="007069DB">
        <w:rPr>
          <w:color w:val="000000" w:themeColor="text1"/>
        </w:rPr>
        <w:t>6.38</w:t>
      </w:r>
      <w:r w:rsidR="0093736C">
        <w:rPr>
          <w:color w:val="000000" w:themeColor="text1"/>
        </w:rPr>
        <w:t xml:space="preserve"> and assuming 1:1 substitution) </w:t>
      </w:r>
      <w:r>
        <w:rPr>
          <w:color w:val="000000" w:themeColor="text1"/>
        </w:rPr>
        <w:t>are summarised below</w:t>
      </w:r>
      <w:r w:rsidR="0073442B">
        <w:rPr>
          <w:color w:val="000000" w:themeColor="text1"/>
        </w:rPr>
        <w:t xml:space="preserve"> (Table 7</w:t>
      </w:r>
      <w:r w:rsidR="008076A0">
        <w:rPr>
          <w:color w:val="000000" w:themeColor="text1"/>
        </w:rPr>
        <w:t>)</w:t>
      </w:r>
      <w:r>
        <w:rPr>
          <w:color w:val="000000" w:themeColor="text1"/>
        </w:rPr>
        <w:t>.</w:t>
      </w:r>
      <w:r w:rsidR="004041A4">
        <w:rPr>
          <w:color w:val="000000" w:themeColor="text1"/>
        </w:rPr>
        <w:t xml:space="preserve"> </w:t>
      </w:r>
    </w:p>
    <w:p w:rsidR="007D3AB1" w:rsidRPr="00B50DB8" w:rsidRDefault="007D3AB1" w:rsidP="00F46163">
      <w:pPr>
        <w:pStyle w:val="ListParagraph"/>
        <w:widowControl/>
        <w:numPr>
          <w:ilvl w:val="1"/>
          <w:numId w:val="1"/>
        </w:numPr>
        <w:spacing w:after="120"/>
      </w:pPr>
      <w:r>
        <w:rPr>
          <w:color w:val="000000" w:themeColor="text1"/>
        </w:rPr>
        <w:t xml:space="preserve">The </w:t>
      </w:r>
      <w:r w:rsidR="00115606">
        <w:rPr>
          <w:color w:val="000000" w:themeColor="text1"/>
        </w:rPr>
        <w:t>estimated net cost to the</w:t>
      </w:r>
      <w:r w:rsidR="00FE6123">
        <w:rPr>
          <w:color w:val="000000" w:themeColor="text1"/>
        </w:rPr>
        <w:t xml:space="preserve"> PBS/RPBS (and</w:t>
      </w:r>
      <w:r w:rsidR="00115606">
        <w:rPr>
          <w:color w:val="000000" w:themeColor="text1"/>
        </w:rPr>
        <w:t xml:space="preserve"> </w:t>
      </w:r>
      <w:r w:rsidR="003C61B6">
        <w:rPr>
          <w:color w:val="000000" w:themeColor="text1"/>
        </w:rPr>
        <w:t>the cost to G</w:t>
      </w:r>
      <w:r w:rsidR="00115606">
        <w:rPr>
          <w:color w:val="000000" w:themeColor="text1"/>
        </w:rPr>
        <w:t>overnment</w:t>
      </w:r>
      <w:r w:rsidR="00FE6123">
        <w:rPr>
          <w:color w:val="000000" w:themeColor="text1"/>
        </w:rPr>
        <w:t>, since the incremental administration cost is zero with 1:1 substitution)</w:t>
      </w:r>
      <w:r w:rsidR="00115606">
        <w:rPr>
          <w:color w:val="000000" w:themeColor="text1"/>
        </w:rPr>
        <w:t xml:space="preserve"> for the first three years</w:t>
      </w:r>
      <w:r w:rsidR="009315D4">
        <w:rPr>
          <w:color w:val="000000" w:themeColor="text1"/>
        </w:rPr>
        <w:t xml:space="preserve"> of proposed listing</w:t>
      </w:r>
      <w:r w:rsidR="00115606">
        <w:rPr>
          <w:color w:val="000000" w:themeColor="text1"/>
        </w:rPr>
        <w:t xml:space="preserve"> is $</w:t>
      </w:r>
      <w:r w:rsidR="005D7DE1">
        <w:rPr>
          <w:noProof/>
          <w:color w:val="000000"/>
          <w:highlight w:val="black"/>
        </w:rPr>
        <w:t>''''''''''''</w:t>
      </w:r>
      <w:r w:rsidR="009F4F07">
        <w:rPr>
          <w:color w:val="000000" w:themeColor="text1"/>
        </w:rPr>
        <w:t>;</w:t>
      </w:r>
      <w:r w:rsidR="00115606">
        <w:rPr>
          <w:color w:val="000000" w:themeColor="text1"/>
        </w:rPr>
        <w:t xml:space="preserve"> </w:t>
      </w:r>
      <w:r w:rsidR="009315D4">
        <w:rPr>
          <w:color w:val="000000" w:themeColor="text1"/>
        </w:rPr>
        <w:t>from year</w:t>
      </w:r>
      <w:r w:rsidR="003E43D5">
        <w:rPr>
          <w:color w:val="000000" w:themeColor="text1"/>
        </w:rPr>
        <w:t>s</w:t>
      </w:r>
      <w:r w:rsidR="009315D4">
        <w:rPr>
          <w:color w:val="000000" w:themeColor="text1"/>
        </w:rPr>
        <w:t xml:space="preserve"> </w:t>
      </w:r>
      <w:r w:rsidR="009F4F07">
        <w:rPr>
          <w:color w:val="000000" w:themeColor="text1"/>
        </w:rPr>
        <w:t>4</w:t>
      </w:r>
      <w:r w:rsidR="009315D4">
        <w:rPr>
          <w:color w:val="000000" w:themeColor="text1"/>
        </w:rPr>
        <w:t xml:space="preserve"> to 6, </w:t>
      </w:r>
      <w:r w:rsidR="009F4F07">
        <w:rPr>
          <w:color w:val="000000" w:themeColor="text1"/>
        </w:rPr>
        <w:t xml:space="preserve">there is </w:t>
      </w:r>
      <w:r w:rsidR="009315D4">
        <w:rPr>
          <w:color w:val="000000" w:themeColor="text1"/>
        </w:rPr>
        <w:t xml:space="preserve">a total saving to the government of </w:t>
      </w:r>
      <w:r w:rsidR="003E43D5">
        <w:rPr>
          <w:color w:val="000000" w:themeColor="text1"/>
        </w:rPr>
        <w:t>$</w:t>
      </w:r>
      <w:r w:rsidR="005D7DE1">
        <w:rPr>
          <w:noProof/>
          <w:color w:val="000000"/>
          <w:highlight w:val="black"/>
        </w:rPr>
        <w:t xml:space="preserve">'''''''''' </w:t>
      </w:r>
      <w:r w:rsidR="009315D4">
        <w:rPr>
          <w:color w:val="000000" w:themeColor="text1"/>
        </w:rPr>
        <w:t xml:space="preserve">based on </w:t>
      </w:r>
      <w:r w:rsidR="009101BE">
        <w:rPr>
          <w:color w:val="000000" w:themeColor="text1"/>
        </w:rPr>
        <w:t xml:space="preserve">a </w:t>
      </w:r>
      <w:r w:rsidR="006802A4">
        <w:rPr>
          <w:color w:val="000000" w:themeColor="text1"/>
        </w:rPr>
        <w:t xml:space="preserve">weighted price of aflibercept and ranibizumab </w:t>
      </w:r>
      <w:r w:rsidR="003E43D5">
        <w:rPr>
          <w:color w:val="000000" w:themeColor="text1"/>
        </w:rPr>
        <w:t>after</w:t>
      </w:r>
      <w:r w:rsidR="006802A4">
        <w:rPr>
          <w:color w:val="000000" w:themeColor="text1"/>
        </w:rPr>
        <w:t xml:space="preserve"> 30 June 2022</w:t>
      </w:r>
      <w:r w:rsidR="003E43D5">
        <w:rPr>
          <w:color w:val="000000" w:themeColor="text1"/>
        </w:rPr>
        <w:t>.</w:t>
      </w:r>
      <w:r w:rsidR="006802A4">
        <w:rPr>
          <w:color w:val="000000" w:themeColor="text1"/>
        </w:rPr>
        <w:t xml:space="preserve"> </w:t>
      </w:r>
      <w:r w:rsidR="00115606">
        <w:rPr>
          <w:color w:val="000000" w:themeColor="text1"/>
        </w:rPr>
        <w:t xml:space="preserve"> </w:t>
      </w:r>
    </w:p>
    <w:p w:rsidR="004C63B1" w:rsidRPr="004C63B1" w:rsidRDefault="004C63B1" w:rsidP="007A775A">
      <w:pPr>
        <w:pStyle w:val="Caption"/>
        <w:keepLines/>
        <w:widowControl/>
        <w:rPr>
          <w:b w:val="0"/>
        </w:rPr>
      </w:pPr>
      <w:r w:rsidRPr="004C63B1">
        <w:lastRenderedPageBreak/>
        <w:t>Table</w:t>
      </w:r>
      <w:r w:rsidR="0073442B">
        <w:t xml:space="preserve"> </w:t>
      </w:r>
      <w:r w:rsidR="0073442B">
        <w:rPr>
          <w:noProof/>
        </w:rPr>
        <w:t>7</w:t>
      </w:r>
      <w:r w:rsidRPr="004C63B1">
        <w:rPr>
          <w:b w:val="0"/>
        </w:rPr>
        <w:t xml:space="preserve">: </w:t>
      </w:r>
      <w:r w:rsidRPr="004C63B1">
        <w:rPr>
          <w:rStyle w:val="CommentReference"/>
          <w:b/>
        </w:rPr>
        <w:t>Estimated use and financial implications</w:t>
      </w:r>
      <w:r w:rsidR="004041A4">
        <w:rPr>
          <w:rStyle w:val="CommentReference"/>
          <w:b/>
        </w:rPr>
        <w:t xml:space="preserve"> provided in pre-PBAC response</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Estimated use and financial implications provided in pre-PBAC response"/>
      </w:tblPr>
      <w:tblGrid>
        <w:gridCol w:w="2000"/>
        <w:gridCol w:w="1156"/>
        <w:gridCol w:w="1157"/>
        <w:gridCol w:w="1157"/>
        <w:gridCol w:w="1157"/>
        <w:gridCol w:w="1157"/>
        <w:gridCol w:w="1155"/>
      </w:tblGrid>
      <w:tr w:rsidR="008E2E12" w:rsidRPr="00D1078F" w:rsidTr="002015BC">
        <w:trPr>
          <w:tblHeader/>
        </w:trPr>
        <w:tc>
          <w:tcPr>
            <w:tcW w:w="1119" w:type="pct"/>
            <w:shd w:val="clear" w:color="auto" w:fill="auto"/>
            <w:vAlign w:val="center"/>
          </w:tcPr>
          <w:p w:rsidR="00DC6FFD" w:rsidRPr="003639A6" w:rsidRDefault="00DC6FFD" w:rsidP="007A775A">
            <w:pPr>
              <w:pStyle w:val="Tabletext"/>
              <w:keepNext/>
              <w:keepLines/>
            </w:pPr>
          </w:p>
        </w:tc>
        <w:tc>
          <w:tcPr>
            <w:tcW w:w="647" w:type="pct"/>
            <w:shd w:val="clear" w:color="auto" w:fill="auto"/>
            <w:vAlign w:val="center"/>
          </w:tcPr>
          <w:p w:rsidR="00DC6FFD" w:rsidRPr="00D1078F" w:rsidRDefault="00DC6FFD" w:rsidP="007A775A">
            <w:pPr>
              <w:pStyle w:val="Tabletext"/>
              <w:keepNext/>
              <w:keepLines/>
              <w:jc w:val="center"/>
              <w:rPr>
                <w:b/>
              </w:rPr>
            </w:pPr>
            <w:r w:rsidRPr="00D1078F">
              <w:rPr>
                <w:b/>
              </w:rPr>
              <w:t>Year 1</w:t>
            </w:r>
          </w:p>
        </w:tc>
        <w:tc>
          <w:tcPr>
            <w:tcW w:w="647" w:type="pct"/>
            <w:shd w:val="clear" w:color="auto" w:fill="auto"/>
            <w:vAlign w:val="center"/>
          </w:tcPr>
          <w:p w:rsidR="00DC6FFD" w:rsidRPr="00D1078F" w:rsidRDefault="00DC6FFD" w:rsidP="007A775A">
            <w:pPr>
              <w:pStyle w:val="Tabletext"/>
              <w:keepNext/>
              <w:keepLines/>
              <w:jc w:val="center"/>
              <w:rPr>
                <w:b/>
              </w:rPr>
            </w:pPr>
            <w:r w:rsidRPr="00D1078F">
              <w:rPr>
                <w:b/>
              </w:rPr>
              <w:t>Year 2</w:t>
            </w:r>
          </w:p>
        </w:tc>
        <w:tc>
          <w:tcPr>
            <w:tcW w:w="647" w:type="pct"/>
            <w:shd w:val="clear" w:color="auto" w:fill="auto"/>
            <w:vAlign w:val="center"/>
          </w:tcPr>
          <w:p w:rsidR="00DC6FFD" w:rsidRPr="00D1078F" w:rsidRDefault="00DC6FFD" w:rsidP="007A775A">
            <w:pPr>
              <w:pStyle w:val="Tabletext"/>
              <w:keepNext/>
              <w:keepLines/>
              <w:jc w:val="center"/>
              <w:rPr>
                <w:b/>
              </w:rPr>
            </w:pPr>
            <w:r w:rsidRPr="00D1078F">
              <w:rPr>
                <w:b/>
              </w:rPr>
              <w:t>Year 3</w:t>
            </w:r>
          </w:p>
        </w:tc>
        <w:tc>
          <w:tcPr>
            <w:tcW w:w="647" w:type="pct"/>
            <w:shd w:val="clear" w:color="auto" w:fill="auto"/>
            <w:vAlign w:val="center"/>
          </w:tcPr>
          <w:p w:rsidR="00DC6FFD" w:rsidRPr="00D1078F" w:rsidRDefault="00DC6FFD" w:rsidP="007A775A">
            <w:pPr>
              <w:pStyle w:val="Tabletext"/>
              <w:keepNext/>
              <w:keepLines/>
              <w:jc w:val="center"/>
              <w:rPr>
                <w:b/>
              </w:rPr>
            </w:pPr>
            <w:r w:rsidRPr="00D1078F">
              <w:rPr>
                <w:b/>
              </w:rPr>
              <w:t>Year 4</w:t>
            </w:r>
          </w:p>
        </w:tc>
        <w:tc>
          <w:tcPr>
            <w:tcW w:w="647" w:type="pct"/>
            <w:shd w:val="clear" w:color="auto" w:fill="auto"/>
            <w:vAlign w:val="center"/>
          </w:tcPr>
          <w:p w:rsidR="00DC6FFD" w:rsidRPr="00D1078F" w:rsidRDefault="00DC6FFD" w:rsidP="007A775A">
            <w:pPr>
              <w:pStyle w:val="Tabletext"/>
              <w:keepNext/>
              <w:keepLines/>
              <w:jc w:val="center"/>
              <w:rPr>
                <w:b/>
              </w:rPr>
            </w:pPr>
            <w:r w:rsidRPr="00D1078F">
              <w:rPr>
                <w:b/>
              </w:rPr>
              <w:t>Year 5</w:t>
            </w:r>
          </w:p>
        </w:tc>
        <w:tc>
          <w:tcPr>
            <w:tcW w:w="646" w:type="pct"/>
          </w:tcPr>
          <w:p w:rsidR="00DC6FFD" w:rsidRPr="00D1078F" w:rsidRDefault="00DC6FFD" w:rsidP="007A775A">
            <w:pPr>
              <w:pStyle w:val="Tabletext"/>
              <w:keepNext/>
              <w:keepLines/>
              <w:jc w:val="center"/>
              <w:rPr>
                <w:b/>
              </w:rPr>
            </w:pPr>
            <w:r w:rsidRPr="00D1078F">
              <w:rPr>
                <w:b/>
              </w:rPr>
              <w:t>Year 6</w:t>
            </w:r>
          </w:p>
        </w:tc>
      </w:tr>
      <w:tr w:rsidR="00DC6FFD" w:rsidRPr="00D1078F" w:rsidTr="002015BC">
        <w:tc>
          <w:tcPr>
            <w:tcW w:w="5000" w:type="pct"/>
            <w:gridSpan w:val="7"/>
            <w:shd w:val="clear" w:color="auto" w:fill="auto"/>
            <w:vAlign w:val="center"/>
          </w:tcPr>
          <w:p w:rsidR="00DC6FFD" w:rsidRPr="00D1078F" w:rsidRDefault="00DC6FFD" w:rsidP="007A775A">
            <w:pPr>
              <w:pStyle w:val="Tabletext"/>
              <w:keepNext/>
              <w:keepLines/>
              <w:rPr>
                <w:b/>
                <w:bCs/>
                <w:color w:val="000000"/>
              </w:rPr>
            </w:pPr>
            <w:r>
              <w:rPr>
                <w:b/>
                <w:bCs/>
                <w:color w:val="000000"/>
              </w:rPr>
              <w:t>Reduction in the use of other medicines</w:t>
            </w:r>
          </w:p>
        </w:tc>
      </w:tr>
      <w:tr w:rsidR="008E2E12" w:rsidRPr="003639A6" w:rsidTr="002015BC">
        <w:tc>
          <w:tcPr>
            <w:tcW w:w="1119" w:type="pct"/>
            <w:shd w:val="clear" w:color="auto" w:fill="auto"/>
            <w:vAlign w:val="center"/>
          </w:tcPr>
          <w:p w:rsidR="00DC6FFD" w:rsidRPr="00A63A11" w:rsidRDefault="004C63B1" w:rsidP="007A775A">
            <w:pPr>
              <w:pStyle w:val="Tabletext"/>
              <w:keepNext/>
              <w:keepLines/>
              <w:rPr>
                <w:rFonts w:ascii="Times" w:hAnsi="Times"/>
              </w:rPr>
            </w:pPr>
            <w:r w:rsidRPr="00A63A11">
              <w:rPr>
                <w:rFonts w:cs="Arial"/>
                <w:szCs w:val="20"/>
              </w:rPr>
              <w:t>Aflibercept, 4 </w:t>
            </w:r>
            <w:r w:rsidR="00DC6FFD" w:rsidRPr="00A63A11">
              <w:rPr>
                <w:rFonts w:cs="Arial"/>
                <w:szCs w:val="20"/>
              </w:rPr>
              <w:t>mg/0.1</w:t>
            </w:r>
            <w:r w:rsidR="00587AFD" w:rsidRPr="00A63A11">
              <w:rPr>
                <w:rFonts w:cs="Arial"/>
                <w:szCs w:val="20"/>
              </w:rPr>
              <w:t> </w:t>
            </w:r>
            <w:r w:rsidR="00DC6FFD" w:rsidRPr="00A63A11">
              <w:rPr>
                <w:rFonts w:cs="Arial"/>
                <w:szCs w:val="20"/>
              </w:rPr>
              <w:t>mL injection (vial)</w:t>
            </w:r>
            <w:r w:rsidR="00DC6FFD" w:rsidRPr="00A63A11">
              <w:rPr>
                <w:vertAlign w:val="superscript"/>
              </w:rPr>
              <w:t xml:space="preserve"> a</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noProof/>
                <w:color w:val="000000"/>
                <w:highlight w:val="black"/>
                <w:lang w:eastAsia="en-AU"/>
              </w:rPr>
              <w:t>''''''''''''''''</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noProof/>
                <w:color w:val="000000"/>
                <w:highlight w:val="black"/>
                <w:lang w:eastAsia="en-AU"/>
              </w:rPr>
              <w:t>'''''''''''''''</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noProof/>
                <w:color w:val="000000"/>
                <w:highlight w:val="black"/>
                <w:lang w:eastAsia="en-AU"/>
              </w:rPr>
              <w:t>''''''''''''''''''</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noProof/>
                <w:color w:val="000000"/>
                <w:highlight w:val="black"/>
                <w:lang w:eastAsia="en-AU"/>
              </w:rPr>
              <w:t>'''''''''''''''''''''</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noProof/>
                <w:color w:val="000000"/>
                <w:highlight w:val="black"/>
                <w:lang w:eastAsia="en-AU"/>
              </w:rPr>
              <w:t>'''''''''''''''''</w:t>
            </w:r>
          </w:p>
        </w:tc>
        <w:tc>
          <w:tcPr>
            <w:tcW w:w="646" w:type="pct"/>
          </w:tcPr>
          <w:p w:rsidR="00DC6FFD" w:rsidRPr="005D7DE1" w:rsidRDefault="005D7DE1" w:rsidP="007A775A">
            <w:pPr>
              <w:pStyle w:val="Tabletext"/>
              <w:keepNext/>
              <w:keepLines/>
              <w:jc w:val="center"/>
              <w:rPr>
                <w:bCs/>
                <w:color w:val="000000"/>
                <w:highlight w:val="black"/>
              </w:rPr>
            </w:pPr>
            <w:r>
              <w:rPr>
                <w:noProof/>
                <w:color w:val="000000"/>
                <w:highlight w:val="black"/>
                <w:lang w:eastAsia="en-AU"/>
              </w:rPr>
              <w:t>''''''''''''''''''''</w:t>
            </w:r>
          </w:p>
        </w:tc>
      </w:tr>
      <w:tr w:rsidR="008E2E12" w:rsidRPr="003639A6" w:rsidTr="002015BC">
        <w:tc>
          <w:tcPr>
            <w:tcW w:w="1119" w:type="pct"/>
            <w:shd w:val="clear" w:color="auto" w:fill="auto"/>
          </w:tcPr>
          <w:p w:rsidR="00DC6FFD" w:rsidRPr="00A63A11" w:rsidRDefault="004C63B1" w:rsidP="007A775A">
            <w:pPr>
              <w:pStyle w:val="Tabletext"/>
              <w:keepNext/>
              <w:keepLines/>
            </w:pPr>
            <w:r w:rsidRPr="00A63A11">
              <w:rPr>
                <w:rFonts w:cs="Arial"/>
                <w:szCs w:val="20"/>
              </w:rPr>
              <w:t>Ranibizumab 1 x 0.165 </w:t>
            </w:r>
            <w:r w:rsidR="00DC6FFD" w:rsidRPr="00A63A11">
              <w:rPr>
                <w:rFonts w:cs="Arial"/>
                <w:szCs w:val="20"/>
              </w:rPr>
              <w:t>mL syringe</w:t>
            </w:r>
            <w:r w:rsidR="00A63A11">
              <w:rPr>
                <w:rFonts w:cs="Arial"/>
                <w:szCs w:val="20"/>
              </w:rPr>
              <w:t xml:space="preserve"> </w:t>
            </w:r>
            <w:r w:rsidR="00DC6FFD" w:rsidRPr="00A63A11">
              <w:rPr>
                <w:vertAlign w:val="superscript"/>
              </w:rPr>
              <w:t>a</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noProof/>
                <w:color w:val="000000"/>
                <w:highlight w:val="black"/>
              </w:rPr>
              <w:t>''''''''''''''''</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noProof/>
                <w:color w:val="000000"/>
                <w:highlight w:val="black"/>
              </w:rPr>
              <w:t>''''''''''''''''</w:t>
            </w:r>
          </w:p>
        </w:tc>
        <w:tc>
          <w:tcPr>
            <w:tcW w:w="646" w:type="pct"/>
          </w:tcPr>
          <w:p w:rsidR="00DC6FFD" w:rsidRPr="005D7DE1" w:rsidRDefault="005D7DE1" w:rsidP="007A775A">
            <w:pPr>
              <w:pStyle w:val="Tabletext"/>
              <w:keepNext/>
              <w:keepLines/>
              <w:jc w:val="center"/>
              <w:rPr>
                <w:bCs/>
                <w:color w:val="000000"/>
                <w:highlight w:val="black"/>
              </w:rPr>
            </w:pPr>
            <w:r>
              <w:rPr>
                <w:noProof/>
                <w:color w:val="000000"/>
                <w:highlight w:val="black"/>
              </w:rPr>
              <w:t>'''''''''''''''''</w:t>
            </w:r>
          </w:p>
        </w:tc>
      </w:tr>
      <w:tr w:rsidR="008E2E12" w:rsidRPr="003639A6" w:rsidTr="002015BC">
        <w:tc>
          <w:tcPr>
            <w:tcW w:w="1119" w:type="pct"/>
            <w:shd w:val="clear" w:color="auto" w:fill="auto"/>
          </w:tcPr>
          <w:p w:rsidR="00DC6FFD" w:rsidRPr="00A63A11" w:rsidRDefault="004C63B1" w:rsidP="007A775A">
            <w:pPr>
              <w:pStyle w:val="Tabletext"/>
              <w:keepNext/>
              <w:keepLines/>
            </w:pPr>
            <w:r w:rsidRPr="00A63A11">
              <w:rPr>
                <w:rFonts w:cs="Arial"/>
                <w:szCs w:val="20"/>
              </w:rPr>
              <w:t>Ranibizumab 1 x 0.23 </w:t>
            </w:r>
            <w:r w:rsidR="00DC6FFD" w:rsidRPr="00A63A11">
              <w:rPr>
                <w:rFonts w:cs="Arial"/>
                <w:szCs w:val="20"/>
              </w:rPr>
              <w:t>mL syringe</w:t>
            </w:r>
            <w:r w:rsidR="0073442B" w:rsidRPr="00A63A11">
              <w:rPr>
                <w:rFonts w:cs="Arial"/>
                <w:szCs w:val="20"/>
              </w:rPr>
              <w:t xml:space="preserve"> </w:t>
            </w:r>
            <w:r w:rsidR="00DC6FFD" w:rsidRPr="00A63A11">
              <w:rPr>
                <w:vertAlign w:val="superscript"/>
              </w:rPr>
              <w:t>a</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noProof/>
                <w:color w:val="000000"/>
                <w:highlight w:val="black"/>
                <w:lang w:eastAsia="en-AU"/>
              </w:rPr>
              <w:t>'''''''''''''</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noProof/>
                <w:color w:val="000000"/>
                <w:highlight w:val="black"/>
                <w:lang w:eastAsia="en-AU"/>
              </w:rPr>
              <w:t>''''''''''''</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noProof/>
                <w:color w:val="000000"/>
                <w:highlight w:val="black"/>
                <w:lang w:eastAsia="en-AU"/>
              </w:rPr>
              <w:t>'''''''''</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noProof/>
                <w:color w:val="000000"/>
                <w:highlight w:val="black"/>
                <w:lang w:eastAsia="en-AU"/>
              </w:rPr>
              <w:t>'''''''''</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noProof/>
                <w:color w:val="000000"/>
                <w:highlight w:val="black"/>
                <w:lang w:eastAsia="en-AU"/>
              </w:rPr>
              <w:t>''''''''''</w:t>
            </w:r>
          </w:p>
        </w:tc>
        <w:tc>
          <w:tcPr>
            <w:tcW w:w="646" w:type="pct"/>
          </w:tcPr>
          <w:p w:rsidR="00DC6FFD" w:rsidRPr="005D7DE1" w:rsidRDefault="005D7DE1" w:rsidP="007A775A">
            <w:pPr>
              <w:pStyle w:val="Tabletext"/>
              <w:keepNext/>
              <w:keepLines/>
              <w:jc w:val="center"/>
              <w:rPr>
                <w:bCs/>
                <w:color w:val="000000"/>
                <w:highlight w:val="black"/>
              </w:rPr>
            </w:pPr>
            <w:r>
              <w:rPr>
                <w:noProof/>
                <w:color w:val="000000"/>
                <w:highlight w:val="black"/>
                <w:lang w:eastAsia="en-AU"/>
              </w:rPr>
              <w:t>''''''''''</w:t>
            </w:r>
          </w:p>
        </w:tc>
      </w:tr>
      <w:tr w:rsidR="008E2E12" w:rsidRPr="003639A6" w:rsidTr="002015BC">
        <w:tc>
          <w:tcPr>
            <w:tcW w:w="1119" w:type="pct"/>
            <w:shd w:val="clear" w:color="auto" w:fill="auto"/>
            <w:vAlign w:val="center"/>
          </w:tcPr>
          <w:p w:rsidR="00DC6FFD" w:rsidRPr="00A63A11" w:rsidRDefault="00DC6FFD" w:rsidP="007A775A">
            <w:pPr>
              <w:pStyle w:val="Tabletext"/>
              <w:keepNext/>
              <w:keepLines/>
            </w:pPr>
            <w:r w:rsidRPr="00A63A11">
              <w:t>Total number of scripts that will be replaced</w:t>
            </w:r>
            <w:r w:rsidR="0073442B" w:rsidRPr="00A63A11">
              <w:t xml:space="preserve"> </w:t>
            </w:r>
            <w:r w:rsidRPr="00A63A11">
              <w:rPr>
                <w:vertAlign w:val="superscript"/>
              </w:rPr>
              <w:t>a</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rFonts w:cstheme="minorBidi"/>
                <w:noProof/>
                <w:color w:val="000000"/>
                <w:highlight w:val="black"/>
                <w:lang w:eastAsia="en-AU"/>
              </w:rPr>
              <w:t xml:space="preserve">'''''''''''''''''' </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rFonts w:cstheme="minorBidi"/>
                <w:noProof/>
                <w:color w:val="000000"/>
                <w:highlight w:val="black"/>
                <w:lang w:eastAsia="en-AU"/>
              </w:rPr>
              <w:t xml:space="preserve">'''''''''''''''''' </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rFonts w:cstheme="minorBidi"/>
                <w:noProof/>
                <w:color w:val="000000"/>
                <w:highlight w:val="black"/>
                <w:lang w:eastAsia="en-AU"/>
              </w:rPr>
              <w:t xml:space="preserve">'''''''''''''''''' </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rFonts w:cstheme="minorBidi"/>
                <w:noProof/>
                <w:color w:val="000000"/>
                <w:highlight w:val="black"/>
                <w:lang w:eastAsia="en-AU"/>
              </w:rPr>
              <w:t xml:space="preserve">'''''''''''''''''''''' </w:t>
            </w:r>
          </w:p>
        </w:tc>
        <w:tc>
          <w:tcPr>
            <w:tcW w:w="647" w:type="pct"/>
            <w:shd w:val="clear" w:color="auto" w:fill="auto"/>
          </w:tcPr>
          <w:p w:rsidR="00DC6FFD" w:rsidRPr="005D7DE1" w:rsidRDefault="005D7DE1" w:rsidP="007A775A">
            <w:pPr>
              <w:pStyle w:val="Tabletext"/>
              <w:keepNext/>
              <w:keepLines/>
              <w:jc w:val="center"/>
              <w:rPr>
                <w:bCs/>
                <w:color w:val="000000"/>
                <w:highlight w:val="black"/>
              </w:rPr>
            </w:pPr>
            <w:r>
              <w:rPr>
                <w:rFonts w:cstheme="minorBidi"/>
                <w:noProof/>
                <w:color w:val="000000"/>
                <w:highlight w:val="black"/>
                <w:lang w:eastAsia="en-AU"/>
              </w:rPr>
              <w:t xml:space="preserve">'''''''''''''''''' </w:t>
            </w:r>
          </w:p>
        </w:tc>
        <w:tc>
          <w:tcPr>
            <w:tcW w:w="646" w:type="pct"/>
          </w:tcPr>
          <w:p w:rsidR="00DC6FFD" w:rsidRPr="005D7DE1" w:rsidRDefault="005D7DE1" w:rsidP="007A775A">
            <w:pPr>
              <w:pStyle w:val="Tabletext"/>
              <w:keepNext/>
              <w:keepLines/>
              <w:jc w:val="center"/>
              <w:rPr>
                <w:bCs/>
                <w:color w:val="000000"/>
                <w:highlight w:val="black"/>
              </w:rPr>
            </w:pPr>
            <w:r>
              <w:rPr>
                <w:rFonts w:cstheme="minorBidi"/>
                <w:noProof/>
                <w:color w:val="000000"/>
                <w:highlight w:val="black"/>
                <w:lang w:eastAsia="en-AU"/>
              </w:rPr>
              <w:t xml:space="preserve">''''''''''''''''''' </w:t>
            </w:r>
          </w:p>
        </w:tc>
      </w:tr>
      <w:tr w:rsidR="00DC6FFD" w:rsidRPr="003639A6" w:rsidTr="002015BC">
        <w:tc>
          <w:tcPr>
            <w:tcW w:w="5000" w:type="pct"/>
            <w:gridSpan w:val="7"/>
            <w:shd w:val="clear" w:color="auto" w:fill="auto"/>
            <w:vAlign w:val="center"/>
          </w:tcPr>
          <w:p w:rsidR="00DC6FFD" w:rsidRPr="00A63A11" w:rsidRDefault="00DC6FFD" w:rsidP="007A775A">
            <w:pPr>
              <w:pStyle w:val="Tabletext"/>
              <w:keepNext/>
              <w:keepLines/>
              <w:rPr>
                <w:b/>
                <w:bCs/>
                <w:color w:val="000000"/>
              </w:rPr>
            </w:pPr>
            <w:r w:rsidRPr="00A63A11">
              <w:rPr>
                <w:b/>
              </w:rPr>
              <w:t>Scripts of brolucizumab dispensed</w:t>
            </w:r>
          </w:p>
        </w:tc>
      </w:tr>
      <w:tr w:rsidR="008E2E12" w:rsidRPr="003639A6" w:rsidTr="000B3505">
        <w:tc>
          <w:tcPr>
            <w:tcW w:w="1119" w:type="pct"/>
            <w:shd w:val="clear" w:color="auto" w:fill="auto"/>
            <w:vAlign w:val="center"/>
          </w:tcPr>
          <w:p w:rsidR="008E2E12" w:rsidRPr="00A63A11" w:rsidRDefault="008E2E12" w:rsidP="007A775A">
            <w:pPr>
              <w:pStyle w:val="Tabletext"/>
              <w:keepNext/>
              <w:keepLines/>
            </w:pPr>
            <w:r w:rsidRPr="00A63A11">
              <w:t>Number of brolucizumab scripts dispensed</w:t>
            </w:r>
          </w:p>
        </w:tc>
        <w:tc>
          <w:tcPr>
            <w:tcW w:w="647" w:type="pct"/>
            <w:shd w:val="clear" w:color="auto" w:fill="auto"/>
          </w:tcPr>
          <w:p w:rsidR="008E2E12" w:rsidRPr="005D7DE1" w:rsidRDefault="008872C1" w:rsidP="007A775A">
            <w:pPr>
              <w:pStyle w:val="Tabletext"/>
              <w:keepNext/>
              <w:keepLines/>
              <w:jc w:val="center"/>
              <w:rPr>
                <w:rFonts w:cstheme="minorBidi"/>
                <w:highlight w:val="black"/>
                <w:lang w:eastAsia="en-AU"/>
              </w:rPr>
            </w:pPr>
            <w:r>
              <w:rPr>
                <w:rFonts w:cstheme="minorBidi"/>
                <w:noProof/>
                <w:color w:val="000000"/>
                <w:highlight w:val="black"/>
                <w:lang w:eastAsia="en-AU"/>
              </w:rPr>
              <w:t>''''''''''''''''</w:t>
            </w:r>
            <w:bookmarkStart w:id="18" w:name="_GoBack"/>
            <w:bookmarkEnd w:id="18"/>
          </w:p>
          <w:p w:rsidR="008E2E12" w:rsidRPr="005D7DE1" w:rsidRDefault="008E2E12" w:rsidP="007A775A">
            <w:pPr>
              <w:pStyle w:val="Tabletext"/>
              <w:keepNext/>
              <w:keepLines/>
              <w:jc w:val="center"/>
              <w:rPr>
                <w:bCs/>
                <w:color w:val="000000"/>
              </w:rPr>
            </w:pPr>
          </w:p>
        </w:tc>
        <w:tc>
          <w:tcPr>
            <w:tcW w:w="647" w:type="pct"/>
            <w:shd w:val="clear" w:color="auto" w:fill="auto"/>
          </w:tcPr>
          <w:p w:rsidR="008E2E12" w:rsidRPr="005D7DE1" w:rsidRDefault="005D7DE1" w:rsidP="007A775A">
            <w:pPr>
              <w:pStyle w:val="Tabletext"/>
              <w:keepNext/>
              <w:keepLines/>
              <w:jc w:val="center"/>
              <w:rPr>
                <w:bCs/>
                <w:color w:val="000000"/>
                <w:highlight w:val="black"/>
              </w:rPr>
            </w:pPr>
            <w:r>
              <w:rPr>
                <w:rFonts w:cstheme="minorBidi"/>
                <w:noProof/>
                <w:color w:val="000000"/>
                <w:highlight w:val="black"/>
                <w:lang w:eastAsia="en-AU"/>
              </w:rPr>
              <w:t xml:space="preserve">''''''''''''''''''''' </w:t>
            </w:r>
          </w:p>
        </w:tc>
        <w:tc>
          <w:tcPr>
            <w:tcW w:w="647" w:type="pct"/>
            <w:shd w:val="clear" w:color="auto" w:fill="auto"/>
          </w:tcPr>
          <w:p w:rsidR="008E2E12" w:rsidRPr="005D7DE1" w:rsidRDefault="005D7DE1" w:rsidP="007A775A">
            <w:pPr>
              <w:pStyle w:val="Tabletext"/>
              <w:keepNext/>
              <w:keepLines/>
              <w:jc w:val="center"/>
              <w:rPr>
                <w:bCs/>
                <w:color w:val="000000"/>
                <w:highlight w:val="black"/>
              </w:rPr>
            </w:pPr>
            <w:r>
              <w:rPr>
                <w:rFonts w:cstheme="minorBidi"/>
                <w:noProof/>
                <w:color w:val="000000"/>
                <w:highlight w:val="black"/>
                <w:lang w:eastAsia="en-AU"/>
              </w:rPr>
              <w:t xml:space="preserve">'''''''''''''''''''' </w:t>
            </w:r>
          </w:p>
        </w:tc>
        <w:tc>
          <w:tcPr>
            <w:tcW w:w="647" w:type="pct"/>
            <w:shd w:val="clear" w:color="auto" w:fill="auto"/>
          </w:tcPr>
          <w:p w:rsidR="008E2E12" w:rsidRPr="005D7DE1" w:rsidRDefault="005D7DE1" w:rsidP="007A775A">
            <w:pPr>
              <w:pStyle w:val="Tabletext"/>
              <w:keepNext/>
              <w:keepLines/>
              <w:jc w:val="center"/>
              <w:rPr>
                <w:bCs/>
                <w:color w:val="000000"/>
                <w:highlight w:val="black"/>
              </w:rPr>
            </w:pPr>
            <w:r>
              <w:rPr>
                <w:rFonts w:cstheme="minorBidi"/>
                <w:noProof/>
                <w:color w:val="000000"/>
                <w:highlight w:val="black"/>
                <w:lang w:eastAsia="en-AU"/>
              </w:rPr>
              <w:t xml:space="preserve">''''''''''''''''' </w:t>
            </w:r>
          </w:p>
        </w:tc>
        <w:tc>
          <w:tcPr>
            <w:tcW w:w="647" w:type="pct"/>
            <w:shd w:val="clear" w:color="auto" w:fill="auto"/>
          </w:tcPr>
          <w:p w:rsidR="008E2E12" w:rsidRPr="005D7DE1" w:rsidRDefault="005D7DE1" w:rsidP="007A775A">
            <w:pPr>
              <w:pStyle w:val="Tabletext"/>
              <w:keepNext/>
              <w:keepLines/>
              <w:jc w:val="center"/>
              <w:rPr>
                <w:bCs/>
                <w:color w:val="000000"/>
                <w:highlight w:val="black"/>
              </w:rPr>
            </w:pPr>
            <w:r>
              <w:rPr>
                <w:rFonts w:cstheme="minorBidi"/>
                <w:noProof/>
                <w:color w:val="000000"/>
                <w:highlight w:val="black"/>
                <w:lang w:eastAsia="en-AU"/>
              </w:rPr>
              <w:t xml:space="preserve">''''''''''''''''''''' </w:t>
            </w:r>
          </w:p>
        </w:tc>
        <w:tc>
          <w:tcPr>
            <w:tcW w:w="646" w:type="pct"/>
          </w:tcPr>
          <w:p w:rsidR="008E2E12" w:rsidRPr="005D7DE1" w:rsidRDefault="005D7DE1" w:rsidP="007A775A">
            <w:pPr>
              <w:pStyle w:val="Tabletext"/>
              <w:keepNext/>
              <w:keepLines/>
              <w:jc w:val="center"/>
              <w:rPr>
                <w:bCs/>
                <w:color w:val="000000"/>
                <w:highlight w:val="black"/>
              </w:rPr>
            </w:pPr>
            <w:r>
              <w:rPr>
                <w:rFonts w:cstheme="minorBidi"/>
                <w:noProof/>
                <w:color w:val="000000"/>
                <w:highlight w:val="black"/>
                <w:lang w:eastAsia="en-AU"/>
              </w:rPr>
              <w:t xml:space="preserve">'''''''''''''''''' </w:t>
            </w:r>
          </w:p>
        </w:tc>
      </w:tr>
      <w:tr w:rsidR="00647CD5" w:rsidRPr="00D1078F" w:rsidTr="002015BC">
        <w:tc>
          <w:tcPr>
            <w:tcW w:w="5000" w:type="pct"/>
            <w:gridSpan w:val="7"/>
            <w:shd w:val="clear" w:color="auto" w:fill="auto"/>
            <w:vAlign w:val="center"/>
          </w:tcPr>
          <w:p w:rsidR="00647CD5" w:rsidRPr="00A63A11" w:rsidRDefault="00647CD5" w:rsidP="007A775A">
            <w:pPr>
              <w:pStyle w:val="Tabletext"/>
              <w:keepNext/>
              <w:keepLines/>
              <w:rPr>
                <w:b/>
                <w:bCs/>
                <w:color w:val="000000"/>
              </w:rPr>
            </w:pPr>
            <w:r w:rsidRPr="00A63A11">
              <w:rPr>
                <w:b/>
                <w:bCs/>
                <w:color w:val="000000"/>
              </w:rPr>
              <w:t>Estimated financial implications of brolucizumab</w:t>
            </w:r>
          </w:p>
        </w:tc>
      </w:tr>
      <w:tr w:rsidR="008E2E12" w:rsidRPr="003639A6" w:rsidTr="002015BC">
        <w:tc>
          <w:tcPr>
            <w:tcW w:w="1119" w:type="pct"/>
            <w:shd w:val="clear" w:color="auto" w:fill="auto"/>
            <w:vAlign w:val="center"/>
          </w:tcPr>
          <w:p w:rsidR="00647CD5" w:rsidRPr="00A63A11" w:rsidRDefault="00647CD5" w:rsidP="007A775A">
            <w:pPr>
              <w:pStyle w:val="Tabletext"/>
              <w:keepNext/>
              <w:keepLines/>
              <w:rPr>
                <w:sz w:val="19"/>
                <w:szCs w:val="19"/>
              </w:rPr>
            </w:pPr>
            <w:r w:rsidRPr="00A63A11">
              <w:rPr>
                <w:sz w:val="19"/>
                <w:szCs w:val="19"/>
              </w:rPr>
              <w:t>DPMQ (effective)</w:t>
            </w:r>
          </w:p>
        </w:tc>
        <w:tc>
          <w:tcPr>
            <w:tcW w:w="1294" w:type="pct"/>
            <w:gridSpan w:val="2"/>
            <w:shd w:val="clear" w:color="auto" w:fill="auto"/>
          </w:tcPr>
          <w:p w:rsidR="00647CD5" w:rsidRPr="00A63A11" w:rsidRDefault="00D95D82" w:rsidP="007A775A">
            <w:pPr>
              <w:pStyle w:val="Tabletext"/>
              <w:keepNext/>
              <w:keepLines/>
              <w:jc w:val="center"/>
              <w:rPr>
                <w:rFonts w:cstheme="minorBidi"/>
                <w:lang w:eastAsia="en-AU"/>
              </w:rPr>
            </w:pPr>
            <w:r w:rsidRPr="00A63A11">
              <w:rPr>
                <w:lang w:eastAsia="en-AU"/>
              </w:rPr>
              <w:t>$</w:t>
            </w:r>
            <w:r w:rsidR="005D7DE1">
              <w:rPr>
                <w:noProof/>
                <w:color w:val="000000"/>
                <w:highlight w:val="black"/>
                <w:lang w:eastAsia="en-AU"/>
              </w:rPr>
              <w:t>'''''''''''''''</w:t>
            </w:r>
            <w:r w:rsidRPr="00A63A11">
              <w:rPr>
                <w:lang w:eastAsia="en-AU"/>
              </w:rPr>
              <w:t xml:space="preserve"> </w:t>
            </w:r>
            <w:r w:rsidR="0073442B" w:rsidRPr="00A63A11">
              <w:rPr>
                <w:vertAlign w:val="superscript"/>
                <w:lang w:eastAsia="en-AU"/>
              </w:rPr>
              <w:t>b</w:t>
            </w:r>
          </w:p>
        </w:tc>
        <w:tc>
          <w:tcPr>
            <w:tcW w:w="647" w:type="pct"/>
            <w:shd w:val="clear" w:color="auto" w:fill="auto"/>
          </w:tcPr>
          <w:p w:rsidR="00647CD5" w:rsidRPr="00A63A11" w:rsidRDefault="00D95D82" w:rsidP="007A775A">
            <w:pPr>
              <w:pStyle w:val="Tabletext"/>
              <w:keepNext/>
              <w:keepLines/>
              <w:jc w:val="center"/>
              <w:rPr>
                <w:rFonts w:cstheme="minorBidi"/>
                <w:lang w:eastAsia="en-AU"/>
              </w:rPr>
            </w:pPr>
            <w:r w:rsidRPr="00A63A11" w:rsidDel="00D95D82">
              <w:rPr>
                <w:lang w:eastAsia="en-AU"/>
              </w:rPr>
              <w:t xml:space="preserve"> </w:t>
            </w:r>
            <w:r w:rsidR="0073442B" w:rsidRPr="00A63A11">
              <w:rPr>
                <w:lang w:eastAsia="en-AU"/>
              </w:rPr>
              <w:t>$</w:t>
            </w:r>
            <w:r w:rsidR="005D7DE1">
              <w:rPr>
                <w:noProof/>
                <w:color w:val="000000"/>
                <w:highlight w:val="black"/>
                <w:lang w:eastAsia="en-AU"/>
              </w:rPr>
              <w:t>'''''''''''''''</w:t>
            </w:r>
            <w:r w:rsidR="0073442B" w:rsidRPr="00A63A11">
              <w:rPr>
                <w:lang w:eastAsia="en-AU"/>
              </w:rPr>
              <w:t xml:space="preserve"> </w:t>
            </w:r>
            <w:r w:rsidR="0073442B" w:rsidRPr="00A63A11">
              <w:rPr>
                <w:vertAlign w:val="superscript"/>
                <w:lang w:eastAsia="en-AU"/>
              </w:rPr>
              <w:t>c</w:t>
            </w:r>
          </w:p>
        </w:tc>
        <w:tc>
          <w:tcPr>
            <w:tcW w:w="1940" w:type="pct"/>
            <w:gridSpan w:val="3"/>
            <w:shd w:val="clear" w:color="auto" w:fill="auto"/>
          </w:tcPr>
          <w:p w:rsidR="00647CD5" w:rsidRPr="00A63A11" w:rsidRDefault="00AB2C2B" w:rsidP="007A775A">
            <w:pPr>
              <w:pStyle w:val="Tabletext"/>
              <w:keepNext/>
              <w:keepLines/>
              <w:jc w:val="center"/>
              <w:rPr>
                <w:rFonts w:cstheme="minorBidi"/>
                <w:lang w:eastAsia="en-AU"/>
              </w:rPr>
            </w:pPr>
            <w:r w:rsidRPr="00A63A11">
              <w:rPr>
                <w:lang w:eastAsia="en-AU"/>
              </w:rPr>
              <w:t>$</w:t>
            </w:r>
            <w:r w:rsidR="005D7DE1">
              <w:rPr>
                <w:noProof/>
                <w:color w:val="000000"/>
                <w:highlight w:val="black"/>
                <w:lang w:eastAsia="en-AU"/>
              </w:rPr>
              <w:t>'''''''''''''''</w:t>
            </w:r>
            <w:r w:rsidR="0073442B" w:rsidRPr="00A63A11">
              <w:rPr>
                <w:lang w:eastAsia="en-AU"/>
              </w:rPr>
              <w:t xml:space="preserve"> </w:t>
            </w:r>
            <w:r w:rsidR="0073442B" w:rsidRPr="00A63A11">
              <w:rPr>
                <w:vertAlign w:val="superscript"/>
                <w:lang w:eastAsia="en-AU"/>
              </w:rPr>
              <w:t>d</w:t>
            </w:r>
            <w:r w:rsidRPr="00A63A11">
              <w:rPr>
                <w:lang w:eastAsia="en-AU"/>
              </w:rPr>
              <w:t xml:space="preserve">  </w:t>
            </w:r>
          </w:p>
        </w:tc>
      </w:tr>
      <w:tr w:rsidR="008E2E12" w:rsidRPr="003639A6" w:rsidTr="002015BC">
        <w:tc>
          <w:tcPr>
            <w:tcW w:w="1119" w:type="pct"/>
            <w:shd w:val="clear" w:color="auto" w:fill="auto"/>
            <w:vAlign w:val="center"/>
          </w:tcPr>
          <w:p w:rsidR="00647CD5" w:rsidRDefault="00647CD5" w:rsidP="007A775A">
            <w:pPr>
              <w:pStyle w:val="Tabletext"/>
              <w:keepNext/>
              <w:keepLines/>
              <w:rPr>
                <w:sz w:val="19"/>
                <w:szCs w:val="19"/>
              </w:rPr>
            </w:pPr>
            <w:r>
              <w:rPr>
                <w:sz w:val="19"/>
                <w:szCs w:val="19"/>
              </w:rPr>
              <w:t>Cost to PBS/RPBS less copayments</w:t>
            </w:r>
          </w:p>
        </w:tc>
        <w:tc>
          <w:tcPr>
            <w:tcW w:w="647" w:type="pct"/>
            <w:shd w:val="clear" w:color="auto" w:fill="auto"/>
            <w:vAlign w:val="center"/>
          </w:tcPr>
          <w:p w:rsidR="00647CD5" w:rsidRPr="003639A6" w:rsidRDefault="008E2E12" w:rsidP="007A775A">
            <w:pPr>
              <w:pStyle w:val="Tabletext"/>
              <w:keepNext/>
              <w:keepLines/>
              <w:jc w:val="center"/>
              <w:rPr>
                <w:bCs/>
                <w:color w:val="000000"/>
              </w:rPr>
            </w:pPr>
            <w:r>
              <w:rPr>
                <w:rFonts w:cstheme="minorBidi"/>
                <w:lang w:eastAsia="en-AU"/>
              </w:rPr>
              <w:t>$</w:t>
            </w:r>
            <w:r w:rsidR="005D7DE1">
              <w:rPr>
                <w:rFonts w:cstheme="minorBidi"/>
                <w:noProof/>
                <w:color w:val="000000"/>
                <w:highlight w:val="black"/>
                <w:lang w:eastAsia="en-AU"/>
              </w:rPr>
              <w:t>'''''''''''''''''''''''''''''</w:t>
            </w:r>
            <w:r>
              <w:rPr>
                <w:rFonts w:cstheme="minorBidi"/>
                <w:lang w:eastAsia="en-AU"/>
              </w:rPr>
              <w:t xml:space="preserve"> </w:t>
            </w:r>
          </w:p>
        </w:tc>
        <w:tc>
          <w:tcPr>
            <w:tcW w:w="647" w:type="pct"/>
            <w:shd w:val="clear" w:color="auto" w:fill="auto"/>
            <w:vAlign w:val="center"/>
          </w:tcPr>
          <w:p w:rsidR="00647CD5" w:rsidRPr="003639A6" w:rsidRDefault="008E2E12" w:rsidP="007A775A">
            <w:pPr>
              <w:pStyle w:val="Tabletext"/>
              <w:keepNext/>
              <w:keepLines/>
              <w:jc w:val="center"/>
              <w:rPr>
                <w:bCs/>
                <w:color w:val="000000"/>
              </w:rPr>
            </w:pPr>
            <w:r>
              <w:rPr>
                <w:rFonts w:cstheme="minorBidi"/>
                <w:lang w:eastAsia="en-AU"/>
              </w:rPr>
              <w:t>$</w:t>
            </w:r>
            <w:r w:rsidR="005D7DE1">
              <w:rPr>
                <w:rFonts w:cstheme="minorBidi"/>
                <w:noProof/>
                <w:color w:val="000000"/>
                <w:highlight w:val="black"/>
                <w:lang w:eastAsia="en-AU"/>
              </w:rPr>
              <w:t>''''''''''''''''''''''''</w:t>
            </w:r>
            <w:r>
              <w:rPr>
                <w:rFonts w:cstheme="minorBidi"/>
                <w:lang w:eastAsia="en-AU"/>
              </w:rPr>
              <w:t xml:space="preserve"> </w:t>
            </w:r>
          </w:p>
        </w:tc>
        <w:tc>
          <w:tcPr>
            <w:tcW w:w="647" w:type="pct"/>
            <w:shd w:val="clear" w:color="auto" w:fill="auto"/>
            <w:vAlign w:val="center"/>
          </w:tcPr>
          <w:p w:rsidR="00647CD5" w:rsidRPr="003639A6" w:rsidRDefault="008E2E12" w:rsidP="007A775A">
            <w:pPr>
              <w:pStyle w:val="Tabletext"/>
              <w:keepNext/>
              <w:keepLines/>
              <w:jc w:val="center"/>
              <w:rPr>
                <w:bCs/>
                <w:color w:val="000000"/>
              </w:rPr>
            </w:pPr>
            <w:r>
              <w:rPr>
                <w:rFonts w:cstheme="minorBidi"/>
                <w:lang w:eastAsia="en-AU"/>
              </w:rPr>
              <w:t>$</w:t>
            </w:r>
            <w:r w:rsidR="005D7DE1">
              <w:rPr>
                <w:rFonts w:cstheme="minorBidi"/>
                <w:noProof/>
                <w:color w:val="000000"/>
                <w:highlight w:val="black"/>
                <w:lang w:eastAsia="en-AU"/>
              </w:rPr>
              <w:t>'''''''''''''''''''''''''''''</w:t>
            </w:r>
            <w:r>
              <w:rPr>
                <w:rFonts w:cstheme="minorBidi"/>
                <w:lang w:eastAsia="en-AU"/>
              </w:rPr>
              <w:t xml:space="preserve"> </w:t>
            </w:r>
          </w:p>
        </w:tc>
        <w:tc>
          <w:tcPr>
            <w:tcW w:w="647" w:type="pct"/>
            <w:shd w:val="clear" w:color="auto" w:fill="auto"/>
            <w:vAlign w:val="center"/>
          </w:tcPr>
          <w:p w:rsidR="00647CD5" w:rsidRPr="003639A6" w:rsidRDefault="008E2E12" w:rsidP="007A775A">
            <w:pPr>
              <w:pStyle w:val="Tabletext"/>
              <w:keepNext/>
              <w:keepLines/>
              <w:jc w:val="center"/>
              <w:rPr>
                <w:bCs/>
                <w:color w:val="000000"/>
              </w:rPr>
            </w:pPr>
            <w:r>
              <w:rPr>
                <w:rFonts w:cstheme="minorBidi"/>
                <w:lang w:eastAsia="en-AU"/>
              </w:rPr>
              <w:t>$</w:t>
            </w:r>
            <w:r w:rsidR="005D7DE1">
              <w:rPr>
                <w:rFonts w:cstheme="minorBidi"/>
                <w:noProof/>
                <w:color w:val="000000"/>
                <w:highlight w:val="black"/>
                <w:lang w:eastAsia="en-AU"/>
              </w:rPr>
              <w:t>''''''''''''''''''''''''''''</w:t>
            </w:r>
            <w:r>
              <w:rPr>
                <w:rFonts w:cstheme="minorBidi"/>
                <w:lang w:eastAsia="en-AU"/>
              </w:rPr>
              <w:t xml:space="preserve"> </w:t>
            </w:r>
          </w:p>
        </w:tc>
        <w:tc>
          <w:tcPr>
            <w:tcW w:w="647" w:type="pct"/>
            <w:shd w:val="clear" w:color="auto" w:fill="auto"/>
            <w:vAlign w:val="center"/>
          </w:tcPr>
          <w:p w:rsidR="00647CD5" w:rsidRPr="003639A6" w:rsidRDefault="008E2E12" w:rsidP="007A775A">
            <w:pPr>
              <w:pStyle w:val="Tabletext"/>
              <w:keepNext/>
              <w:keepLines/>
              <w:jc w:val="center"/>
              <w:rPr>
                <w:bCs/>
                <w:color w:val="000000"/>
              </w:rPr>
            </w:pPr>
            <w:r>
              <w:rPr>
                <w:rFonts w:cstheme="minorBidi"/>
                <w:lang w:eastAsia="en-AU"/>
              </w:rPr>
              <w:t>$</w:t>
            </w:r>
            <w:r w:rsidR="005D7DE1">
              <w:rPr>
                <w:rFonts w:cstheme="minorBidi"/>
                <w:noProof/>
                <w:color w:val="000000"/>
                <w:highlight w:val="black"/>
                <w:lang w:eastAsia="en-AU"/>
              </w:rPr>
              <w:t>'''''''''''''''''''''''''''</w:t>
            </w:r>
            <w:r>
              <w:rPr>
                <w:rFonts w:cstheme="minorBidi"/>
                <w:lang w:eastAsia="en-AU"/>
              </w:rPr>
              <w:t xml:space="preserve"> </w:t>
            </w:r>
          </w:p>
        </w:tc>
        <w:tc>
          <w:tcPr>
            <w:tcW w:w="646" w:type="pct"/>
            <w:vAlign w:val="center"/>
          </w:tcPr>
          <w:p w:rsidR="00647CD5" w:rsidRPr="003639A6" w:rsidRDefault="008E2E12" w:rsidP="007A775A">
            <w:pPr>
              <w:pStyle w:val="Tabletext"/>
              <w:keepNext/>
              <w:keepLines/>
              <w:jc w:val="center"/>
              <w:rPr>
                <w:bCs/>
                <w:color w:val="000000"/>
              </w:rPr>
            </w:pPr>
            <w:r>
              <w:rPr>
                <w:rFonts w:cstheme="minorBidi"/>
                <w:lang w:eastAsia="en-AU"/>
              </w:rPr>
              <w:t>$</w:t>
            </w:r>
            <w:r w:rsidR="005D7DE1">
              <w:rPr>
                <w:rFonts w:cstheme="minorBidi"/>
                <w:noProof/>
                <w:color w:val="000000"/>
                <w:highlight w:val="black"/>
                <w:lang w:eastAsia="en-AU"/>
              </w:rPr>
              <w:t>'''''''''''''''''''''''''''''</w:t>
            </w:r>
            <w:r>
              <w:rPr>
                <w:rFonts w:cstheme="minorBidi"/>
                <w:lang w:eastAsia="en-AU"/>
              </w:rPr>
              <w:t xml:space="preserve"> </w:t>
            </w:r>
          </w:p>
        </w:tc>
      </w:tr>
      <w:tr w:rsidR="00647CD5" w:rsidRPr="003639A6" w:rsidTr="002015BC">
        <w:tc>
          <w:tcPr>
            <w:tcW w:w="5000" w:type="pct"/>
            <w:gridSpan w:val="7"/>
            <w:shd w:val="clear" w:color="auto" w:fill="auto"/>
            <w:vAlign w:val="center"/>
          </w:tcPr>
          <w:p w:rsidR="00647CD5" w:rsidRPr="003639A6" w:rsidRDefault="00647CD5" w:rsidP="007A775A">
            <w:pPr>
              <w:pStyle w:val="Tabletext"/>
              <w:keepNext/>
              <w:keepLines/>
              <w:rPr>
                <w:bCs/>
                <w:color w:val="000000"/>
              </w:rPr>
            </w:pPr>
            <w:r w:rsidRPr="00D1078F">
              <w:rPr>
                <w:b/>
                <w:bCs/>
                <w:color w:val="000000"/>
              </w:rPr>
              <w:t xml:space="preserve">Estimated </w:t>
            </w:r>
            <w:r>
              <w:rPr>
                <w:b/>
                <w:bCs/>
                <w:color w:val="000000"/>
              </w:rPr>
              <w:t>financial implications for ranibizumab and aflibercept</w:t>
            </w:r>
          </w:p>
        </w:tc>
      </w:tr>
      <w:tr w:rsidR="008E2E12" w:rsidRPr="003639A6" w:rsidTr="00DC6FFD">
        <w:tc>
          <w:tcPr>
            <w:tcW w:w="1119" w:type="pct"/>
            <w:shd w:val="clear" w:color="auto" w:fill="auto"/>
            <w:vAlign w:val="center"/>
          </w:tcPr>
          <w:p w:rsidR="00647CD5" w:rsidRDefault="00647CD5" w:rsidP="007A775A">
            <w:pPr>
              <w:pStyle w:val="Tabletext"/>
              <w:keepNext/>
              <w:keepLines/>
              <w:rPr>
                <w:sz w:val="19"/>
                <w:szCs w:val="19"/>
              </w:rPr>
            </w:pPr>
            <w:r>
              <w:rPr>
                <w:sz w:val="19"/>
                <w:szCs w:val="19"/>
              </w:rPr>
              <w:t xml:space="preserve">DPMQ (effective) </w:t>
            </w:r>
          </w:p>
        </w:tc>
        <w:tc>
          <w:tcPr>
            <w:tcW w:w="3881" w:type="pct"/>
            <w:gridSpan w:val="6"/>
            <w:shd w:val="clear" w:color="auto" w:fill="auto"/>
            <w:vAlign w:val="center"/>
          </w:tcPr>
          <w:p w:rsidR="00647CD5" w:rsidRPr="00987B62" w:rsidRDefault="00647CD5" w:rsidP="007A775A">
            <w:pPr>
              <w:pStyle w:val="Tabletext"/>
              <w:keepNext/>
              <w:keepLines/>
              <w:jc w:val="center"/>
              <w:rPr>
                <w:lang w:eastAsia="en-AU"/>
              </w:rPr>
            </w:pPr>
            <w:r>
              <w:t>A</w:t>
            </w:r>
            <w:r w:rsidRPr="00987B62">
              <w:t>flibercept (59%: $</w:t>
            </w:r>
            <w:r w:rsidR="005D7DE1">
              <w:rPr>
                <w:noProof/>
                <w:color w:val="000000"/>
                <w:highlight w:val="black"/>
              </w:rPr>
              <w:t>''''''''''''''''</w:t>
            </w:r>
            <w:r w:rsidRPr="00987B62">
              <w:t xml:space="preserve">) and </w:t>
            </w:r>
            <w:r>
              <w:t>R</w:t>
            </w:r>
            <w:r w:rsidRPr="00987B62">
              <w:t>anibizumab (41%; $</w:t>
            </w:r>
            <w:r w:rsidR="005D7DE1">
              <w:rPr>
                <w:noProof/>
                <w:color w:val="000000"/>
                <w:highlight w:val="black"/>
              </w:rPr>
              <w:t>''''''''''''''''</w:t>
            </w:r>
            <w:r w:rsidRPr="00987B62">
              <w:t xml:space="preserve">): Weighted </w:t>
            </w:r>
            <w:r w:rsidRPr="00D95D82">
              <w:t>$</w:t>
            </w:r>
            <w:r w:rsidR="005D7DE1">
              <w:rPr>
                <w:noProof/>
                <w:color w:val="000000"/>
                <w:highlight w:val="black"/>
              </w:rPr>
              <w:t>'''''''''''''''</w:t>
            </w:r>
          </w:p>
        </w:tc>
      </w:tr>
      <w:tr w:rsidR="008E2E12" w:rsidRPr="003639A6" w:rsidTr="002015BC">
        <w:tc>
          <w:tcPr>
            <w:tcW w:w="1119" w:type="pct"/>
            <w:shd w:val="clear" w:color="auto" w:fill="auto"/>
            <w:vAlign w:val="center"/>
          </w:tcPr>
          <w:p w:rsidR="00647CD5" w:rsidRDefault="00647CD5" w:rsidP="007A775A">
            <w:pPr>
              <w:pStyle w:val="Tabletext"/>
              <w:keepNext/>
              <w:keepLines/>
              <w:rPr>
                <w:sz w:val="19"/>
                <w:szCs w:val="19"/>
              </w:rPr>
            </w:pPr>
            <w:r>
              <w:rPr>
                <w:sz w:val="19"/>
                <w:szCs w:val="19"/>
              </w:rPr>
              <w:t>Cost to PBS/RPBS less copayments</w:t>
            </w:r>
          </w:p>
        </w:tc>
        <w:tc>
          <w:tcPr>
            <w:tcW w:w="647" w:type="pct"/>
            <w:shd w:val="clear" w:color="auto" w:fill="auto"/>
            <w:vAlign w:val="center"/>
          </w:tcPr>
          <w:p w:rsidR="00647CD5" w:rsidRPr="003639A6" w:rsidRDefault="00647CD5" w:rsidP="007A775A">
            <w:pPr>
              <w:pStyle w:val="Tabletext"/>
              <w:keepNext/>
              <w:keepLines/>
              <w:jc w:val="center"/>
              <w:rPr>
                <w:bCs/>
                <w:color w:val="000000"/>
              </w:rPr>
            </w:pPr>
            <w:r w:rsidRPr="004A6EC6">
              <w:rPr>
                <w:lang w:eastAsia="en-AU"/>
              </w:rPr>
              <w:t>$</w:t>
            </w:r>
            <w:r w:rsidR="005D7DE1">
              <w:rPr>
                <w:noProof/>
                <w:color w:val="000000"/>
                <w:highlight w:val="black"/>
                <w:lang w:eastAsia="en-AU"/>
              </w:rPr>
              <w:t>''''''''''''''''''''''''</w:t>
            </w:r>
          </w:p>
        </w:tc>
        <w:tc>
          <w:tcPr>
            <w:tcW w:w="647" w:type="pct"/>
            <w:shd w:val="clear" w:color="auto" w:fill="auto"/>
            <w:vAlign w:val="center"/>
          </w:tcPr>
          <w:p w:rsidR="00647CD5" w:rsidRPr="003639A6" w:rsidRDefault="00647CD5" w:rsidP="007A775A">
            <w:pPr>
              <w:pStyle w:val="Tabletext"/>
              <w:keepNext/>
              <w:keepLines/>
              <w:jc w:val="center"/>
              <w:rPr>
                <w:bCs/>
                <w:color w:val="000000"/>
              </w:rPr>
            </w:pPr>
            <w:r w:rsidRPr="004A6EC6">
              <w:rPr>
                <w:lang w:eastAsia="en-AU"/>
              </w:rPr>
              <w:t>$</w:t>
            </w:r>
            <w:r w:rsidR="005D7DE1">
              <w:rPr>
                <w:noProof/>
                <w:color w:val="000000"/>
                <w:highlight w:val="black"/>
                <w:lang w:eastAsia="en-AU"/>
              </w:rPr>
              <w:t>'''''''''''''''''''''''''''</w:t>
            </w:r>
          </w:p>
        </w:tc>
        <w:tc>
          <w:tcPr>
            <w:tcW w:w="647" w:type="pct"/>
            <w:shd w:val="clear" w:color="auto" w:fill="auto"/>
            <w:vAlign w:val="center"/>
          </w:tcPr>
          <w:p w:rsidR="00647CD5" w:rsidRPr="003639A6" w:rsidRDefault="00647CD5" w:rsidP="007A775A">
            <w:pPr>
              <w:pStyle w:val="Tabletext"/>
              <w:keepNext/>
              <w:keepLines/>
              <w:jc w:val="center"/>
              <w:rPr>
                <w:bCs/>
                <w:color w:val="000000"/>
              </w:rPr>
            </w:pPr>
            <w:r w:rsidRPr="004A6EC6">
              <w:rPr>
                <w:lang w:eastAsia="en-AU"/>
              </w:rPr>
              <w:t>$</w:t>
            </w:r>
            <w:r w:rsidR="005D7DE1">
              <w:rPr>
                <w:noProof/>
                <w:color w:val="000000"/>
                <w:highlight w:val="black"/>
                <w:lang w:eastAsia="en-AU"/>
              </w:rPr>
              <w:t>'''''''''''''''''''''''''''''</w:t>
            </w:r>
          </w:p>
        </w:tc>
        <w:tc>
          <w:tcPr>
            <w:tcW w:w="647" w:type="pct"/>
            <w:shd w:val="clear" w:color="auto" w:fill="auto"/>
            <w:vAlign w:val="center"/>
          </w:tcPr>
          <w:p w:rsidR="00647CD5" w:rsidRPr="003639A6" w:rsidRDefault="00647CD5" w:rsidP="007A775A">
            <w:pPr>
              <w:pStyle w:val="Tabletext"/>
              <w:keepNext/>
              <w:keepLines/>
              <w:jc w:val="center"/>
              <w:rPr>
                <w:bCs/>
                <w:color w:val="000000"/>
              </w:rPr>
            </w:pPr>
            <w:r w:rsidRPr="004A6EC6">
              <w:rPr>
                <w:lang w:eastAsia="en-AU"/>
              </w:rPr>
              <w:t>$</w:t>
            </w:r>
            <w:r w:rsidR="005D7DE1">
              <w:rPr>
                <w:noProof/>
                <w:color w:val="000000"/>
                <w:highlight w:val="black"/>
                <w:lang w:eastAsia="en-AU"/>
              </w:rPr>
              <w:t>'''''''''''''''''''''''''''''''</w:t>
            </w:r>
          </w:p>
        </w:tc>
        <w:tc>
          <w:tcPr>
            <w:tcW w:w="647" w:type="pct"/>
            <w:shd w:val="clear" w:color="auto" w:fill="auto"/>
            <w:vAlign w:val="center"/>
          </w:tcPr>
          <w:p w:rsidR="00647CD5" w:rsidRPr="003639A6" w:rsidRDefault="00647CD5" w:rsidP="007A775A">
            <w:pPr>
              <w:pStyle w:val="Tabletext"/>
              <w:keepNext/>
              <w:keepLines/>
              <w:jc w:val="center"/>
              <w:rPr>
                <w:bCs/>
                <w:color w:val="000000"/>
              </w:rPr>
            </w:pPr>
            <w:r w:rsidRPr="004A6EC6">
              <w:rPr>
                <w:lang w:eastAsia="en-AU"/>
              </w:rPr>
              <w:t>$</w:t>
            </w:r>
            <w:r w:rsidR="005D7DE1">
              <w:rPr>
                <w:noProof/>
                <w:color w:val="000000"/>
                <w:highlight w:val="black"/>
                <w:lang w:eastAsia="en-AU"/>
              </w:rPr>
              <w:t>''''''''''''''''''''''''''''</w:t>
            </w:r>
          </w:p>
        </w:tc>
        <w:tc>
          <w:tcPr>
            <w:tcW w:w="646" w:type="pct"/>
            <w:vAlign w:val="center"/>
          </w:tcPr>
          <w:p w:rsidR="00647CD5" w:rsidRPr="003639A6" w:rsidRDefault="00647CD5" w:rsidP="007A775A">
            <w:pPr>
              <w:pStyle w:val="Tabletext"/>
              <w:keepNext/>
              <w:keepLines/>
              <w:jc w:val="center"/>
              <w:rPr>
                <w:bCs/>
                <w:color w:val="000000"/>
              </w:rPr>
            </w:pPr>
            <w:r w:rsidRPr="004A6EC6">
              <w:rPr>
                <w:lang w:eastAsia="en-AU"/>
              </w:rPr>
              <w:t>$</w:t>
            </w:r>
            <w:r w:rsidR="005D7DE1">
              <w:rPr>
                <w:noProof/>
                <w:color w:val="000000"/>
                <w:highlight w:val="black"/>
                <w:lang w:eastAsia="en-AU"/>
              </w:rPr>
              <w:t>'''''''''''''''''''''''''''</w:t>
            </w:r>
          </w:p>
        </w:tc>
      </w:tr>
      <w:tr w:rsidR="00647CD5" w:rsidRPr="00FC22AB" w:rsidTr="002015BC">
        <w:tc>
          <w:tcPr>
            <w:tcW w:w="5000" w:type="pct"/>
            <w:gridSpan w:val="7"/>
            <w:shd w:val="clear" w:color="auto" w:fill="auto"/>
            <w:vAlign w:val="center"/>
          </w:tcPr>
          <w:p w:rsidR="00647CD5" w:rsidRPr="00FC22AB" w:rsidRDefault="00647CD5" w:rsidP="007A775A">
            <w:pPr>
              <w:pStyle w:val="Tabletext"/>
              <w:keepNext/>
              <w:keepLines/>
              <w:rPr>
                <w:b/>
                <w:bCs/>
                <w:color w:val="000000"/>
              </w:rPr>
            </w:pPr>
            <w:r w:rsidRPr="00FC22AB">
              <w:rPr>
                <w:b/>
                <w:bCs/>
                <w:color w:val="000000"/>
              </w:rPr>
              <w:t>Net financial implications</w:t>
            </w:r>
            <w:r w:rsidRPr="00FC22AB">
              <w:rPr>
                <w:b/>
                <w:bCs/>
                <w:color w:val="4BACC6" w:themeColor="accent5"/>
              </w:rPr>
              <w:t xml:space="preserve"> </w:t>
            </w:r>
          </w:p>
        </w:tc>
      </w:tr>
      <w:tr w:rsidR="008E2E12" w:rsidRPr="003639A6" w:rsidTr="002015BC">
        <w:tc>
          <w:tcPr>
            <w:tcW w:w="1119" w:type="pct"/>
            <w:shd w:val="clear" w:color="auto" w:fill="auto"/>
            <w:vAlign w:val="center"/>
          </w:tcPr>
          <w:p w:rsidR="00647CD5" w:rsidRPr="003639A6" w:rsidRDefault="00647CD5" w:rsidP="007A775A">
            <w:pPr>
              <w:pStyle w:val="Tabletext"/>
              <w:keepNext/>
              <w:keepLines/>
              <w:rPr>
                <w:sz w:val="19"/>
                <w:szCs w:val="19"/>
              </w:rPr>
            </w:pPr>
            <w:r>
              <w:rPr>
                <w:sz w:val="19"/>
                <w:szCs w:val="19"/>
              </w:rPr>
              <w:t>Net cost to PBS/RPBS/MBS</w:t>
            </w:r>
          </w:p>
        </w:tc>
        <w:tc>
          <w:tcPr>
            <w:tcW w:w="647" w:type="pct"/>
            <w:shd w:val="clear" w:color="auto" w:fill="auto"/>
            <w:vAlign w:val="center"/>
          </w:tcPr>
          <w:p w:rsidR="00647CD5" w:rsidRPr="007D1F5F" w:rsidRDefault="008E2E12" w:rsidP="007A775A">
            <w:pPr>
              <w:pStyle w:val="Tabletext"/>
              <w:keepNext/>
              <w:keepLines/>
              <w:jc w:val="center"/>
              <w:rPr>
                <w:lang w:eastAsia="en-AU"/>
              </w:rPr>
            </w:pPr>
            <w:r>
              <w:rPr>
                <w:lang w:eastAsia="en-AU"/>
              </w:rPr>
              <w:t>$</w:t>
            </w:r>
            <w:r w:rsidR="005D7DE1">
              <w:rPr>
                <w:noProof/>
                <w:color w:val="000000"/>
                <w:highlight w:val="black"/>
                <w:lang w:eastAsia="en-AU"/>
              </w:rPr>
              <w:t>''''''''''''''''''''''''''</w:t>
            </w:r>
            <w:r>
              <w:rPr>
                <w:lang w:eastAsia="en-AU"/>
              </w:rPr>
              <w:t xml:space="preserve"> </w:t>
            </w:r>
          </w:p>
        </w:tc>
        <w:tc>
          <w:tcPr>
            <w:tcW w:w="647" w:type="pct"/>
            <w:shd w:val="clear" w:color="auto" w:fill="auto"/>
            <w:vAlign w:val="center"/>
          </w:tcPr>
          <w:p w:rsidR="00647CD5" w:rsidRPr="007D1F5F" w:rsidRDefault="008E2E12" w:rsidP="007A775A">
            <w:pPr>
              <w:pStyle w:val="Tabletext"/>
              <w:keepNext/>
              <w:keepLines/>
              <w:jc w:val="center"/>
              <w:rPr>
                <w:lang w:eastAsia="en-AU"/>
              </w:rPr>
            </w:pPr>
            <w:r>
              <w:rPr>
                <w:lang w:eastAsia="en-AU"/>
              </w:rPr>
              <w:t>$</w:t>
            </w:r>
            <w:r w:rsidR="005D7DE1">
              <w:rPr>
                <w:noProof/>
                <w:color w:val="000000"/>
                <w:highlight w:val="black"/>
                <w:lang w:eastAsia="en-AU"/>
              </w:rPr>
              <w:t>''''''''''''''''''''''</w:t>
            </w:r>
            <w:r>
              <w:rPr>
                <w:lang w:eastAsia="en-AU"/>
              </w:rPr>
              <w:t xml:space="preserve"> </w:t>
            </w:r>
          </w:p>
        </w:tc>
        <w:tc>
          <w:tcPr>
            <w:tcW w:w="647" w:type="pct"/>
            <w:shd w:val="clear" w:color="auto" w:fill="auto"/>
            <w:vAlign w:val="center"/>
          </w:tcPr>
          <w:p w:rsidR="00647CD5" w:rsidRPr="007D1F5F" w:rsidRDefault="008E2E12" w:rsidP="007A775A">
            <w:pPr>
              <w:pStyle w:val="Tabletext"/>
              <w:keepNext/>
              <w:keepLines/>
              <w:jc w:val="center"/>
              <w:rPr>
                <w:lang w:eastAsia="en-AU"/>
              </w:rPr>
            </w:pPr>
            <w:r>
              <w:rPr>
                <w:lang w:eastAsia="en-AU"/>
              </w:rPr>
              <w:t>$</w:t>
            </w:r>
            <w:r w:rsidR="005D7DE1">
              <w:rPr>
                <w:noProof/>
                <w:color w:val="000000"/>
                <w:highlight w:val="black"/>
                <w:lang w:eastAsia="en-AU"/>
              </w:rPr>
              <w:t>'''''''''''''''''''''''</w:t>
            </w:r>
            <w:r>
              <w:rPr>
                <w:lang w:eastAsia="en-AU"/>
              </w:rPr>
              <w:t xml:space="preserve"> </w:t>
            </w:r>
          </w:p>
        </w:tc>
        <w:tc>
          <w:tcPr>
            <w:tcW w:w="647" w:type="pct"/>
            <w:shd w:val="clear" w:color="auto" w:fill="auto"/>
            <w:vAlign w:val="center"/>
          </w:tcPr>
          <w:p w:rsidR="00647CD5" w:rsidRPr="007D1F5F" w:rsidRDefault="008E2E12" w:rsidP="007A775A">
            <w:pPr>
              <w:pStyle w:val="Tabletext"/>
              <w:keepNext/>
              <w:keepLines/>
              <w:jc w:val="center"/>
              <w:rPr>
                <w:lang w:eastAsia="en-AU"/>
              </w:rPr>
            </w:pPr>
            <w:r>
              <w:rPr>
                <w:lang w:eastAsia="en-AU"/>
              </w:rPr>
              <w:t>-$</w:t>
            </w:r>
            <w:r w:rsidR="005D7DE1">
              <w:rPr>
                <w:noProof/>
                <w:color w:val="000000"/>
                <w:highlight w:val="black"/>
                <w:lang w:eastAsia="en-AU"/>
              </w:rPr>
              <w:t>''''''''''''''''''</w:t>
            </w:r>
            <w:r>
              <w:rPr>
                <w:lang w:eastAsia="en-AU"/>
              </w:rPr>
              <w:t xml:space="preserve"> </w:t>
            </w:r>
          </w:p>
        </w:tc>
        <w:tc>
          <w:tcPr>
            <w:tcW w:w="647" w:type="pct"/>
            <w:shd w:val="clear" w:color="auto" w:fill="auto"/>
            <w:vAlign w:val="center"/>
          </w:tcPr>
          <w:p w:rsidR="00647CD5" w:rsidRPr="007D1F5F" w:rsidRDefault="008E2E12" w:rsidP="007A775A">
            <w:pPr>
              <w:pStyle w:val="Tabletext"/>
              <w:keepNext/>
              <w:keepLines/>
              <w:jc w:val="center"/>
              <w:rPr>
                <w:lang w:eastAsia="en-AU"/>
              </w:rPr>
            </w:pPr>
            <w:r>
              <w:rPr>
                <w:lang w:eastAsia="en-AU"/>
              </w:rPr>
              <w:t>-$</w:t>
            </w:r>
            <w:r w:rsidR="005D7DE1">
              <w:rPr>
                <w:noProof/>
                <w:color w:val="000000"/>
                <w:highlight w:val="black"/>
                <w:lang w:eastAsia="en-AU"/>
              </w:rPr>
              <w:t>'''''''''''''''''''''</w:t>
            </w:r>
            <w:r>
              <w:rPr>
                <w:lang w:eastAsia="en-AU"/>
              </w:rPr>
              <w:t xml:space="preserve"> </w:t>
            </w:r>
          </w:p>
        </w:tc>
        <w:tc>
          <w:tcPr>
            <w:tcW w:w="646" w:type="pct"/>
            <w:vAlign w:val="center"/>
          </w:tcPr>
          <w:p w:rsidR="00647CD5" w:rsidRPr="007D1F5F" w:rsidRDefault="008E2E12" w:rsidP="007A775A">
            <w:pPr>
              <w:pStyle w:val="Tabletext"/>
              <w:keepNext/>
              <w:keepLines/>
              <w:jc w:val="center"/>
              <w:rPr>
                <w:lang w:eastAsia="en-AU"/>
              </w:rPr>
            </w:pPr>
            <w:r>
              <w:rPr>
                <w:lang w:eastAsia="en-AU"/>
              </w:rPr>
              <w:t>-$</w:t>
            </w:r>
            <w:r w:rsidR="005D7DE1">
              <w:rPr>
                <w:noProof/>
                <w:color w:val="000000"/>
                <w:highlight w:val="black"/>
                <w:lang w:eastAsia="en-AU"/>
              </w:rPr>
              <w:t>''''''''''''''''''''</w:t>
            </w:r>
            <w:r>
              <w:rPr>
                <w:lang w:eastAsia="en-AU"/>
              </w:rPr>
              <w:t xml:space="preserve"> </w:t>
            </w:r>
          </w:p>
        </w:tc>
      </w:tr>
    </w:tbl>
    <w:p w:rsidR="00DC6FFD" w:rsidRDefault="00DC6FFD" w:rsidP="007A775A">
      <w:pPr>
        <w:pStyle w:val="TableFooter"/>
        <w:keepNext/>
        <w:keepLines/>
        <w:widowControl/>
        <w:tabs>
          <w:tab w:val="left" w:pos="142"/>
        </w:tabs>
      </w:pPr>
      <w:r w:rsidRPr="003639A6">
        <w:rPr>
          <w:vertAlign w:val="superscript"/>
        </w:rPr>
        <w:t>a</w:t>
      </w:r>
      <w:r>
        <w:tab/>
        <w:t xml:space="preserve">Assuming uptake of </w:t>
      </w:r>
      <w:r w:rsidR="005D7DE1">
        <w:rPr>
          <w:noProof/>
          <w:color w:val="000000"/>
          <w:highlight w:val="black"/>
        </w:rPr>
        <w:t>''''''</w:t>
      </w:r>
      <w:r w:rsidRPr="00B41825">
        <w:t>%</w:t>
      </w:r>
      <w:r>
        <w:t xml:space="preserve"> in ‘new and switch’ patients in year 1, increasing to </w:t>
      </w:r>
      <w:r w:rsidR="005D7DE1">
        <w:rPr>
          <w:noProof/>
          <w:color w:val="000000"/>
          <w:highlight w:val="black"/>
        </w:rPr>
        <w:t>''''''</w:t>
      </w:r>
      <w:r w:rsidRPr="00B41825">
        <w:t>%</w:t>
      </w:r>
      <w:r>
        <w:t xml:space="preserve"> in year two, and a discontinuation rate of </w:t>
      </w:r>
      <w:r w:rsidR="005D7DE1">
        <w:rPr>
          <w:noProof/>
          <w:color w:val="000000"/>
          <w:highlight w:val="black"/>
        </w:rPr>
        <w:t>''''''</w:t>
      </w:r>
      <w:r>
        <w:t xml:space="preserve">%, the submission derived the market share of brolucizumab among all patients treated for wet AMD being </w:t>
      </w:r>
      <w:r w:rsidR="005D7DE1">
        <w:rPr>
          <w:noProof/>
          <w:color w:val="000000"/>
          <w:highlight w:val="black"/>
        </w:rPr>
        <w:t>''''''</w:t>
      </w:r>
      <w:r>
        <w:t xml:space="preserve">% in Year 1 and </w:t>
      </w:r>
      <w:r w:rsidR="005D7DE1">
        <w:rPr>
          <w:noProof/>
          <w:color w:val="000000"/>
          <w:highlight w:val="black"/>
        </w:rPr>
        <w:t>''''''</w:t>
      </w:r>
      <w:r>
        <w:t xml:space="preserve">% in Year 2, and then the submission assumed the uptake of brolucizumab in subsequent years to be </w:t>
      </w:r>
      <w:r w:rsidR="005D7DE1">
        <w:rPr>
          <w:noProof/>
          <w:color w:val="000000"/>
          <w:highlight w:val="black"/>
        </w:rPr>
        <w:t>''''''</w:t>
      </w:r>
      <w:r>
        <w:t xml:space="preserve">%, </w:t>
      </w:r>
      <w:r w:rsidR="005D7DE1">
        <w:rPr>
          <w:noProof/>
          <w:color w:val="000000"/>
          <w:highlight w:val="black"/>
        </w:rPr>
        <w:t>''''''</w:t>
      </w:r>
      <w:r>
        <w:t xml:space="preserve">%, </w:t>
      </w:r>
      <w:r w:rsidR="005D7DE1">
        <w:rPr>
          <w:noProof/>
          <w:color w:val="000000"/>
          <w:highlight w:val="black"/>
        </w:rPr>
        <w:t>''''''</w:t>
      </w:r>
      <w:r>
        <w:t xml:space="preserve">% and </w:t>
      </w:r>
      <w:r w:rsidR="005D7DE1">
        <w:rPr>
          <w:noProof/>
          <w:color w:val="000000"/>
          <w:highlight w:val="black"/>
        </w:rPr>
        <w:t>''''''</w:t>
      </w:r>
      <w:r>
        <w:t xml:space="preserve">% in Year 3, Year 4, Year 5 and Year 6, respectively. </w:t>
      </w:r>
    </w:p>
    <w:p w:rsidR="00DC6FFD" w:rsidRPr="00A13D24" w:rsidRDefault="0073442B" w:rsidP="007A775A">
      <w:pPr>
        <w:pStyle w:val="TableFooter"/>
        <w:keepNext/>
        <w:keepLines/>
        <w:widowControl/>
        <w:rPr>
          <w:i/>
        </w:rPr>
      </w:pPr>
      <w:r>
        <w:rPr>
          <w:vertAlign w:val="superscript"/>
        </w:rPr>
        <w:t>b</w:t>
      </w:r>
      <w:r w:rsidR="004D5667">
        <w:rPr>
          <w:vertAlign w:val="superscript"/>
        </w:rPr>
        <w:t xml:space="preserve"> </w:t>
      </w:r>
      <w:r w:rsidR="00DC6FFD">
        <w:t>Price based on cost-minimisation analysis compared to the effective ex-</w:t>
      </w:r>
      <w:r w:rsidR="00DC6FFD" w:rsidRPr="00193276">
        <w:t>manufacturer price of aflibercept and ranibizumab before the pre-anniversary price cuts (both: $</w:t>
      </w:r>
      <w:r w:rsidR="005D7DE1">
        <w:rPr>
          <w:noProof/>
          <w:color w:val="000000"/>
          <w:highlight w:val="black"/>
        </w:rPr>
        <w:t>'''''''''''''''''</w:t>
      </w:r>
      <w:r w:rsidR="00DC6FFD" w:rsidRPr="00193276">
        <w:t xml:space="preserve">). </w:t>
      </w:r>
      <w:r w:rsidR="00DC6FFD" w:rsidRPr="00193276">
        <w:rPr>
          <w:i/>
        </w:rPr>
        <w:t>This is appropriate if the Minister (or delegate) accepts that</w:t>
      </w:r>
      <w:r w:rsidR="00DC6FFD">
        <w:rPr>
          <w:i/>
        </w:rPr>
        <w:t xml:space="preserve"> Clause 5.7 of the Strategic Agreement is applicable. </w:t>
      </w:r>
    </w:p>
    <w:p w:rsidR="00DC6FFD" w:rsidRPr="00A13D24" w:rsidRDefault="0073442B" w:rsidP="007A775A">
      <w:pPr>
        <w:pStyle w:val="TableFooter"/>
        <w:keepNext/>
        <w:keepLines/>
        <w:widowControl/>
      </w:pPr>
      <w:r>
        <w:rPr>
          <w:vertAlign w:val="superscript"/>
        </w:rPr>
        <w:t>c</w:t>
      </w:r>
      <w:r w:rsidR="004D5667">
        <w:rPr>
          <w:vertAlign w:val="superscript"/>
        </w:rPr>
        <w:t xml:space="preserve"> </w:t>
      </w:r>
      <w:r w:rsidR="00DC6FFD">
        <w:t xml:space="preserve">The Strategic Agreement is due to expire on 30 June 2022. The submission assumed that the price of brolucizumab </w:t>
      </w:r>
      <w:r w:rsidR="003D3C87">
        <w:t>in the first half</w:t>
      </w:r>
      <w:r w:rsidR="00DC6FFD">
        <w:t xml:space="preserve"> 2022 would be based on the cost-minimisation analysis using the price of aflibercept and ranibizumab prior to the pre-anniversary statutory price cuts (</w:t>
      </w:r>
      <w:r w:rsidR="00DC6FFD" w:rsidRPr="00374FC8">
        <w:rPr>
          <w:rFonts w:cs="Calibri"/>
          <w:color w:val="000000"/>
          <w:lang w:eastAsia="en-AU"/>
        </w:rPr>
        <w:t>$</w:t>
      </w:r>
      <w:r w:rsidR="005D7DE1">
        <w:rPr>
          <w:rFonts w:cs="Calibri"/>
          <w:noProof/>
          <w:color w:val="000000"/>
          <w:highlight w:val="black"/>
          <w:lang w:eastAsia="en-AU"/>
        </w:rPr>
        <w:t>'''''''''''''''''</w:t>
      </w:r>
      <w:r w:rsidR="00DC6FFD">
        <w:rPr>
          <w:rFonts w:cs="Calibri"/>
          <w:color w:val="000000"/>
          <w:lang w:eastAsia="en-AU"/>
        </w:rPr>
        <w:t xml:space="preserve"> for both)</w:t>
      </w:r>
      <w:r w:rsidR="00DC6FFD">
        <w:t>. After 1 July 2022, the price of brolucizumab in the submission was based on the cost-minimisation analysis using the current weighted price of aflibercept and ranibizumab ($</w:t>
      </w:r>
      <w:r w:rsidR="005D7DE1">
        <w:rPr>
          <w:noProof/>
          <w:color w:val="000000"/>
          <w:highlight w:val="black"/>
        </w:rPr>
        <w:t>''''''''''''''''</w:t>
      </w:r>
      <w:r w:rsidR="00DC6FFD">
        <w:t xml:space="preserve"> for aflibercept (assumed); $</w:t>
      </w:r>
      <w:r w:rsidR="005D7DE1">
        <w:rPr>
          <w:noProof/>
          <w:color w:val="000000"/>
          <w:highlight w:val="black"/>
        </w:rPr>
        <w:t>'''''''''''''''</w:t>
      </w:r>
      <w:r w:rsidR="00DC6FFD">
        <w:t xml:space="preserve"> for ranibizumab; weighted based on current usage; $</w:t>
      </w:r>
      <w:r w:rsidR="005D7DE1">
        <w:rPr>
          <w:noProof/>
          <w:color w:val="000000"/>
          <w:highlight w:val="black"/>
        </w:rPr>
        <w:t>''''''''''''''''''</w:t>
      </w:r>
      <w:r w:rsidR="00DC6FFD">
        <w:t>). During the calendar year of 2022, the price would be a weighted price for these two periods.</w:t>
      </w:r>
    </w:p>
    <w:p w:rsidR="00DC6FFD" w:rsidRDefault="0073442B" w:rsidP="007A775A">
      <w:pPr>
        <w:pStyle w:val="TableFooter"/>
        <w:keepNext/>
        <w:keepLines/>
        <w:widowControl/>
      </w:pPr>
      <w:r>
        <w:rPr>
          <w:vertAlign w:val="superscript"/>
        </w:rPr>
        <w:t>d</w:t>
      </w:r>
      <w:r w:rsidR="004D5667">
        <w:rPr>
          <w:vertAlign w:val="superscript"/>
        </w:rPr>
        <w:t xml:space="preserve"> </w:t>
      </w:r>
      <w:r w:rsidR="00DC6FFD">
        <w:t>Price based on the cost-minimisation analysis using the current weighted price of aflibercept and ranibizumab ($</w:t>
      </w:r>
      <w:r w:rsidR="005D7DE1">
        <w:rPr>
          <w:noProof/>
          <w:color w:val="000000"/>
          <w:highlight w:val="black"/>
        </w:rPr>
        <w:t>'''''''''''''''</w:t>
      </w:r>
      <w:r w:rsidR="00DC6FFD">
        <w:t>)</w:t>
      </w:r>
      <w:r w:rsidR="003D3C87">
        <w:t xml:space="preserve">, which </w:t>
      </w:r>
      <w:r w:rsidR="004F29C5">
        <w:t>will</w:t>
      </w:r>
      <w:r w:rsidR="003D3C87">
        <w:t xml:space="preserve"> still </w:t>
      </w:r>
      <w:r w:rsidR="00A63A11">
        <w:t xml:space="preserve">be </w:t>
      </w:r>
      <w:r w:rsidR="003D3C87">
        <w:t xml:space="preserve">applicable at </w:t>
      </w:r>
      <w:r w:rsidR="004F29C5">
        <w:t>1 July 2022</w:t>
      </w:r>
      <w:r w:rsidR="00DC6FFD">
        <w:t xml:space="preserve">. </w:t>
      </w:r>
    </w:p>
    <w:p w:rsidR="005E26C0" w:rsidRPr="005E26C0" w:rsidRDefault="005E26C0" w:rsidP="007A775A">
      <w:pPr>
        <w:spacing w:before="120" w:after="120"/>
        <w:rPr>
          <w:rFonts w:asciiTheme="minorHAnsi" w:hAnsiTheme="minorHAnsi"/>
          <w:szCs w:val="24"/>
        </w:rPr>
      </w:pPr>
      <w:r w:rsidRPr="005E26C0">
        <w:rPr>
          <w:rFonts w:asciiTheme="minorHAnsi" w:hAnsiTheme="minorHAnsi"/>
          <w:szCs w:val="24"/>
        </w:rPr>
        <w:t>The red</w:t>
      </w:r>
      <w:r>
        <w:rPr>
          <w:rFonts w:asciiTheme="minorHAnsi" w:hAnsiTheme="minorHAnsi"/>
          <w:szCs w:val="24"/>
        </w:rPr>
        <w:t>acted table shows that at Year 6</w:t>
      </w:r>
      <w:r w:rsidRPr="005E26C0">
        <w:rPr>
          <w:rFonts w:asciiTheme="minorHAnsi" w:hAnsiTheme="minorHAnsi"/>
          <w:szCs w:val="24"/>
        </w:rPr>
        <w:t>, the es</w:t>
      </w:r>
      <w:r>
        <w:rPr>
          <w:rFonts w:asciiTheme="minorHAnsi" w:hAnsiTheme="minorHAnsi"/>
          <w:szCs w:val="24"/>
        </w:rPr>
        <w:t xml:space="preserve">timated number of </w:t>
      </w:r>
      <w:r w:rsidR="00F638CE">
        <w:rPr>
          <w:rFonts w:asciiTheme="minorHAnsi" w:hAnsiTheme="minorHAnsi"/>
          <w:szCs w:val="24"/>
        </w:rPr>
        <w:t xml:space="preserve">scripts </w:t>
      </w:r>
      <w:r>
        <w:rPr>
          <w:rFonts w:asciiTheme="minorHAnsi" w:hAnsiTheme="minorHAnsi"/>
          <w:szCs w:val="24"/>
        </w:rPr>
        <w:t>was between 100,000 – 200,000 per year</w:t>
      </w:r>
      <w:r w:rsidRPr="005E26C0">
        <w:rPr>
          <w:rFonts w:asciiTheme="minorHAnsi" w:hAnsiTheme="minorHAnsi"/>
          <w:szCs w:val="24"/>
        </w:rPr>
        <w:t xml:space="preserve"> and </w:t>
      </w:r>
      <w:r w:rsidR="00B41825">
        <w:rPr>
          <w:rFonts w:asciiTheme="minorHAnsi" w:hAnsiTheme="minorHAnsi"/>
          <w:szCs w:val="24"/>
        </w:rPr>
        <w:t>a</w:t>
      </w:r>
      <w:r w:rsidRPr="005E26C0">
        <w:rPr>
          <w:rFonts w:asciiTheme="minorHAnsi" w:hAnsiTheme="minorHAnsi"/>
          <w:szCs w:val="24"/>
        </w:rPr>
        <w:t xml:space="preserve"> net </w:t>
      </w:r>
      <w:r w:rsidR="00B41825">
        <w:rPr>
          <w:rFonts w:asciiTheme="minorHAnsi" w:hAnsiTheme="minorHAnsi"/>
          <w:szCs w:val="24"/>
        </w:rPr>
        <w:t>saving</w:t>
      </w:r>
      <w:r>
        <w:rPr>
          <w:rFonts w:asciiTheme="minorHAnsi" w:hAnsiTheme="minorHAnsi"/>
          <w:szCs w:val="24"/>
        </w:rPr>
        <w:t xml:space="preserve"> to the </w:t>
      </w:r>
      <w:r w:rsidR="00B41825">
        <w:rPr>
          <w:rFonts w:asciiTheme="minorHAnsi" w:hAnsiTheme="minorHAnsi"/>
          <w:szCs w:val="24"/>
        </w:rPr>
        <w:t>Government</w:t>
      </w:r>
      <w:r>
        <w:rPr>
          <w:rFonts w:asciiTheme="minorHAnsi" w:hAnsiTheme="minorHAnsi"/>
          <w:szCs w:val="24"/>
        </w:rPr>
        <w:t xml:space="preserve"> would be less than $10 million per year.</w:t>
      </w:r>
    </w:p>
    <w:p w:rsidR="00DC6FFD" w:rsidRDefault="00DC6FFD" w:rsidP="00DC6FFD">
      <w:pPr>
        <w:pStyle w:val="TableFooter"/>
      </w:pPr>
    </w:p>
    <w:p w:rsidR="00DC6FFD" w:rsidRDefault="00DC6FFD" w:rsidP="00F46163">
      <w:pPr>
        <w:pStyle w:val="ListParagraph"/>
        <w:widowControl/>
        <w:numPr>
          <w:ilvl w:val="1"/>
          <w:numId w:val="1"/>
        </w:numPr>
        <w:spacing w:after="120"/>
      </w:pPr>
      <w:r>
        <w:t>The submission estimated that there would be</w:t>
      </w:r>
      <w:r w:rsidR="001245DF">
        <w:t xml:space="preserve"> significant</w:t>
      </w:r>
      <w:r>
        <w:t xml:space="preserve"> net costs to the PBS</w:t>
      </w:r>
      <w:r w:rsidR="00FE6123">
        <w:t>/RPBS</w:t>
      </w:r>
      <w:r w:rsidR="000514E2">
        <w:t xml:space="preserve"> ($</w:t>
      </w:r>
      <w:r w:rsidR="004C7210">
        <w:t>60 - $100</w:t>
      </w:r>
      <w:r w:rsidR="000514E2" w:rsidRPr="004C7210">
        <w:t>M</w:t>
      </w:r>
      <w:r w:rsidR="000514E2">
        <w:t>)</w:t>
      </w:r>
      <w:r>
        <w:t xml:space="preserve"> and to the Government</w:t>
      </w:r>
      <w:r w:rsidR="00FE6123">
        <w:t xml:space="preserve"> ($</w:t>
      </w:r>
      <w:r w:rsidR="004C7210">
        <w:t>30 - $60</w:t>
      </w:r>
      <w:r w:rsidR="00FE6123" w:rsidRPr="004C7210">
        <w:t>M</w:t>
      </w:r>
      <w:r w:rsidR="00FE6123">
        <w:t>)</w:t>
      </w:r>
      <w:r>
        <w:t xml:space="preserve"> health budget</w:t>
      </w:r>
      <w:r w:rsidR="00FE6123">
        <w:t>s</w:t>
      </w:r>
      <w:r w:rsidR="0093736C">
        <w:t xml:space="preserve"> over 6 years</w:t>
      </w:r>
      <w:r>
        <w:t xml:space="preserve"> as a result of the PBS listing of brolucizumab, despite a non-inferiority claim of brolucizumab as well as the cost-minimisation approach claimed in the submission.</w:t>
      </w:r>
      <w:r w:rsidR="00122305">
        <w:t xml:space="preserve"> The revised cost estimates provided in the pre-PBAC response alleviated some of the expected costs through the acceptance by the Sponsor of a 1:1 dosing relativity</w:t>
      </w:r>
      <w:r w:rsidR="00FE6123">
        <w:t xml:space="preserve"> (revised cost to PBS/RPBS and Government=$</w:t>
      </w:r>
      <w:r w:rsidR="004C7210">
        <w:t>10 - $20</w:t>
      </w:r>
      <w:r w:rsidR="00FE6123" w:rsidRPr="004C7210">
        <w:t>M</w:t>
      </w:r>
      <w:r w:rsidR="00FE6123">
        <w:t>)</w:t>
      </w:r>
      <w:r w:rsidR="00122305">
        <w:t>. Some outstanding issues of concern are:</w:t>
      </w:r>
    </w:p>
    <w:p w:rsidR="00DC6FFD" w:rsidRPr="00D064C0" w:rsidRDefault="00DC6FFD" w:rsidP="00F46163">
      <w:pPr>
        <w:pStyle w:val="ListParagraph"/>
        <w:widowControl/>
        <w:numPr>
          <w:ilvl w:val="0"/>
          <w:numId w:val="3"/>
        </w:numPr>
        <w:spacing w:after="120"/>
        <w:ind w:left="1077" w:hanging="357"/>
      </w:pPr>
      <w:r w:rsidRPr="00D064C0">
        <w:lastRenderedPageBreak/>
        <w:t>The requested price for brolucizumab until the expiration of the Strategic Agreement (30 June 2022, approximately 2.5 years after listing) is based on the price of comparator regimens prior to the F1 statutory price reductions, and is therefore more costly than comparator regimens that have been subject to a 5% (aflibercept) and 10% (ranibizumab) price reduction.</w:t>
      </w:r>
    </w:p>
    <w:p w:rsidR="001245DF" w:rsidRPr="008D6A5E" w:rsidRDefault="001245DF" w:rsidP="00F46163">
      <w:pPr>
        <w:pStyle w:val="ListParagraph"/>
        <w:widowControl/>
        <w:numPr>
          <w:ilvl w:val="0"/>
          <w:numId w:val="3"/>
        </w:numPr>
        <w:spacing w:after="120"/>
        <w:ind w:left="1077" w:hanging="357"/>
      </w:pPr>
      <w:r>
        <w:t>The requested price for brolucizumab after the expiration of the Strategic Agreement (30 June 2022) is based on the weighted price of aflibercept and ranibizumab according to PBS volumes in 2018.</w:t>
      </w:r>
      <w:r w:rsidR="0031316F">
        <w:t xml:space="preserve"> The PBAC considered that</w:t>
      </w:r>
      <w:r w:rsidR="0031316F">
        <w:rPr>
          <w:iCs/>
        </w:rPr>
        <w:t xml:space="preserve"> the CMA for brolucizumab should be performed against the least expensive anti-VEGF (ranibizumab).</w:t>
      </w:r>
      <w:r w:rsidR="0031316F">
        <w:t xml:space="preserve"> </w:t>
      </w:r>
    </w:p>
    <w:p w:rsidR="00DC6FFD" w:rsidRPr="008D6A5E" w:rsidRDefault="00DC6FFD" w:rsidP="00F46163">
      <w:pPr>
        <w:pStyle w:val="ListParagraph"/>
        <w:widowControl/>
        <w:numPr>
          <w:ilvl w:val="1"/>
          <w:numId w:val="1"/>
        </w:numPr>
        <w:spacing w:after="120"/>
      </w:pPr>
      <w:r w:rsidRPr="00D064C0">
        <w:t xml:space="preserve">The derivation of the market shares of brolucizumab among all patients treated for </w:t>
      </w:r>
      <w:r w:rsidR="002015BC" w:rsidRPr="008D6A5E">
        <w:t>neovascular</w:t>
      </w:r>
      <w:r w:rsidRPr="008D6A5E">
        <w:t xml:space="preserve"> AMD in Year 3 to Year 6 was not explained by the submission</w:t>
      </w:r>
      <w:r w:rsidR="00314A85" w:rsidRPr="008D6A5E">
        <w:t xml:space="preserve">. These estimates appeared lower than would be expected, taking into consideration the assumptions used to estimate the expected uptake in the first two years. </w:t>
      </w:r>
      <w:r w:rsidR="002015BC" w:rsidRPr="008D6A5E">
        <w:t>Therefore, the cost of brolucizumab to the PBS may have been underestimated by the submission.</w:t>
      </w:r>
      <w:r w:rsidR="00567E11" w:rsidRPr="008D6A5E">
        <w:t xml:space="preserve"> The PSCR </w:t>
      </w:r>
      <w:r w:rsidR="00852384" w:rsidRPr="008D6A5E">
        <w:t>stated</w:t>
      </w:r>
      <w:r w:rsidR="00567E11" w:rsidRPr="008D6A5E">
        <w:t xml:space="preserve"> the uptake rates used for brolucizumab were based on the experience of aflibercept.</w:t>
      </w:r>
      <w:r w:rsidR="00B37C48" w:rsidRPr="008D6A5E">
        <w:t xml:space="preserve"> However,</w:t>
      </w:r>
      <w:r w:rsidR="00852384" w:rsidRPr="008D6A5E">
        <w:t xml:space="preserve"> it should be noted that</w:t>
      </w:r>
      <w:r w:rsidR="00B37C48" w:rsidRPr="008D6A5E">
        <w:t xml:space="preserve"> the estimated proportion of ‘new and switch’ patients as a total of all patients (as calculated by the submission) was based on a steady state ‘new and switch’ proportions of patients receiving ranibizumab and aflibercept between 2014 and 2018. The ESC agreed with</w:t>
      </w:r>
      <w:r w:rsidR="00B37C48" w:rsidRPr="00852384">
        <w:rPr>
          <w:i/>
        </w:rPr>
        <w:t xml:space="preserve"> </w:t>
      </w:r>
      <w:r w:rsidR="00B37C48" w:rsidRPr="008D6A5E">
        <w:t>the evaluation that the submission’s estimates w</w:t>
      </w:r>
      <w:r w:rsidR="000E6526" w:rsidRPr="008D6A5E">
        <w:t>ere</w:t>
      </w:r>
      <w:r w:rsidR="00B37C48" w:rsidRPr="008D6A5E">
        <w:t xml:space="preserve"> likely to be underestimated. </w:t>
      </w:r>
    </w:p>
    <w:p w:rsidR="00576972" w:rsidRPr="00F46163" w:rsidRDefault="00987B62" w:rsidP="00F46163">
      <w:pPr>
        <w:pStyle w:val="Heading2"/>
        <w:keepNext/>
        <w:keepLines/>
        <w:spacing w:after="120"/>
        <w:rPr>
          <w:rFonts w:asciiTheme="minorHAnsi" w:hAnsiTheme="minorHAnsi"/>
          <w:bCs/>
          <w:szCs w:val="28"/>
        </w:rPr>
      </w:pPr>
      <w:r w:rsidRPr="00987B62">
        <w:t xml:space="preserve"> </w:t>
      </w:r>
      <w:bookmarkStart w:id="19" w:name="_Toc19612028"/>
      <w:r w:rsidR="00576972" w:rsidRPr="00F46163">
        <w:rPr>
          <w:rFonts w:asciiTheme="minorHAnsi" w:hAnsiTheme="minorHAnsi"/>
          <w:bCs/>
          <w:szCs w:val="28"/>
        </w:rPr>
        <w:t>Financial Management – Risk Sharing Arrangements</w:t>
      </w:r>
      <w:bookmarkEnd w:id="19"/>
    </w:p>
    <w:p w:rsidR="00F24837" w:rsidRPr="00DB6E6B" w:rsidRDefault="00987B62" w:rsidP="00F46163">
      <w:pPr>
        <w:pStyle w:val="ListParagraph"/>
        <w:keepNext/>
        <w:widowControl/>
        <w:numPr>
          <w:ilvl w:val="1"/>
          <w:numId w:val="1"/>
        </w:numPr>
        <w:spacing w:after="120"/>
      </w:pPr>
      <w:r w:rsidRPr="00987B62">
        <w:t xml:space="preserve">The submission noted that ranibizumab and aflibercept currently have special pricing and risk sharing arrangements in place covering PBS expenditure in relation to the treatment of neovascular AMD. The submission stated that the degree to which these arrangements would, or would not, apply to brolucizumab is not known at this stage. </w:t>
      </w:r>
    </w:p>
    <w:p w:rsidR="008B7FA5" w:rsidRDefault="004A7A4C" w:rsidP="00F46163">
      <w:pPr>
        <w:widowControl/>
        <w:spacing w:after="120"/>
        <w:rPr>
          <w:i/>
        </w:rPr>
      </w:pPr>
      <w:r w:rsidRPr="004A7A4C">
        <w:rPr>
          <w:i/>
        </w:rPr>
        <w:t>For more detail on PBAC’s view, see section 7 PBAC outcome.</w:t>
      </w:r>
    </w:p>
    <w:p w:rsidR="009F410E" w:rsidRPr="00C275D1" w:rsidRDefault="009F410E" w:rsidP="00F46163">
      <w:pPr>
        <w:pStyle w:val="PBACHeading1"/>
        <w:keepNext/>
        <w:keepLines/>
        <w:spacing w:after="120"/>
        <w:outlineLvl w:val="0"/>
        <w:rPr>
          <w:rFonts w:asciiTheme="minorHAnsi" w:hAnsiTheme="minorHAnsi"/>
          <w:b w:val="0"/>
          <w:bCs/>
        </w:rPr>
      </w:pPr>
      <w:r w:rsidRPr="00D52702">
        <w:rPr>
          <w:rFonts w:asciiTheme="minorHAnsi" w:hAnsiTheme="minorHAnsi"/>
          <w:bCs/>
        </w:rPr>
        <w:t xml:space="preserve">PBAC </w:t>
      </w:r>
      <w:r w:rsidRPr="00E15746">
        <w:t>Outcome</w:t>
      </w:r>
    </w:p>
    <w:p w:rsidR="0047047C" w:rsidRDefault="00652D6F" w:rsidP="00F46163">
      <w:pPr>
        <w:numPr>
          <w:ilvl w:val="1"/>
          <w:numId w:val="1"/>
        </w:numPr>
        <w:spacing w:after="120"/>
        <w:rPr>
          <w:rFonts w:asciiTheme="minorHAnsi" w:hAnsiTheme="minorHAnsi"/>
          <w:bCs/>
          <w:lang w:val="en-GB"/>
        </w:rPr>
      </w:pPr>
      <w:r w:rsidRPr="0044401F">
        <w:rPr>
          <w:rFonts w:asciiTheme="minorHAnsi" w:hAnsiTheme="minorHAnsi"/>
          <w:bCs/>
          <w:lang w:val="en-GB"/>
        </w:rPr>
        <w:t xml:space="preserve">The </w:t>
      </w:r>
      <w:r>
        <w:rPr>
          <w:rFonts w:asciiTheme="minorHAnsi" w:hAnsiTheme="minorHAnsi"/>
          <w:bCs/>
          <w:lang w:val="en-GB"/>
        </w:rPr>
        <w:t>PBAC did not recommend</w:t>
      </w:r>
      <w:r w:rsidR="003C6729">
        <w:rPr>
          <w:rFonts w:asciiTheme="minorHAnsi" w:hAnsiTheme="minorHAnsi"/>
          <w:bCs/>
          <w:lang w:val="en-GB"/>
        </w:rPr>
        <w:t xml:space="preserve"> brolucizumab for the treatment of patients with </w:t>
      </w:r>
      <w:r w:rsidR="007A5BE5">
        <w:t>subfoveal choroidal neovascularisation (</w:t>
      </w:r>
      <w:r w:rsidR="003C6729">
        <w:t>CNV</w:t>
      </w:r>
      <w:r w:rsidR="007A5BE5">
        <w:t>)</w:t>
      </w:r>
      <w:r w:rsidR="003C6729">
        <w:t xml:space="preserve"> due to </w:t>
      </w:r>
      <w:r w:rsidR="005D51F0">
        <w:t>age-</w:t>
      </w:r>
      <w:r w:rsidR="005D51F0" w:rsidRPr="00CD4F2C">
        <w:t xml:space="preserve">related macular degeneration </w:t>
      </w:r>
      <w:r w:rsidR="005D51F0">
        <w:t>(AMD)</w:t>
      </w:r>
      <w:r w:rsidR="00E445C7">
        <w:t xml:space="preserve">. </w:t>
      </w:r>
      <w:r w:rsidR="00A53A49" w:rsidRPr="009667E7">
        <w:t xml:space="preserve">The </w:t>
      </w:r>
      <w:r w:rsidR="007A5BE5">
        <w:t xml:space="preserve">PBAC noted the higher incidence of </w:t>
      </w:r>
      <w:r w:rsidR="007A5BE5" w:rsidRPr="007A5BE5">
        <w:t>ocular</w:t>
      </w:r>
      <w:r w:rsidR="007A5BE5">
        <w:t xml:space="preserve"> serious adverse events</w:t>
      </w:r>
      <w:r w:rsidR="007A5BE5" w:rsidRPr="007A5BE5">
        <w:t xml:space="preserve"> </w:t>
      </w:r>
      <w:r w:rsidR="007A5BE5">
        <w:t>(</w:t>
      </w:r>
      <w:r w:rsidR="007A5BE5" w:rsidRPr="007A5BE5">
        <w:t>SAEs</w:t>
      </w:r>
      <w:r w:rsidR="007A5BE5">
        <w:t>)</w:t>
      </w:r>
      <w:r w:rsidR="007A5BE5" w:rsidRPr="007A5BE5">
        <w:t xml:space="preserve"> r</w:t>
      </w:r>
      <w:r w:rsidR="007A5BE5">
        <w:t xml:space="preserve">eported for brolucizumab </w:t>
      </w:r>
      <w:r w:rsidR="007A5BE5" w:rsidRPr="007A5BE5">
        <w:t>compared to a</w:t>
      </w:r>
      <w:r w:rsidR="007A5BE5">
        <w:t xml:space="preserve">flibercept in the clinical studies and considered the claim of non-inferior safety was uncertain. </w:t>
      </w:r>
    </w:p>
    <w:p w:rsidR="00AE4F6F" w:rsidRPr="00AE4F6F" w:rsidRDefault="0047047C" w:rsidP="00F46163">
      <w:pPr>
        <w:pStyle w:val="ListParagraph"/>
        <w:numPr>
          <w:ilvl w:val="1"/>
          <w:numId w:val="1"/>
        </w:numPr>
        <w:spacing w:after="120"/>
        <w:rPr>
          <w:rFonts w:asciiTheme="minorHAnsi" w:hAnsiTheme="minorHAnsi"/>
          <w:bCs/>
          <w:lang w:val="en-GB"/>
        </w:rPr>
      </w:pPr>
      <w:r w:rsidRPr="00EB3FF6">
        <w:t xml:space="preserve">The submission nominated aflibercept as the main comparator </w:t>
      </w:r>
      <w:r>
        <w:t xml:space="preserve">as it has a higher market share, </w:t>
      </w:r>
      <w:r w:rsidRPr="00EB3FF6">
        <w:t>and ranibizumab as a secondary comparator.</w:t>
      </w:r>
      <w:r w:rsidR="00AE4F6F">
        <w:t xml:space="preserve"> </w:t>
      </w:r>
      <w:r w:rsidR="00AE4F6F" w:rsidRPr="00AE4F6F">
        <w:rPr>
          <w:rFonts w:asciiTheme="minorHAnsi" w:hAnsiTheme="minorHAnsi"/>
          <w:bCs/>
          <w:lang w:val="en-GB"/>
        </w:rPr>
        <w:t>T</w:t>
      </w:r>
      <w:r w:rsidRPr="00AE4F6F">
        <w:rPr>
          <w:rFonts w:asciiTheme="minorHAnsi" w:hAnsiTheme="minorHAnsi"/>
          <w:bCs/>
          <w:lang w:val="en-GB"/>
        </w:rPr>
        <w:t>he PBAC noted that ranibizumab ha</w:t>
      </w:r>
      <w:r w:rsidR="00503972">
        <w:rPr>
          <w:rFonts w:asciiTheme="minorHAnsi" w:hAnsiTheme="minorHAnsi"/>
          <w:bCs/>
          <w:lang w:val="en-GB"/>
        </w:rPr>
        <w:t>d</w:t>
      </w:r>
      <w:r w:rsidRPr="00AE4F6F">
        <w:rPr>
          <w:rFonts w:asciiTheme="minorHAnsi" w:hAnsiTheme="minorHAnsi"/>
          <w:bCs/>
          <w:lang w:val="en-GB"/>
        </w:rPr>
        <w:t xml:space="preserve"> become the least costly comparator since </w:t>
      </w:r>
      <w:r w:rsidRPr="00AE4F6F">
        <w:rPr>
          <w:iCs/>
        </w:rPr>
        <w:t>the F1 anniversary price reduction applied to ranibizumab (10%) and aflibercept (5%) on 1 April 2018</w:t>
      </w:r>
      <w:r w:rsidRPr="00AE4F6F">
        <w:rPr>
          <w:rFonts w:asciiTheme="minorHAnsi" w:hAnsiTheme="minorHAnsi"/>
          <w:bCs/>
          <w:lang w:val="en-GB"/>
        </w:rPr>
        <w:t xml:space="preserve">. </w:t>
      </w:r>
      <w:r w:rsidR="00AE4F6F" w:rsidRPr="00AE4F6F">
        <w:rPr>
          <w:rFonts w:asciiTheme="minorHAnsi" w:hAnsiTheme="minorHAnsi"/>
          <w:bCs/>
          <w:lang w:val="en-GB"/>
        </w:rPr>
        <w:t>The PBAC noted that no data w</w:t>
      </w:r>
      <w:r w:rsidR="008C67BD">
        <w:rPr>
          <w:rFonts w:asciiTheme="minorHAnsi" w:hAnsiTheme="minorHAnsi"/>
          <w:bCs/>
          <w:lang w:val="en-GB"/>
        </w:rPr>
        <w:t>ere</w:t>
      </w:r>
      <w:r w:rsidR="00AE4F6F" w:rsidRPr="00AE4F6F">
        <w:rPr>
          <w:rFonts w:asciiTheme="minorHAnsi" w:hAnsiTheme="minorHAnsi"/>
          <w:bCs/>
          <w:lang w:val="en-GB"/>
        </w:rPr>
        <w:t xml:space="preserve"> provided demonstrating brolucizumab provides a significant </w:t>
      </w:r>
      <w:r w:rsidR="00AE4F6F" w:rsidRPr="00AE4F6F">
        <w:rPr>
          <w:rFonts w:asciiTheme="minorHAnsi" w:hAnsiTheme="minorHAnsi"/>
          <w:bCs/>
          <w:lang w:val="en-GB"/>
        </w:rPr>
        <w:lastRenderedPageBreak/>
        <w:t>improvement in efficacy or reduction of toxicity over the alternative therapies (aflibercept and ranibizumab)</w:t>
      </w:r>
      <w:r w:rsidR="00BB135D">
        <w:rPr>
          <w:rFonts w:asciiTheme="minorHAnsi" w:hAnsiTheme="minorHAnsi"/>
          <w:bCs/>
          <w:lang w:val="en-GB"/>
        </w:rPr>
        <w:t xml:space="preserve"> (paragraph 5.3)</w:t>
      </w:r>
      <w:r w:rsidR="00AE4F6F" w:rsidRPr="00AE4F6F">
        <w:rPr>
          <w:rFonts w:asciiTheme="minorHAnsi" w:hAnsiTheme="minorHAnsi"/>
          <w:bCs/>
          <w:lang w:val="en-GB"/>
        </w:rPr>
        <w:t xml:space="preserve">. The PBAC advised that the drug cost used for the CMA should be the effective ranibizumab price rather than the weighted price of aflibercept and ranibizumab, as ranibizumab is the least costly anti-VEGF agent. </w:t>
      </w:r>
    </w:p>
    <w:p w:rsidR="00DA36E3" w:rsidRDefault="00E445C7" w:rsidP="00F46163">
      <w:pPr>
        <w:numPr>
          <w:ilvl w:val="1"/>
          <w:numId w:val="1"/>
        </w:numPr>
        <w:spacing w:after="120"/>
        <w:rPr>
          <w:rFonts w:asciiTheme="minorHAnsi" w:hAnsiTheme="minorHAnsi"/>
          <w:bCs/>
          <w:lang w:val="en-GB"/>
        </w:rPr>
      </w:pPr>
      <w:r>
        <w:t xml:space="preserve">The PBAC was satisfied that brolucizumab was </w:t>
      </w:r>
      <w:r>
        <w:rPr>
          <w:rFonts w:asciiTheme="minorHAnsi" w:hAnsiTheme="minorHAnsi"/>
          <w:bCs/>
          <w:lang w:val="en-GB"/>
        </w:rPr>
        <w:t>non-inferior in terms of comparative efficacy to aflib</w:t>
      </w:r>
      <w:r w:rsidR="00E7162D">
        <w:rPr>
          <w:rFonts w:asciiTheme="minorHAnsi" w:hAnsiTheme="minorHAnsi"/>
          <w:bCs/>
          <w:lang w:val="en-GB"/>
        </w:rPr>
        <w:t>ercept</w:t>
      </w:r>
      <w:r w:rsidR="0047047C">
        <w:rPr>
          <w:rFonts w:asciiTheme="minorHAnsi" w:hAnsiTheme="minorHAnsi"/>
          <w:bCs/>
          <w:lang w:val="en-GB"/>
        </w:rPr>
        <w:t xml:space="preserve">, </w:t>
      </w:r>
      <w:r w:rsidR="0047047C">
        <w:rPr>
          <w:bCs/>
          <w:szCs w:val="24"/>
          <w:lang w:val="en-GB" w:eastAsia="en-AU"/>
        </w:rPr>
        <w:t>based on the two key trials (HAWK and HARRIER)</w:t>
      </w:r>
      <w:r>
        <w:rPr>
          <w:rFonts w:asciiTheme="minorHAnsi" w:hAnsiTheme="minorHAnsi"/>
          <w:bCs/>
          <w:lang w:val="en-GB"/>
        </w:rPr>
        <w:t xml:space="preserve">. However, the </w:t>
      </w:r>
      <w:r w:rsidR="00614909">
        <w:rPr>
          <w:rFonts w:asciiTheme="minorHAnsi" w:hAnsiTheme="minorHAnsi"/>
          <w:bCs/>
          <w:lang w:val="en-GB"/>
        </w:rPr>
        <w:t>PBAC</w:t>
      </w:r>
      <w:r>
        <w:rPr>
          <w:rFonts w:asciiTheme="minorHAnsi" w:hAnsiTheme="minorHAnsi"/>
          <w:bCs/>
          <w:lang w:val="en-GB"/>
        </w:rPr>
        <w:t xml:space="preserve"> </w:t>
      </w:r>
      <w:r w:rsidR="00D95D82">
        <w:rPr>
          <w:rFonts w:asciiTheme="minorHAnsi" w:hAnsiTheme="minorHAnsi"/>
          <w:bCs/>
          <w:lang w:val="en-GB"/>
        </w:rPr>
        <w:t xml:space="preserve">considered </w:t>
      </w:r>
      <w:r w:rsidR="001542DA">
        <w:rPr>
          <w:rFonts w:asciiTheme="minorHAnsi" w:hAnsiTheme="minorHAnsi"/>
          <w:bCs/>
          <w:lang w:val="en-GB"/>
        </w:rPr>
        <w:t xml:space="preserve">that the overall ocular SAE rate with brolucizumab </w:t>
      </w:r>
      <w:r w:rsidR="00D95D82">
        <w:rPr>
          <w:rFonts w:asciiTheme="minorHAnsi" w:hAnsiTheme="minorHAnsi"/>
          <w:bCs/>
          <w:lang w:val="en-GB"/>
        </w:rPr>
        <w:t xml:space="preserve">(3.4%) </w:t>
      </w:r>
      <w:r w:rsidR="001542DA">
        <w:rPr>
          <w:rFonts w:asciiTheme="minorHAnsi" w:hAnsiTheme="minorHAnsi"/>
          <w:bCs/>
          <w:lang w:val="en-GB"/>
        </w:rPr>
        <w:t>was significant</w:t>
      </w:r>
      <w:r w:rsidR="009667E7">
        <w:rPr>
          <w:rFonts w:asciiTheme="minorHAnsi" w:hAnsiTheme="minorHAnsi"/>
          <w:bCs/>
          <w:lang w:val="en-GB"/>
        </w:rPr>
        <w:t>ly</w:t>
      </w:r>
      <w:r w:rsidR="001542DA">
        <w:rPr>
          <w:rFonts w:asciiTheme="minorHAnsi" w:hAnsiTheme="minorHAnsi"/>
          <w:bCs/>
          <w:lang w:val="en-GB"/>
        </w:rPr>
        <w:t xml:space="preserve"> different </w:t>
      </w:r>
      <w:r w:rsidR="00D95D82">
        <w:rPr>
          <w:rFonts w:asciiTheme="minorHAnsi" w:hAnsiTheme="minorHAnsi"/>
          <w:bCs/>
          <w:lang w:val="en-GB"/>
        </w:rPr>
        <w:t xml:space="preserve">to aflibercept (1.5%) </w:t>
      </w:r>
      <w:r w:rsidR="001542DA">
        <w:rPr>
          <w:rFonts w:asciiTheme="minorHAnsi" w:hAnsiTheme="minorHAnsi"/>
          <w:bCs/>
          <w:lang w:val="en-GB"/>
        </w:rPr>
        <w:t xml:space="preserve">and </w:t>
      </w:r>
      <w:r w:rsidR="00655A39">
        <w:rPr>
          <w:rFonts w:asciiTheme="minorHAnsi" w:hAnsiTheme="minorHAnsi"/>
          <w:bCs/>
          <w:lang w:val="en-GB"/>
        </w:rPr>
        <w:t xml:space="preserve">the claim of </w:t>
      </w:r>
      <w:r w:rsidR="001542DA">
        <w:rPr>
          <w:rFonts w:asciiTheme="minorHAnsi" w:hAnsiTheme="minorHAnsi"/>
          <w:bCs/>
          <w:lang w:val="en-GB"/>
        </w:rPr>
        <w:t>non</w:t>
      </w:r>
      <w:r w:rsidR="00655A39">
        <w:rPr>
          <w:rFonts w:asciiTheme="minorHAnsi" w:hAnsiTheme="minorHAnsi"/>
          <w:bCs/>
          <w:lang w:val="en-GB"/>
        </w:rPr>
        <w:t>-</w:t>
      </w:r>
      <w:r w:rsidR="001542DA">
        <w:rPr>
          <w:rFonts w:asciiTheme="minorHAnsi" w:hAnsiTheme="minorHAnsi"/>
          <w:bCs/>
          <w:lang w:val="en-GB"/>
        </w:rPr>
        <w:t>inferior</w:t>
      </w:r>
      <w:r w:rsidR="00614909">
        <w:rPr>
          <w:rFonts w:asciiTheme="minorHAnsi" w:hAnsiTheme="minorHAnsi"/>
          <w:bCs/>
          <w:lang w:val="en-GB"/>
        </w:rPr>
        <w:t>ity</w:t>
      </w:r>
      <w:r w:rsidR="006D6752">
        <w:rPr>
          <w:rFonts w:asciiTheme="minorHAnsi" w:hAnsiTheme="minorHAnsi"/>
          <w:bCs/>
          <w:lang w:val="en-GB"/>
        </w:rPr>
        <w:t xml:space="preserve"> i</w:t>
      </w:r>
      <w:r w:rsidR="00655A39">
        <w:rPr>
          <w:rFonts w:asciiTheme="minorHAnsi" w:hAnsiTheme="minorHAnsi"/>
          <w:bCs/>
          <w:lang w:val="en-GB"/>
        </w:rPr>
        <w:t>n terms of safety was</w:t>
      </w:r>
      <w:r w:rsidR="00DB69FA">
        <w:rPr>
          <w:rFonts w:asciiTheme="minorHAnsi" w:hAnsiTheme="minorHAnsi"/>
          <w:bCs/>
          <w:lang w:val="en-GB"/>
        </w:rPr>
        <w:t xml:space="preserve"> uncertain</w:t>
      </w:r>
      <w:r w:rsidR="00655A39">
        <w:rPr>
          <w:rFonts w:asciiTheme="minorHAnsi" w:hAnsiTheme="minorHAnsi"/>
          <w:bCs/>
          <w:lang w:val="en-GB"/>
        </w:rPr>
        <w:t>.</w:t>
      </w:r>
      <w:r w:rsidR="001542DA">
        <w:rPr>
          <w:rFonts w:asciiTheme="minorHAnsi" w:hAnsiTheme="minorHAnsi"/>
          <w:bCs/>
          <w:lang w:val="en-GB"/>
        </w:rPr>
        <w:t xml:space="preserve"> </w:t>
      </w:r>
      <w:r w:rsidR="0023443E">
        <w:rPr>
          <w:rFonts w:asciiTheme="minorHAnsi" w:hAnsiTheme="minorHAnsi"/>
          <w:bCs/>
          <w:lang w:val="en-GB"/>
        </w:rPr>
        <w:t xml:space="preserve">The </w:t>
      </w:r>
      <w:r w:rsidR="001542DA">
        <w:rPr>
          <w:rFonts w:asciiTheme="minorHAnsi" w:hAnsiTheme="minorHAnsi"/>
          <w:bCs/>
          <w:lang w:val="en-GB"/>
        </w:rPr>
        <w:t xml:space="preserve">ocular </w:t>
      </w:r>
      <w:r w:rsidR="00614909">
        <w:rPr>
          <w:rFonts w:asciiTheme="minorHAnsi" w:hAnsiTheme="minorHAnsi"/>
          <w:bCs/>
          <w:lang w:val="en-GB"/>
        </w:rPr>
        <w:t>SAEs</w:t>
      </w:r>
      <w:r w:rsidR="001542DA">
        <w:rPr>
          <w:rFonts w:asciiTheme="minorHAnsi" w:hAnsiTheme="minorHAnsi"/>
          <w:bCs/>
          <w:lang w:val="en-GB"/>
        </w:rPr>
        <w:t xml:space="preserve"> </w:t>
      </w:r>
      <w:r w:rsidR="00CC0337">
        <w:rPr>
          <w:rFonts w:asciiTheme="minorHAnsi" w:hAnsiTheme="minorHAnsi"/>
          <w:bCs/>
          <w:lang w:val="en-GB"/>
        </w:rPr>
        <w:t xml:space="preserve">that occurred more frequently with brolucizumab </w:t>
      </w:r>
      <w:r w:rsidR="0023443E">
        <w:rPr>
          <w:rFonts w:asciiTheme="minorHAnsi" w:hAnsiTheme="minorHAnsi"/>
          <w:bCs/>
          <w:lang w:val="en-GB"/>
        </w:rPr>
        <w:t>include</w:t>
      </w:r>
      <w:r w:rsidR="00614909">
        <w:rPr>
          <w:rFonts w:asciiTheme="minorHAnsi" w:hAnsiTheme="minorHAnsi"/>
          <w:bCs/>
          <w:lang w:val="en-GB"/>
        </w:rPr>
        <w:t>d</w:t>
      </w:r>
      <w:r w:rsidR="001542DA">
        <w:rPr>
          <w:rFonts w:asciiTheme="minorHAnsi" w:hAnsiTheme="minorHAnsi"/>
          <w:bCs/>
          <w:lang w:val="en-GB"/>
        </w:rPr>
        <w:t xml:space="preserve"> uveitis, vitreous floater and retinal pigment epithelial tear</w:t>
      </w:r>
      <w:r w:rsidR="0023443E">
        <w:rPr>
          <w:rFonts w:asciiTheme="minorHAnsi" w:hAnsiTheme="minorHAnsi"/>
          <w:bCs/>
          <w:lang w:val="en-GB"/>
        </w:rPr>
        <w:t>.</w:t>
      </w:r>
      <w:r w:rsidR="00AE4F6F">
        <w:rPr>
          <w:rFonts w:asciiTheme="minorHAnsi" w:hAnsiTheme="minorHAnsi"/>
          <w:bCs/>
          <w:lang w:val="en-GB"/>
        </w:rPr>
        <w:t xml:space="preserve"> The PBAC considered that</w:t>
      </w:r>
      <w:r w:rsidR="00A64DEF">
        <w:rPr>
          <w:rFonts w:asciiTheme="minorHAnsi" w:hAnsiTheme="minorHAnsi"/>
          <w:bCs/>
          <w:lang w:val="en-GB"/>
        </w:rPr>
        <w:t xml:space="preserve"> the safety profile of brolucizumab is uncertain compared to its comparators, and there are potential associated cost implications.</w:t>
      </w:r>
    </w:p>
    <w:p w:rsidR="008059F6" w:rsidRPr="008059F6" w:rsidRDefault="008059F6" w:rsidP="00F46163">
      <w:pPr>
        <w:numPr>
          <w:ilvl w:val="1"/>
          <w:numId w:val="1"/>
        </w:numPr>
        <w:spacing w:after="120"/>
        <w:rPr>
          <w:rFonts w:asciiTheme="minorHAnsi" w:hAnsiTheme="minorHAnsi"/>
          <w:bCs/>
          <w:lang w:val="en-GB"/>
        </w:rPr>
      </w:pPr>
      <w:r w:rsidRPr="008059F6">
        <w:rPr>
          <w:rFonts w:asciiTheme="minorHAnsi" w:hAnsiTheme="minorHAnsi"/>
          <w:bCs/>
          <w:lang w:val="en-GB"/>
        </w:rPr>
        <w:t>The PBAC did not consider brolucizumab would provide the benefit of less frequent dosing compared with currently available anti-VEGFs</w:t>
      </w:r>
      <w:r w:rsidR="008D54E3">
        <w:rPr>
          <w:rFonts w:asciiTheme="minorHAnsi" w:hAnsiTheme="minorHAnsi"/>
          <w:bCs/>
          <w:lang w:val="en-GB"/>
        </w:rPr>
        <w:t xml:space="preserve"> (as claimed in the submission)</w:t>
      </w:r>
      <w:r w:rsidRPr="008059F6">
        <w:rPr>
          <w:rFonts w:asciiTheme="minorHAnsi" w:hAnsiTheme="minorHAnsi"/>
          <w:bCs/>
          <w:lang w:val="en-GB"/>
        </w:rPr>
        <w:t xml:space="preserve">, while maintaining the same efficacy, because the dosing regimens for brolucizumab and aflibercept in both HAWK and HARRIER were not as flexible as those specified in the respective PIs. Specifically, the PBAC considered that the results of these trials may not be realised in Australian clinical practice because: </w:t>
      </w:r>
    </w:p>
    <w:p w:rsidR="008059F6" w:rsidRPr="008059F6" w:rsidRDefault="008059F6" w:rsidP="00F46163">
      <w:pPr>
        <w:pStyle w:val="ListParagraph"/>
        <w:numPr>
          <w:ilvl w:val="0"/>
          <w:numId w:val="37"/>
        </w:numPr>
        <w:spacing w:after="120"/>
        <w:rPr>
          <w:rFonts w:asciiTheme="minorHAnsi" w:hAnsiTheme="minorHAnsi"/>
          <w:bCs/>
          <w:lang w:val="en-GB"/>
        </w:rPr>
      </w:pPr>
      <w:r w:rsidRPr="008059F6">
        <w:rPr>
          <w:rFonts w:asciiTheme="minorHAnsi" w:hAnsiTheme="minorHAnsi"/>
          <w:bCs/>
          <w:lang w:val="en-GB"/>
        </w:rPr>
        <w:t xml:space="preserve">Patients in the aflibercept arm could not extend treatment intervals beyond 8 weeks; </w:t>
      </w:r>
    </w:p>
    <w:p w:rsidR="008059F6" w:rsidRPr="008059F6" w:rsidRDefault="008059F6" w:rsidP="00F46163">
      <w:pPr>
        <w:pStyle w:val="ListParagraph"/>
        <w:numPr>
          <w:ilvl w:val="0"/>
          <w:numId w:val="37"/>
        </w:numPr>
        <w:spacing w:after="120"/>
        <w:rPr>
          <w:rFonts w:asciiTheme="minorHAnsi" w:hAnsiTheme="minorHAnsi"/>
          <w:bCs/>
          <w:lang w:val="en-GB"/>
        </w:rPr>
      </w:pPr>
      <w:r w:rsidRPr="008059F6">
        <w:rPr>
          <w:rFonts w:asciiTheme="minorHAnsi" w:hAnsiTheme="minorHAnsi"/>
          <w:bCs/>
          <w:lang w:val="en-GB"/>
        </w:rPr>
        <w:t>The probability of a patient maintaining a 12 weekly dosing regi</w:t>
      </w:r>
      <w:r w:rsidR="00A6331C">
        <w:rPr>
          <w:rFonts w:asciiTheme="minorHAnsi" w:hAnsiTheme="minorHAnsi"/>
          <w:bCs/>
          <w:lang w:val="en-GB"/>
        </w:rPr>
        <w:t>men for brolucizumab up to Week </w:t>
      </w:r>
      <w:r w:rsidRPr="008059F6">
        <w:rPr>
          <w:rFonts w:asciiTheme="minorHAnsi" w:hAnsiTheme="minorHAnsi"/>
          <w:bCs/>
          <w:lang w:val="en-GB"/>
        </w:rPr>
        <w:t>44 was only 51-5</w:t>
      </w:r>
      <w:r w:rsidR="00A6331C">
        <w:rPr>
          <w:rFonts w:asciiTheme="minorHAnsi" w:hAnsiTheme="minorHAnsi"/>
          <w:bCs/>
          <w:lang w:val="en-GB"/>
        </w:rPr>
        <w:t>6%, and further reduced by Week </w:t>
      </w:r>
      <w:r w:rsidRPr="008059F6">
        <w:rPr>
          <w:rFonts w:asciiTheme="minorHAnsi" w:hAnsiTheme="minorHAnsi"/>
          <w:bCs/>
          <w:lang w:val="en-GB"/>
        </w:rPr>
        <w:t>92;</w:t>
      </w:r>
    </w:p>
    <w:p w:rsidR="008059F6" w:rsidRPr="008059F6" w:rsidRDefault="008059F6" w:rsidP="00F46163">
      <w:pPr>
        <w:pStyle w:val="ListParagraph"/>
        <w:numPr>
          <w:ilvl w:val="0"/>
          <w:numId w:val="37"/>
        </w:numPr>
        <w:spacing w:after="120"/>
        <w:rPr>
          <w:rFonts w:asciiTheme="minorHAnsi" w:hAnsiTheme="minorHAnsi"/>
          <w:bCs/>
          <w:lang w:val="en-GB"/>
        </w:rPr>
      </w:pPr>
      <w:r w:rsidRPr="008059F6">
        <w:rPr>
          <w:rFonts w:asciiTheme="minorHAnsi" w:hAnsiTheme="minorHAnsi"/>
          <w:bCs/>
          <w:lang w:val="en-GB"/>
        </w:rPr>
        <w:t xml:space="preserve">The treatment regimen for brolucizumab in the trials (q12w with the option of changing to q8w for the remainder of the study) was less flexible than the individualised treatment proposed in the draft PI (q12w with flexibility to treat as often as q8w). </w:t>
      </w:r>
    </w:p>
    <w:p w:rsidR="00DA36E3" w:rsidRPr="0047047C" w:rsidRDefault="002500C5" w:rsidP="00F46163">
      <w:pPr>
        <w:pStyle w:val="3Bodytext"/>
        <w:numPr>
          <w:ilvl w:val="1"/>
          <w:numId w:val="1"/>
        </w:numPr>
        <w:rPr>
          <w:rFonts w:eastAsia="Times New Roman" w:cs="Arial"/>
          <w:bCs/>
          <w:snapToGrid w:val="0"/>
          <w:szCs w:val="24"/>
          <w:lang w:val="en-GB" w:eastAsia="en-AU"/>
        </w:rPr>
      </w:pPr>
      <w:r>
        <w:rPr>
          <w:rFonts w:eastAsia="Times New Roman" w:cs="Arial"/>
          <w:bCs/>
          <w:snapToGrid w:val="0"/>
          <w:szCs w:val="24"/>
          <w:lang w:val="en-GB" w:eastAsia="en-AU"/>
        </w:rPr>
        <w:t xml:space="preserve">The PBAC considered </w:t>
      </w:r>
      <w:r w:rsidR="009667E7">
        <w:rPr>
          <w:rFonts w:eastAsia="Times New Roman" w:cs="Arial"/>
          <w:bCs/>
          <w:snapToGrid w:val="0"/>
          <w:szCs w:val="24"/>
          <w:lang w:val="en-GB" w:eastAsia="en-AU"/>
        </w:rPr>
        <w:t xml:space="preserve">that </w:t>
      </w:r>
      <w:r w:rsidR="00655A39">
        <w:rPr>
          <w:rFonts w:eastAsia="Times New Roman" w:cs="Arial"/>
          <w:bCs/>
          <w:snapToGrid w:val="0"/>
          <w:szCs w:val="24"/>
          <w:lang w:val="en-GB" w:eastAsia="en-AU"/>
        </w:rPr>
        <w:t>the proposed equi-effective</w:t>
      </w:r>
      <w:r w:rsidR="006054AC">
        <w:rPr>
          <w:rFonts w:eastAsia="Times New Roman" w:cs="Arial"/>
          <w:bCs/>
          <w:snapToGrid w:val="0"/>
          <w:szCs w:val="24"/>
          <w:lang w:val="en-GB" w:eastAsia="en-AU"/>
        </w:rPr>
        <w:t xml:space="preserve"> doses</w:t>
      </w:r>
      <w:r w:rsidR="00655A39">
        <w:rPr>
          <w:rFonts w:eastAsia="Times New Roman" w:cs="Arial"/>
          <w:bCs/>
          <w:snapToGrid w:val="0"/>
          <w:szCs w:val="24"/>
          <w:lang w:val="en-GB" w:eastAsia="en-AU"/>
        </w:rPr>
        <w:t xml:space="preserve"> of </w:t>
      </w:r>
      <w:r w:rsidR="00614909">
        <w:rPr>
          <w:iCs/>
        </w:rPr>
        <w:t xml:space="preserve">brolucizumab </w:t>
      </w:r>
      <w:r w:rsidR="00655A39">
        <w:rPr>
          <w:rFonts w:eastAsia="Times New Roman" w:cs="Arial"/>
          <w:bCs/>
          <w:snapToGrid w:val="0"/>
          <w:szCs w:val="24"/>
          <w:lang w:val="en-US" w:eastAsia="en-AU"/>
        </w:rPr>
        <w:t>6</w:t>
      </w:r>
      <w:r w:rsidR="00ED53C5">
        <w:rPr>
          <w:rFonts w:eastAsia="Times New Roman" w:cs="Arial"/>
          <w:bCs/>
          <w:snapToGrid w:val="0"/>
          <w:szCs w:val="24"/>
          <w:lang w:val="en-US" w:eastAsia="en-AU"/>
        </w:rPr>
        <w:t> mg x </w:t>
      </w:r>
      <w:r w:rsidR="005D7DE1">
        <w:rPr>
          <w:rFonts w:eastAsia="Times New Roman" w:cs="Arial"/>
          <w:bCs/>
          <w:noProof/>
          <w:snapToGrid w:val="0"/>
          <w:color w:val="000000"/>
          <w:szCs w:val="24"/>
          <w:highlight w:val="black"/>
          <w:lang w:val="en-US" w:eastAsia="en-AU"/>
        </w:rPr>
        <w:t>''''''''</w:t>
      </w:r>
      <w:r w:rsidR="00655A39">
        <w:rPr>
          <w:rFonts w:eastAsia="Times New Roman" w:cs="Arial"/>
          <w:bCs/>
          <w:snapToGrid w:val="0"/>
          <w:szCs w:val="24"/>
          <w:lang w:val="en-US" w:eastAsia="en-AU"/>
        </w:rPr>
        <w:t xml:space="preserve"> per year vs </w:t>
      </w:r>
      <w:r w:rsidR="00614909">
        <w:rPr>
          <w:rFonts w:eastAsia="Times New Roman" w:cs="Arial"/>
          <w:bCs/>
          <w:snapToGrid w:val="0"/>
          <w:szCs w:val="24"/>
          <w:lang w:val="en-US" w:eastAsia="en-AU"/>
        </w:rPr>
        <w:t>aflibercept</w:t>
      </w:r>
      <w:r w:rsidR="00655A39">
        <w:rPr>
          <w:rFonts w:eastAsia="Times New Roman" w:cs="Arial"/>
          <w:bCs/>
          <w:snapToGrid w:val="0"/>
          <w:szCs w:val="24"/>
          <w:lang w:val="en-US" w:eastAsia="en-AU"/>
        </w:rPr>
        <w:t xml:space="preserve"> 2</w:t>
      </w:r>
      <w:r w:rsidR="006054AC">
        <w:rPr>
          <w:rFonts w:eastAsia="Times New Roman" w:cs="Arial"/>
          <w:bCs/>
          <w:snapToGrid w:val="0"/>
          <w:szCs w:val="24"/>
          <w:lang w:val="en-US" w:eastAsia="en-AU"/>
        </w:rPr>
        <w:t> </w:t>
      </w:r>
      <w:r w:rsidR="00655A39">
        <w:rPr>
          <w:rFonts w:eastAsia="Times New Roman" w:cs="Arial"/>
          <w:bCs/>
          <w:snapToGrid w:val="0"/>
          <w:szCs w:val="24"/>
          <w:lang w:val="en-US" w:eastAsia="en-AU"/>
        </w:rPr>
        <w:t xml:space="preserve">mg x </w:t>
      </w:r>
      <w:r w:rsidR="005D7DE1">
        <w:rPr>
          <w:rFonts w:eastAsia="Times New Roman" w:cs="Arial"/>
          <w:bCs/>
          <w:noProof/>
          <w:snapToGrid w:val="0"/>
          <w:color w:val="000000"/>
          <w:szCs w:val="24"/>
          <w:highlight w:val="black"/>
          <w:lang w:val="en-US" w:eastAsia="en-AU"/>
        </w:rPr>
        <w:t>''''''''</w:t>
      </w:r>
      <w:r w:rsidR="00655A39">
        <w:rPr>
          <w:rFonts w:eastAsia="Times New Roman" w:cs="Arial"/>
          <w:bCs/>
          <w:snapToGrid w:val="0"/>
          <w:szCs w:val="24"/>
          <w:lang w:val="en-US" w:eastAsia="en-AU"/>
        </w:rPr>
        <w:t xml:space="preserve"> per year</w:t>
      </w:r>
      <w:r w:rsidR="00655A39" w:rsidRPr="002500C5">
        <w:rPr>
          <w:rFonts w:eastAsia="Times New Roman" w:cs="Arial"/>
          <w:bCs/>
          <w:snapToGrid w:val="0"/>
          <w:szCs w:val="24"/>
          <w:lang w:val="en-GB" w:eastAsia="en-AU"/>
        </w:rPr>
        <w:t xml:space="preserve"> </w:t>
      </w:r>
      <w:r w:rsidR="004B3CC5">
        <w:rPr>
          <w:rFonts w:eastAsia="Times New Roman" w:cs="Arial"/>
          <w:bCs/>
          <w:snapToGrid w:val="0"/>
          <w:szCs w:val="24"/>
          <w:lang w:val="en-GB" w:eastAsia="en-AU"/>
        </w:rPr>
        <w:t>w</w:t>
      </w:r>
      <w:r w:rsidR="009408FA">
        <w:rPr>
          <w:rFonts w:eastAsia="Times New Roman" w:cs="Arial"/>
          <w:bCs/>
          <w:snapToGrid w:val="0"/>
          <w:szCs w:val="24"/>
          <w:lang w:val="en-GB" w:eastAsia="en-AU"/>
        </w:rPr>
        <w:t>ere</w:t>
      </w:r>
      <w:r w:rsidR="00655A39">
        <w:rPr>
          <w:rFonts w:eastAsia="Times New Roman" w:cs="Arial"/>
          <w:bCs/>
          <w:snapToGrid w:val="0"/>
          <w:szCs w:val="24"/>
          <w:lang w:val="en-GB" w:eastAsia="en-AU"/>
        </w:rPr>
        <w:t xml:space="preserve"> inappropriate</w:t>
      </w:r>
      <w:r w:rsidR="006054AC">
        <w:rPr>
          <w:rFonts w:eastAsia="Times New Roman" w:cs="Arial"/>
          <w:bCs/>
          <w:snapToGrid w:val="0"/>
          <w:szCs w:val="24"/>
          <w:lang w:val="en-GB" w:eastAsia="en-AU"/>
        </w:rPr>
        <w:t>,</w:t>
      </w:r>
      <w:r w:rsidR="00ED53C5">
        <w:rPr>
          <w:rFonts w:eastAsia="Times New Roman" w:cs="Arial"/>
          <w:bCs/>
          <w:snapToGrid w:val="0"/>
          <w:szCs w:val="24"/>
          <w:lang w:val="en-GB" w:eastAsia="en-AU"/>
        </w:rPr>
        <w:t xml:space="preserve"> given the</w:t>
      </w:r>
      <w:r w:rsidR="008059F6">
        <w:rPr>
          <w:rFonts w:eastAsia="Times New Roman" w:cs="Arial"/>
          <w:bCs/>
          <w:snapToGrid w:val="0"/>
          <w:szCs w:val="24"/>
          <w:lang w:val="en-GB" w:eastAsia="en-AU"/>
        </w:rPr>
        <w:t xml:space="preserve"> issues described in paragraph 7.</w:t>
      </w:r>
      <w:r w:rsidR="00BB135D">
        <w:rPr>
          <w:rFonts w:eastAsia="Times New Roman" w:cs="Arial"/>
          <w:bCs/>
          <w:snapToGrid w:val="0"/>
          <w:szCs w:val="24"/>
          <w:lang w:val="en-GB" w:eastAsia="en-AU"/>
        </w:rPr>
        <w:t>4</w:t>
      </w:r>
      <w:r w:rsidR="00655A39">
        <w:rPr>
          <w:rFonts w:eastAsia="Times New Roman" w:cs="Arial"/>
          <w:bCs/>
          <w:snapToGrid w:val="0"/>
          <w:szCs w:val="24"/>
          <w:lang w:val="en-GB" w:eastAsia="en-AU"/>
        </w:rPr>
        <w:t xml:space="preserve">. The </w:t>
      </w:r>
      <w:r w:rsidR="00635C24">
        <w:rPr>
          <w:rFonts w:eastAsia="Times New Roman" w:cs="Arial"/>
          <w:bCs/>
          <w:snapToGrid w:val="0"/>
          <w:szCs w:val="24"/>
          <w:lang w:val="en-GB" w:eastAsia="en-AU"/>
        </w:rPr>
        <w:t>PBAC</w:t>
      </w:r>
      <w:r w:rsidR="00655A39">
        <w:rPr>
          <w:rFonts w:eastAsia="Times New Roman" w:cs="Arial"/>
          <w:bCs/>
          <w:snapToGrid w:val="0"/>
          <w:szCs w:val="24"/>
          <w:lang w:val="en-GB" w:eastAsia="en-AU"/>
        </w:rPr>
        <w:t xml:space="preserve"> noted </w:t>
      </w:r>
      <w:r w:rsidR="004B3CC5">
        <w:rPr>
          <w:rFonts w:eastAsia="Times New Roman" w:cs="Arial"/>
          <w:bCs/>
          <w:snapToGrid w:val="0"/>
          <w:szCs w:val="24"/>
          <w:lang w:val="en-GB" w:eastAsia="en-AU"/>
        </w:rPr>
        <w:t xml:space="preserve">that </w:t>
      </w:r>
      <w:r w:rsidR="00655A39">
        <w:rPr>
          <w:rFonts w:eastAsia="Times New Roman" w:cs="Arial"/>
          <w:bCs/>
          <w:snapToGrid w:val="0"/>
          <w:szCs w:val="24"/>
          <w:lang w:val="en-GB" w:eastAsia="en-AU"/>
        </w:rPr>
        <w:t>i</w:t>
      </w:r>
      <w:r w:rsidR="0023379A">
        <w:rPr>
          <w:rFonts w:eastAsia="Times New Roman" w:cs="Arial"/>
          <w:bCs/>
          <w:snapToGrid w:val="0"/>
          <w:szCs w:val="24"/>
          <w:lang w:val="en-GB" w:eastAsia="en-AU"/>
        </w:rPr>
        <w:t>n</w:t>
      </w:r>
      <w:r w:rsidR="00450091">
        <w:rPr>
          <w:rFonts w:eastAsia="Times New Roman" w:cs="Arial"/>
          <w:bCs/>
          <w:snapToGrid w:val="0"/>
          <w:szCs w:val="24"/>
          <w:lang w:val="en-GB" w:eastAsia="en-AU"/>
        </w:rPr>
        <w:t xml:space="preserve"> Australian practice,</w:t>
      </w:r>
      <w:r w:rsidR="0023379A">
        <w:rPr>
          <w:rFonts w:eastAsia="Times New Roman" w:cs="Arial"/>
          <w:bCs/>
          <w:snapToGrid w:val="0"/>
          <w:szCs w:val="24"/>
          <w:lang w:val="en-GB" w:eastAsia="en-AU"/>
        </w:rPr>
        <w:t xml:space="preserve"> the</w:t>
      </w:r>
      <w:r w:rsidR="00635C24">
        <w:rPr>
          <w:rFonts w:eastAsia="Times New Roman" w:cs="Arial"/>
          <w:bCs/>
          <w:snapToGrid w:val="0"/>
          <w:szCs w:val="24"/>
          <w:lang w:val="en-GB" w:eastAsia="en-AU"/>
        </w:rPr>
        <w:t xml:space="preserve"> </w:t>
      </w:r>
      <w:r w:rsidR="008059F6">
        <w:rPr>
          <w:rFonts w:eastAsia="Times New Roman" w:cs="Arial"/>
          <w:bCs/>
          <w:snapToGrid w:val="0"/>
          <w:szCs w:val="24"/>
          <w:lang w:val="en-GB" w:eastAsia="en-AU"/>
        </w:rPr>
        <w:t>‘treat and extend’</w:t>
      </w:r>
      <w:r w:rsidR="00BB135D">
        <w:rPr>
          <w:rFonts w:eastAsia="Times New Roman" w:cs="Arial"/>
          <w:bCs/>
          <w:snapToGrid w:val="0"/>
          <w:szCs w:val="24"/>
          <w:lang w:val="en-GB" w:eastAsia="en-AU"/>
        </w:rPr>
        <w:t xml:space="preserve"> </w:t>
      </w:r>
      <w:r w:rsidR="00D6426C">
        <w:rPr>
          <w:rFonts w:eastAsia="Times New Roman" w:cs="Arial"/>
          <w:bCs/>
          <w:snapToGrid w:val="0"/>
          <w:szCs w:val="24"/>
          <w:lang w:val="en-GB" w:eastAsia="en-AU"/>
        </w:rPr>
        <w:t xml:space="preserve">regimen </w:t>
      </w:r>
      <w:r w:rsidR="00450091">
        <w:rPr>
          <w:rFonts w:eastAsia="Times New Roman" w:cs="Arial"/>
          <w:bCs/>
          <w:snapToGrid w:val="0"/>
          <w:szCs w:val="24"/>
          <w:lang w:val="en-GB" w:eastAsia="en-AU"/>
        </w:rPr>
        <w:t>is expected and should apply</w:t>
      </w:r>
      <w:r w:rsidR="00D6426C">
        <w:rPr>
          <w:rFonts w:eastAsia="Times New Roman" w:cs="Arial"/>
          <w:bCs/>
          <w:snapToGrid w:val="0"/>
          <w:szCs w:val="24"/>
          <w:lang w:val="en-GB" w:eastAsia="en-AU"/>
        </w:rPr>
        <w:t xml:space="preserve"> to all anti-VEGF injections</w:t>
      </w:r>
      <w:r w:rsidR="00635C24">
        <w:rPr>
          <w:rFonts w:eastAsia="Times New Roman" w:cs="Arial"/>
          <w:bCs/>
          <w:snapToGrid w:val="0"/>
          <w:szCs w:val="24"/>
          <w:lang w:val="en-GB" w:eastAsia="en-AU"/>
        </w:rPr>
        <w:t>,</w:t>
      </w:r>
      <w:r w:rsidR="00D6426C">
        <w:rPr>
          <w:rFonts w:eastAsia="Times New Roman" w:cs="Arial"/>
          <w:bCs/>
          <w:snapToGrid w:val="0"/>
          <w:szCs w:val="24"/>
          <w:lang w:val="en-GB" w:eastAsia="en-AU"/>
        </w:rPr>
        <w:t xml:space="preserve"> and</w:t>
      </w:r>
      <w:r w:rsidR="00655A39">
        <w:rPr>
          <w:rFonts w:eastAsia="Times New Roman" w:cs="Arial"/>
          <w:bCs/>
          <w:snapToGrid w:val="0"/>
          <w:szCs w:val="24"/>
          <w:lang w:val="en-GB" w:eastAsia="en-AU"/>
        </w:rPr>
        <w:t xml:space="preserve"> considered</w:t>
      </w:r>
      <w:r w:rsidR="00D6426C">
        <w:rPr>
          <w:rFonts w:eastAsia="Times New Roman" w:cs="Arial"/>
          <w:bCs/>
          <w:snapToGrid w:val="0"/>
          <w:szCs w:val="24"/>
          <w:lang w:val="en-GB" w:eastAsia="en-AU"/>
        </w:rPr>
        <w:t xml:space="preserve"> </w:t>
      </w:r>
      <w:r w:rsidR="00EF6DB6">
        <w:rPr>
          <w:rFonts w:eastAsia="Times New Roman" w:cs="Arial"/>
          <w:bCs/>
          <w:snapToGrid w:val="0"/>
          <w:szCs w:val="24"/>
          <w:lang w:val="en-GB" w:eastAsia="en-AU"/>
        </w:rPr>
        <w:t xml:space="preserve">that </w:t>
      </w:r>
      <w:r w:rsidR="00D6426C">
        <w:rPr>
          <w:rFonts w:eastAsia="Times New Roman" w:cs="Arial"/>
          <w:bCs/>
          <w:snapToGrid w:val="0"/>
          <w:szCs w:val="24"/>
          <w:lang w:val="en-GB" w:eastAsia="en-AU"/>
        </w:rPr>
        <w:t>the</w:t>
      </w:r>
      <w:r w:rsidR="00450091">
        <w:rPr>
          <w:rFonts w:eastAsia="Times New Roman" w:cs="Arial"/>
          <w:bCs/>
          <w:snapToGrid w:val="0"/>
          <w:szCs w:val="24"/>
          <w:lang w:val="en-GB" w:eastAsia="en-AU"/>
        </w:rPr>
        <w:t>re are</w:t>
      </w:r>
      <w:r w:rsidR="00EF6DB6">
        <w:rPr>
          <w:rFonts w:eastAsia="Times New Roman" w:cs="Arial"/>
          <w:bCs/>
          <w:snapToGrid w:val="0"/>
          <w:szCs w:val="24"/>
          <w:lang w:val="en-GB" w:eastAsia="en-AU"/>
        </w:rPr>
        <w:t xml:space="preserve"> no clinical reasons for</w:t>
      </w:r>
      <w:r w:rsidR="00001B02">
        <w:rPr>
          <w:rFonts w:eastAsia="Times New Roman" w:cs="Arial"/>
          <w:bCs/>
          <w:snapToGrid w:val="0"/>
          <w:szCs w:val="24"/>
          <w:lang w:val="en-GB" w:eastAsia="en-AU"/>
        </w:rPr>
        <w:t xml:space="preserve"> dosing frequencies</w:t>
      </w:r>
      <w:r w:rsidR="00D6426C">
        <w:rPr>
          <w:rFonts w:eastAsia="Times New Roman" w:cs="Arial"/>
          <w:bCs/>
          <w:snapToGrid w:val="0"/>
          <w:szCs w:val="24"/>
          <w:lang w:val="en-GB" w:eastAsia="en-AU"/>
        </w:rPr>
        <w:t xml:space="preserve"> amongst them</w:t>
      </w:r>
      <w:r w:rsidR="00EF6DB6">
        <w:rPr>
          <w:rFonts w:eastAsia="Times New Roman" w:cs="Arial"/>
          <w:bCs/>
          <w:snapToGrid w:val="0"/>
          <w:szCs w:val="24"/>
          <w:lang w:val="en-GB" w:eastAsia="en-AU"/>
        </w:rPr>
        <w:t xml:space="preserve"> to be different to each other.</w:t>
      </w:r>
      <w:r w:rsidR="00D6426C">
        <w:rPr>
          <w:rFonts w:eastAsia="Times New Roman" w:cs="Arial"/>
          <w:bCs/>
          <w:snapToGrid w:val="0"/>
          <w:szCs w:val="24"/>
          <w:lang w:val="en-GB" w:eastAsia="en-AU"/>
        </w:rPr>
        <w:t xml:space="preserve"> </w:t>
      </w:r>
      <w:r w:rsidR="003C5869">
        <w:t xml:space="preserve">The PBAC considered that </w:t>
      </w:r>
      <w:r w:rsidR="003C5869">
        <w:rPr>
          <w:color w:val="000000" w:themeColor="text1"/>
        </w:rPr>
        <w:t xml:space="preserve">the CMA should </w:t>
      </w:r>
      <w:r w:rsidR="00ED53C5">
        <w:rPr>
          <w:color w:val="000000" w:themeColor="text1"/>
        </w:rPr>
        <w:t>assume</w:t>
      </w:r>
      <w:r w:rsidR="003C5869">
        <w:rPr>
          <w:color w:val="000000" w:themeColor="text1"/>
        </w:rPr>
        <w:t xml:space="preserve"> an identical number of injections (6.03) for aflibercept/ranibizumab and brolucizumab</w:t>
      </w:r>
      <w:r w:rsidR="0047047C">
        <w:rPr>
          <w:color w:val="000000" w:themeColor="text1"/>
        </w:rPr>
        <w:t xml:space="preserve">, as </w:t>
      </w:r>
      <w:r w:rsidR="0047047C" w:rsidRPr="009A7910">
        <w:t>it is highly uncertain that there will be any difference in injection frequency between brolucizumab</w:t>
      </w:r>
      <w:r w:rsidR="00BB135D">
        <w:t xml:space="preserve">, </w:t>
      </w:r>
      <w:r w:rsidR="0047047C" w:rsidRPr="009A7910">
        <w:t xml:space="preserve">aflibercept </w:t>
      </w:r>
      <w:r w:rsidR="00BB135D">
        <w:t xml:space="preserve">and ranibizumab </w:t>
      </w:r>
      <w:r w:rsidR="0047047C" w:rsidRPr="009A7910">
        <w:t>in clinical practice</w:t>
      </w:r>
      <w:r w:rsidR="003C5869">
        <w:rPr>
          <w:color w:val="000000" w:themeColor="text1"/>
        </w:rPr>
        <w:t>.</w:t>
      </w:r>
      <w:r w:rsidR="008059F6">
        <w:rPr>
          <w:color w:val="000000" w:themeColor="text1"/>
        </w:rPr>
        <w:t xml:space="preserve"> The PBAC noted the pre-PBAC response prov</w:t>
      </w:r>
      <w:r w:rsidR="005807E0">
        <w:rPr>
          <w:color w:val="000000" w:themeColor="text1"/>
        </w:rPr>
        <w:t>ided revised prices bases on 1:</w:t>
      </w:r>
      <w:r w:rsidR="008059F6">
        <w:rPr>
          <w:color w:val="000000" w:themeColor="text1"/>
        </w:rPr>
        <w:t>1 substitution</w:t>
      </w:r>
      <w:r w:rsidR="009408FA">
        <w:rPr>
          <w:color w:val="000000" w:themeColor="text1"/>
        </w:rPr>
        <w:t xml:space="preserve"> (i.e. identical number of injections)</w:t>
      </w:r>
      <w:r w:rsidR="008059F6">
        <w:rPr>
          <w:color w:val="000000" w:themeColor="text1"/>
        </w:rPr>
        <w:t xml:space="preserve">. </w:t>
      </w:r>
    </w:p>
    <w:p w:rsidR="00971CEF" w:rsidRPr="000C79A0" w:rsidRDefault="00971CEF" w:rsidP="00F46163">
      <w:pPr>
        <w:pStyle w:val="3Bodytext"/>
        <w:numPr>
          <w:ilvl w:val="1"/>
          <w:numId w:val="1"/>
        </w:numPr>
        <w:rPr>
          <w:rFonts w:eastAsia="Times New Roman" w:cs="Arial"/>
          <w:bCs/>
          <w:snapToGrid w:val="0"/>
          <w:szCs w:val="24"/>
          <w:lang w:val="en-GB" w:eastAsia="en-AU"/>
        </w:rPr>
      </w:pPr>
      <w:r>
        <w:rPr>
          <w:rFonts w:eastAsia="Times New Roman" w:cs="Arial"/>
          <w:bCs/>
          <w:snapToGrid w:val="0"/>
          <w:szCs w:val="24"/>
          <w:lang w:val="en-GB" w:eastAsia="en-AU"/>
        </w:rPr>
        <w:lastRenderedPageBreak/>
        <w:t>The PBAC considered that the financial implications were uncertain at the price</w:t>
      </w:r>
      <w:r w:rsidR="00E03E40">
        <w:rPr>
          <w:rFonts w:eastAsia="Times New Roman" w:cs="Arial"/>
          <w:bCs/>
          <w:snapToGrid w:val="0"/>
          <w:szCs w:val="24"/>
          <w:lang w:val="en-GB" w:eastAsia="en-AU"/>
        </w:rPr>
        <w:t xml:space="preserve"> proposed in the pre-PBAC response</w:t>
      </w:r>
      <w:r>
        <w:rPr>
          <w:rFonts w:eastAsia="Times New Roman" w:cs="Arial"/>
          <w:bCs/>
          <w:snapToGrid w:val="0"/>
          <w:szCs w:val="24"/>
          <w:lang w:val="en-GB" w:eastAsia="en-AU"/>
        </w:rPr>
        <w:t xml:space="preserve">. The </w:t>
      </w:r>
      <w:r w:rsidR="00E03E40">
        <w:rPr>
          <w:rFonts w:eastAsia="Times New Roman" w:cs="Arial"/>
          <w:bCs/>
          <w:snapToGrid w:val="0"/>
          <w:szCs w:val="24"/>
          <w:lang w:val="en-GB" w:eastAsia="en-AU"/>
        </w:rPr>
        <w:t xml:space="preserve">listing of brolucizumab </w:t>
      </w:r>
      <w:r>
        <w:rPr>
          <w:rFonts w:eastAsia="Times New Roman" w:cs="Arial"/>
          <w:bCs/>
          <w:snapToGrid w:val="0"/>
          <w:szCs w:val="24"/>
          <w:lang w:val="en-GB" w:eastAsia="en-AU"/>
        </w:rPr>
        <w:t>was</w:t>
      </w:r>
      <w:r w:rsidRPr="005179E5">
        <w:rPr>
          <w:rFonts w:eastAsia="Times New Roman" w:cs="Arial"/>
          <w:bCs/>
          <w:snapToGrid w:val="0"/>
          <w:szCs w:val="24"/>
          <w:lang w:val="en-GB" w:eastAsia="en-AU"/>
        </w:rPr>
        <w:t xml:space="preserve"> not cost neutral to the PBS and </w:t>
      </w:r>
      <w:r>
        <w:rPr>
          <w:rFonts w:eastAsia="Times New Roman" w:cs="Arial"/>
          <w:bCs/>
          <w:snapToGrid w:val="0"/>
          <w:szCs w:val="24"/>
          <w:lang w:val="en-GB" w:eastAsia="en-AU"/>
        </w:rPr>
        <w:t>was</w:t>
      </w:r>
      <w:r w:rsidRPr="005179E5">
        <w:rPr>
          <w:rFonts w:eastAsia="Times New Roman" w:cs="Arial"/>
          <w:bCs/>
          <w:snapToGrid w:val="0"/>
          <w:szCs w:val="24"/>
          <w:lang w:val="en-GB" w:eastAsia="en-AU"/>
        </w:rPr>
        <w:t xml:space="preserve"> associated with</w:t>
      </w:r>
      <w:r>
        <w:rPr>
          <w:rFonts w:eastAsia="Times New Roman" w:cs="Arial"/>
          <w:bCs/>
          <w:snapToGrid w:val="0"/>
          <w:szCs w:val="24"/>
          <w:lang w:val="en-GB" w:eastAsia="en-AU"/>
        </w:rPr>
        <w:t xml:space="preserve"> </w:t>
      </w:r>
      <w:r w:rsidRPr="005179E5">
        <w:rPr>
          <w:rFonts w:eastAsia="Times New Roman" w:cs="Arial"/>
          <w:bCs/>
          <w:snapToGrid w:val="0"/>
          <w:szCs w:val="24"/>
          <w:lang w:val="en-GB" w:eastAsia="en-AU"/>
        </w:rPr>
        <w:t xml:space="preserve">cost implications </w:t>
      </w:r>
      <w:r>
        <w:rPr>
          <w:rFonts w:eastAsia="Times New Roman" w:cs="Arial"/>
          <w:bCs/>
          <w:snapToGrid w:val="0"/>
          <w:szCs w:val="24"/>
          <w:lang w:val="en-GB" w:eastAsia="en-AU"/>
        </w:rPr>
        <w:t>of</w:t>
      </w:r>
      <w:r w:rsidRPr="005179E5">
        <w:rPr>
          <w:rFonts w:eastAsia="Times New Roman" w:cs="Arial"/>
          <w:bCs/>
          <w:snapToGrid w:val="0"/>
          <w:szCs w:val="24"/>
          <w:lang w:val="en-GB" w:eastAsia="en-AU"/>
        </w:rPr>
        <w:t xml:space="preserve"> a net $</w:t>
      </w:r>
      <w:r w:rsidR="004C7210">
        <w:rPr>
          <w:rFonts w:eastAsia="Times New Roman" w:cs="Arial"/>
          <w:bCs/>
          <w:snapToGrid w:val="0"/>
          <w:szCs w:val="24"/>
          <w:lang w:val="en-GB" w:eastAsia="en-AU"/>
        </w:rPr>
        <w:t>10 - $20</w:t>
      </w:r>
      <w:r w:rsidR="00E03E40" w:rsidRPr="004C7210">
        <w:rPr>
          <w:rFonts w:eastAsia="Times New Roman" w:cs="Arial"/>
          <w:bCs/>
          <w:snapToGrid w:val="0"/>
          <w:szCs w:val="24"/>
          <w:lang w:val="en-GB" w:eastAsia="en-AU"/>
        </w:rPr>
        <w:t xml:space="preserve"> </w:t>
      </w:r>
      <w:r w:rsidRPr="004C7210">
        <w:rPr>
          <w:rFonts w:eastAsia="Times New Roman" w:cs="Arial"/>
          <w:bCs/>
          <w:snapToGrid w:val="0"/>
          <w:szCs w:val="24"/>
          <w:lang w:val="en-GB" w:eastAsia="en-AU"/>
        </w:rPr>
        <w:t>million</w:t>
      </w:r>
      <w:r w:rsidRPr="005179E5">
        <w:rPr>
          <w:rFonts w:eastAsia="Times New Roman" w:cs="Arial"/>
          <w:bCs/>
          <w:snapToGrid w:val="0"/>
          <w:szCs w:val="24"/>
          <w:lang w:val="en-GB" w:eastAsia="en-AU"/>
        </w:rPr>
        <w:t xml:space="preserve"> over 6 years</w:t>
      </w:r>
      <w:r>
        <w:rPr>
          <w:rFonts w:eastAsia="Times New Roman" w:cs="Arial"/>
          <w:bCs/>
          <w:snapToGrid w:val="0"/>
          <w:szCs w:val="24"/>
          <w:lang w:val="en-GB" w:eastAsia="en-AU"/>
        </w:rPr>
        <w:t>,</w:t>
      </w:r>
      <w:r w:rsidRPr="005179E5">
        <w:rPr>
          <w:rFonts w:eastAsia="Times New Roman" w:cs="Arial"/>
          <w:bCs/>
          <w:snapToGrid w:val="0"/>
          <w:szCs w:val="24"/>
          <w:lang w:val="en-GB" w:eastAsia="en-AU"/>
        </w:rPr>
        <w:t xml:space="preserve"> due to </w:t>
      </w:r>
      <w:r w:rsidR="003A1CEC">
        <w:rPr>
          <w:rFonts w:eastAsia="Times New Roman" w:cs="Arial"/>
          <w:bCs/>
          <w:snapToGrid w:val="0"/>
          <w:szCs w:val="24"/>
          <w:lang w:val="en-GB" w:eastAsia="en-AU"/>
        </w:rPr>
        <w:t xml:space="preserve">(i) </w:t>
      </w:r>
      <w:r>
        <w:rPr>
          <w:rFonts w:eastAsia="Times New Roman" w:cs="Arial"/>
          <w:bCs/>
          <w:snapToGrid w:val="0"/>
          <w:szCs w:val="24"/>
          <w:lang w:val="en-GB" w:eastAsia="en-AU"/>
        </w:rPr>
        <w:t>the request for the</w:t>
      </w:r>
      <w:r w:rsidRPr="005179E5">
        <w:rPr>
          <w:rFonts w:eastAsia="Times New Roman" w:cs="Arial"/>
          <w:bCs/>
          <w:snapToGrid w:val="0"/>
          <w:szCs w:val="24"/>
          <w:lang w:val="en-GB" w:eastAsia="en-AU"/>
        </w:rPr>
        <w:t xml:space="preserve"> </w:t>
      </w:r>
      <w:r>
        <w:t xml:space="preserve">pre-F1 </w:t>
      </w:r>
      <w:r w:rsidRPr="00EB3FF6">
        <w:t xml:space="preserve">statutory cut comparator </w:t>
      </w:r>
      <w:r w:rsidRPr="000C79A0">
        <w:t>price to apply to brolucizumab</w:t>
      </w:r>
      <w:r>
        <w:t xml:space="preserve"> pre-2022, and</w:t>
      </w:r>
      <w:r w:rsidR="003A1CEC">
        <w:t xml:space="preserve"> (i</w:t>
      </w:r>
      <w:r w:rsidR="005807E0">
        <w:t>i</w:t>
      </w:r>
      <w:r w:rsidR="003A1CEC">
        <w:t>)</w:t>
      </w:r>
      <w:r>
        <w:t xml:space="preserve"> the </w:t>
      </w:r>
      <w:r>
        <w:rPr>
          <w:rFonts w:eastAsia="Times New Roman" w:cs="Arial"/>
          <w:bCs/>
          <w:snapToGrid w:val="0"/>
          <w:szCs w:val="24"/>
          <w:lang w:val="en-GB" w:eastAsia="en-AU"/>
        </w:rPr>
        <w:t>weighted aflibercept/ranibuzumab price to apply post-2022</w:t>
      </w:r>
      <w:r w:rsidRPr="000C79A0">
        <w:t>.</w:t>
      </w:r>
      <w:r>
        <w:t xml:space="preserve"> </w:t>
      </w:r>
    </w:p>
    <w:p w:rsidR="00AE4F6F" w:rsidRPr="00204D90" w:rsidRDefault="0050285F" w:rsidP="00F46163">
      <w:pPr>
        <w:pStyle w:val="3Bodytext"/>
        <w:numPr>
          <w:ilvl w:val="1"/>
          <w:numId w:val="1"/>
        </w:numPr>
        <w:rPr>
          <w:rFonts w:eastAsia="Times New Roman" w:cs="Arial"/>
          <w:bCs/>
          <w:snapToGrid w:val="0"/>
          <w:szCs w:val="24"/>
          <w:lang w:val="en-GB" w:eastAsia="en-AU"/>
        </w:rPr>
      </w:pPr>
      <w:r w:rsidRPr="000C77A2">
        <w:rPr>
          <w:rFonts w:eastAsia="Times New Roman" w:cs="Arial"/>
          <w:bCs/>
          <w:snapToGrid w:val="0"/>
          <w:szCs w:val="24"/>
          <w:lang w:val="en-GB" w:eastAsia="en-AU"/>
        </w:rPr>
        <w:t xml:space="preserve">The PBAC considered that any future submission </w:t>
      </w:r>
      <w:r w:rsidR="000B11AA">
        <w:rPr>
          <w:rFonts w:eastAsia="Times New Roman" w:cs="Arial"/>
          <w:bCs/>
          <w:snapToGrid w:val="0"/>
          <w:szCs w:val="24"/>
          <w:lang w:val="en-GB" w:eastAsia="en-AU"/>
        </w:rPr>
        <w:t xml:space="preserve">should address the uncertain claim of non-inferior safety </w:t>
      </w:r>
      <w:r w:rsidR="00DB2C27">
        <w:rPr>
          <w:rFonts w:eastAsia="Times New Roman" w:cs="Arial"/>
          <w:bCs/>
          <w:snapToGrid w:val="0"/>
          <w:szCs w:val="24"/>
          <w:lang w:val="en-GB" w:eastAsia="en-AU"/>
        </w:rPr>
        <w:t xml:space="preserve">and difference in safety profile through a price reduction </w:t>
      </w:r>
      <w:r w:rsidR="000B11AA">
        <w:rPr>
          <w:rFonts w:eastAsia="Times New Roman" w:cs="Arial"/>
          <w:bCs/>
          <w:snapToGrid w:val="0"/>
          <w:szCs w:val="24"/>
          <w:lang w:val="en-GB" w:eastAsia="en-AU"/>
        </w:rPr>
        <w:t xml:space="preserve">against </w:t>
      </w:r>
      <w:r w:rsidR="000B11AA" w:rsidRPr="000B11AA">
        <w:rPr>
          <w:rFonts w:eastAsia="Times New Roman" w:cs="Arial"/>
          <w:bCs/>
          <w:snapToGrid w:val="0"/>
          <w:szCs w:val="24"/>
          <w:lang w:val="en-GB" w:eastAsia="en-AU"/>
        </w:rPr>
        <w:t>the lowest cost alternative (paragraph 7.2</w:t>
      </w:r>
      <w:r w:rsidR="00DB2C27">
        <w:rPr>
          <w:rFonts w:eastAsia="Times New Roman" w:cs="Arial"/>
          <w:bCs/>
          <w:snapToGrid w:val="0"/>
          <w:szCs w:val="24"/>
          <w:lang w:val="en-GB" w:eastAsia="en-AU"/>
        </w:rPr>
        <w:t>) and</w:t>
      </w:r>
      <w:r w:rsidR="000B11AA">
        <w:rPr>
          <w:rFonts w:eastAsia="Times New Roman" w:cs="Arial"/>
          <w:bCs/>
          <w:snapToGrid w:val="0"/>
          <w:szCs w:val="24"/>
          <w:lang w:val="en-GB" w:eastAsia="en-AU"/>
        </w:rPr>
        <w:t xml:space="preserve"> assume </w:t>
      </w:r>
      <w:r w:rsidR="000B11AA" w:rsidRPr="000B11AA">
        <w:rPr>
          <w:rFonts w:eastAsia="Times New Roman" w:cs="Arial"/>
          <w:bCs/>
          <w:snapToGrid w:val="0"/>
          <w:szCs w:val="24"/>
          <w:lang w:val="en-GB" w:eastAsia="en-AU"/>
        </w:rPr>
        <w:t>1:1 substitution (paragraph 7.5)</w:t>
      </w:r>
      <w:r w:rsidR="00DB2C27">
        <w:rPr>
          <w:rFonts w:eastAsia="Times New Roman" w:cs="Arial"/>
          <w:bCs/>
          <w:snapToGrid w:val="0"/>
          <w:szCs w:val="24"/>
          <w:lang w:val="en-GB" w:eastAsia="en-AU"/>
        </w:rPr>
        <w:t>.</w:t>
      </w:r>
      <w:r w:rsidR="000B11AA" w:rsidRPr="000B11AA">
        <w:rPr>
          <w:rFonts w:eastAsia="Times New Roman" w:cs="Arial"/>
          <w:bCs/>
          <w:snapToGrid w:val="0"/>
          <w:szCs w:val="24"/>
          <w:lang w:val="en-GB" w:eastAsia="en-AU"/>
        </w:rPr>
        <w:t xml:space="preserve"> </w:t>
      </w:r>
    </w:p>
    <w:p w:rsidR="004B370F" w:rsidRPr="00792CCD" w:rsidRDefault="004B370F" w:rsidP="00F46163">
      <w:pPr>
        <w:pStyle w:val="3Bodytext"/>
        <w:numPr>
          <w:ilvl w:val="1"/>
          <w:numId w:val="1"/>
        </w:numPr>
        <w:rPr>
          <w:rFonts w:eastAsia="Times New Roman" w:cs="Arial"/>
          <w:bCs/>
          <w:snapToGrid w:val="0"/>
          <w:szCs w:val="24"/>
          <w:lang w:val="en-GB" w:eastAsia="en-AU"/>
        </w:rPr>
      </w:pPr>
      <w:r w:rsidRPr="000C77A2">
        <w:rPr>
          <w:rFonts w:eastAsia="Times New Roman" w:cs="Arial"/>
          <w:bCs/>
          <w:snapToGrid w:val="0"/>
          <w:szCs w:val="24"/>
          <w:lang w:val="en-GB" w:eastAsia="en-AU"/>
        </w:rPr>
        <w:t>The PBAC n</w:t>
      </w:r>
      <w:r w:rsidR="00E7162D" w:rsidRPr="000C77A2">
        <w:rPr>
          <w:rFonts w:eastAsia="Times New Roman" w:cs="Arial"/>
          <w:bCs/>
          <w:snapToGrid w:val="0"/>
          <w:szCs w:val="24"/>
          <w:lang w:val="en-GB" w:eastAsia="en-AU"/>
        </w:rPr>
        <w:t>oted that this submission is</w:t>
      </w:r>
      <w:r w:rsidRPr="000C77A2">
        <w:rPr>
          <w:rFonts w:eastAsia="Times New Roman" w:cs="Arial"/>
          <w:bCs/>
          <w:snapToGrid w:val="0"/>
          <w:szCs w:val="24"/>
          <w:lang w:val="en-GB" w:eastAsia="en-AU"/>
        </w:rPr>
        <w:t xml:space="preserve"> eligible</w:t>
      </w:r>
      <w:r w:rsidRPr="00792CCD">
        <w:rPr>
          <w:rFonts w:eastAsia="Times New Roman" w:cs="Arial"/>
          <w:bCs/>
          <w:snapToGrid w:val="0"/>
          <w:szCs w:val="24"/>
          <w:lang w:val="en-GB" w:eastAsia="en-AU"/>
        </w:rPr>
        <w:t xml:space="preserve"> for an Independent Review</w:t>
      </w:r>
      <w:r w:rsidR="00204D90">
        <w:rPr>
          <w:rFonts w:eastAsia="Times New Roman" w:cs="Arial"/>
          <w:bCs/>
          <w:snapToGrid w:val="0"/>
          <w:szCs w:val="24"/>
          <w:lang w:val="en-GB" w:eastAsia="en-AU"/>
        </w:rPr>
        <w:t>.</w:t>
      </w:r>
      <w:r w:rsidRPr="00792CCD">
        <w:rPr>
          <w:rFonts w:eastAsia="Times New Roman" w:cs="Arial"/>
          <w:bCs/>
          <w:snapToGrid w:val="0"/>
          <w:szCs w:val="24"/>
          <w:lang w:val="en-GB" w:eastAsia="en-AU"/>
        </w:rPr>
        <w:t xml:space="preserve"> </w:t>
      </w:r>
    </w:p>
    <w:p w:rsidR="009F410E" w:rsidRPr="00525B39" w:rsidRDefault="009F410E" w:rsidP="00CB2B7B">
      <w:pPr>
        <w:rPr>
          <w:rFonts w:asciiTheme="minorHAnsi" w:hAnsiTheme="minorHAnsi"/>
          <w:b/>
          <w:bCs/>
          <w:lang w:val="en-GB"/>
        </w:rPr>
      </w:pPr>
      <w:r w:rsidRPr="00525B39">
        <w:rPr>
          <w:rFonts w:asciiTheme="minorHAnsi" w:hAnsiTheme="minorHAnsi"/>
          <w:b/>
          <w:bCs/>
          <w:lang w:val="en-GB"/>
        </w:rPr>
        <w:t>Outcome:</w:t>
      </w:r>
    </w:p>
    <w:p w:rsidR="00824C04" w:rsidRDefault="000A758A" w:rsidP="00CB2B7B">
      <w:pPr>
        <w:rPr>
          <w:rFonts w:asciiTheme="minorHAnsi" w:hAnsiTheme="minorHAnsi"/>
          <w:bCs/>
          <w:lang w:val="en-GB"/>
        </w:rPr>
      </w:pPr>
      <w:r>
        <w:rPr>
          <w:rFonts w:asciiTheme="minorHAnsi" w:hAnsiTheme="minorHAnsi"/>
          <w:bCs/>
          <w:lang w:val="en-GB"/>
        </w:rPr>
        <w:t>Rejected</w:t>
      </w:r>
    </w:p>
    <w:p w:rsidR="00824C04" w:rsidRPr="00E3097C" w:rsidRDefault="00824C04" w:rsidP="00824C04">
      <w:pPr>
        <w:pStyle w:val="2Sections"/>
        <w:numPr>
          <w:ilvl w:val="0"/>
          <w:numId w:val="1"/>
        </w:numPr>
        <w:rPr>
          <w:rFonts w:cstheme="minorHAnsi"/>
        </w:rPr>
      </w:pPr>
      <w:r>
        <w:t xml:space="preserve">Context for Decision </w:t>
      </w:r>
    </w:p>
    <w:p w:rsidR="00E3097C" w:rsidRPr="00E3097C" w:rsidRDefault="00E3097C" w:rsidP="00E3097C">
      <w:pPr>
        <w:spacing w:after="120" w:line="276" w:lineRule="auto"/>
        <w:rPr>
          <w:rFonts w:asciiTheme="minorHAnsi" w:eastAsiaTheme="minorHAnsi" w:hAnsiTheme="minorHAnsi"/>
          <w:bCs/>
        </w:rPr>
      </w:pPr>
      <w:r w:rsidRPr="00E3097C">
        <w:rPr>
          <w:rFonts w:asciiTheme="minorHAnsi" w:eastAsiaTheme="minorHAnsi" w:hAnsiTheme="minorHAnsi"/>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824C04" w:rsidRPr="00D53BD3" w:rsidRDefault="00824C04" w:rsidP="00824C04">
      <w:pPr>
        <w:pStyle w:val="2Sections"/>
        <w:numPr>
          <w:ilvl w:val="0"/>
          <w:numId w:val="1"/>
        </w:numPr>
      </w:pPr>
      <w:r w:rsidRPr="00D53BD3">
        <w:t>Sponsor’s Comment</w:t>
      </w:r>
    </w:p>
    <w:p w:rsidR="00824C04" w:rsidRPr="00E3097C" w:rsidRDefault="00E3097C" w:rsidP="00E3097C">
      <w:pPr>
        <w:spacing w:after="120" w:line="276" w:lineRule="auto"/>
        <w:rPr>
          <w:rFonts w:asciiTheme="minorHAnsi" w:eastAsiaTheme="minorHAnsi" w:hAnsiTheme="minorHAnsi"/>
          <w:bCs/>
        </w:rPr>
      </w:pPr>
      <w:r>
        <w:rPr>
          <w:rFonts w:asciiTheme="minorHAnsi" w:eastAsiaTheme="minorHAnsi" w:hAnsiTheme="minorHAnsi"/>
          <w:bCs/>
        </w:rPr>
        <w:t>The sponsor had no comment.</w:t>
      </w:r>
    </w:p>
    <w:sectPr w:rsidR="00824C04" w:rsidRPr="00E3097C" w:rsidSect="000E28CA">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213B0" w16cid:durableId="21990A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DE1" w:rsidRDefault="005D7DE1" w:rsidP="00124A51">
      <w:r>
        <w:separator/>
      </w:r>
    </w:p>
    <w:p w:rsidR="005D7DE1" w:rsidRDefault="005D7DE1"/>
  </w:endnote>
  <w:endnote w:type="continuationSeparator" w:id="0">
    <w:p w:rsidR="005D7DE1" w:rsidRDefault="005D7DE1" w:rsidP="00124A51">
      <w:r>
        <w:continuationSeparator/>
      </w:r>
    </w:p>
    <w:p w:rsidR="005D7DE1" w:rsidRDefault="005D7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D5" w:rsidRDefault="00F71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555937"/>
      <w:docPartObj>
        <w:docPartGallery w:val="Page Numbers (Bottom of Page)"/>
        <w:docPartUnique/>
      </w:docPartObj>
    </w:sdtPr>
    <w:sdtEndPr>
      <w:rPr>
        <w:b/>
        <w:noProof/>
      </w:rPr>
    </w:sdtEndPr>
    <w:sdtContent>
      <w:p w:rsidR="00B41825" w:rsidRDefault="00B41825">
        <w:pPr>
          <w:pStyle w:val="Footer"/>
          <w:jc w:val="center"/>
        </w:pPr>
      </w:p>
      <w:p w:rsidR="00B41825" w:rsidRPr="00DE5BDA" w:rsidRDefault="00B41825">
        <w:pPr>
          <w:pStyle w:val="Footer"/>
          <w:jc w:val="center"/>
          <w:rPr>
            <w:b/>
          </w:rPr>
        </w:pPr>
        <w:r w:rsidRPr="00DE5BDA">
          <w:rPr>
            <w:b/>
          </w:rPr>
          <w:fldChar w:fldCharType="begin"/>
        </w:r>
        <w:r w:rsidRPr="00DE5BDA">
          <w:rPr>
            <w:b/>
          </w:rPr>
          <w:instrText xml:space="preserve"> PAGE   \* MERGEFORMAT </w:instrText>
        </w:r>
        <w:r w:rsidRPr="00DE5BDA">
          <w:rPr>
            <w:b/>
          </w:rPr>
          <w:fldChar w:fldCharType="separate"/>
        </w:r>
        <w:r w:rsidR="008872C1">
          <w:rPr>
            <w:b/>
            <w:noProof/>
          </w:rPr>
          <w:t>22</w:t>
        </w:r>
        <w:r w:rsidRPr="00DE5BDA">
          <w:rPr>
            <w:b/>
            <w:noProof/>
          </w:rPr>
          <w:fldChar w:fldCharType="end"/>
        </w:r>
      </w:p>
    </w:sdtContent>
  </w:sdt>
  <w:p w:rsidR="00B41825" w:rsidRPr="009476E7" w:rsidRDefault="00B41825" w:rsidP="00FE0358">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D5" w:rsidRDefault="00F71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DE1" w:rsidRDefault="005D7DE1">
      <w:r>
        <w:separator/>
      </w:r>
    </w:p>
  </w:footnote>
  <w:footnote w:type="continuationSeparator" w:id="0">
    <w:p w:rsidR="005D7DE1" w:rsidRDefault="005D7DE1" w:rsidP="00124A51">
      <w:r>
        <w:continuationSeparator/>
      </w:r>
    </w:p>
    <w:p w:rsidR="005D7DE1" w:rsidRDefault="005D7DE1"/>
  </w:footnote>
  <w:footnote w:id="1">
    <w:p w:rsidR="00B41825" w:rsidRDefault="00B41825" w:rsidP="00783E80">
      <w:pPr>
        <w:pStyle w:val="FootnoteText"/>
      </w:pPr>
      <w:r>
        <w:rPr>
          <w:rStyle w:val="FootnoteReference"/>
        </w:rPr>
        <w:footnoteRef/>
      </w:r>
      <w:r>
        <w:t xml:space="preserve"> Number of patients in the relevant treat arms (full analysis set)</w:t>
      </w:r>
    </w:p>
  </w:footnote>
  <w:footnote w:id="2">
    <w:p w:rsidR="00B41825" w:rsidRDefault="00B41825" w:rsidP="00741601">
      <w:pPr>
        <w:pStyle w:val="FootnoteText"/>
      </w:pPr>
      <w:r>
        <w:rPr>
          <w:rStyle w:val="FootnoteReference"/>
        </w:rPr>
        <w:footnoteRef/>
      </w:r>
      <w:r>
        <w:t xml:space="preserve"> Data from the brolucizumab 3 mg group in HAWK were not included in the submission, a</w:t>
      </w:r>
      <w:r w:rsidRPr="007A08C5">
        <w:t>s the brolucizumab 3</w:t>
      </w:r>
      <w:r>
        <w:t> </w:t>
      </w:r>
      <w:r w:rsidRPr="007A08C5">
        <w:t>mg dose will not be registered</w:t>
      </w:r>
      <w:r>
        <w:t>.</w:t>
      </w:r>
    </w:p>
  </w:footnote>
  <w:footnote w:id="3">
    <w:p w:rsidR="00B41825" w:rsidRPr="00374FC8" w:rsidRDefault="00B41825" w:rsidP="0008069C">
      <w:pPr>
        <w:pStyle w:val="TableFooter"/>
        <w:keepNext/>
        <w:keepLines/>
      </w:pPr>
      <w:r>
        <w:rPr>
          <w:rStyle w:val="FootnoteReference"/>
        </w:rPr>
        <w:footnoteRef/>
      </w:r>
      <w:r>
        <w:t xml:space="preserve"> Current ex-manufacturer price of </w:t>
      </w:r>
      <w:r w:rsidRPr="00D44F28">
        <w:t>aflibercept ($</w:t>
      </w:r>
      <w:r w:rsidR="005D7DE1">
        <w:rPr>
          <w:noProof/>
          <w:color w:val="000000"/>
          <w:highlight w:val="black"/>
        </w:rPr>
        <w:t>''''''''''''''''</w:t>
      </w:r>
      <w:r w:rsidRPr="00D44F28">
        <w:t xml:space="preserve">) and ranibizumab </w:t>
      </w:r>
      <w:r w:rsidR="005D7DE1">
        <w:rPr>
          <w:noProof/>
          <w:color w:val="000000"/>
          <w:highlight w:val="black"/>
        </w:rPr>
        <w:t>''''''''''''''''''''''</w:t>
      </w:r>
      <w:r w:rsidRPr="00D44F28">
        <w:t>) weighted</w:t>
      </w:r>
      <w:r>
        <w:t xml:space="preserve"> by the current usage of aflibercept (approximately 58.95%) and ranibizumab (approximately 41.05%). Ex-manufacturer prices of aflibercept and ranibizumab were calculated based on an assumed % rebate, based on the effective price of ranibizumab which is known to the Sponsor.</w:t>
      </w:r>
    </w:p>
    <w:p w:rsidR="00B41825" w:rsidRDefault="00B41825" w:rsidP="00DC6F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D5" w:rsidRDefault="00F71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25" w:rsidRPr="00E773B1" w:rsidRDefault="00B41825" w:rsidP="00DE5BDA">
    <w:pPr>
      <w:pStyle w:val="Header"/>
      <w:keepNext/>
      <w:ind w:left="360"/>
      <w:jc w:val="center"/>
      <w:rPr>
        <w:rFonts w:asciiTheme="minorHAnsi" w:hAnsiTheme="minorHAnsi"/>
        <w:i/>
      </w:rPr>
    </w:pPr>
    <w:r>
      <w:rPr>
        <w:rFonts w:asciiTheme="minorHAnsi" w:hAnsiTheme="minorHAnsi"/>
        <w:i/>
      </w:rPr>
      <w:t>Public Summary Document</w:t>
    </w:r>
    <w:r w:rsidRPr="00E773B1">
      <w:rPr>
        <w:rFonts w:asciiTheme="minorHAnsi" w:hAnsiTheme="minorHAnsi"/>
        <w:i/>
      </w:rPr>
      <w:t xml:space="preserve"> – </w:t>
    </w:r>
    <w:r>
      <w:rPr>
        <w:rFonts w:asciiTheme="minorHAnsi" w:hAnsiTheme="minorHAnsi"/>
        <w:i/>
      </w:rPr>
      <w:t>November</w:t>
    </w:r>
    <w:r w:rsidRPr="00E773B1">
      <w:rPr>
        <w:rFonts w:asciiTheme="minorHAnsi" w:hAnsiTheme="minorHAnsi"/>
        <w:i/>
      </w:rPr>
      <w:t xml:space="preserve"> 2019 PBAC Meeting</w:t>
    </w:r>
  </w:p>
  <w:p w:rsidR="00B41825" w:rsidRDefault="00B4182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D5" w:rsidRDefault="00F71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32EB842"/>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D92CA9"/>
    <w:multiLevelType w:val="hybridMultilevel"/>
    <w:tmpl w:val="FF121F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0E75113"/>
    <w:multiLevelType w:val="hybridMultilevel"/>
    <w:tmpl w:val="210291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3E10A93"/>
    <w:multiLevelType w:val="hybridMultilevel"/>
    <w:tmpl w:val="BE7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6D7F91"/>
    <w:multiLevelType w:val="hybridMultilevel"/>
    <w:tmpl w:val="62A4C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241AD9"/>
    <w:multiLevelType w:val="hybridMultilevel"/>
    <w:tmpl w:val="75C21786"/>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 w15:restartNumberingAfterBreak="0">
    <w:nsid w:val="10402B9D"/>
    <w:multiLevelType w:val="hybridMultilevel"/>
    <w:tmpl w:val="9E3E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0509A7"/>
    <w:multiLevelType w:val="hybridMultilevel"/>
    <w:tmpl w:val="DB8AF54E"/>
    <w:lvl w:ilvl="0" w:tplc="01A44E6E">
      <w:start w:val="1"/>
      <w:numFmt w:val="bullet"/>
      <w:pStyle w:val="DashEndLi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17373EAF"/>
    <w:multiLevelType w:val="hybridMultilevel"/>
    <w:tmpl w:val="EDE2C0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956108"/>
    <w:multiLevelType w:val="hybridMultilevel"/>
    <w:tmpl w:val="86423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DB192B"/>
    <w:multiLevelType w:val="hybridMultilevel"/>
    <w:tmpl w:val="95AC7542"/>
    <w:lvl w:ilvl="0" w:tplc="04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09372C"/>
    <w:multiLevelType w:val="hybridMultilevel"/>
    <w:tmpl w:val="7E727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B6274A"/>
    <w:multiLevelType w:val="hybridMultilevel"/>
    <w:tmpl w:val="A3520914"/>
    <w:lvl w:ilvl="0" w:tplc="AC586018">
      <w:start w:val="1"/>
      <w:numFmt w:val="decimal"/>
      <w:lvlText w:val="%1."/>
      <w:lvlJc w:val="left"/>
      <w:pPr>
        <w:ind w:left="720" w:hanging="360"/>
      </w:pPr>
      <w:rPr>
        <w:rFonts w:asciiTheme="minorHAnsi" w:hAnsiTheme="minorHAnsi" w:cstheme="minorHAnsi" w:hint="default"/>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536721"/>
    <w:multiLevelType w:val="hybridMultilevel"/>
    <w:tmpl w:val="784C8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0147F7"/>
    <w:multiLevelType w:val="hybridMultilevel"/>
    <w:tmpl w:val="1408F0FC"/>
    <w:lvl w:ilvl="0" w:tplc="A050A460">
      <w:start w:val="1"/>
      <w:numFmt w:val="bullet"/>
      <w:lvlText w:val="-"/>
      <w:lvlJc w:val="left"/>
      <w:pPr>
        <w:ind w:left="720" w:hanging="360"/>
      </w:pPr>
      <w:rPr>
        <w:rFonts w:ascii="Arial Narrow" w:hAnsi="Arial Narro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D80DC1"/>
    <w:multiLevelType w:val="hybridMultilevel"/>
    <w:tmpl w:val="A4FC06E8"/>
    <w:lvl w:ilvl="0" w:tplc="04090003">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7C34E2"/>
    <w:multiLevelType w:val="hybridMultilevel"/>
    <w:tmpl w:val="D52A5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807D13"/>
    <w:multiLevelType w:val="hybridMultilevel"/>
    <w:tmpl w:val="2E526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42297"/>
    <w:multiLevelType w:val="hybridMultilevel"/>
    <w:tmpl w:val="EDD804D2"/>
    <w:lvl w:ilvl="0" w:tplc="C324F4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56EF5"/>
    <w:multiLevelType w:val="hybridMultilevel"/>
    <w:tmpl w:val="F9FCE22C"/>
    <w:lvl w:ilvl="0" w:tplc="0C090001">
      <w:start w:val="1"/>
      <w:numFmt w:val="bullet"/>
      <w:lvlText w:val=""/>
      <w:lvlJc w:val="left"/>
      <w:pPr>
        <w:ind w:left="1065" w:hanging="360"/>
      </w:pPr>
      <w:rPr>
        <w:rFonts w:ascii="Symbol" w:hAnsi="Symbol" w:hint="default"/>
      </w:rPr>
    </w:lvl>
    <w:lvl w:ilvl="1" w:tplc="0C090003">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25" w15:restartNumberingAfterBreak="0">
    <w:nsid w:val="502E2CA8"/>
    <w:multiLevelType w:val="hybridMultilevel"/>
    <w:tmpl w:val="C8ACF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9F04C1"/>
    <w:multiLevelType w:val="hybridMultilevel"/>
    <w:tmpl w:val="1C2A0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A025C5"/>
    <w:multiLevelType w:val="hybridMultilevel"/>
    <w:tmpl w:val="49EC63E0"/>
    <w:lvl w:ilvl="0" w:tplc="04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4913E8"/>
    <w:multiLevelType w:val="hybridMultilevel"/>
    <w:tmpl w:val="A710A6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B590265"/>
    <w:multiLevelType w:val="hybridMultilevel"/>
    <w:tmpl w:val="2B781B30"/>
    <w:lvl w:ilvl="0" w:tplc="0C090003">
      <w:start w:val="1"/>
      <w:numFmt w:val="bullet"/>
      <w:lvlText w:val="o"/>
      <w:lvlJc w:val="left"/>
      <w:pPr>
        <w:ind w:left="1785"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A347DC"/>
    <w:multiLevelType w:val="hybridMultilevel"/>
    <w:tmpl w:val="2BA0F6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12578E1"/>
    <w:multiLevelType w:val="hybridMultilevel"/>
    <w:tmpl w:val="3DF8BBD2"/>
    <w:lvl w:ilvl="0" w:tplc="04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E30261"/>
    <w:multiLevelType w:val="hybridMultilevel"/>
    <w:tmpl w:val="FD18155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84D033C"/>
    <w:multiLevelType w:val="multilevel"/>
    <w:tmpl w:val="D25A85C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9122E1"/>
    <w:multiLevelType w:val="hybridMultilevel"/>
    <w:tmpl w:val="98F0B7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BC506A4"/>
    <w:multiLevelType w:val="hybridMultilevel"/>
    <w:tmpl w:val="CF7C5D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C063CA6"/>
    <w:multiLevelType w:val="hybridMultilevel"/>
    <w:tmpl w:val="09821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E52E30"/>
    <w:multiLevelType w:val="hybridMultilevel"/>
    <w:tmpl w:val="FA88D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5"/>
  </w:num>
  <w:num w:numId="2">
    <w:abstractNumId w:val="23"/>
  </w:num>
  <w:num w:numId="3">
    <w:abstractNumId w:val="5"/>
  </w:num>
  <w:num w:numId="4">
    <w:abstractNumId w:val="25"/>
  </w:num>
  <w:num w:numId="5">
    <w:abstractNumId w:val="38"/>
  </w:num>
  <w:num w:numId="6">
    <w:abstractNumId w:val="17"/>
  </w:num>
  <w:num w:numId="7">
    <w:abstractNumId w:val="9"/>
  </w:num>
  <w:num w:numId="8">
    <w:abstractNumId w:val="19"/>
  </w:num>
  <w:num w:numId="9">
    <w:abstractNumId w:val="24"/>
  </w:num>
  <w:num w:numId="10">
    <w:abstractNumId w:val="22"/>
  </w:num>
  <w:num w:numId="11">
    <w:abstractNumId w:val="13"/>
  </w:num>
  <w:num w:numId="12">
    <w:abstractNumId w:val="7"/>
  </w:num>
  <w:num w:numId="13">
    <w:abstractNumId w:val="10"/>
  </w:num>
  <w:num w:numId="14">
    <w:abstractNumId w:val="11"/>
  </w:num>
  <w:num w:numId="15">
    <w:abstractNumId w:val="8"/>
  </w:num>
  <w:num w:numId="16">
    <w:abstractNumId w:val="28"/>
  </w:num>
  <w:num w:numId="17">
    <w:abstractNumId w:val="4"/>
  </w:num>
  <w:num w:numId="18">
    <w:abstractNumId w:val="20"/>
  </w:num>
  <w:num w:numId="19">
    <w:abstractNumId w:val="12"/>
  </w:num>
  <w:num w:numId="20">
    <w:abstractNumId w:val="29"/>
  </w:num>
  <w:num w:numId="21">
    <w:abstractNumId w:val="33"/>
  </w:num>
  <w:num w:numId="22">
    <w:abstractNumId w:val="31"/>
  </w:num>
  <w:num w:numId="23">
    <w:abstractNumId w:val="15"/>
  </w:num>
  <w:num w:numId="24">
    <w:abstractNumId w:val="0"/>
  </w:num>
  <w:num w:numId="25">
    <w:abstractNumId w:val="21"/>
  </w:num>
  <w:num w:numId="26">
    <w:abstractNumId w:val="39"/>
  </w:num>
  <w:num w:numId="27">
    <w:abstractNumId w:val="34"/>
  </w:num>
  <w:num w:numId="28">
    <w:abstractNumId w:val="26"/>
  </w:num>
  <w:num w:numId="29">
    <w:abstractNumId w:val="27"/>
  </w:num>
  <w:num w:numId="30">
    <w:abstractNumId w:val="6"/>
  </w:num>
  <w:num w:numId="31">
    <w:abstractNumId w:val="1"/>
  </w:num>
  <w:num w:numId="32">
    <w:abstractNumId w:val="16"/>
  </w:num>
  <w:num w:numId="33">
    <w:abstractNumId w:val="18"/>
  </w:num>
  <w:num w:numId="34">
    <w:abstractNumId w:val="14"/>
  </w:num>
  <w:num w:numId="35">
    <w:abstractNumId w:val="35"/>
  </w:num>
  <w:num w:numId="36">
    <w:abstractNumId w:val="37"/>
  </w:num>
  <w:num w:numId="37">
    <w:abstractNumId w:val="32"/>
  </w:num>
  <w:num w:numId="38">
    <w:abstractNumId w:val="2"/>
  </w:num>
  <w:num w:numId="39">
    <w:abstractNumId w:val="36"/>
  </w:num>
  <w:num w:numId="40">
    <w:abstractNumId w:val="30"/>
  </w:num>
  <w:num w:numId="4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TrackFormatting/>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ztDQ2MzMyNTa0MLdQ0lEKTi0uzszPAykwNK4FAKgyy/8tAAAA"/>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92zas0sdx9v0ez5ec55pf3azdszvdeepdt&quot;&gt;Brolucizumab EndNote&lt;record-ids&gt;&lt;item&gt;1&lt;/item&gt;&lt;item&gt;4&lt;/item&gt;&lt;item&gt;9&lt;/item&gt;&lt;item&gt;15&lt;/item&gt;&lt;item&gt;22&lt;/item&gt;&lt;item&gt;23&lt;/item&gt;&lt;item&gt;24&lt;/item&gt;&lt;item&gt;26&lt;/item&gt;&lt;item&gt;28&lt;/item&gt;&lt;item&gt;29&lt;/item&gt;&lt;item&gt;30&lt;/item&gt;&lt;/record-ids&gt;&lt;/item&gt;&lt;/Libraries&gt;"/>
  </w:docVars>
  <w:rsids>
    <w:rsidRoot w:val="00E65E79"/>
    <w:rsid w:val="00000790"/>
    <w:rsid w:val="00000DED"/>
    <w:rsid w:val="0000110B"/>
    <w:rsid w:val="00001804"/>
    <w:rsid w:val="00001B02"/>
    <w:rsid w:val="00001C08"/>
    <w:rsid w:val="00003499"/>
    <w:rsid w:val="000039B7"/>
    <w:rsid w:val="00003E0A"/>
    <w:rsid w:val="00004485"/>
    <w:rsid w:val="0000779F"/>
    <w:rsid w:val="000105FB"/>
    <w:rsid w:val="00010D12"/>
    <w:rsid w:val="00012F56"/>
    <w:rsid w:val="00013247"/>
    <w:rsid w:val="00014F3E"/>
    <w:rsid w:val="00015886"/>
    <w:rsid w:val="00015DAF"/>
    <w:rsid w:val="000162EF"/>
    <w:rsid w:val="00016616"/>
    <w:rsid w:val="00017AB8"/>
    <w:rsid w:val="00020E47"/>
    <w:rsid w:val="0002225F"/>
    <w:rsid w:val="000229A2"/>
    <w:rsid w:val="00023763"/>
    <w:rsid w:val="00023FE9"/>
    <w:rsid w:val="0002610E"/>
    <w:rsid w:val="0002746C"/>
    <w:rsid w:val="00030BF2"/>
    <w:rsid w:val="0003105B"/>
    <w:rsid w:val="00032399"/>
    <w:rsid w:val="00033863"/>
    <w:rsid w:val="00034644"/>
    <w:rsid w:val="00034EED"/>
    <w:rsid w:val="00035DC0"/>
    <w:rsid w:val="000360FB"/>
    <w:rsid w:val="00036829"/>
    <w:rsid w:val="0003697C"/>
    <w:rsid w:val="00037428"/>
    <w:rsid w:val="000374A6"/>
    <w:rsid w:val="00040895"/>
    <w:rsid w:val="00040A23"/>
    <w:rsid w:val="0004123D"/>
    <w:rsid w:val="000414A9"/>
    <w:rsid w:val="00042212"/>
    <w:rsid w:val="00043C37"/>
    <w:rsid w:val="00045017"/>
    <w:rsid w:val="000456FC"/>
    <w:rsid w:val="00045A2B"/>
    <w:rsid w:val="00045C5D"/>
    <w:rsid w:val="0004698F"/>
    <w:rsid w:val="000514E2"/>
    <w:rsid w:val="000539D0"/>
    <w:rsid w:val="00053C0F"/>
    <w:rsid w:val="00054621"/>
    <w:rsid w:val="000546D7"/>
    <w:rsid w:val="00054DEA"/>
    <w:rsid w:val="0005655D"/>
    <w:rsid w:val="0006156B"/>
    <w:rsid w:val="00062106"/>
    <w:rsid w:val="00062CBF"/>
    <w:rsid w:val="00066360"/>
    <w:rsid w:val="00066535"/>
    <w:rsid w:val="00066E5D"/>
    <w:rsid w:val="00067477"/>
    <w:rsid w:val="00067B4A"/>
    <w:rsid w:val="00071248"/>
    <w:rsid w:val="000712FC"/>
    <w:rsid w:val="00071907"/>
    <w:rsid w:val="000720B9"/>
    <w:rsid w:val="000737F7"/>
    <w:rsid w:val="000748AF"/>
    <w:rsid w:val="00074B37"/>
    <w:rsid w:val="0007672F"/>
    <w:rsid w:val="000774F0"/>
    <w:rsid w:val="00080644"/>
    <w:rsid w:val="0008069C"/>
    <w:rsid w:val="00080909"/>
    <w:rsid w:val="00080BC3"/>
    <w:rsid w:val="000812CA"/>
    <w:rsid w:val="000816DF"/>
    <w:rsid w:val="0008258D"/>
    <w:rsid w:val="00082A1E"/>
    <w:rsid w:val="00083E99"/>
    <w:rsid w:val="00084A3E"/>
    <w:rsid w:val="000856C5"/>
    <w:rsid w:val="00086793"/>
    <w:rsid w:val="00086EBE"/>
    <w:rsid w:val="00090C7E"/>
    <w:rsid w:val="00091064"/>
    <w:rsid w:val="00092600"/>
    <w:rsid w:val="0009262B"/>
    <w:rsid w:val="00093310"/>
    <w:rsid w:val="00093812"/>
    <w:rsid w:val="0009445C"/>
    <w:rsid w:val="0009541C"/>
    <w:rsid w:val="000954F1"/>
    <w:rsid w:val="00095FE5"/>
    <w:rsid w:val="00096284"/>
    <w:rsid w:val="000A0B02"/>
    <w:rsid w:val="000A104E"/>
    <w:rsid w:val="000A3CFD"/>
    <w:rsid w:val="000A406F"/>
    <w:rsid w:val="000A64D7"/>
    <w:rsid w:val="000A758A"/>
    <w:rsid w:val="000A7776"/>
    <w:rsid w:val="000A7D08"/>
    <w:rsid w:val="000A7EC7"/>
    <w:rsid w:val="000B0670"/>
    <w:rsid w:val="000B0B9E"/>
    <w:rsid w:val="000B0E75"/>
    <w:rsid w:val="000B11AA"/>
    <w:rsid w:val="000B3505"/>
    <w:rsid w:val="000B669A"/>
    <w:rsid w:val="000B6CAC"/>
    <w:rsid w:val="000B747F"/>
    <w:rsid w:val="000B7612"/>
    <w:rsid w:val="000B7FF4"/>
    <w:rsid w:val="000C1535"/>
    <w:rsid w:val="000C3CE3"/>
    <w:rsid w:val="000C3DF9"/>
    <w:rsid w:val="000C4995"/>
    <w:rsid w:val="000C5EBC"/>
    <w:rsid w:val="000C6713"/>
    <w:rsid w:val="000C77A2"/>
    <w:rsid w:val="000C79A0"/>
    <w:rsid w:val="000D1BFC"/>
    <w:rsid w:val="000D281A"/>
    <w:rsid w:val="000D326A"/>
    <w:rsid w:val="000D43FF"/>
    <w:rsid w:val="000D51FB"/>
    <w:rsid w:val="000D52B8"/>
    <w:rsid w:val="000D5BCC"/>
    <w:rsid w:val="000E0DAD"/>
    <w:rsid w:val="000E135D"/>
    <w:rsid w:val="000E2878"/>
    <w:rsid w:val="000E28CA"/>
    <w:rsid w:val="000E44D1"/>
    <w:rsid w:val="000E5208"/>
    <w:rsid w:val="000E6526"/>
    <w:rsid w:val="000F00BA"/>
    <w:rsid w:val="000F04F6"/>
    <w:rsid w:val="000F1087"/>
    <w:rsid w:val="000F254E"/>
    <w:rsid w:val="000F316A"/>
    <w:rsid w:val="000F3B11"/>
    <w:rsid w:val="000F3C74"/>
    <w:rsid w:val="000F44BA"/>
    <w:rsid w:val="000F4BB8"/>
    <w:rsid w:val="000F55AA"/>
    <w:rsid w:val="000F69B6"/>
    <w:rsid w:val="000F7127"/>
    <w:rsid w:val="000F7C5D"/>
    <w:rsid w:val="000F7E5F"/>
    <w:rsid w:val="00100815"/>
    <w:rsid w:val="00100F8A"/>
    <w:rsid w:val="00101865"/>
    <w:rsid w:val="00105AE2"/>
    <w:rsid w:val="00106A3F"/>
    <w:rsid w:val="00106B80"/>
    <w:rsid w:val="0011032E"/>
    <w:rsid w:val="00112EB7"/>
    <w:rsid w:val="0011348B"/>
    <w:rsid w:val="00113806"/>
    <w:rsid w:val="00115606"/>
    <w:rsid w:val="00115982"/>
    <w:rsid w:val="00116BBB"/>
    <w:rsid w:val="00116C53"/>
    <w:rsid w:val="00117083"/>
    <w:rsid w:val="00121799"/>
    <w:rsid w:val="001222FC"/>
    <w:rsid w:val="00122305"/>
    <w:rsid w:val="00123278"/>
    <w:rsid w:val="0012390C"/>
    <w:rsid w:val="00123C3A"/>
    <w:rsid w:val="00123F4A"/>
    <w:rsid w:val="001245DF"/>
    <w:rsid w:val="00124A51"/>
    <w:rsid w:val="00126621"/>
    <w:rsid w:val="00127FB8"/>
    <w:rsid w:val="001301E9"/>
    <w:rsid w:val="00131921"/>
    <w:rsid w:val="00131D82"/>
    <w:rsid w:val="00132DDB"/>
    <w:rsid w:val="00133D36"/>
    <w:rsid w:val="00134DC4"/>
    <w:rsid w:val="0013539D"/>
    <w:rsid w:val="00137645"/>
    <w:rsid w:val="001378C2"/>
    <w:rsid w:val="0014015A"/>
    <w:rsid w:val="00140E99"/>
    <w:rsid w:val="00143D72"/>
    <w:rsid w:val="001447A7"/>
    <w:rsid w:val="001450B0"/>
    <w:rsid w:val="00145540"/>
    <w:rsid w:val="001456B0"/>
    <w:rsid w:val="00146075"/>
    <w:rsid w:val="00147B72"/>
    <w:rsid w:val="00150D7F"/>
    <w:rsid w:val="001519B2"/>
    <w:rsid w:val="00151E16"/>
    <w:rsid w:val="00153729"/>
    <w:rsid w:val="001542DA"/>
    <w:rsid w:val="00154368"/>
    <w:rsid w:val="0015443F"/>
    <w:rsid w:val="001548F4"/>
    <w:rsid w:val="00154943"/>
    <w:rsid w:val="00156073"/>
    <w:rsid w:val="0015693D"/>
    <w:rsid w:val="00157130"/>
    <w:rsid w:val="001576B1"/>
    <w:rsid w:val="00160A4C"/>
    <w:rsid w:val="00160D2C"/>
    <w:rsid w:val="00162913"/>
    <w:rsid w:val="00163EFF"/>
    <w:rsid w:val="001649E4"/>
    <w:rsid w:val="0016526C"/>
    <w:rsid w:val="001661FB"/>
    <w:rsid w:val="0017245F"/>
    <w:rsid w:val="00173565"/>
    <w:rsid w:val="00173B07"/>
    <w:rsid w:val="00174382"/>
    <w:rsid w:val="00181053"/>
    <w:rsid w:val="00181D3D"/>
    <w:rsid w:val="00181D9C"/>
    <w:rsid w:val="001826EA"/>
    <w:rsid w:val="001832C4"/>
    <w:rsid w:val="0018752F"/>
    <w:rsid w:val="00191782"/>
    <w:rsid w:val="00194EE1"/>
    <w:rsid w:val="00195222"/>
    <w:rsid w:val="00195338"/>
    <w:rsid w:val="001974CC"/>
    <w:rsid w:val="001974E3"/>
    <w:rsid w:val="001975D8"/>
    <w:rsid w:val="0019768F"/>
    <w:rsid w:val="001A02A5"/>
    <w:rsid w:val="001A0534"/>
    <w:rsid w:val="001A43FA"/>
    <w:rsid w:val="001A4811"/>
    <w:rsid w:val="001A53C2"/>
    <w:rsid w:val="001A5729"/>
    <w:rsid w:val="001A59ED"/>
    <w:rsid w:val="001A59FB"/>
    <w:rsid w:val="001A6354"/>
    <w:rsid w:val="001A672D"/>
    <w:rsid w:val="001A7354"/>
    <w:rsid w:val="001A7381"/>
    <w:rsid w:val="001A7AE8"/>
    <w:rsid w:val="001A7F08"/>
    <w:rsid w:val="001B0847"/>
    <w:rsid w:val="001B204E"/>
    <w:rsid w:val="001B2452"/>
    <w:rsid w:val="001B3443"/>
    <w:rsid w:val="001B37F1"/>
    <w:rsid w:val="001B3E01"/>
    <w:rsid w:val="001B4D20"/>
    <w:rsid w:val="001B5669"/>
    <w:rsid w:val="001B72B8"/>
    <w:rsid w:val="001C004C"/>
    <w:rsid w:val="001C037D"/>
    <w:rsid w:val="001C16C2"/>
    <w:rsid w:val="001C1B6E"/>
    <w:rsid w:val="001C1BDD"/>
    <w:rsid w:val="001C24C3"/>
    <w:rsid w:val="001C29D3"/>
    <w:rsid w:val="001C2A9B"/>
    <w:rsid w:val="001C3B3C"/>
    <w:rsid w:val="001C4018"/>
    <w:rsid w:val="001C4299"/>
    <w:rsid w:val="001C495C"/>
    <w:rsid w:val="001C5F94"/>
    <w:rsid w:val="001C6E66"/>
    <w:rsid w:val="001D2DD9"/>
    <w:rsid w:val="001D37ED"/>
    <w:rsid w:val="001D4E60"/>
    <w:rsid w:val="001D62C0"/>
    <w:rsid w:val="001E0C6F"/>
    <w:rsid w:val="001E1AC6"/>
    <w:rsid w:val="001E1E90"/>
    <w:rsid w:val="001E238B"/>
    <w:rsid w:val="001E238E"/>
    <w:rsid w:val="001E2483"/>
    <w:rsid w:val="001E2B1E"/>
    <w:rsid w:val="001E30D4"/>
    <w:rsid w:val="001E41B3"/>
    <w:rsid w:val="001E52EB"/>
    <w:rsid w:val="001E611E"/>
    <w:rsid w:val="001E61D2"/>
    <w:rsid w:val="001E728E"/>
    <w:rsid w:val="001E740C"/>
    <w:rsid w:val="001F0291"/>
    <w:rsid w:val="001F1235"/>
    <w:rsid w:val="001F1CA3"/>
    <w:rsid w:val="001F1CB3"/>
    <w:rsid w:val="001F1D18"/>
    <w:rsid w:val="001F38B5"/>
    <w:rsid w:val="001F4B82"/>
    <w:rsid w:val="001F64EF"/>
    <w:rsid w:val="001F6C95"/>
    <w:rsid w:val="001F7361"/>
    <w:rsid w:val="002011B0"/>
    <w:rsid w:val="002015BC"/>
    <w:rsid w:val="00202A05"/>
    <w:rsid w:val="00202C08"/>
    <w:rsid w:val="00203181"/>
    <w:rsid w:val="00203783"/>
    <w:rsid w:val="0020385F"/>
    <w:rsid w:val="00204618"/>
    <w:rsid w:val="00204D90"/>
    <w:rsid w:val="00207021"/>
    <w:rsid w:val="0020732F"/>
    <w:rsid w:val="00207D00"/>
    <w:rsid w:val="002105C1"/>
    <w:rsid w:val="002125D9"/>
    <w:rsid w:val="00213575"/>
    <w:rsid w:val="00214220"/>
    <w:rsid w:val="002142D9"/>
    <w:rsid w:val="0022004E"/>
    <w:rsid w:val="002204BB"/>
    <w:rsid w:val="00220736"/>
    <w:rsid w:val="00220988"/>
    <w:rsid w:val="00222223"/>
    <w:rsid w:val="002233F0"/>
    <w:rsid w:val="00223B49"/>
    <w:rsid w:val="00223D6D"/>
    <w:rsid w:val="00224B6E"/>
    <w:rsid w:val="00224DD4"/>
    <w:rsid w:val="002270DB"/>
    <w:rsid w:val="002303C9"/>
    <w:rsid w:val="002309CC"/>
    <w:rsid w:val="00230AB4"/>
    <w:rsid w:val="002315A3"/>
    <w:rsid w:val="0023209F"/>
    <w:rsid w:val="00233212"/>
    <w:rsid w:val="0023379A"/>
    <w:rsid w:val="0023443E"/>
    <w:rsid w:val="002347E9"/>
    <w:rsid w:val="0023629D"/>
    <w:rsid w:val="00236C94"/>
    <w:rsid w:val="00237255"/>
    <w:rsid w:val="00237F95"/>
    <w:rsid w:val="00240DCE"/>
    <w:rsid w:val="00241CEF"/>
    <w:rsid w:val="002424AF"/>
    <w:rsid w:val="0024275C"/>
    <w:rsid w:val="002439DC"/>
    <w:rsid w:val="00243F34"/>
    <w:rsid w:val="00244DC8"/>
    <w:rsid w:val="002458BA"/>
    <w:rsid w:val="00245D5F"/>
    <w:rsid w:val="0024636C"/>
    <w:rsid w:val="00247925"/>
    <w:rsid w:val="002500C5"/>
    <w:rsid w:val="00251103"/>
    <w:rsid w:val="00252658"/>
    <w:rsid w:val="002530B2"/>
    <w:rsid w:val="002530FF"/>
    <w:rsid w:val="00254DCF"/>
    <w:rsid w:val="0025534B"/>
    <w:rsid w:val="00255BB7"/>
    <w:rsid w:val="00257541"/>
    <w:rsid w:val="0025768E"/>
    <w:rsid w:val="0026155C"/>
    <w:rsid w:val="00261B84"/>
    <w:rsid w:val="00262A1A"/>
    <w:rsid w:val="00262A87"/>
    <w:rsid w:val="00263A91"/>
    <w:rsid w:val="00263F21"/>
    <w:rsid w:val="00264D26"/>
    <w:rsid w:val="002675A1"/>
    <w:rsid w:val="00267642"/>
    <w:rsid w:val="0026791D"/>
    <w:rsid w:val="00267AEA"/>
    <w:rsid w:val="002700E6"/>
    <w:rsid w:val="0027139D"/>
    <w:rsid w:val="00271766"/>
    <w:rsid w:val="00271EAE"/>
    <w:rsid w:val="0027212C"/>
    <w:rsid w:val="00272171"/>
    <w:rsid w:val="0027294B"/>
    <w:rsid w:val="00273B3C"/>
    <w:rsid w:val="00274780"/>
    <w:rsid w:val="00274BE4"/>
    <w:rsid w:val="00275272"/>
    <w:rsid w:val="0027582B"/>
    <w:rsid w:val="00275C5A"/>
    <w:rsid w:val="002808F8"/>
    <w:rsid w:val="00281014"/>
    <w:rsid w:val="00283A4A"/>
    <w:rsid w:val="00283DAF"/>
    <w:rsid w:val="002841D4"/>
    <w:rsid w:val="00290290"/>
    <w:rsid w:val="002907A4"/>
    <w:rsid w:val="002954E5"/>
    <w:rsid w:val="002A14AB"/>
    <w:rsid w:val="002A2544"/>
    <w:rsid w:val="002A2F50"/>
    <w:rsid w:val="002A4444"/>
    <w:rsid w:val="002A70E0"/>
    <w:rsid w:val="002A79AE"/>
    <w:rsid w:val="002B09A4"/>
    <w:rsid w:val="002B1C1F"/>
    <w:rsid w:val="002B2018"/>
    <w:rsid w:val="002B24BD"/>
    <w:rsid w:val="002B37B0"/>
    <w:rsid w:val="002B432F"/>
    <w:rsid w:val="002B5DA1"/>
    <w:rsid w:val="002B62B3"/>
    <w:rsid w:val="002B6474"/>
    <w:rsid w:val="002B6754"/>
    <w:rsid w:val="002B6CCE"/>
    <w:rsid w:val="002B6FDB"/>
    <w:rsid w:val="002B7048"/>
    <w:rsid w:val="002C15A3"/>
    <w:rsid w:val="002C2510"/>
    <w:rsid w:val="002C2775"/>
    <w:rsid w:val="002C27C1"/>
    <w:rsid w:val="002C3245"/>
    <w:rsid w:val="002C355F"/>
    <w:rsid w:val="002C35F6"/>
    <w:rsid w:val="002C3FC9"/>
    <w:rsid w:val="002C5099"/>
    <w:rsid w:val="002C5889"/>
    <w:rsid w:val="002C665B"/>
    <w:rsid w:val="002C665F"/>
    <w:rsid w:val="002C666E"/>
    <w:rsid w:val="002C6760"/>
    <w:rsid w:val="002C71CE"/>
    <w:rsid w:val="002C75C0"/>
    <w:rsid w:val="002C75D5"/>
    <w:rsid w:val="002C7827"/>
    <w:rsid w:val="002D0238"/>
    <w:rsid w:val="002D0E96"/>
    <w:rsid w:val="002D1157"/>
    <w:rsid w:val="002D1760"/>
    <w:rsid w:val="002D1985"/>
    <w:rsid w:val="002D218A"/>
    <w:rsid w:val="002D31A3"/>
    <w:rsid w:val="002D3938"/>
    <w:rsid w:val="002D39F0"/>
    <w:rsid w:val="002D574D"/>
    <w:rsid w:val="002D577C"/>
    <w:rsid w:val="002D7681"/>
    <w:rsid w:val="002D7E08"/>
    <w:rsid w:val="002E15B9"/>
    <w:rsid w:val="002E2158"/>
    <w:rsid w:val="002E4010"/>
    <w:rsid w:val="002E487C"/>
    <w:rsid w:val="002E612E"/>
    <w:rsid w:val="002E7722"/>
    <w:rsid w:val="002F07BA"/>
    <w:rsid w:val="002F0DA9"/>
    <w:rsid w:val="002F158B"/>
    <w:rsid w:val="002F1C2D"/>
    <w:rsid w:val="002F1E15"/>
    <w:rsid w:val="002F399E"/>
    <w:rsid w:val="002F3A79"/>
    <w:rsid w:val="002F4B30"/>
    <w:rsid w:val="002F522E"/>
    <w:rsid w:val="002F56D6"/>
    <w:rsid w:val="002F643C"/>
    <w:rsid w:val="002F6BD5"/>
    <w:rsid w:val="002F6F20"/>
    <w:rsid w:val="002F71C0"/>
    <w:rsid w:val="00301017"/>
    <w:rsid w:val="0030155F"/>
    <w:rsid w:val="00303F87"/>
    <w:rsid w:val="00304977"/>
    <w:rsid w:val="00304E5E"/>
    <w:rsid w:val="003050E9"/>
    <w:rsid w:val="003053CE"/>
    <w:rsid w:val="0030587B"/>
    <w:rsid w:val="00306D98"/>
    <w:rsid w:val="0030786C"/>
    <w:rsid w:val="0031031A"/>
    <w:rsid w:val="00310981"/>
    <w:rsid w:val="00312366"/>
    <w:rsid w:val="003128F1"/>
    <w:rsid w:val="0031316F"/>
    <w:rsid w:val="00314A85"/>
    <w:rsid w:val="00315498"/>
    <w:rsid w:val="00316039"/>
    <w:rsid w:val="003162DB"/>
    <w:rsid w:val="00316E73"/>
    <w:rsid w:val="00317992"/>
    <w:rsid w:val="0032081E"/>
    <w:rsid w:val="00320972"/>
    <w:rsid w:val="00321411"/>
    <w:rsid w:val="00321F0E"/>
    <w:rsid w:val="00322107"/>
    <w:rsid w:val="003225DB"/>
    <w:rsid w:val="00322846"/>
    <w:rsid w:val="00324B9A"/>
    <w:rsid w:val="00324CE6"/>
    <w:rsid w:val="0032633C"/>
    <w:rsid w:val="00326DA7"/>
    <w:rsid w:val="003270E4"/>
    <w:rsid w:val="00330D56"/>
    <w:rsid w:val="00330F5C"/>
    <w:rsid w:val="003344E8"/>
    <w:rsid w:val="00334CB5"/>
    <w:rsid w:val="00335D42"/>
    <w:rsid w:val="00335FC9"/>
    <w:rsid w:val="003366C9"/>
    <w:rsid w:val="003371B0"/>
    <w:rsid w:val="00337AE3"/>
    <w:rsid w:val="00337E56"/>
    <w:rsid w:val="00340DF1"/>
    <w:rsid w:val="0034115F"/>
    <w:rsid w:val="00343181"/>
    <w:rsid w:val="00343C1A"/>
    <w:rsid w:val="00344F69"/>
    <w:rsid w:val="00345825"/>
    <w:rsid w:val="00350416"/>
    <w:rsid w:val="0035058C"/>
    <w:rsid w:val="00350D8D"/>
    <w:rsid w:val="003517F9"/>
    <w:rsid w:val="00353E1D"/>
    <w:rsid w:val="003543C6"/>
    <w:rsid w:val="00354A12"/>
    <w:rsid w:val="00354F72"/>
    <w:rsid w:val="0035515B"/>
    <w:rsid w:val="003551D4"/>
    <w:rsid w:val="0035620E"/>
    <w:rsid w:val="003565DE"/>
    <w:rsid w:val="0035683A"/>
    <w:rsid w:val="00356F46"/>
    <w:rsid w:val="00360BEC"/>
    <w:rsid w:val="003624C4"/>
    <w:rsid w:val="00364719"/>
    <w:rsid w:val="003654AC"/>
    <w:rsid w:val="00367199"/>
    <w:rsid w:val="00367F59"/>
    <w:rsid w:val="003706F0"/>
    <w:rsid w:val="003710CF"/>
    <w:rsid w:val="0037358A"/>
    <w:rsid w:val="00373F90"/>
    <w:rsid w:val="003750F6"/>
    <w:rsid w:val="003760FC"/>
    <w:rsid w:val="00376A37"/>
    <w:rsid w:val="003773A0"/>
    <w:rsid w:val="00377DE5"/>
    <w:rsid w:val="00380678"/>
    <w:rsid w:val="003835B1"/>
    <w:rsid w:val="0038365C"/>
    <w:rsid w:val="0038369B"/>
    <w:rsid w:val="00383B78"/>
    <w:rsid w:val="00384548"/>
    <w:rsid w:val="003845B4"/>
    <w:rsid w:val="00384848"/>
    <w:rsid w:val="00385A9D"/>
    <w:rsid w:val="0039016A"/>
    <w:rsid w:val="003902B1"/>
    <w:rsid w:val="00390EA4"/>
    <w:rsid w:val="003916EF"/>
    <w:rsid w:val="003917F0"/>
    <w:rsid w:val="00391DFB"/>
    <w:rsid w:val="003925D5"/>
    <w:rsid w:val="0039272A"/>
    <w:rsid w:val="00395300"/>
    <w:rsid w:val="00396018"/>
    <w:rsid w:val="00396896"/>
    <w:rsid w:val="00396FD0"/>
    <w:rsid w:val="0039766B"/>
    <w:rsid w:val="00397BB3"/>
    <w:rsid w:val="00397E1C"/>
    <w:rsid w:val="003A0ED9"/>
    <w:rsid w:val="003A1386"/>
    <w:rsid w:val="003A1A7A"/>
    <w:rsid w:val="003A1CEC"/>
    <w:rsid w:val="003A2392"/>
    <w:rsid w:val="003A2831"/>
    <w:rsid w:val="003A2907"/>
    <w:rsid w:val="003A2C04"/>
    <w:rsid w:val="003A3ED1"/>
    <w:rsid w:val="003A40F8"/>
    <w:rsid w:val="003A6E2E"/>
    <w:rsid w:val="003B1137"/>
    <w:rsid w:val="003B45A0"/>
    <w:rsid w:val="003B5B61"/>
    <w:rsid w:val="003B5FD8"/>
    <w:rsid w:val="003B5FF5"/>
    <w:rsid w:val="003B73AA"/>
    <w:rsid w:val="003C1654"/>
    <w:rsid w:val="003C5016"/>
    <w:rsid w:val="003C53A2"/>
    <w:rsid w:val="003C5869"/>
    <w:rsid w:val="003C5C46"/>
    <w:rsid w:val="003C61B6"/>
    <w:rsid w:val="003C6729"/>
    <w:rsid w:val="003C6B65"/>
    <w:rsid w:val="003C742B"/>
    <w:rsid w:val="003C7D19"/>
    <w:rsid w:val="003C7E06"/>
    <w:rsid w:val="003D0CC2"/>
    <w:rsid w:val="003D11EA"/>
    <w:rsid w:val="003D1828"/>
    <w:rsid w:val="003D1DE4"/>
    <w:rsid w:val="003D201F"/>
    <w:rsid w:val="003D2422"/>
    <w:rsid w:val="003D248F"/>
    <w:rsid w:val="003D252A"/>
    <w:rsid w:val="003D39A1"/>
    <w:rsid w:val="003D3C87"/>
    <w:rsid w:val="003D3FBF"/>
    <w:rsid w:val="003D4A30"/>
    <w:rsid w:val="003D6242"/>
    <w:rsid w:val="003D6359"/>
    <w:rsid w:val="003D79BB"/>
    <w:rsid w:val="003D7C98"/>
    <w:rsid w:val="003D7E1F"/>
    <w:rsid w:val="003E0543"/>
    <w:rsid w:val="003E0BF6"/>
    <w:rsid w:val="003E122A"/>
    <w:rsid w:val="003E2E73"/>
    <w:rsid w:val="003E4160"/>
    <w:rsid w:val="003E43D5"/>
    <w:rsid w:val="003E699B"/>
    <w:rsid w:val="003F1F5E"/>
    <w:rsid w:val="003F347E"/>
    <w:rsid w:val="003F3641"/>
    <w:rsid w:val="003F4156"/>
    <w:rsid w:val="003F4E04"/>
    <w:rsid w:val="003F5529"/>
    <w:rsid w:val="003F6974"/>
    <w:rsid w:val="003F69C8"/>
    <w:rsid w:val="003F6A76"/>
    <w:rsid w:val="003F6AF6"/>
    <w:rsid w:val="003F7880"/>
    <w:rsid w:val="00400B29"/>
    <w:rsid w:val="004021A1"/>
    <w:rsid w:val="004028E7"/>
    <w:rsid w:val="00402C56"/>
    <w:rsid w:val="00402D18"/>
    <w:rsid w:val="0040370E"/>
    <w:rsid w:val="00403FD6"/>
    <w:rsid w:val="004041A4"/>
    <w:rsid w:val="00404660"/>
    <w:rsid w:val="0040471B"/>
    <w:rsid w:val="00404BE1"/>
    <w:rsid w:val="0040504B"/>
    <w:rsid w:val="00405B86"/>
    <w:rsid w:val="00410708"/>
    <w:rsid w:val="00410EC7"/>
    <w:rsid w:val="00411B39"/>
    <w:rsid w:val="00412A44"/>
    <w:rsid w:val="00413480"/>
    <w:rsid w:val="00413A1E"/>
    <w:rsid w:val="00413AAF"/>
    <w:rsid w:val="00414476"/>
    <w:rsid w:val="00414489"/>
    <w:rsid w:val="00414C2E"/>
    <w:rsid w:val="004151CF"/>
    <w:rsid w:val="0041573D"/>
    <w:rsid w:val="004157FA"/>
    <w:rsid w:val="00416364"/>
    <w:rsid w:val="004164F5"/>
    <w:rsid w:val="00416784"/>
    <w:rsid w:val="00417207"/>
    <w:rsid w:val="004176B6"/>
    <w:rsid w:val="00417D54"/>
    <w:rsid w:val="00420AA6"/>
    <w:rsid w:val="00420B9F"/>
    <w:rsid w:val="00421214"/>
    <w:rsid w:val="00422260"/>
    <w:rsid w:val="00422E43"/>
    <w:rsid w:val="0042413F"/>
    <w:rsid w:val="004315A8"/>
    <w:rsid w:val="004319F8"/>
    <w:rsid w:val="00431E55"/>
    <w:rsid w:val="004321F6"/>
    <w:rsid w:val="00432488"/>
    <w:rsid w:val="00433044"/>
    <w:rsid w:val="004375B9"/>
    <w:rsid w:val="00441281"/>
    <w:rsid w:val="00441E57"/>
    <w:rsid w:val="004428D0"/>
    <w:rsid w:val="00443A0B"/>
    <w:rsid w:val="004443A7"/>
    <w:rsid w:val="0044442C"/>
    <w:rsid w:val="00444B05"/>
    <w:rsid w:val="00445941"/>
    <w:rsid w:val="00445B31"/>
    <w:rsid w:val="004464EB"/>
    <w:rsid w:val="004468B1"/>
    <w:rsid w:val="004472AD"/>
    <w:rsid w:val="00447B10"/>
    <w:rsid w:val="00447D26"/>
    <w:rsid w:val="00450091"/>
    <w:rsid w:val="004507EB"/>
    <w:rsid w:val="004535B3"/>
    <w:rsid w:val="00454F31"/>
    <w:rsid w:val="00455BEA"/>
    <w:rsid w:val="00455D45"/>
    <w:rsid w:val="00457CDD"/>
    <w:rsid w:val="00461171"/>
    <w:rsid w:val="00464595"/>
    <w:rsid w:val="004673C4"/>
    <w:rsid w:val="0047047C"/>
    <w:rsid w:val="00470B64"/>
    <w:rsid w:val="00472A79"/>
    <w:rsid w:val="004738FB"/>
    <w:rsid w:val="00473F19"/>
    <w:rsid w:val="00473F6F"/>
    <w:rsid w:val="00475E22"/>
    <w:rsid w:val="00476818"/>
    <w:rsid w:val="0048088E"/>
    <w:rsid w:val="00482346"/>
    <w:rsid w:val="00482720"/>
    <w:rsid w:val="00483205"/>
    <w:rsid w:val="004835E7"/>
    <w:rsid w:val="00485B22"/>
    <w:rsid w:val="004867E2"/>
    <w:rsid w:val="0048748F"/>
    <w:rsid w:val="00490E1D"/>
    <w:rsid w:val="00491053"/>
    <w:rsid w:val="00491B3A"/>
    <w:rsid w:val="00492088"/>
    <w:rsid w:val="00492CFD"/>
    <w:rsid w:val="00492D57"/>
    <w:rsid w:val="0049372F"/>
    <w:rsid w:val="0049451F"/>
    <w:rsid w:val="0049487A"/>
    <w:rsid w:val="00494DD5"/>
    <w:rsid w:val="004962D2"/>
    <w:rsid w:val="004969E5"/>
    <w:rsid w:val="00497C52"/>
    <w:rsid w:val="004A0DA1"/>
    <w:rsid w:val="004A33B9"/>
    <w:rsid w:val="004A356B"/>
    <w:rsid w:val="004A52E9"/>
    <w:rsid w:val="004A6597"/>
    <w:rsid w:val="004A7848"/>
    <w:rsid w:val="004A7A4C"/>
    <w:rsid w:val="004B166B"/>
    <w:rsid w:val="004B1CB4"/>
    <w:rsid w:val="004B2F18"/>
    <w:rsid w:val="004B370F"/>
    <w:rsid w:val="004B3CC5"/>
    <w:rsid w:val="004B3DDB"/>
    <w:rsid w:val="004B4220"/>
    <w:rsid w:val="004B44FD"/>
    <w:rsid w:val="004B5CFC"/>
    <w:rsid w:val="004B774D"/>
    <w:rsid w:val="004C4AED"/>
    <w:rsid w:val="004C63B1"/>
    <w:rsid w:val="004C6F71"/>
    <w:rsid w:val="004C7210"/>
    <w:rsid w:val="004D0AD3"/>
    <w:rsid w:val="004D13E2"/>
    <w:rsid w:val="004D1581"/>
    <w:rsid w:val="004D2103"/>
    <w:rsid w:val="004D229F"/>
    <w:rsid w:val="004D2C2D"/>
    <w:rsid w:val="004D5582"/>
    <w:rsid w:val="004D5667"/>
    <w:rsid w:val="004D630C"/>
    <w:rsid w:val="004D7227"/>
    <w:rsid w:val="004D75F4"/>
    <w:rsid w:val="004D7E4E"/>
    <w:rsid w:val="004E0E7F"/>
    <w:rsid w:val="004E0EB8"/>
    <w:rsid w:val="004E1D76"/>
    <w:rsid w:val="004E2ADC"/>
    <w:rsid w:val="004E33A1"/>
    <w:rsid w:val="004E43B2"/>
    <w:rsid w:val="004E45B5"/>
    <w:rsid w:val="004E7669"/>
    <w:rsid w:val="004F101F"/>
    <w:rsid w:val="004F1D02"/>
    <w:rsid w:val="004F2679"/>
    <w:rsid w:val="004F2704"/>
    <w:rsid w:val="004F29C5"/>
    <w:rsid w:val="004F2AE1"/>
    <w:rsid w:val="004F2F21"/>
    <w:rsid w:val="004F50CC"/>
    <w:rsid w:val="004F52AB"/>
    <w:rsid w:val="004F6913"/>
    <w:rsid w:val="004F7865"/>
    <w:rsid w:val="00500DC4"/>
    <w:rsid w:val="00501B18"/>
    <w:rsid w:val="0050219B"/>
    <w:rsid w:val="0050258B"/>
    <w:rsid w:val="0050285F"/>
    <w:rsid w:val="00503972"/>
    <w:rsid w:val="00503F17"/>
    <w:rsid w:val="0050571A"/>
    <w:rsid w:val="00505F99"/>
    <w:rsid w:val="00506512"/>
    <w:rsid w:val="00506928"/>
    <w:rsid w:val="005111CA"/>
    <w:rsid w:val="005152B5"/>
    <w:rsid w:val="00515A2D"/>
    <w:rsid w:val="00515CA0"/>
    <w:rsid w:val="00515D5A"/>
    <w:rsid w:val="00515E94"/>
    <w:rsid w:val="00516653"/>
    <w:rsid w:val="00516EE8"/>
    <w:rsid w:val="005179E5"/>
    <w:rsid w:val="00521319"/>
    <w:rsid w:val="0052271B"/>
    <w:rsid w:val="00522BC8"/>
    <w:rsid w:val="00523BF4"/>
    <w:rsid w:val="00523C28"/>
    <w:rsid w:val="0052421E"/>
    <w:rsid w:val="00524D35"/>
    <w:rsid w:val="0052554F"/>
    <w:rsid w:val="00525B32"/>
    <w:rsid w:val="00525D59"/>
    <w:rsid w:val="005320F5"/>
    <w:rsid w:val="00532D39"/>
    <w:rsid w:val="00532E0F"/>
    <w:rsid w:val="005353D0"/>
    <w:rsid w:val="00536F42"/>
    <w:rsid w:val="00537182"/>
    <w:rsid w:val="00537199"/>
    <w:rsid w:val="00537BF8"/>
    <w:rsid w:val="00541CBD"/>
    <w:rsid w:val="00541D0C"/>
    <w:rsid w:val="00542743"/>
    <w:rsid w:val="00542A46"/>
    <w:rsid w:val="00542C2D"/>
    <w:rsid w:val="005438C0"/>
    <w:rsid w:val="00545716"/>
    <w:rsid w:val="00546AEF"/>
    <w:rsid w:val="00551985"/>
    <w:rsid w:val="00552BD3"/>
    <w:rsid w:val="00554338"/>
    <w:rsid w:val="00555109"/>
    <w:rsid w:val="005564F4"/>
    <w:rsid w:val="005628D0"/>
    <w:rsid w:val="00563BDE"/>
    <w:rsid w:val="0056444A"/>
    <w:rsid w:val="0056696F"/>
    <w:rsid w:val="00567E11"/>
    <w:rsid w:val="00572269"/>
    <w:rsid w:val="0057237D"/>
    <w:rsid w:val="0057244A"/>
    <w:rsid w:val="005735D3"/>
    <w:rsid w:val="00573CD6"/>
    <w:rsid w:val="00575D8D"/>
    <w:rsid w:val="00575E48"/>
    <w:rsid w:val="00576972"/>
    <w:rsid w:val="005807E0"/>
    <w:rsid w:val="00580EB9"/>
    <w:rsid w:val="0058306B"/>
    <w:rsid w:val="00583699"/>
    <w:rsid w:val="00584755"/>
    <w:rsid w:val="00585CDD"/>
    <w:rsid w:val="00585F39"/>
    <w:rsid w:val="0058675C"/>
    <w:rsid w:val="00587058"/>
    <w:rsid w:val="00587AFD"/>
    <w:rsid w:val="00590033"/>
    <w:rsid w:val="00591957"/>
    <w:rsid w:val="00592541"/>
    <w:rsid w:val="00594ABC"/>
    <w:rsid w:val="00594C10"/>
    <w:rsid w:val="00597182"/>
    <w:rsid w:val="00597BF9"/>
    <w:rsid w:val="005A297C"/>
    <w:rsid w:val="005A3465"/>
    <w:rsid w:val="005A373D"/>
    <w:rsid w:val="005A62B0"/>
    <w:rsid w:val="005A638D"/>
    <w:rsid w:val="005A66BE"/>
    <w:rsid w:val="005A6F0E"/>
    <w:rsid w:val="005B0907"/>
    <w:rsid w:val="005B133E"/>
    <w:rsid w:val="005B1774"/>
    <w:rsid w:val="005B184D"/>
    <w:rsid w:val="005B3EE1"/>
    <w:rsid w:val="005B5523"/>
    <w:rsid w:val="005B5857"/>
    <w:rsid w:val="005B72BC"/>
    <w:rsid w:val="005C162B"/>
    <w:rsid w:val="005C1B83"/>
    <w:rsid w:val="005C2D55"/>
    <w:rsid w:val="005C346B"/>
    <w:rsid w:val="005C3E3F"/>
    <w:rsid w:val="005C477D"/>
    <w:rsid w:val="005C58B8"/>
    <w:rsid w:val="005C6949"/>
    <w:rsid w:val="005C76A7"/>
    <w:rsid w:val="005D02D4"/>
    <w:rsid w:val="005D044D"/>
    <w:rsid w:val="005D0ABD"/>
    <w:rsid w:val="005D0DA9"/>
    <w:rsid w:val="005D18AD"/>
    <w:rsid w:val="005D26B4"/>
    <w:rsid w:val="005D28A5"/>
    <w:rsid w:val="005D4AF7"/>
    <w:rsid w:val="005D51F0"/>
    <w:rsid w:val="005D7CD1"/>
    <w:rsid w:val="005D7D2D"/>
    <w:rsid w:val="005D7DE1"/>
    <w:rsid w:val="005D7EA6"/>
    <w:rsid w:val="005E1AE7"/>
    <w:rsid w:val="005E26C0"/>
    <w:rsid w:val="005E4CB9"/>
    <w:rsid w:val="005E6CBC"/>
    <w:rsid w:val="005E73C0"/>
    <w:rsid w:val="005F2706"/>
    <w:rsid w:val="005F54A1"/>
    <w:rsid w:val="005F6A8F"/>
    <w:rsid w:val="00603011"/>
    <w:rsid w:val="00603DB9"/>
    <w:rsid w:val="00604B81"/>
    <w:rsid w:val="00604E51"/>
    <w:rsid w:val="006054AC"/>
    <w:rsid w:val="00605A55"/>
    <w:rsid w:val="00606631"/>
    <w:rsid w:val="0060669A"/>
    <w:rsid w:val="006075D4"/>
    <w:rsid w:val="00607669"/>
    <w:rsid w:val="006078EB"/>
    <w:rsid w:val="0060797A"/>
    <w:rsid w:val="00607AFD"/>
    <w:rsid w:val="00610872"/>
    <w:rsid w:val="0061234C"/>
    <w:rsid w:val="00612EF4"/>
    <w:rsid w:val="00612F97"/>
    <w:rsid w:val="0061345D"/>
    <w:rsid w:val="00614909"/>
    <w:rsid w:val="00616802"/>
    <w:rsid w:val="00617E12"/>
    <w:rsid w:val="00617F93"/>
    <w:rsid w:val="0062013E"/>
    <w:rsid w:val="00621477"/>
    <w:rsid w:val="0062175F"/>
    <w:rsid w:val="00625E77"/>
    <w:rsid w:val="0063006A"/>
    <w:rsid w:val="00630A71"/>
    <w:rsid w:val="0063158F"/>
    <w:rsid w:val="00631D6B"/>
    <w:rsid w:val="00631E8B"/>
    <w:rsid w:val="006321CB"/>
    <w:rsid w:val="006330A1"/>
    <w:rsid w:val="00634051"/>
    <w:rsid w:val="006343FC"/>
    <w:rsid w:val="0063479F"/>
    <w:rsid w:val="00634B38"/>
    <w:rsid w:val="006353F0"/>
    <w:rsid w:val="0063552A"/>
    <w:rsid w:val="00635C24"/>
    <w:rsid w:val="006362E1"/>
    <w:rsid w:val="006364A1"/>
    <w:rsid w:val="00637954"/>
    <w:rsid w:val="00637BFD"/>
    <w:rsid w:val="00641C4E"/>
    <w:rsid w:val="00642DAB"/>
    <w:rsid w:val="006471CC"/>
    <w:rsid w:val="00647CD5"/>
    <w:rsid w:val="0065079F"/>
    <w:rsid w:val="00652D6F"/>
    <w:rsid w:val="0065379F"/>
    <w:rsid w:val="00655A39"/>
    <w:rsid w:val="00655F78"/>
    <w:rsid w:val="00656280"/>
    <w:rsid w:val="00656B1B"/>
    <w:rsid w:val="006577E1"/>
    <w:rsid w:val="00657DEE"/>
    <w:rsid w:val="006606E1"/>
    <w:rsid w:val="00661880"/>
    <w:rsid w:val="006618BA"/>
    <w:rsid w:val="00661C6B"/>
    <w:rsid w:val="0066385B"/>
    <w:rsid w:val="006648C6"/>
    <w:rsid w:val="00665865"/>
    <w:rsid w:val="0066679B"/>
    <w:rsid w:val="00666B41"/>
    <w:rsid w:val="0067090B"/>
    <w:rsid w:val="00670EB7"/>
    <w:rsid w:val="00672875"/>
    <w:rsid w:val="00674E42"/>
    <w:rsid w:val="00676B9E"/>
    <w:rsid w:val="00677BCF"/>
    <w:rsid w:val="006802A4"/>
    <w:rsid w:val="006806A0"/>
    <w:rsid w:val="006807AF"/>
    <w:rsid w:val="00682112"/>
    <w:rsid w:val="006826D4"/>
    <w:rsid w:val="00685950"/>
    <w:rsid w:val="006862E6"/>
    <w:rsid w:val="0068658C"/>
    <w:rsid w:val="00686957"/>
    <w:rsid w:val="006872BA"/>
    <w:rsid w:val="00687987"/>
    <w:rsid w:val="00687F02"/>
    <w:rsid w:val="00690736"/>
    <w:rsid w:val="00691648"/>
    <w:rsid w:val="006917D7"/>
    <w:rsid w:val="006937B6"/>
    <w:rsid w:val="00694F44"/>
    <w:rsid w:val="00695487"/>
    <w:rsid w:val="006957A3"/>
    <w:rsid w:val="006979A4"/>
    <w:rsid w:val="006A0686"/>
    <w:rsid w:val="006A14BB"/>
    <w:rsid w:val="006A472B"/>
    <w:rsid w:val="006A61BF"/>
    <w:rsid w:val="006A646E"/>
    <w:rsid w:val="006A78F0"/>
    <w:rsid w:val="006A7E5F"/>
    <w:rsid w:val="006A7EB3"/>
    <w:rsid w:val="006B0048"/>
    <w:rsid w:val="006B18CE"/>
    <w:rsid w:val="006B261B"/>
    <w:rsid w:val="006B2C90"/>
    <w:rsid w:val="006B6CFA"/>
    <w:rsid w:val="006B6DD0"/>
    <w:rsid w:val="006C270A"/>
    <w:rsid w:val="006C2A8E"/>
    <w:rsid w:val="006C3138"/>
    <w:rsid w:val="006C516C"/>
    <w:rsid w:val="006D0668"/>
    <w:rsid w:val="006D14FA"/>
    <w:rsid w:val="006D1874"/>
    <w:rsid w:val="006D364D"/>
    <w:rsid w:val="006D3C7D"/>
    <w:rsid w:val="006D3FE8"/>
    <w:rsid w:val="006D5D5F"/>
    <w:rsid w:val="006D672C"/>
    <w:rsid w:val="006D6752"/>
    <w:rsid w:val="006E28F1"/>
    <w:rsid w:val="006E318A"/>
    <w:rsid w:val="006E3270"/>
    <w:rsid w:val="006E5083"/>
    <w:rsid w:val="006E686A"/>
    <w:rsid w:val="006F0596"/>
    <w:rsid w:val="006F1B02"/>
    <w:rsid w:val="006F2508"/>
    <w:rsid w:val="006F306C"/>
    <w:rsid w:val="006F3DCA"/>
    <w:rsid w:val="006F4E22"/>
    <w:rsid w:val="006F63A5"/>
    <w:rsid w:val="007001EC"/>
    <w:rsid w:val="0070142B"/>
    <w:rsid w:val="00701C37"/>
    <w:rsid w:val="007024C7"/>
    <w:rsid w:val="0070276E"/>
    <w:rsid w:val="00702813"/>
    <w:rsid w:val="00702F8F"/>
    <w:rsid w:val="007030D5"/>
    <w:rsid w:val="00704E3D"/>
    <w:rsid w:val="007069DB"/>
    <w:rsid w:val="00707495"/>
    <w:rsid w:val="00710522"/>
    <w:rsid w:val="00711A36"/>
    <w:rsid w:val="00711BB5"/>
    <w:rsid w:val="00712D6C"/>
    <w:rsid w:val="0071529C"/>
    <w:rsid w:val="007153CF"/>
    <w:rsid w:val="00715FAC"/>
    <w:rsid w:val="007172AD"/>
    <w:rsid w:val="0072044F"/>
    <w:rsid w:val="00722B1B"/>
    <w:rsid w:val="00723638"/>
    <w:rsid w:val="0072416F"/>
    <w:rsid w:val="00724C76"/>
    <w:rsid w:val="00727C94"/>
    <w:rsid w:val="00730DCB"/>
    <w:rsid w:val="00731349"/>
    <w:rsid w:val="007313D9"/>
    <w:rsid w:val="00731EAE"/>
    <w:rsid w:val="0073261A"/>
    <w:rsid w:val="00733715"/>
    <w:rsid w:val="0073442B"/>
    <w:rsid w:val="007347E0"/>
    <w:rsid w:val="00734FCB"/>
    <w:rsid w:val="00735033"/>
    <w:rsid w:val="00735328"/>
    <w:rsid w:val="00735B54"/>
    <w:rsid w:val="00735E66"/>
    <w:rsid w:val="00736109"/>
    <w:rsid w:val="0073614B"/>
    <w:rsid w:val="0073624A"/>
    <w:rsid w:val="007366D4"/>
    <w:rsid w:val="0073685B"/>
    <w:rsid w:val="00741601"/>
    <w:rsid w:val="00742479"/>
    <w:rsid w:val="00743B03"/>
    <w:rsid w:val="007447F0"/>
    <w:rsid w:val="00746B1D"/>
    <w:rsid w:val="00747102"/>
    <w:rsid w:val="00752142"/>
    <w:rsid w:val="007523F9"/>
    <w:rsid w:val="0075456B"/>
    <w:rsid w:val="00757001"/>
    <w:rsid w:val="007573E8"/>
    <w:rsid w:val="00757E0D"/>
    <w:rsid w:val="00760C4E"/>
    <w:rsid w:val="007610F7"/>
    <w:rsid w:val="0076154D"/>
    <w:rsid w:val="00762324"/>
    <w:rsid w:val="00764773"/>
    <w:rsid w:val="00765B1A"/>
    <w:rsid w:val="0077101A"/>
    <w:rsid w:val="007717B1"/>
    <w:rsid w:val="00771AB9"/>
    <w:rsid w:val="00771E82"/>
    <w:rsid w:val="00772687"/>
    <w:rsid w:val="0077339D"/>
    <w:rsid w:val="00774CE2"/>
    <w:rsid w:val="0077637C"/>
    <w:rsid w:val="007769BE"/>
    <w:rsid w:val="00776D9E"/>
    <w:rsid w:val="00777F93"/>
    <w:rsid w:val="007817C2"/>
    <w:rsid w:val="00781EB5"/>
    <w:rsid w:val="007829AD"/>
    <w:rsid w:val="00782E1A"/>
    <w:rsid w:val="0078358F"/>
    <w:rsid w:val="007838A4"/>
    <w:rsid w:val="00783E80"/>
    <w:rsid w:val="007843F2"/>
    <w:rsid w:val="007844DC"/>
    <w:rsid w:val="0078454E"/>
    <w:rsid w:val="00784AB2"/>
    <w:rsid w:val="00785FE4"/>
    <w:rsid w:val="007871A3"/>
    <w:rsid w:val="00787A4D"/>
    <w:rsid w:val="007903E2"/>
    <w:rsid w:val="00792204"/>
    <w:rsid w:val="007925F2"/>
    <w:rsid w:val="00795C01"/>
    <w:rsid w:val="00796DE1"/>
    <w:rsid w:val="00797199"/>
    <w:rsid w:val="00797A51"/>
    <w:rsid w:val="007A0A12"/>
    <w:rsid w:val="007A132D"/>
    <w:rsid w:val="007A3477"/>
    <w:rsid w:val="007A41B7"/>
    <w:rsid w:val="007A47D3"/>
    <w:rsid w:val="007A5BE5"/>
    <w:rsid w:val="007A6700"/>
    <w:rsid w:val="007A775A"/>
    <w:rsid w:val="007A7D7F"/>
    <w:rsid w:val="007B0D68"/>
    <w:rsid w:val="007B251D"/>
    <w:rsid w:val="007B29F7"/>
    <w:rsid w:val="007B2C9B"/>
    <w:rsid w:val="007B4EA2"/>
    <w:rsid w:val="007B4F58"/>
    <w:rsid w:val="007B528D"/>
    <w:rsid w:val="007B6C8C"/>
    <w:rsid w:val="007B6ED6"/>
    <w:rsid w:val="007B77D1"/>
    <w:rsid w:val="007B7B67"/>
    <w:rsid w:val="007C01D1"/>
    <w:rsid w:val="007C1CD9"/>
    <w:rsid w:val="007C1D61"/>
    <w:rsid w:val="007C1F47"/>
    <w:rsid w:val="007C2A90"/>
    <w:rsid w:val="007C361D"/>
    <w:rsid w:val="007C41D0"/>
    <w:rsid w:val="007C4B84"/>
    <w:rsid w:val="007C4CD0"/>
    <w:rsid w:val="007C4EF4"/>
    <w:rsid w:val="007C66C9"/>
    <w:rsid w:val="007C7784"/>
    <w:rsid w:val="007C7BA8"/>
    <w:rsid w:val="007D004F"/>
    <w:rsid w:val="007D087C"/>
    <w:rsid w:val="007D0B38"/>
    <w:rsid w:val="007D0DE6"/>
    <w:rsid w:val="007D2D0E"/>
    <w:rsid w:val="007D3A40"/>
    <w:rsid w:val="007D3AB1"/>
    <w:rsid w:val="007D4650"/>
    <w:rsid w:val="007D5440"/>
    <w:rsid w:val="007D74AB"/>
    <w:rsid w:val="007D7B80"/>
    <w:rsid w:val="007E0829"/>
    <w:rsid w:val="007E120F"/>
    <w:rsid w:val="007E1813"/>
    <w:rsid w:val="007E281D"/>
    <w:rsid w:val="007E2C6B"/>
    <w:rsid w:val="007E3152"/>
    <w:rsid w:val="007E3310"/>
    <w:rsid w:val="007E381D"/>
    <w:rsid w:val="007E3EF1"/>
    <w:rsid w:val="007E4852"/>
    <w:rsid w:val="007E4BCB"/>
    <w:rsid w:val="007E7BE7"/>
    <w:rsid w:val="007F1017"/>
    <w:rsid w:val="007F1DAF"/>
    <w:rsid w:val="007F3D0F"/>
    <w:rsid w:val="007F4A3F"/>
    <w:rsid w:val="007F4A61"/>
    <w:rsid w:val="007F61C2"/>
    <w:rsid w:val="007F6E06"/>
    <w:rsid w:val="007F7C85"/>
    <w:rsid w:val="008004FB"/>
    <w:rsid w:val="00801DD4"/>
    <w:rsid w:val="00802B5A"/>
    <w:rsid w:val="00805142"/>
    <w:rsid w:val="008059F6"/>
    <w:rsid w:val="008076A0"/>
    <w:rsid w:val="0080791A"/>
    <w:rsid w:val="00807A8B"/>
    <w:rsid w:val="00807F21"/>
    <w:rsid w:val="00810347"/>
    <w:rsid w:val="0081072D"/>
    <w:rsid w:val="00811383"/>
    <w:rsid w:val="00812149"/>
    <w:rsid w:val="008123B1"/>
    <w:rsid w:val="00812CAC"/>
    <w:rsid w:val="00814321"/>
    <w:rsid w:val="00815459"/>
    <w:rsid w:val="008166EF"/>
    <w:rsid w:val="00816B88"/>
    <w:rsid w:val="00816C46"/>
    <w:rsid w:val="008219CC"/>
    <w:rsid w:val="00822856"/>
    <w:rsid w:val="00824C04"/>
    <w:rsid w:val="00825751"/>
    <w:rsid w:val="008264EB"/>
    <w:rsid w:val="0082712D"/>
    <w:rsid w:val="00827371"/>
    <w:rsid w:val="008275AB"/>
    <w:rsid w:val="00830D7A"/>
    <w:rsid w:val="008319EF"/>
    <w:rsid w:val="00833B05"/>
    <w:rsid w:val="00835230"/>
    <w:rsid w:val="008362B4"/>
    <w:rsid w:val="00836C89"/>
    <w:rsid w:val="00837858"/>
    <w:rsid w:val="00840CA2"/>
    <w:rsid w:val="00840D28"/>
    <w:rsid w:val="0084117B"/>
    <w:rsid w:val="00841186"/>
    <w:rsid w:val="00842836"/>
    <w:rsid w:val="0084374F"/>
    <w:rsid w:val="00843F55"/>
    <w:rsid w:val="00844350"/>
    <w:rsid w:val="0084526B"/>
    <w:rsid w:val="00845515"/>
    <w:rsid w:val="00846F65"/>
    <w:rsid w:val="0084721A"/>
    <w:rsid w:val="0084798D"/>
    <w:rsid w:val="00847DF5"/>
    <w:rsid w:val="00847E21"/>
    <w:rsid w:val="00850A8E"/>
    <w:rsid w:val="008519FB"/>
    <w:rsid w:val="00852384"/>
    <w:rsid w:val="008525B7"/>
    <w:rsid w:val="0085309D"/>
    <w:rsid w:val="00853187"/>
    <w:rsid w:val="00854A4A"/>
    <w:rsid w:val="00855B16"/>
    <w:rsid w:val="00856897"/>
    <w:rsid w:val="00856E9A"/>
    <w:rsid w:val="008572CB"/>
    <w:rsid w:val="0086075D"/>
    <w:rsid w:val="00861AB0"/>
    <w:rsid w:val="00862502"/>
    <w:rsid w:val="00862A18"/>
    <w:rsid w:val="00864D20"/>
    <w:rsid w:val="008660D4"/>
    <w:rsid w:val="0086610D"/>
    <w:rsid w:val="00866FBA"/>
    <w:rsid w:val="00870DAA"/>
    <w:rsid w:val="00871FA9"/>
    <w:rsid w:val="00872415"/>
    <w:rsid w:val="00872643"/>
    <w:rsid w:val="008728E9"/>
    <w:rsid w:val="00872B63"/>
    <w:rsid w:val="0087638F"/>
    <w:rsid w:val="00880550"/>
    <w:rsid w:val="00880586"/>
    <w:rsid w:val="00880CA2"/>
    <w:rsid w:val="00882874"/>
    <w:rsid w:val="00883787"/>
    <w:rsid w:val="00883EB3"/>
    <w:rsid w:val="0088432B"/>
    <w:rsid w:val="008857A4"/>
    <w:rsid w:val="00885884"/>
    <w:rsid w:val="00886CD2"/>
    <w:rsid w:val="008872C1"/>
    <w:rsid w:val="00887D95"/>
    <w:rsid w:val="00892A36"/>
    <w:rsid w:val="00893239"/>
    <w:rsid w:val="00893F1F"/>
    <w:rsid w:val="00894489"/>
    <w:rsid w:val="0089463C"/>
    <w:rsid w:val="008963A5"/>
    <w:rsid w:val="00896BBD"/>
    <w:rsid w:val="00897A95"/>
    <w:rsid w:val="008A0ACB"/>
    <w:rsid w:val="008A3363"/>
    <w:rsid w:val="008A3371"/>
    <w:rsid w:val="008A3C3E"/>
    <w:rsid w:val="008A5238"/>
    <w:rsid w:val="008A61BD"/>
    <w:rsid w:val="008A6439"/>
    <w:rsid w:val="008A79DE"/>
    <w:rsid w:val="008B0562"/>
    <w:rsid w:val="008B0D9B"/>
    <w:rsid w:val="008B0F90"/>
    <w:rsid w:val="008B1757"/>
    <w:rsid w:val="008B2152"/>
    <w:rsid w:val="008B645D"/>
    <w:rsid w:val="008B7152"/>
    <w:rsid w:val="008B75DF"/>
    <w:rsid w:val="008B7D7E"/>
    <w:rsid w:val="008B7FA5"/>
    <w:rsid w:val="008B7FC8"/>
    <w:rsid w:val="008C00CA"/>
    <w:rsid w:val="008C1706"/>
    <w:rsid w:val="008C252F"/>
    <w:rsid w:val="008C2BE8"/>
    <w:rsid w:val="008C2C20"/>
    <w:rsid w:val="008C2D08"/>
    <w:rsid w:val="008C316C"/>
    <w:rsid w:val="008C360C"/>
    <w:rsid w:val="008C3C1F"/>
    <w:rsid w:val="008C67BD"/>
    <w:rsid w:val="008C7ECB"/>
    <w:rsid w:val="008D11BF"/>
    <w:rsid w:val="008D2B24"/>
    <w:rsid w:val="008D306D"/>
    <w:rsid w:val="008D4187"/>
    <w:rsid w:val="008D4755"/>
    <w:rsid w:val="008D4C3D"/>
    <w:rsid w:val="008D54E3"/>
    <w:rsid w:val="008D593D"/>
    <w:rsid w:val="008D5A6C"/>
    <w:rsid w:val="008D6224"/>
    <w:rsid w:val="008D6A5E"/>
    <w:rsid w:val="008D75E0"/>
    <w:rsid w:val="008D7773"/>
    <w:rsid w:val="008D78ED"/>
    <w:rsid w:val="008E0042"/>
    <w:rsid w:val="008E0D3C"/>
    <w:rsid w:val="008E1B9E"/>
    <w:rsid w:val="008E2E12"/>
    <w:rsid w:val="008E322B"/>
    <w:rsid w:val="008E4593"/>
    <w:rsid w:val="008E55AB"/>
    <w:rsid w:val="008E6159"/>
    <w:rsid w:val="008E6471"/>
    <w:rsid w:val="008E67CD"/>
    <w:rsid w:val="008E74CC"/>
    <w:rsid w:val="008E7CFF"/>
    <w:rsid w:val="008F00E4"/>
    <w:rsid w:val="008F120A"/>
    <w:rsid w:val="008F27E0"/>
    <w:rsid w:val="008F2C0A"/>
    <w:rsid w:val="008F3555"/>
    <w:rsid w:val="008F3715"/>
    <w:rsid w:val="008F3BC0"/>
    <w:rsid w:val="008F3E39"/>
    <w:rsid w:val="008F48EB"/>
    <w:rsid w:val="008F4B44"/>
    <w:rsid w:val="008F4F0B"/>
    <w:rsid w:val="008F583B"/>
    <w:rsid w:val="008F5D5C"/>
    <w:rsid w:val="008F62D8"/>
    <w:rsid w:val="008F6613"/>
    <w:rsid w:val="008F6DBD"/>
    <w:rsid w:val="008F7CE0"/>
    <w:rsid w:val="00902306"/>
    <w:rsid w:val="009023C2"/>
    <w:rsid w:val="00902A20"/>
    <w:rsid w:val="00903591"/>
    <w:rsid w:val="009046C4"/>
    <w:rsid w:val="009059F9"/>
    <w:rsid w:val="00905C8C"/>
    <w:rsid w:val="009062A5"/>
    <w:rsid w:val="009101BE"/>
    <w:rsid w:val="00911272"/>
    <w:rsid w:val="009135D6"/>
    <w:rsid w:val="00913A25"/>
    <w:rsid w:val="00914C77"/>
    <w:rsid w:val="0091637B"/>
    <w:rsid w:val="0091707A"/>
    <w:rsid w:val="0091724C"/>
    <w:rsid w:val="00917BC7"/>
    <w:rsid w:val="00923227"/>
    <w:rsid w:val="0092369B"/>
    <w:rsid w:val="00927697"/>
    <w:rsid w:val="009315D4"/>
    <w:rsid w:val="00932854"/>
    <w:rsid w:val="00934A32"/>
    <w:rsid w:val="00934E33"/>
    <w:rsid w:val="00935164"/>
    <w:rsid w:val="00935C82"/>
    <w:rsid w:val="00935FBB"/>
    <w:rsid w:val="00936583"/>
    <w:rsid w:val="0093695E"/>
    <w:rsid w:val="0093736C"/>
    <w:rsid w:val="00937DD5"/>
    <w:rsid w:val="009408FA"/>
    <w:rsid w:val="00940BEB"/>
    <w:rsid w:val="0094194A"/>
    <w:rsid w:val="009421C9"/>
    <w:rsid w:val="009457A7"/>
    <w:rsid w:val="009476E7"/>
    <w:rsid w:val="009510A2"/>
    <w:rsid w:val="00951562"/>
    <w:rsid w:val="0095246B"/>
    <w:rsid w:val="00953257"/>
    <w:rsid w:val="00953DE0"/>
    <w:rsid w:val="00954023"/>
    <w:rsid w:val="0095449C"/>
    <w:rsid w:val="0095546A"/>
    <w:rsid w:val="009569FE"/>
    <w:rsid w:val="00957671"/>
    <w:rsid w:val="00961534"/>
    <w:rsid w:val="00961ABD"/>
    <w:rsid w:val="00962537"/>
    <w:rsid w:val="00962CB9"/>
    <w:rsid w:val="00962D8E"/>
    <w:rsid w:val="00964312"/>
    <w:rsid w:val="00964C9C"/>
    <w:rsid w:val="00965B8A"/>
    <w:rsid w:val="009667E7"/>
    <w:rsid w:val="00966A01"/>
    <w:rsid w:val="00967EEF"/>
    <w:rsid w:val="00970BD5"/>
    <w:rsid w:val="00971717"/>
    <w:rsid w:val="009717AC"/>
    <w:rsid w:val="00971CEF"/>
    <w:rsid w:val="00972F90"/>
    <w:rsid w:val="00975448"/>
    <w:rsid w:val="00976584"/>
    <w:rsid w:val="00977639"/>
    <w:rsid w:val="00977CE9"/>
    <w:rsid w:val="0098059E"/>
    <w:rsid w:val="00983E57"/>
    <w:rsid w:val="00984E28"/>
    <w:rsid w:val="009853E9"/>
    <w:rsid w:val="0098675D"/>
    <w:rsid w:val="0098693D"/>
    <w:rsid w:val="00987B62"/>
    <w:rsid w:val="00987C6D"/>
    <w:rsid w:val="0099000B"/>
    <w:rsid w:val="009920F8"/>
    <w:rsid w:val="0099220A"/>
    <w:rsid w:val="009966C6"/>
    <w:rsid w:val="00996B1A"/>
    <w:rsid w:val="0099757D"/>
    <w:rsid w:val="009A1AC8"/>
    <w:rsid w:val="009A3D1B"/>
    <w:rsid w:val="009A443C"/>
    <w:rsid w:val="009A64BE"/>
    <w:rsid w:val="009A7910"/>
    <w:rsid w:val="009A7F10"/>
    <w:rsid w:val="009B29DE"/>
    <w:rsid w:val="009B3D43"/>
    <w:rsid w:val="009B3E26"/>
    <w:rsid w:val="009B3F3D"/>
    <w:rsid w:val="009B431C"/>
    <w:rsid w:val="009B4559"/>
    <w:rsid w:val="009B4657"/>
    <w:rsid w:val="009B468F"/>
    <w:rsid w:val="009B7148"/>
    <w:rsid w:val="009B7347"/>
    <w:rsid w:val="009B7867"/>
    <w:rsid w:val="009B7BDE"/>
    <w:rsid w:val="009C0384"/>
    <w:rsid w:val="009C142F"/>
    <w:rsid w:val="009C19D8"/>
    <w:rsid w:val="009C3B93"/>
    <w:rsid w:val="009C4D1A"/>
    <w:rsid w:val="009C6CEA"/>
    <w:rsid w:val="009C7B85"/>
    <w:rsid w:val="009C7CD8"/>
    <w:rsid w:val="009D0B7C"/>
    <w:rsid w:val="009D2FA7"/>
    <w:rsid w:val="009D43B1"/>
    <w:rsid w:val="009D4FD1"/>
    <w:rsid w:val="009D5072"/>
    <w:rsid w:val="009D5B91"/>
    <w:rsid w:val="009D755D"/>
    <w:rsid w:val="009D792E"/>
    <w:rsid w:val="009E0DFE"/>
    <w:rsid w:val="009E1E93"/>
    <w:rsid w:val="009E4A6C"/>
    <w:rsid w:val="009E4C07"/>
    <w:rsid w:val="009E62E7"/>
    <w:rsid w:val="009E6741"/>
    <w:rsid w:val="009E7281"/>
    <w:rsid w:val="009E7B09"/>
    <w:rsid w:val="009F36DA"/>
    <w:rsid w:val="009F410E"/>
    <w:rsid w:val="009F4C20"/>
    <w:rsid w:val="009F4F07"/>
    <w:rsid w:val="009F581E"/>
    <w:rsid w:val="009F678D"/>
    <w:rsid w:val="00A01184"/>
    <w:rsid w:val="00A0274D"/>
    <w:rsid w:val="00A03D43"/>
    <w:rsid w:val="00A04380"/>
    <w:rsid w:val="00A05819"/>
    <w:rsid w:val="00A05CE4"/>
    <w:rsid w:val="00A06618"/>
    <w:rsid w:val="00A11CD0"/>
    <w:rsid w:val="00A13948"/>
    <w:rsid w:val="00A148A7"/>
    <w:rsid w:val="00A1555B"/>
    <w:rsid w:val="00A155C5"/>
    <w:rsid w:val="00A162E4"/>
    <w:rsid w:val="00A16590"/>
    <w:rsid w:val="00A16AD8"/>
    <w:rsid w:val="00A177B4"/>
    <w:rsid w:val="00A219F9"/>
    <w:rsid w:val="00A21CF3"/>
    <w:rsid w:val="00A23804"/>
    <w:rsid w:val="00A2386B"/>
    <w:rsid w:val="00A241ED"/>
    <w:rsid w:val="00A27AEC"/>
    <w:rsid w:val="00A302B9"/>
    <w:rsid w:val="00A320DB"/>
    <w:rsid w:val="00A320F0"/>
    <w:rsid w:val="00A32201"/>
    <w:rsid w:val="00A32723"/>
    <w:rsid w:val="00A33616"/>
    <w:rsid w:val="00A35D16"/>
    <w:rsid w:val="00A35E59"/>
    <w:rsid w:val="00A37BCD"/>
    <w:rsid w:val="00A41910"/>
    <w:rsid w:val="00A424AE"/>
    <w:rsid w:val="00A43881"/>
    <w:rsid w:val="00A43C59"/>
    <w:rsid w:val="00A447A9"/>
    <w:rsid w:val="00A44D2A"/>
    <w:rsid w:val="00A452F4"/>
    <w:rsid w:val="00A50ECD"/>
    <w:rsid w:val="00A518F3"/>
    <w:rsid w:val="00A52729"/>
    <w:rsid w:val="00A53675"/>
    <w:rsid w:val="00A53A49"/>
    <w:rsid w:val="00A564D7"/>
    <w:rsid w:val="00A568BD"/>
    <w:rsid w:val="00A56B1F"/>
    <w:rsid w:val="00A56B6A"/>
    <w:rsid w:val="00A578DC"/>
    <w:rsid w:val="00A60098"/>
    <w:rsid w:val="00A6039E"/>
    <w:rsid w:val="00A62AE0"/>
    <w:rsid w:val="00A6331C"/>
    <w:rsid w:val="00A6339E"/>
    <w:rsid w:val="00A63A11"/>
    <w:rsid w:val="00A64155"/>
    <w:rsid w:val="00A64DEF"/>
    <w:rsid w:val="00A65421"/>
    <w:rsid w:val="00A671AD"/>
    <w:rsid w:val="00A6725B"/>
    <w:rsid w:val="00A700FF"/>
    <w:rsid w:val="00A70605"/>
    <w:rsid w:val="00A726E9"/>
    <w:rsid w:val="00A73134"/>
    <w:rsid w:val="00A76C70"/>
    <w:rsid w:val="00A777B2"/>
    <w:rsid w:val="00A8269F"/>
    <w:rsid w:val="00A851BC"/>
    <w:rsid w:val="00A86DAE"/>
    <w:rsid w:val="00A86E8B"/>
    <w:rsid w:val="00A87164"/>
    <w:rsid w:val="00A9022E"/>
    <w:rsid w:val="00A9109E"/>
    <w:rsid w:val="00A921C9"/>
    <w:rsid w:val="00A93072"/>
    <w:rsid w:val="00A93750"/>
    <w:rsid w:val="00A93953"/>
    <w:rsid w:val="00A959D8"/>
    <w:rsid w:val="00A96A5C"/>
    <w:rsid w:val="00A96D90"/>
    <w:rsid w:val="00AA113D"/>
    <w:rsid w:val="00AA3CA0"/>
    <w:rsid w:val="00AA400E"/>
    <w:rsid w:val="00AA4018"/>
    <w:rsid w:val="00AA5241"/>
    <w:rsid w:val="00AA52FA"/>
    <w:rsid w:val="00AA5661"/>
    <w:rsid w:val="00AA6C7D"/>
    <w:rsid w:val="00AA6EE6"/>
    <w:rsid w:val="00AA7FD6"/>
    <w:rsid w:val="00AB042A"/>
    <w:rsid w:val="00AB2C2B"/>
    <w:rsid w:val="00AB2D34"/>
    <w:rsid w:val="00AB3430"/>
    <w:rsid w:val="00AB4AD1"/>
    <w:rsid w:val="00AB537C"/>
    <w:rsid w:val="00AB6496"/>
    <w:rsid w:val="00AB7CFA"/>
    <w:rsid w:val="00AB7F40"/>
    <w:rsid w:val="00AC03FF"/>
    <w:rsid w:val="00AC20C5"/>
    <w:rsid w:val="00AC532A"/>
    <w:rsid w:val="00AC5AD1"/>
    <w:rsid w:val="00AC5B48"/>
    <w:rsid w:val="00AD19E7"/>
    <w:rsid w:val="00AD1C9A"/>
    <w:rsid w:val="00AD27D7"/>
    <w:rsid w:val="00AD4F37"/>
    <w:rsid w:val="00AD6502"/>
    <w:rsid w:val="00AD67E9"/>
    <w:rsid w:val="00AE03B6"/>
    <w:rsid w:val="00AE0C74"/>
    <w:rsid w:val="00AE1972"/>
    <w:rsid w:val="00AE1F5C"/>
    <w:rsid w:val="00AE29E3"/>
    <w:rsid w:val="00AE2C4B"/>
    <w:rsid w:val="00AE2EB1"/>
    <w:rsid w:val="00AE4F6F"/>
    <w:rsid w:val="00AE5AF3"/>
    <w:rsid w:val="00AE6294"/>
    <w:rsid w:val="00AF1315"/>
    <w:rsid w:val="00AF19BF"/>
    <w:rsid w:val="00AF265C"/>
    <w:rsid w:val="00AF2DC3"/>
    <w:rsid w:val="00AF5360"/>
    <w:rsid w:val="00AF5B92"/>
    <w:rsid w:val="00AF6478"/>
    <w:rsid w:val="00AF6929"/>
    <w:rsid w:val="00B012EC"/>
    <w:rsid w:val="00B01DB0"/>
    <w:rsid w:val="00B02059"/>
    <w:rsid w:val="00B02EF4"/>
    <w:rsid w:val="00B033E5"/>
    <w:rsid w:val="00B03A63"/>
    <w:rsid w:val="00B044DD"/>
    <w:rsid w:val="00B04991"/>
    <w:rsid w:val="00B04B96"/>
    <w:rsid w:val="00B06CFA"/>
    <w:rsid w:val="00B11775"/>
    <w:rsid w:val="00B1228B"/>
    <w:rsid w:val="00B150E5"/>
    <w:rsid w:val="00B15E24"/>
    <w:rsid w:val="00B16189"/>
    <w:rsid w:val="00B17264"/>
    <w:rsid w:val="00B201A4"/>
    <w:rsid w:val="00B20263"/>
    <w:rsid w:val="00B2072E"/>
    <w:rsid w:val="00B21361"/>
    <w:rsid w:val="00B213A6"/>
    <w:rsid w:val="00B21626"/>
    <w:rsid w:val="00B21F02"/>
    <w:rsid w:val="00B22AAD"/>
    <w:rsid w:val="00B2347E"/>
    <w:rsid w:val="00B24440"/>
    <w:rsid w:val="00B2454B"/>
    <w:rsid w:val="00B246EB"/>
    <w:rsid w:val="00B24DF6"/>
    <w:rsid w:val="00B25771"/>
    <w:rsid w:val="00B27930"/>
    <w:rsid w:val="00B3311F"/>
    <w:rsid w:val="00B3355F"/>
    <w:rsid w:val="00B33DC2"/>
    <w:rsid w:val="00B34A9B"/>
    <w:rsid w:val="00B34FE2"/>
    <w:rsid w:val="00B357D8"/>
    <w:rsid w:val="00B367A0"/>
    <w:rsid w:val="00B37BFC"/>
    <w:rsid w:val="00B37C48"/>
    <w:rsid w:val="00B37E83"/>
    <w:rsid w:val="00B40358"/>
    <w:rsid w:val="00B41614"/>
    <w:rsid w:val="00B41825"/>
    <w:rsid w:val="00B427FF"/>
    <w:rsid w:val="00B42851"/>
    <w:rsid w:val="00B42DEA"/>
    <w:rsid w:val="00B42F26"/>
    <w:rsid w:val="00B42F80"/>
    <w:rsid w:val="00B435CB"/>
    <w:rsid w:val="00B43A91"/>
    <w:rsid w:val="00B45921"/>
    <w:rsid w:val="00B45A01"/>
    <w:rsid w:val="00B46800"/>
    <w:rsid w:val="00B46F55"/>
    <w:rsid w:val="00B472A7"/>
    <w:rsid w:val="00B5013B"/>
    <w:rsid w:val="00B5080A"/>
    <w:rsid w:val="00B50DA2"/>
    <w:rsid w:val="00B50DB8"/>
    <w:rsid w:val="00B5100B"/>
    <w:rsid w:val="00B513F3"/>
    <w:rsid w:val="00B53654"/>
    <w:rsid w:val="00B53905"/>
    <w:rsid w:val="00B539DE"/>
    <w:rsid w:val="00B54B5B"/>
    <w:rsid w:val="00B5562E"/>
    <w:rsid w:val="00B569F0"/>
    <w:rsid w:val="00B57000"/>
    <w:rsid w:val="00B60939"/>
    <w:rsid w:val="00B60AFD"/>
    <w:rsid w:val="00B62621"/>
    <w:rsid w:val="00B62640"/>
    <w:rsid w:val="00B62715"/>
    <w:rsid w:val="00B63101"/>
    <w:rsid w:val="00B63399"/>
    <w:rsid w:val="00B633C9"/>
    <w:rsid w:val="00B639EA"/>
    <w:rsid w:val="00B651A0"/>
    <w:rsid w:val="00B65DF2"/>
    <w:rsid w:val="00B710FB"/>
    <w:rsid w:val="00B71416"/>
    <w:rsid w:val="00B719CB"/>
    <w:rsid w:val="00B73D6C"/>
    <w:rsid w:val="00B74018"/>
    <w:rsid w:val="00B7605D"/>
    <w:rsid w:val="00B7638F"/>
    <w:rsid w:val="00B76611"/>
    <w:rsid w:val="00B76C22"/>
    <w:rsid w:val="00B76EFB"/>
    <w:rsid w:val="00B818A4"/>
    <w:rsid w:val="00B82395"/>
    <w:rsid w:val="00B84117"/>
    <w:rsid w:val="00B84274"/>
    <w:rsid w:val="00B84BDD"/>
    <w:rsid w:val="00B85943"/>
    <w:rsid w:val="00B85AA2"/>
    <w:rsid w:val="00B85CE1"/>
    <w:rsid w:val="00B8649C"/>
    <w:rsid w:val="00B86A1A"/>
    <w:rsid w:val="00B87F0A"/>
    <w:rsid w:val="00B90C6D"/>
    <w:rsid w:val="00B90E26"/>
    <w:rsid w:val="00B92D0B"/>
    <w:rsid w:val="00B92D6A"/>
    <w:rsid w:val="00B93FD4"/>
    <w:rsid w:val="00B943C5"/>
    <w:rsid w:val="00B944B6"/>
    <w:rsid w:val="00B94945"/>
    <w:rsid w:val="00B97E85"/>
    <w:rsid w:val="00BA01C2"/>
    <w:rsid w:val="00BA1836"/>
    <w:rsid w:val="00BA1D3E"/>
    <w:rsid w:val="00BA322D"/>
    <w:rsid w:val="00BA36DC"/>
    <w:rsid w:val="00BA3CE7"/>
    <w:rsid w:val="00BB0BDD"/>
    <w:rsid w:val="00BB135D"/>
    <w:rsid w:val="00BB2A73"/>
    <w:rsid w:val="00BB3DCB"/>
    <w:rsid w:val="00BB4ACC"/>
    <w:rsid w:val="00BB53EF"/>
    <w:rsid w:val="00BB703E"/>
    <w:rsid w:val="00BB7405"/>
    <w:rsid w:val="00BC034C"/>
    <w:rsid w:val="00BC18E9"/>
    <w:rsid w:val="00BC21F2"/>
    <w:rsid w:val="00BC237A"/>
    <w:rsid w:val="00BC3631"/>
    <w:rsid w:val="00BC49AF"/>
    <w:rsid w:val="00BC4AB0"/>
    <w:rsid w:val="00BC50B3"/>
    <w:rsid w:val="00BC629E"/>
    <w:rsid w:val="00BC6BEB"/>
    <w:rsid w:val="00BD0C49"/>
    <w:rsid w:val="00BD0FBA"/>
    <w:rsid w:val="00BD1128"/>
    <w:rsid w:val="00BD68A3"/>
    <w:rsid w:val="00BD6938"/>
    <w:rsid w:val="00BD6CF3"/>
    <w:rsid w:val="00BD72FA"/>
    <w:rsid w:val="00BE0178"/>
    <w:rsid w:val="00BE13D2"/>
    <w:rsid w:val="00BE2180"/>
    <w:rsid w:val="00BE21F2"/>
    <w:rsid w:val="00BE4275"/>
    <w:rsid w:val="00BE5B50"/>
    <w:rsid w:val="00BE78F6"/>
    <w:rsid w:val="00BF0AC0"/>
    <w:rsid w:val="00BF0D3A"/>
    <w:rsid w:val="00BF0F95"/>
    <w:rsid w:val="00BF19BE"/>
    <w:rsid w:val="00BF2433"/>
    <w:rsid w:val="00BF3545"/>
    <w:rsid w:val="00BF48B2"/>
    <w:rsid w:val="00BF61C9"/>
    <w:rsid w:val="00BF6C94"/>
    <w:rsid w:val="00BF79A9"/>
    <w:rsid w:val="00C00424"/>
    <w:rsid w:val="00C043BF"/>
    <w:rsid w:val="00C0799B"/>
    <w:rsid w:val="00C07A18"/>
    <w:rsid w:val="00C1125C"/>
    <w:rsid w:val="00C1162E"/>
    <w:rsid w:val="00C116D5"/>
    <w:rsid w:val="00C12C14"/>
    <w:rsid w:val="00C1334A"/>
    <w:rsid w:val="00C14A79"/>
    <w:rsid w:val="00C1518F"/>
    <w:rsid w:val="00C1707E"/>
    <w:rsid w:val="00C17395"/>
    <w:rsid w:val="00C200AA"/>
    <w:rsid w:val="00C201F6"/>
    <w:rsid w:val="00C20755"/>
    <w:rsid w:val="00C2112E"/>
    <w:rsid w:val="00C2137D"/>
    <w:rsid w:val="00C2192F"/>
    <w:rsid w:val="00C237ED"/>
    <w:rsid w:val="00C240B8"/>
    <w:rsid w:val="00C24632"/>
    <w:rsid w:val="00C24B89"/>
    <w:rsid w:val="00C25418"/>
    <w:rsid w:val="00C25796"/>
    <w:rsid w:val="00C25AE1"/>
    <w:rsid w:val="00C25D9C"/>
    <w:rsid w:val="00C275D1"/>
    <w:rsid w:val="00C2778B"/>
    <w:rsid w:val="00C30436"/>
    <w:rsid w:val="00C31649"/>
    <w:rsid w:val="00C31BE5"/>
    <w:rsid w:val="00C3296C"/>
    <w:rsid w:val="00C32FA5"/>
    <w:rsid w:val="00C33527"/>
    <w:rsid w:val="00C34574"/>
    <w:rsid w:val="00C3595C"/>
    <w:rsid w:val="00C35E9E"/>
    <w:rsid w:val="00C36371"/>
    <w:rsid w:val="00C40385"/>
    <w:rsid w:val="00C407B4"/>
    <w:rsid w:val="00C42D59"/>
    <w:rsid w:val="00C42E47"/>
    <w:rsid w:val="00C45BD3"/>
    <w:rsid w:val="00C475AA"/>
    <w:rsid w:val="00C5194E"/>
    <w:rsid w:val="00C53B1D"/>
    <w:rsid w:val="00C560B4"/>
    <w:rsid w:val="00C5732D"/>
    <w:rsid w:val="00C57901"/>
    <w:rsid w:val="00C62454"/>
    <w:rsid w:val="00C6262A"/>
    <w:rsid w:val="00C63FAE"/>
    <w:rsid w:val="00C65576"/>
    <w:rsid w:val="00C657FB"/>
    <w:rsid w:val="00C659D6"/>
    <w:rsid w:val="00C66165"/>
    <w:rsid w:val="00C7003F"/>
    <w:rsid w:val="00C700C1"/>
    <w:rsid w:val="00C70877"/>
    <w:rsid w:val="00C7121D"/>
    <w:rsid w:val="00C7151A"/>
    <w:rsid w:val="00C71EA8"/>
    <w:rsid w:val="00C71F60"/>
    <w:rsid w:val="00C72241"/>
    <w:rsid w:val="00C72839"/>
    <w:rsid w:val="00C73307"/>
    <w:rsid w:val="00C73B7B"/>
    <w:rsid w:val="00C7455A"/>
    <w:rsid w:val="00C750C8"/>
    <w:rsid w:val="00C750FD"/>
    <w:rsid w:val="00C7513C"/>
    <w:rsid w:val="00C7560F"/>
    <w:rsid w:val="00C76CA9"/>
    <w:rsid w:val="00C7788A"/>
    <w:rsid w:val="00C779D9"/>
    <w:rsid w:val="00C80420"/>
    <w:rsid w:val="00C80545"/>
    <w:rsid w:val="00C80A0E"/>
    <w:rsid w:val="00C8213F"/>
    <w:rsid w:val="00C83B21"/>
    <w:rsid w:val="00C85C08"/>
    <w:rsid w:val="00C85EB6"/>
    <w:rsid w:val="00C8797A"/>
    <w:rsid w:val="00C900B8"/>
    <w:rsid w:val="00C90C71"/>
    <w:rsid w:val="00C931CF"/>
    <w:rsid w:val="00C938CF"/>
    <w:rsid w:val="00C940CA"/>
    <w:rsid w:val="00C94503"/>
    <w:rsid w:val="00C9624D"/>
    <w:rsid w:val="00C96580"/>
    <w:rsid w:val="00C969DA"/>
    <w:rsid w:val="00CA08B2"/>
    <w:rsid w:val="00CA0938"/>
    <w:rsid w:val="00CA0E70"/>
    <w:rsid w:val="00CA0FC2"/>
    <w:rsid w:val="00CA1D38"/>
    <w:rsid w:val="00CA2C77"/>
    <w:rsid w:val="00CA2CE3"/>
    <w:rsid w:val="00CA3D5D"/>
    <w:rsid w:val="00CA444F"/>
    <w:rsid w:val="00CA521F"/>
    <w:rsid w:val="00CA5245"/>
    <w:rsid w:val="00CA5888"/>
    <w:rsid w:val="00CA71F4"/>
    <w:rsid w:val="00CA7B09"/>
    <w:rsid w:val="00CB008C"/>
    <w:rsid w:val="00CB150A"/>
    <w:rsid w:val="00CB240A"/>
    <w:rsid w:val="00CB2B7B"/>
    <w:rsid w:val="00CB2F2A"/>
    <w:rsid w:val="00CB33AD"/>
    <w:rsid w:val="00CB38C6"/>
    <w:rsid w:val="00CB5016"/>
    <w:rsid w:val="00CB58FA"/>
    <w:rsid w:val="00CB5B1A"/>
    <w:rsid w:val="00CB6B22"/>
    <w:rsid w:val="00CB6E24"/>
    <w:rsid w:val="00CB7240"/>
    <w:rsid w:val="00CB7F5F"/>
    <w:rsid w:val="00CC01E4"/>
    <w:rsid w:val="00CC0337"/>
    <w:rsid w:val="00CC194E"/>
    <w:rsid w:val="00CC1B39"/>
    <w:rsid w:val="00CC2B8E"/>
    <w:rsid w:val="00CC2CB2"/>
    <w:rsid w:val="00CC3B68"/>
    <w:rsid w:val="00CC3BBB"/>
    <w:rsid w:val="00CC4F83"/>
    <w:rsid w:val="00CC5362"/>
    <w:rsid w:val="00CC6DA4"/>
    <w:rsid w:val="00CD2293"/>
    <w:rsid w:val="00CD4633"/>
    <w:rsid w:val="00CD5214"/>
    <w:rsid w:val="00CD6ADC"/>
    <w:rsid w:val="00CE061B"/>
    <w:rsid w:val="00CE3AA2"/>
    <w:rsid w:val="00CE52B9"/>
    <w:rsid w:val="00CE620B"/>
    <w:rsid w:val="00CE6274"/>
    <w:rsid w:val="00CE65DA"/>
    <w:rsid w:val="00CE69B9"/>
    <w:rsid w:val="00CE7B02"/>
    <w:rsid w:val="00CF0113"/>
    <w:rsid w:val="00CF2B8D"/>
    <w:rsid w:val="00CF43F7"/>
    <w:rsid w:val="00CF456B"/>
    <w:rsid w:val="00CF5A22"/>
    <w:rsid w:val="00CF6933"/>
    <w:rsid w:val="00D0001D"/>
    <w:rsid w:val="00D0137D"/>
    <w:rsid w:val="00D0262E"/>
    <w:rsid w:val="00D0529D"/>
    <w:rsid w:val="00D0591B"/>
    <w:rsid w:val="00D064C0"/>
    <w:rsid w:val="00D06D0D"/>
    <w:rsid w:val="00D0716F"/>
    <w:rsid w:val="00D1019F"/>
    <w:rsid w:val="00D10F62"/>
    <w:rsid w:val="00D110BD"/>
    <w:rsid w:val="00D11342"/>
    <w:rsid w:val="00D134F1"/>
    <w:rsid w:val="00D13675"/>
    <w:rsid w:val="00D141E1"/>
    <w:rsid w:val="00D1589E"/>
    <w:rsid w:val="00D17D6C"/>
    <w:rsid w:val="00D21946"/>
    <w:rsid w:val="00D21C39"/>
    <w:rsid w:val="00D2293B"/>
    <w:rsid w:val="00D22E5E"/>
    <w:rsid w:val="00D26487"/>
    <w:rsid w:val="00D2663D"/>
    <w:rsid w:val="00D2754D"/>
    <w:rsid w:val="00D27749"/>
    <w:rsid w:val="00D27B27"/>
    <w:rsid w:val="00D325A4"/>
    <w:rsid w:val="00D33BE9"/>
    <w:rsid w:val="00D35565"/>
    <w:rsid w:val="00D357FF"/>
    <w:rsid w:val="00D40548"/>
    <w:rsid w:val="00D424C7"/>
    <w:rsid w:val="00D42652"/>
    <w:rsid w:val="00D43B2A"/>
    <w:rsid w:val="00D44CD0"/>
    <w:rsid w:val="00D44F28"/>
    <w:rsid w:val="00D47575"/>
    <w:rsid w:val="00D50002"/>
    <w:rsid w:val="00D534F5"/>
    <w:rsid w:val="00D543D1"/>
    <w:rsid w:val="00D544E9"/>
    <w:rsid w:val="00D5555D"/>
    <w:rsid w:val="00D56917"/>
    <w:rsid w:val="00D56EB1"/>
    <w:rsid w:val="00D6005C"/>
    <w:rsid w:val="00D62368"/>
    <w:rsid w:val="00D624D8"/>
    <w:rsid w:val="00D6426C"/>
    <w:rsid w:val="00D64A7B"/>
    <w:rsid w:val="00D662CA"/>
    <w:rsid w:val="00D70C66"/>
    <w:rsid w:val="00D70F16"/>
    <w:rsid w:val="00D72138"/>
    <w:rsid w:val="00D73F7C"/>
    <w:rsid w:val="00D74B3C"/>
    <w:rsid w:val="00D75C5B"/>
    <w:rsid w:val="00D76A44"/>
    <w:rsid w:val="00D7795C"/>
    <w:rsid w:val="00D77CE3"/>
    <w:rsid w:val="00D802BC"/>
    <w:rsid w:val="00D80F28"/>
    <w:rsid w:val="00D815EF"/>
    <w:rsid w:val="00D839F5"/>
    <w:rsid w:val="00D84E76"/>
    <w:rsid w:val="00D85E5F"/>
    <w:rsid w:val="00D870F3"/>
    <w:rsid w:val="00D87524"/>
    <w:rsid w:val="00D91260"/>
    <w:rsid w:val="00D91923"/>
    <w:rsid w:val="00D93753"/>
    <w:rsid w:val="00D943C2"/>
    <w:rsid w:val="00D956C2"/>
    <w:rsid w:val="00D95D82"/>
    <w:rsid w:val="00D97290"/>
    <w:rsid w:val="00DA04F6"/>
    <w:rsid w:val="00DA1AE4"/>
    <w:rsid w:val="00DA1D00"/>
    <w:rsid w:val="00DA2DF1"/>
    <w:rsid w:val="00DA3167"/>
    <w:rsid w:val="00DA36E3"/>
    <w:rsid w:val="00DA4273"/>
    <w:rsid w:val="00DA4DC3"/>
    <w:rsid w:val="00DA5579"/>
    <w:rsid w:val="00DA674E"/>
    <w:rsid w:val="00DA6891"/>
    <w:rsid w:val="00DA71A9"/>
    <w:rsid w:val="00DA7431"/>
    <w:rsid w:val="00DA77A5"/>
    <w:rsid w:val="00DB0C72"/>
    <w:rsid w:val="00DB1905"/>
    <w:rsid w:val="00DB21B8"/>
    <w:rsid w:val="00DB2C27"/>
    <w:rsid w:val="00DB484F"/>
    <w:rsid w:val="00DB4FCA"/>
    <w:rsid w:val="00DB69FA"/>
    <w:rsid w:val="00DB6E6B"/>
    <w:rsid w:val="00DB6EAF"/>
    <w:rsid w:val="00DB7E0D"/>
    <w:rsid w:val="00DC04F6"/>
    <w:rsid w:val="00DC18ED"/>
    <w:rsid w:val="00DC2732"/>
    <w:rsid w:val="00DC3C57"/>
    <w:rsid w:val="00DC4056"/>
    <w:rsid w:val="00DC4C44"/>
    <w:rsid w:val="00DC5121"/>
    <w:rsid w:val="00DC533D"/>
    <w:rsid w:val="00DC5501"/>
    <w:rsid w:val="00DC6FFD"/>
    <w:rsid w:val="00DD0872"/>
    <w:rsid w:val="00DD135B"/>
    <w:rsid w:val="00DD2323"/>
    <w:rsid w:val="00DD273C"/>
    <w:rsid w:val="00DD27BB"/>
    <w:rsid w:val="00DD3F28"/>
    <w:rsid w:val="00DD4537"/>
    <w:rsid w:val="00DD4A8E"/>
    <w:rsid w:val="00DD4E15"/>
    <w:rsid w:val="00DD6DA5"/>
    <w:rsid w:val="00DD6ED5"/>
    <w:rsid w:val="00DE09CB"/>
    <w:rsid w:val="00DE2168"/>
    <w:rsid w:val="00DE2D0E"/>
    <w:rsid w:val="00DE3138"/>
    <w:rsid w:val="00DE37F8"/>
    <w:rsid w:val="00DE3998"/>
    <w:rsid w:val="00DE4053"/>
    <w:rsid w:val="00DE4FCB"/>
    <w:rsid w:val="00DE55AB"/>
    <w:rsid w:val="00DE5B28"/>
    <w:rsid w:val="00DE5BDA"/>
    <w:rsid w:val="00DE5F9A"/>
    <w:rsid w:val="00DE7832"/>
    <w:rsid w:val="00DE7EA5"/>
    <w:rsid w:val="00DF020F"/>
    <w:rsid w:val="00DF13AE"/>
    <w:rsid w:val="00DF18FC"/>
    <w:rsid w:val="00DF2724"/>
    <w:rsid w:val="00DF2FBD"/>
    <w:rsid w:val="00DF4F61"/>
    <w:rsid w:val="00DF5D2B"/>
    <w:rsid w:val="00DF6446"/>
    <w:rsid w:val="00E003BD"/>
    <w:rsid w:val="00E00E8C"/>
    <w:rsid w:val="00E00E8E"/>
    <w:rsid w:val="00E0176A"/>
    <w:rsid w:val="00E02020"/>
    <w:rsid w:val="00E03D54"/>
    <w:rsid w:val="00E03E40"/>
    <w:rsid w:val="00E05630"/>
    <w:rsid w:val="00E05FB9"/>
    <w:rsid w:val="00E06725"/>
    <w:rsid w:val="00E06951"/>
    <w:rsid w:val="00E06DBB"/>
    <w:rsid w:val="00E0708D"/>
    <w:rsid w:val="00E071CE"/>
    <w:rsid w:val="00E07B73"/>
    <w:rsid w:val="00E10149"/>
    <w:rsid w:val="00E10639"/>
    <w:rsid w:val="00E11152"/>
    <w:rsid w:val="00E13EDF"/>
    <w:rsid w:val="00E15746"/>
    <w:rsid w:val="00E15FBF"/>
    <w:rsid w:val="00E16372"/>
    <w:rsid w:val="00E17C34"/>
    <w:rsid w:val="00E20D16"/>
    <w:rsid w:val="00E20E4D"/>
    <w:rsid w:val="00E20ED6"/>
    <w:rsid w:val="00E2124F"/>
    <w:rsid w:val="00E21358"/>
    <w:rsid w:val="00E2249B"/>
    <w:rsid w:val="00E226FE"/>
    <w:rsid w:val="00E228D1"/>
    <w:rsid w:val="00E22A0D"/>
    <w:rsid w:val="00E24484"/>
    <w:rsid w:val="00E2546C"/>
    <w:rsid w:val="00E25DF6"/>
    <w:rsid w:val="00E26792"/>
    <w:rsid w:val="00E2768E"/>
    <w:rsid w:val="00E2771E"/>
    <w:rsid w:val="00E27E7B"/>
    <w:rsid w:val="00E3097C"/>
    <w:rsid w:val="00E31038"/>
    <w:rsid w:val="00E3135B"/>
    <w:rsid w:val="00E31E68"/>
    <w:rsid w:val="00E32A3C"/>
    <w:rsid w:val="00E33B7F"/>
    <w:rsid w:val="00E33C6A"/>
    <w:rsid w:val="00E34948"/>
    <w:rsid w:val="00E359F2"/>
    <w:rsid w:val="00E37569"/>
    <w:rsid w:val="00E37DF6"/>
    <w:rsid w:val="00E41595"/>
    <w:rsid w:val="00E41E30"/>
    <w:rsid w:val="00E43D70"/>
    <w:rsid w:val="00E445C7"/>
    <w:rsid w:val="00E462F4"/>
    <w:rsid w:val="00E466F3"/>
    <w:rsid w:val="00E46FD4"/>
    <w:rsid w:val="00E47109"/>
    <w:rsid w:val="00E47B2C"/>
    <w:rsid w:val="00E503F4"/>
    <w:rsid w:val="00E51560"/>
    <w:rsid w:val="00E52BFF"/>
    <w:rsid w:val="00E5305A"/>
    <w:rsid w:val="00E53BF1"/>
    <w:rsid w:val="00E54347"/>
    <w:rsid w:val="00E54843"/>
    <w:rsid w:val="00E551F2"/>
    <w:rsid w:val="00E55424"/>
    <w:rsid w:val="00E55BB5"/>
    <w:rsid w:val="00E55BD1"/>
    <w:rsid w:val="00E55C4A"/>
    <w:rsid w:val="00E55D2F"/>
    <w:rsid w:val="00E6083C"/>
    <w:rsid w:val="00E63334"/>
    <w:rsid w:val="00E649B5"/>
    <w:rsid w:val="00E649EA"/>
    <w:rsid w:val="00E64D94"/>
    <w:rsid w:val="00E6575C"/>
    <w:rsid w:val="00E65E79"/>
    <w:rsid w:val="00E6603E"/>
    <w:rsid w:val="00E66BA2"/>
    <w:rsid w:val="00E66BF7"/>
    <w:rsid w:val="00E67416"/>
    <w:rsid w:val="00E709C2"/>
    <w:rsid w:val="00E70C98"/>
    <w:rsid w:val="00E7162D"/>
    <w:rsid w:val="00E718B6"/>
    <w:rsid w:val="00E721E8"/>
    <w:rsid w:val="00E723BA"/>
    <w:rsid w:val="00E72B84"/>
    <w:rsid w:val="00E73581"/>
    <w:rsid w:val="00E737AC"/>
    <w:rsid w:val="00E74A7F"/>
    <w:rsid w:val="00E75B0A"/>
    <w:rsid w:val="00E775FE"/>
    <w:rsid w:val="00E77988"/>
    <w:rsid w:val="00E802AF"/>
    <w:rsid w:val="00E8044D"/>
    <w:rsid w:val="00E811B6"/>
    <w:rsid w:val="00E81E11"/>
    <w:rsid w:val="00E833F7"/>
    <w:rsid w:val="00E837FA"/>
    <w:rsid w:val="00E83BDF"/>
    <w:rsid w:val="00E87A1D"/>
    <w:rsid w:val="00E90618"/>
    <w:rsid w:val="00E90960"/>
    <w:rsid w:val="00E90C1E"/>
    <w:rsid w:val="00E923BF"/>
    <w:rsid w:val="00E926A5"/>
    <w:rsid w:val="00E9397A"/>
    <w:rsid w:val="00E9399E"/>
    <w:rsid w:val="00E9447A"/>
    <w:rsid w:val="00E95A3D"/>
    <w:rsid w:val="00E972C8"/>
    <w:rsid w:val="00E973F2"/>
    <w:rsid w:val="00EA17C3"/>
    <w:rsid w:val="00EA2191"/>
    <w:rsid w:val="00EA2CAA"/>
    <w:rsid w:val="00EA3864"/>
    <w:rsid w:val="00EA4C43"/>
    <w:rsid w:val="00EA700F"/>
    <w:rsid w:val="00EA7021"/>
    <w:rsid w:val="00EA79D9"/>
    <w:rsid w:val="00EB04CD"/>
    <w:rsid w:val="00EB0822"/>
    <w:rsid w:val="00EB15B6"/>
    <w:rsid w:val="00EB3FF6"/>
    <w:rsid w:val="00EB409B"/>
    <w:rsid w:val="00EB44E8"/>
    <w:rsid w:val="00EB4916"/>
    <w:rsid w:val="00EB579E"/>
    <w:rsid w:val="00EC00C9"/>
    <w:rsid w:val="00EC01B9"/>
    <w:rsid w:val="00EC2649"/>
    <w:rsid w:val="00EC477A"/>
    <w:rsid w:val="00EC4EE8"/>
    <w:rsid w:val="00EC59B6"/>
    <w:rsid w:val="00EC6499"/>
    <w:rsid w:val="00EC7321"/>
    <w:rsid w:val="00EC7C80"/>
    <w:rsid w:val="00ED0A8D"/>
    <w:rsid w:val="00ED1E18"/>
    <w:rsid w:val="00ED2887"/>
    <w:rsid w:val="00ED2A9F"/>
    <w:rsid w:val="00ED4E55"/>
    <w:rsid w:val="00ED52E3"/>
    <w:rsid w:val="00ED53C5"/>
    <w:rsid w:val="00ED57EA"/>
    <w:rsid w:val="00ED60F6"/>
    <w:rsid w:val="00ED6103"/>
    <w:rsid w:val="00ED6E3B"/>
    <w:rsid w:val="00EE07D3"/>
    <w:rsid w:val="00EE086B"/>
    <w:rsid w:val="00EE22AF"/>
    <w:rsid w:val="00EE28B2"/>
    <w:rsid w:val="00EE29FC"/>
    <w:rsid w:val="00EF0171"/>
    <w:rsid w:val="00EF1B25"/>
    <w:rsid w:val="00EF232E"/>
    <w:rsid w:val="00EF4747"/>
    <w:rsid w:val="00EF4BF8"/>
    <w:rsid w:val="00EF6BDC"/>
    <w:rsid w:val="00EF6DB6"/>
    <w:rsid w:val="00EF7B57"/>
    <w:rsid w:val="00F0161A"/>
    <w:rsid w:val="00F02253"/>
    <w:rsid w:val="00F03C2E"/>
    <w:rsid w:val="00F04A66"/>
    <w:rsid w:val="00F0516C"/>
    <w:rsid w:val="00F065E4"/>
    <w:rsid w:val="00F067A2"/>
    <w:rsid w:val="00F06F57"/>
    <w:rsid w:val="00F113D0"/>
    <w:rsid w:val="00F117F3"/>
    <w:rsid w:val="00F1263A"/>
    <w:rsid w:val="00F15D57"/>
    <w:rsid w:val="00F16449"/>
    <w:rsid w:val="00F20FEF"/>
    <w:rsid w:val="00F23947"/>
    <w:rsid w:val="00F24325"/>
    <w:rsid w:val="00F24837"/>
    <w:rsid w:val="00F24A7B"/>
    <w:rsid w:val="00F2575F"/>
    <w:rsid w:val="00F26693"/>
    <w:rsid w:val="00F27565"/>
    <w:rsid w:val="00F27A84"/>
    <w:rsid w:val="00F3077C"/>
    <w:rsid w:val="00F310D4"/>
    <w:rsid w:val="00F31D5A"/>
    <w:rsid w:val="00F32979"/>
    <w:rsid w:val="00F329C1"/>
    <w:rsid w:val="00F32BBB"/>
    <w:rsid w:val="00F33DE9"/>
    <w:rsid w:val="00F3619A"/>
    <w:rsid w:val="00F37738"/>
    <w:rsid w:val="00F404B8"/>
    <w:rsid w:val="00F4094B"/>
    <w:rsid w:val="00F40AAA"/>
    <w:rsid w:val="00F40BA7"/>
    <w:rsid w:val="00F419F7"/>
    <w:rsid w:val="00F4279A"/>
    <w:rsid w:val="00F43DE4"/>
    <w:rsid w:val="00F43FD6"/>
    <w:rsid w:val="00F46163"/>
    <w:rsid w:val="00F46CB6"/>
    <w:rsid w:val="00F47022"/>
    <w:rsid w:val="00F475A5"/>
    <w:rsid w:val="00F47DE8"/>
    <w:rsid w:val="00F47E0B"/>
    <w:rsid w:val="00F5107E"/>
    <w:rsid w:val="00F51164"/>
    <w:rsid w:val="00F5132F"/>
    <w:rsid w:val="00F51542"/>
    <w:rsid w:val="00F52C65"/>
    <w:rsid w:val="00F537D1"/>
    <w:rsid w:val="00F542C1"/>
    <w:rsid w:val="00F55918"/>
    <w:rsid w:val="00F55E73"/>
    <w:rsid w:val="00F55EDA"/>
    <w:rsid w:val="00F60092"/>
    <w:rsid w:val="00F62A96"/>
    <w:rsid w:val="00F62FB0"/>
    <w:rsid w:val="00F63477"/>
    <w:rsid w:val="00F638CE"/>
    <w:rsid w:val="00F641C0"/>
    <w:rsid w:val="00F645C8"/>
    <w:rsid w:val="00F645ED"/>
    <w:rsid w:val="00F65F4B"/>
    <w:rsid w:val="00F70686"/>
    <w:rsid w:val="00F70C9D"/>
    <w:rsid w:val="00F71346"/>
    <w:rsid w:val="00F717D5"/>
    <w:rsid w:val="00F72C9D"/>
    <w:rsid w:val="00F732D8"/>
    <w:rsid w:val="00F73DCE"/>
    <w:rsid w:val="00F741A2"/>
    <w:rsid w:val="00F74CD9"/>
    <w:rsid w:val="00F80694"/>
    <w:rsid w:val="00F80A7B"/>
    <w:rsid w:val="00F80E5D"/>
    <w:rsid w:val="00F80F76"/>
    <w:rsid w:val="00F8172A"/>
    <w:rsid w:val="00F8311E"/>
    <w:rsid w:val="00F83DC2"/>
    <w:rsid w:val="00F84D68"/>
    <w:rsid w:val="00F851CE"/>
    <w:rsid w:val="00F85C16"/>
    <w:rsid w:val="00F87188"/>
    <w:rsid w:val="00F87696"/>
    <w:rsid w:val="00F905F8"/>
    <w:rsid w:val="00F91219"/>
    <w:rsid w:val="00F92570"/>
    <w:rsid w:val="00F92ED5"/>
    <w:rsid w:val="00F9308B"/>
    <w:rsid w:val="00F97A78"/>
    <w:rsid w:val="00F97D2A"/>
    <w:rsid w:val="00FA0B20"/>
    <w:rsid w:val="00FA24E7"/>
    <w:rsid w:val="00FA4994"/>
    <w:rsid w:val="00FA6321"/>
    <w:rsid w:val="00FA6776"/>
    <w:rsid w:val="00FA6A63"/>
    <w:rsid w:val="00FB2FCB"/>
    <w:rsid w:val="00FB3C11"/>
    <w:rsid w:val="00FB52AD"/>
    <w:rsid w:val="00FB5C3A"/>
    <w:rsid w:val="00FB6461"/>
    <w:rsid w:val="00FB6908"/>
    <w:rsid w:val="00FB6F46"/>
    <w:rsid w:val="00FB7A9A"/>
    <w:rsid w:val="00FC017E"/>
    <w:rsid w:val="00FC1074"/>
    <w:rsid w:val="00FC1884"/>
    <w:rsid w:val="00FC1B3A"/>
    <w:rsid w:val="00FC2F38"/>
    <w:rsid w:val="00FC371D"/>
    <w:rsid w:val="00FC4072"/>
    <w:rsid w:val="00FC44BB"/>
    <w:rsid w:val="00FC5480"/>
    <w:rsid w:val="00FC5F0B"/>
    <w:rsid w:val="00FC6795"/>
    <w:rsid w:val="00FC6CE1"/>
    <w:rsid w:val="00FC6EB9"/>
    <w:rsid w:val="00FD0CF8"/>
    <w:rsid w:val="00FD1B1E"/>
    <w:rsid w:val="00FD2100"/>
    <w:rsid w:val="00FD2200"/>
    <w:rsid w:val="00FD37B9"/>
    <w:rsid w:val="00FD3F8C"/>
    <w:rsid w:val="00FD436C"/>
    <w:rsid w:val="00FD446D"/>
    <w:rsid w:val="00FD4BF1"/>
    <w:rsid w:val="00FD6394"/>
    <w:rsid w:val="00FE0358"/>
    <w:rsid w:val="00FE0617"/>
    <w:rsid w:val="00FE0E1E"/>
    <w:rsid w:val="00FE0E6C"/>
    <w:rsid w:val="00FE1FD8"/>
    <w:rsid w:val="00FE4F7F"/>
    <w:rsid w:val="00FE5384"/>
    <w:rsid w:val="00FE6000"/>
    <w:rsid w:val="00FE6123"/>
    <w:rsid w:val="00FE70C3"/>
    <w:rsid w:val="00FF083A"/>
    <w:rsid w:val="00FF0A8A"/>
    <w:rsid w:val="00FF27F0"/>
    <w:rsid w:val="00FF2F03"/>
    <w:rsid w:val="00FF3DCF"/>
    <w:rsid w:val="00FF40B3"/>
    <w:rsid w:val="00FF43BA"/>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B84BDD"/>
    <w:pPr>
      <w:keepNext/>
    </w:pPr>
    <w:rPr>
      <w:rFonts w:ascii="Arial Narrow" w:hAnsi="Arial Narrow"/>
      <w:b/>
      <w:bCs/>
      <w:sz w:val="20"/>
      <w:szCs w:val="18"/>
    </w:rPr>
  </w:style>
  <w:style w:type="character" w:customStyle="1" w:styleId="CaptionChar">
    <w:name w:val="Caption Char"/>
    <w:link w:val="Caption"/>
    <w:rsid w:val="00B84BDD"/>
    <w:rPr>
      <w:rFonts w:ascii="Arial Narrow" w:hAnsi="Arial Narrow" w:cs="Arial"/>
      <w:b/>
      <w:bCs/>
      <w:snapToGrid w:val="0"/>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 point,List Paragraph11,Recommendation,L,Bullet Point,Bulletr List Paragraph,Content descriptions,FooterText,List Bullet 1,List Paragraph2,List Paragraph21,Listeafsnit1,NFP GP Bulleted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 point Char,List Paragraph11 Char,Recommendation Char,L Char,Bullet Point Char,Bulletr List Paragraph Char,Content descriptions Char,FooterText Char,List Bullet 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spacing w:after="0"/>
      <w:ind w:left="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qFormat/>
    <w:rsid w:val="00A60098"/>
    <w:pPr>
      <w:keepNext/>
      <w:widowControl/>
      <w:spacing w:before="40" w:after="40"/>
      <w:jc w:val="left"/>
    </w:pPr>
    <w:rPr>
      <w:rFonts w:ascii="Arial Narrow" w:eastAsiaTheme="minorHAnsi" w:hAnsi="Arial Narrow" w:cstheme="minorBidi"/>
      <w:snapToGrid/>
      <w:sz w:val="20"/>
    </w:rPr>
  </w:style>
  <w:style w:type="paragraph" w:customStyle="1" w:styleId="PBACHeading1Nonumbering">
    <w:name w:val="PBAC Heading 1 No numbering"/>
    <w:basedOn w:val="Heading1"/>
    <w:qFormat/>
    <w:rsid w:val="0063552A"/>
    <w:pPr>
      <w:keepNext/>
      <w:widowControl/>
      <w:spacing w:before="120" w:after="120"/>
      <w:ind w:left="0" w:firstLine="0"/>
      <w:jc w:val="left"/>
    </w:pPr>
    <w:rPr>
      <w:rFonts w:ascii="Sabon" w:hAnsi="Sabon"/>
      <w:b w:val="0"/>
      <w:bCs/>
      <w:caps w:val="0"/>
      <w:snapToGrid/>
      <w:kern w:val="32"/>
      <w:szCs w:val="28"/>
    </w:rPr>
  </w:style>
  <w:style w:type="paragraph" w:customStyle="1" w:styleId="PBACTableText">
    <w:name w:val="PBAC Table Text"/>
    <w:basedOn w:val="Normal"/>
    <w:link w:val="PBACTableTextChar"/>
    <w:qFormat/>
    <w:rsid w:val="0063552A"/>
    <w:pPr>
      <w:widowControl/>
      <w:spacing w:before="40" w:after="40"/>
      <w:jc w:val="left"/>
    </w:pPr>
    <w:rPr>
      <w:rFonts w:ascii="Arial Narrow" w:hAnsi="Arial Narrow" w:cs="Times New Roman"/>
      <w:snapToGrid/>
      <w:sz w:val="20"/>
      <w:szCs w:val="20"/>
    </w:rPr>
  </w:style>
  <w:style w:type="character" w:customStyle="1" w:styleId="PBACTableTextChar">
    <w:name w:val="PBAC Table Text Char"/>
    <w:basedOn w:val="DefaultParagraphFont"/>
    <w:link w:val="PBACTableText"/>
    <w:rsid w:val="0063552A"/>
    <w:rPr>
      <w:rFonts w:ascii="Arial Narrow" w:hAnsi="Arial Narrow"/>
      <w:lang w:eastAsia="en-US"/>
    </w:rPr>
  </w:style>
  <w:style w:type="character" w:customStyle="1" w:styleId="NoSpacingChar">
    <w:name w:val="No Spacing Char"/>
    <w:aliases w:val="PBAC Table Footnote Char"/>
    <w:basedOn w:val="DefaultParagraphFont"/>
    <w:link w:val="NoSpacing"/>
    <w:uiPriority w:val="1"/>
    <w:rsid w:val="0035515B"/>
    <w:rPr>
      <w:rFonts w:ascii="Arial" w:hAnsi="Arial" w:cs="Arial"/>
      <w:snapToGrid w:val="0"/>
      <w:sz w:val="22"/>
      <w:lang w:eastAsia="en-US"/>
    </w:rPr>
  </w:style>
  <w:style w:type="character" w:customStyle="1" w:styleId="label-note-id">
    <w:name w:val="label-note-id"/>
    <w:basedOn w:val="DefaultParagraphFont"/>
    <w:rsid w:val="0013539D"/>
  </w:style>
  <w:style w:type="paragraph" w:customStyle="1" w:styleId="PBACcaption">
    <w:name w:val="PBAC caption"/>
    <w:basedOn w:val="Normal"/>
    <w:link w:val="PBACcaptionChar"/>
    <w:qFormat/>
    <w:rsid w:val="002675A1"/>
    <w:pPr>
      <w:widowControl/>
      <w:jc w:val="left"/>
    </w:pPr>
    <w:rPr>
      <w:rFonts w:ascii="Sabon" w:eastAsiaTheme="minorHAnsi" w:hAnsi="Sabon"/>
      <w:b/>
      <w:snapToGrid/>
      <w:sz w:val="22"/>
    </w:rPr>
  </w:style>
  <w:style w:type="character" w:customStyle="1" w:styleId="PBACcaptionChar">
    <w:name w:val="PBAC caption Char"/>
    <w:basedOn w:val="DefaultParagraphFont"/>
    <w:link w:val="PBACcaption"/>
    <w:rsid w:val="002675A1"/>
    <w:rPr>
      <w:rFonts w:ascii="Sabon" w:eastAsiaTheme="minorHAnsi" w:hAnsi="Sabon" w:cs="Arial"/>
      <w:b/>
      <w:sz w:val="22"/>
      <w:szCs w:val="22"/>
      <w:lang w:eastAsia="en-US"/>
    </w:rPr>
  </w:style>
  <w:style w:type="paragraph" w:customStyle="1" w:styleId="Default">
    <w:name w:val="Default"/>
    <w:rsid w:val="00FD3F8C"/>
    <w:pPr>
      <w:autoSpaceDE w:val="0"/>
      <w:autoSpaceDN w:val="0"/>
      <w:adjustRightInd w:val="0"/>
    </w:pPr>
    <w:rPr>
      <w:color w:val="000000"/>
      <w:sz w:val="24"/>
      <w:szCs w:val="24"/>
    </w:rPr>
  </w:style>
  <w:style w:type="paragraph" w:customStyle="1" w:styleId="DashEndList">
    <w:name w:val="Dash End List"/>
    <w:basedOn w:val="Normal"/>
    <w:rsid w:val="00054DEA"/>
    <w:pPr>
      <w:widowControl/>
      <w:numPr>
        <w:numId w:val="7"/>
      </w:numPr>
      <w:spacing w:after="240"/>
      <w:ind w:left="714" w:hanging="357"/>
      <w:jc w:val="left"/>
    </w:pPr>
    <w:rPr>
      <w:rFonts w:asciiTheme="minorHAnsi" w:eastAsiaTheme="minorHAnsi" w:hAnsiTheme="minorHAnsi" w:cstheme="minorBidi"/>
      <w:snapToGrid/>
      <w:sz w:val="22"/>
    </w:rPr>
  </w:style>
  <w:style w:type="paragraph" w:styleId="FootnoteText">
    <w:name w:val="footnote text"/>
    <w:basedOn w:val="Normal"/>
    <w:link w:val="FootnoteTextChar"/>
    <w:semiHidden/>
    <w:unhideWhenUsed/>
    <w:rsid w:val="008E6471"/>
    <w:rPr>
      <w:sz w:val="20"/>
      <w:szCs w:val="20"/>
    </w:rPr>
  </w:style>
  <w:style w:type="character" w:customStyle="1" w:styleId="FootnoteTextChar">
    <w:name w:val="Footnote Text Char"/>
    <w:basedOn w:val="DefaultParagraphFont"/>
    <w:link w:val="FootnoteText"/>
    <w:semiHidden/>
    <w:rsid w:val="008E6471"/>
    <w:rPr>
      <w:rFonts w:ascii="Calibri" w:hAnsi="Calibri" w:cs="Arial"/>
      <w:snapToGrid w:val="0"/>
      <w:lang w:eastAsia="en-US"/>
    </w:rPr>
  </w:style>
  <w:style w:type="character" w:styleId="FootnoteReference">
    <w:name w:val="footnote reference"/>
    <w:basedOn w:val="DefaultParagraphFont"/>
    <w:semiHidden/>
    <w:unhideWhenUsed/>
    <w:rsid w:val="008E6471"/>
    <w:rPr>
      <w:vertAlign w:val="superscript"/>
    </w:rPr>
  </w:style>
  <w:style w:type="paragraph" w:customStyle="1" w:styleId="PbacTableHeading">
    <w:name w:val="Pbac Table Heading"/>
    <w:basedOn w:val="PBACTableText"/>
    <w:qFormat/>
    <w:rsid w:val="00202A05"/>
    <w:pPr>
      <w:spacing w:before="0" w:after="80"/>
    </w:pPr>
    <w:rPr>
      <w:rFonts w:eastAsiaTheme="minorHAnsi" w:cs="Arial"/>
      <w:b/>
    </w:rPr>
  </w:style>
  <w:style w:type="table" w:customStyle="1" w:styleId="HTATableshaded11">
    <w:name w:val="HTA Table shaded11"/>
    <w:basedOn w:val="TableNormal"/>
    <w:rsid w:val="001A59ED"/>
    <w:pPr>
      <w:spacing w:before="40" w:after="20"/>
      <w:jc w:val="both"/>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EndNoteBibliographyTitle">
    <w:name w:val="EndNote Bibliography Title"/>
    <w:basedOn w:val="Normal"/>
    <w:link w:val="EndNoteBibliographyTitleChar"/>
    <w:rsid w:val="0081072D"/>
    <w:pPr>
      <w:jc w:val="center"/>
    </w:pPr>
    <w:rPr>
      <w:rFonts w:cs="Calibri"/>
      <w:noProof/>
      <w:lang w:val="en-US"/>
    </w:rPr>
  </w:style>
  <w:style w:type="character" w:customStyle="1" w:styleId="EndNoteBibliographyTitleChar">
    <w:name w:val="EndNote Bibliography Title Char"/>
    <w:basedOn w:val="ListParagraphChar"/>
    <w:link w:val="EndNoteBibliographyTitle"/>
    <w:rsid w:val="0081072D"/>
    <w:rPr>
      <w:rFonts w:ascii="Calibri" w:hAnsi="Calibri" w:cs="Calibri"/>
      <w:noProof/>
      <w:snapToGrid w:val="0"/>
      <w:sz w:val="24"/>
      <w:szCs w:val="22"/>
      <w:lang w:val="en-US" w:eastAsia="en-US"/>
    </w:rPr>
  </w:style>
  <w:style w:type="paragraph" w:customStyle="1" w:styleId="EndNoteBibliography">
    <w:name w:val="EndNote Bibliography"/>
    <w:basedOn w:val="Normal"/>
    <w:link w:val="EndNoteBibliographyChar"/>
    <w:rsid w:val="0081072D"/>
    <w:rPr>
      <w:rFonts w:cs="Calibri"/>
      <w:noProof/>
      <w:lang w:val="en-US"/>
    </w:rPr>
  </w:style>
  <w:style w:type="character" w:customStyle="1" w:styleId="EndNoteBibliographyChar">
    <w:name w:val="EndNote Bibliography Char"/>
    <w:basedOn w:val="ListParagraphChar"/>
    <w:link w:val="EndNoteBibliography"/>
    <w:rsid w:val="0081072D"/>
    <w:rPr>
      <w:rFonts w:ascii="Calibri" w:hAnsi="Calibri" w:cs="Calibri"/>
      <w:noProof/>
      <w:snapToGrid w:val="0"/>
      <w:sz w:val="24"/>
      <w:szCs w:val="22"/>
      <w:lang w:val="en-US" w:eastAsia="en-US"/>
    </w:rPr>
  </w:style>
  <w:style w:type="paragraph" w:customStyle="1" w:styleId="PBACtablecaption">
    <w:name w:val="PBAC table caption"/>
    <w:basedOn w:val="PBACTableText"/>
    <w:link w:val="PBACtablecaptionChar"/>
    <w:rsid w:val="001A672D"/>
    <w:pPr>
      <w:spacing w:before="0" w:after="0"/>
    </w:pPr>
    <w:rPr>
      <w:rFonts w:eastAsiaTheme="minorHAnsi" w:cs="Arial"/>
      <w:sz w:val="18"/>
      <w:szCs w:val="18"/>
    </w:rPr>
  </w:style>
  <w:style w:type="character" w:customStyle="1" w:styleId="PBACtablecaptionChar">
    <w:name w:val="PBAC table caption Char"/>
    <w:basedOn w:val="PBACTableTextChar"/>
    <w:link w:val="PBACtablecaption"/>
    <w:rsid w:val="001A672D"/>
    <w:rPr>
      <w:rFonts w:ascii="Arial Narrow" w:eastAsiaTheme="minorHAnsi" w:hAnsi="Arial Narrow" w:cs="Arial"/>
      <w:sz w:val="18"/>
      <w:szCs w:val="18"/>
      <w:lang w:eastAsia="en-US"/>
    </w:rPr>
  </w:style>
  <w:style w:type="paragraph" w:styleId="EndnoteText">
    <w:name w:val="endnote text"/>
    <w:basedOn w:val="Normal"/>
    <w:link w:val="EndnoteTextChar"/>
    <w:semiHidden/>
    <w:unhideWhenUsed/>
    <w:rsid w:val="00DA04F6"/>
    <w:rPr>
      <w:sz w:val="20"/>
      <w:szCs w:val="20"/>
    </w:rPr>
  </w:style>
  <w:style w:type="character" w:customStyle="1" w:styleId="EndnoteTextChar">
    <w:name w:val="Endnote Text Char"/>
    <w:basedOn w:val="DefaultParagraphFont"/>
    <w:link w:val="EndnoteText"/>
    <w:semiHidden/>
    <w:rsid w:val="00DA04F6"/>
    <w:rPr>
      <w:rFonts w:ascii="Calibri" w:hAnsi="Calibri" w:cs="Arial"/>
      <w:snapToGrid w:val="0"/>
      <w:lang w:eastAsia="en-US"/>
    </w:rPr>
  </w:style>
  <w:style w:type="character" w:styleId="EndnoteReference">
    <w:name w:val="endnote reference"/>
    <w:basedOn w:val="DefaultParagraphFont"/>
    <w:semiHidden/>
    <w:unhideWhenUsed/>
    <w:rsid w:val="00DA04F6"/>
    <w:rPr>
      <w:vertAlign w:val="superscript"/>
    </w:rPr>
  </w:style>
  <w:style w:type="character" w:customStyle="1" w:styleId="form-strength">
    <w:name w:val="form-strength"/>
    <w:basedOn w:val="DefaultParagraphFont"/>
    <w:rsid w:val="009A443C"/>
  </w:style>
  <w:style w:type="table" w:styleId="TableGridLight">
    <w:name w:val="Grid Table Light"/>
    <w:basedOn w:val="TableNormal"/>
    <w:uiPriority w:val="40"/>
    <w:rsid w:val="009A44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D74B3C"/>
    <w:rPr>
      <w:rFonts w:ascii="Calibri" w:hAnsi="Calibri" w:cs="Arial"/>
      <w:b/>
      <w:caps/>
      <w:snapToGrid w:val="0"/>
      <w:sz w:val="32"/>
      <w:szCs w:val="22"/>
      <w:lang w:eastAsia="en-US"/>
    </w:rPr>
  </w:style>
  <w:style w:type="paragraph" w:customStyle="1" w:styleId="2Sections">
    <w:name w:val="2. Sections"/>
    <w:qFormat/>
    <w:rsid w:val="00A568BD"/>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ListParagraph"/>
    <w:link w:val="3BodytextChar"/>
    <w:qFormat/>
    <w:rsid w:val="00A568BD"/>
    <w:pPr>
      <w:widowControl/>
      <w:tabs>
        <w:tab w:val="num" w:pos="360"/>
      </w:tabs>
      <w:spacing w:after="120"/>
    </w:pPr>
    <w:rPr>
      <w:rFonts w:asciiTheme="minorHAnsi" w:eastAsiaTheme="minorHAnsi" w:hAnsiTheme="minorHAnsi" w:cstheme="minorBidi"/>
      <w:snapToGrid/>
    </w:rPr>
  </w:style>
  <w:style w:type="character" w:customStyle="1" w:styleId="3BodytextChar">
    <w:name w:val="3. Body text Char"/>
    <w:basedOn w:val="DefaultParagraphFont"/>
    <w:link w:val="3Bodytext"/>
    <w:rsid w:val="004B370F"/>
    <w:rPr>
      <w:rFonts w:asciiTheme="minorHAnsi" w:eastAsiaTheme="minorHAnsi" w:hAnsiTheme="minorHAnsi" w:cstheme="minorBidi"/>
      <w:sz w:val="24"/>
      <w:szCs w:val="22"/>
      <w:lang w:eastAsia="en-US"/>
    </w:rPr>
  </w:style>
  <w:style w:type="paragraph" w:customStyle="1" w:styleId="Bodytextitalics">
    <w:name w:val="Body text italics"/>
    <w:basedOn w:val="BodyText"/>
    <w:qFormat/>
    <w:rsid w:val="00824C04"/>
    <w:pPr>
      <w:widowControl/>
      <w:spacing w:after="120"/>
      <w:ind w:left="1146" w:hanging="720"/>
    </w:pPr>
    <w:rPr>
      <w:rFonts w:asciiTheme="minorHAnsi" w:eastAsiaTheme="minorHAnsi" w:hAnsiTheme="minorHAnsi" w:cstheme="minorBidi"/>
      <w:i/>
      <w:snapToGrid/>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206205">
      <w:bodyDiv w:val="1"/>
      <w:marLeft w:val="0"/>
      <w:marRight w:val="0"/>
      <w:marTop w:val="0"/>
      <w:marBottom w:val="0"/>
      <w:divBdr>
        <w:top w:val="none" w:sz="0" w:space="0" w:color="auto"/>
        <w:left w:val="none" w:sz="0" w:space="0" w:color="auto"/>
        <w:bottom w:val="none" w:sz="0" w:space="0" w:color="auto"/>
        <w:right w:val="none" w:sz="0" w:space="0" w:color="auto"/>
      </w:divBdr>
      <w:divsChild>
        <w:div w:id="1646273261">
          <w:marLeft w:val="0"/>
          <w:marRight w:val="0"/>
          <w:marTop w:val="0"/>
          <w:marBottom w:val="0"/>
          <w:divBdr>
            <w:top w:val="none" w:sz="0" w:space="0" w:color="auto"/>
            <w:left w:val="none" w:sz="0" w:space="0" w:color="auto"/>
            <w:bottom w:val="none" w:sz="0" w:space="0" w:color="auto"/>
            <w:right w:val="none" w:sz="0" w:space="0" w:color="auto"/>
          </w:divBdr>
        </w:div>
        <w:div w:id="1681083957">
          <w:marLeft w:val="0"/>
          <w:marRight w:val="0"/>
          <w:marTop w:val="0"/>
          <w:marBottom w:val="0"/>
          <w:divBdr>
            <w:top w:val="none" w:sz="0" w:space="0" w:color="auto"/>
            <w:left w:val="none" w:sz="0" w:space="0" w:color="auto"/>
            <w:bottom w:val="none" w:sz="0" w:space="0" w:color="auto"/>
            <w:right w:val="none" w:sz="0" w:space="0" w:color="auto"/>
          </w:divBdr>
        </w:div>
      </w:divsChild>
    </w:div>
    <w:div w:id="17587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8453</Words>
  <Characters>48257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2020-02-25T05:17:00Z</dcterms:created>
  <dcterms:modified xsi:type="dcterms:W3CDTF">2020-02-25T05:20:00Z</dcterms:modified>
</cp:coreProperties>
</file>