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4D" w:rsidRDefault="002336D9" w:rsidP="0093356C">
      <w:pPr>
        <w:pStyle w:val="1MainTitle"/>
        <w:spacing w:after="120"/>
        <w:rPr>
          <w:lang w:eastAsia="en-AU"/>
        </w:rPr>
      </w:pPr>
      <w:r w:rsidRPr="00DE64DF">
        <w:rPr>
          <w:lang w:eastAsia="en-AU"/>
        </w:rPr>
        <w:t>5.04</w:t>
      </w:r>
      <w:r w:rsidR="00B60939" w:rsidRPr="00DE64DF">
        <w:rPr>
          <w:lang w:eastAsia="en-AU"/>
        </w:rPr>
        <w:tab/>
      </w:r>
      <w:r w:rsidR="007A5C45" w:rsidRPr="00DE64DF">
        <w:rPr>
          <w:lang w:eastAsia="en-AU"/>
        </w:rPr>
        <w:t>BUPRENORPHINE/NALOXONE</w:t>
      </w:r>
      <w:r w:rsidR="00B60939" w:rsidRPr="00DE64DF">
        <w:rPr>
          <w:lang w:eastAsia="en-AU"/>
        </w:rPr>
        <w:t xml:space="preserve">, </w:t>
      </w:r>
    </w:p>
    <w:p w:rsidR="007D70A1" w:rsidRDefault="000E1387" w:rsidP="00CB6A7C">
      <w:pPr>
        <w:spacing w:before="120" w:after="120"/>
        <w:ind w:left="709"/>
        <w:jc w:val="left"/>
        <w:rPr>
          <w:rFonts w:eastAsiaTheme="majorEastAsia"/>
          <w:b/>
          <w:bCs/>
          <w:sz w:val="36"/>
          <w:szCs w:val="36"/>
          <w:lang w:eastAsia="en-AU"/>
        </w:rPr>
      </w:pPr>
      <w:r w:rsidRPr="0043094D">
        <w:rPr>
          <w:b/>
          <w:bCs/>
          <w:sz w:val="36"/>
          <w:szCs w:val="36"/>
          <w:lang w:eastAsia="en-AU"/>
        </w:rPr>
        <w:t>Tablet (sublingual)</w:t>
      </w:r>
      <w:r w:rsidR="0043094D" w:rsidRPr="0043094D">
        <w:rPr>
          <w:b/>
          <w:bCs/>
          <w:sz w:val="36"/>
          <w:szCs w:val="36"/>
        </w:rPr>
        <w:t xml:space="preserve"> </w:t>
      </w:r>
      <w:r w:rsidRPr="0043094D">
        <w:rPr>
          <w:b/>
          <w:bCs/>
          <w:sz w:val="36"/>
          <w:szCs w:val="36"/>
          <w:lang w:eastAsia="en-AU"/>
        </w:rPr>
        <w:t>containing 0.7</w:t>
      </w:r>
      <w:r w:rsidR="004D5B1D">
        <w:rPr>
          <w:b/>
          <w:bCs/>
          <w:sz w:val="36"/>
          <w:szCs w:val="36"/>
          <w:lang w:eastAsia="en-AU"/>
        </w:rPr>
        <w:t xml:space="preserve"> </w:t>
      </w:r>
      <w:r w:rsidRPr="0043094D">
        <w:rPr>
          <w:b/>
          <w:bCs/>
          <w:sz w:val="36"/>
          <w:szCs w:val="36"/>
          <w:lang w:eastAsia="en-AU"/>
        </w:rPr>
        <w:t>mg buprenorphine</w:t>
      </w:r>
      <w:r w:rsidRPr="0043094D">
        <w:rPr>
          <w:rFonts w:eastAsiaTheme="majorEastAsia"/>
          <w:b/>
          <w:bCs/>
          <w:sz w:val="36"/>
          <w:szCs w:val="36"/>
          <w:lang w:eastAsia="en-AU"/>
        </w:rPr>
        <w:t xml:space="preserve"> hydrochloride with 0.18 mg naloxone hydrochloride</w:t>
      </w:r>
      <w:r w:rsidR="00DE64DF" w:rsidRPr="0043094D">
        <w:rPr>
          <w:rFonts w:eastAsiaTheme="majorEastAsia"/>
          <w:b/>
          <w:bCs/>
          <w:sz w:val="36"/>
          <w:szCs w:val="36"/>
          <w:lang w:eastAsia="en-AU"/>
        </w:rPr>
        <w:t>,</w:t>
      </w:r>
      <w:r w:rsidRPr="0043094D">
        <w:rPr>
          <w:rFonts w:eastAsiaTheme="majorEastAsia"/>
          <w:b/>
          <w:bCs/>
          <w:sz w:val="36"/>
          <w:szCs w:val="36"/>
          <w:lang w:eastAsia="en-AU"/>
        </w:rPr>
        <w:br/>
      </w:r>
      <w:r w:rsidR="004D5B1D">
        <w:rPr>
          <w:rFonts w:eastAsiaTheme="majorEastAsia"/>
          <w:b/>
          <w:bCs/>
          <w:sz w:val="36"/>
          <w:szCs w:val="36"/>
          <w:lang w:eastAsia="en-AU"/>
        </w:rPr>
        <w:t xml:space="preserve">Tablet (sublingual) containing </w:t>
      </w:r>
      <w:r w:rsidRPr="0043094D">
        <w:rPr>
          <w:rFonts w:eastAsiaTheme="majorEastAsia"/>
          <w:b/>
          <w:bCs/>
          <w:sz w:val="36"/>
          <w:szCs w:val="36"/>
          <w:lang w:eastAsia="en-AU"/>
        </w:rPr>
        <w:t>1.4 mg buprenor</w:t>
      </w:r>
      <w:r w:rsidR="004D5B1D">
        <w:rPr>
          <w:rFonts w:eastAsiaTheme="majorEastAsia"/>
          <w:b/>
          <w:bCs/>
          <w:sz w:val="36"/>
          <w:szCs w:val="36"/>
          <w:lang w:eastAsia="en-AU"/>
        </w:rPr>
        <w:t xml:space="preserve">phine hydrochloride and 0.36 mg </w:t>
      </w:r>
      <w:r w:rsidRPr="0043094D">
        <w:rPr>
          <w:rFonts w:eastAsiaTheme="majorEastAsia"/>
          <w:b/>
          <w:bCs/>
          <w:sz w:val="36"/>
          <w:szCs w:val="36"/>
          <w:lang w:eastAsia="en-AU"/>
        </w:rPr>
        <w:t>naloxone hydrochloride</w:t>
      </w:r>
      <w:r w:rsidR="00DE64DF" w:rsidRPr="0043094D">
        <w:rPr>
          <w:rFonts w:eastAsiaTheme="majorEastAsia"/>
          <w:b/>
          <w:bCs/>
          <w:sz w:val="36"/>
          <w:szCs w:val="36"/>
          <w:lang w:eastAsia="en-AU"/>
        </w:rPr>
        <w:t>,</w:t>
      </w:r>
      <w:r w:rsidRPr="0043094D">
        <w:rPr>
          <w:rFonts w:eastAsiaTheme="majorEastAsia"/>
          <w:b/>
          <w:bCs/>
          <w:sz w:val="36"/>
          <w:szCs w:val="36"/>
          <w:lang w:eastAsia="en-AU"/>
        </w:rPr>
        <w:br/>
        <w:t>Tablet (sublingual) containing 2.9 mg buprenorphine hydrochloride and 0.71 mg naloxone hydrochloride</w:t>
      </w:r>
      <w:r w:rsidR="00DE64DF" w:rsidRPr="0043094D">
        <w:rPr>
          <w:rFonts w:eastAsiaTheme="majorEastAsia"/>
          <w:b/>
          <w:bCs/>
          <w:sz w:val="36"/>
          <w:szCs w:val="36"/>
          <w:lang w:eastAsia="en-AU"/>
        </w:rPr>
        <w:t>,</w:t>
      </w:r>
      <w:r w:rsidRPr="0043094D">
        <w:rPr>
          <w:rFonts w:eastAsiaTheme="majorEastAsia"/>
          <w:b/>
          <w:bCs/>
          <w:sz w:val="36"/>
          <w:szCs w:val="36"/>
          <w:lang w:eastAsia="en-AU"/>
        </w:rPr>
        <w:br/>
        <w:t>Tablet (sublingual) containing 5.7 mg buprenorphine hydrochloride and 1.4 mg naloxone hydrochloride</w:t>
      </w:r>
      <w:r w:rsidR="00DE64DF" w:rsidRPr="0043094D">
        <w:rPr>
          <w:rFonts w:eastAsiaTheme="majorEastAsia"/>
          <w:b/>
          <w:bCs/>
          <w:sz w:val="36"/>
          <w:szCs w:val="36"/>
          <w:lang w:eastAsia="en-AU"/>
        </w:rPr>
        <w:t>,</w:t>
      </w:r>
      <w:r w:rsidRPr="0043094D">
        <w:rPr>
          <w:rFonts w:eastAsiaTheme="majorEastAsia"/>
          <w:b/>
          <w:bCs/>
          <w:sz w:val="36"/>
          <w:szCs w:val="36"/>
          <w:lang w:eastAsia="en-AU"/>
        </w:rPr>
        <w:br/>
        <w:t xml:space="preserve">Tablet (sublingual) containing 8.6 mg </w:t>
      </w:r>
      <w:r w:rsidR="00E1030E" w:rsidRPr="0043094D">
        <w:rPr>
          <w:rFonts w:eastAsiaTheme="majorEastAsia"/>
          <w:b/>
          <w:bCs/>
          <w:sz w:val="36"/>
          <w:szCs w:val="36"/>
          <w:lang w:eastAsia="en-AU"/>
        </w:rPr>
        <w:t xml:space="preserve">buprenorphine hydrochloride </w:t>
      </w:r>
      <w:r w:rsidRPr="0043094D">
        <w:rPr>
          <w:rFonts w:eastAsiaTheme="majorEastAsia"/>
          <w:b/>
          <w:bCs/>
          <w:sz w:val="36"/>
          <w:szCs w:val="36"/>
          <w:lang w:eastAsia="en-AU"/>
        </w:rPr>
        <w:t>and 2.1 mg naloxone hydrochloride</w:t>
      </w:r>
      <w:r w:rsidR="00DE64DF" w:rsidRPr="0043094D">
        <w:rPr>
          <w:rFonts w:eastAsiaTheme="majorEastAsia"/>
          <w:b/>
          <w:bCs/>
          <w:sz w:val="36"/>
          <w:szCs w:val="36"/>
          <w:lang w:eastAsia="en-AU"/>
        </w:rPr>
        <w:t>,</w:t>
      </w:r>
      <w:r w:rsidRPr="0043094D">
        <w:rPr>
          <w:rFonts w:eastAsiaTheme="majorEastAsia"/>
          <w:b/>
          <w:bCs/>
          <w:sz w:val="36"/>
          <w:szCs w:val="36"/>
          <w:lang w:eastAsia="en-AU"/>
        </w:rPr>
        <w:br/>
      </w:r>
      <w:r w:rsidR="004D5B1D">
        <w:rPr>
          <w:rFonts w:eastAsiaTheme="majorEastAsia"/>
          <w:b/>
          <w:bCs/>
          <w:sz w:val="36"/>
          <w:szCs w:val="36"/>
          <w:lang w:eastAsia="en-AU"/>
        </w:rPr>
        <w:t xml:space="preserve">Tablet (sublingual) containing </w:t>
      </w:r>
      <w:r w:rsidRPr="0043094D">
        <w:rPr>
          <w:rFonts w:eastAsiaTheme="majorEastAsia"/>
          <w:b/>
          <w:bCs/>
          <w:sz w:val="36"/>
          <w:szCs w:val="36"/>
          <w:lang w:eastAsia="en-AU"/>
        </w:rPr>
        <w:t>11.4 mg buprenorphine hydrochlo</w:t>
      </w:r>
      <w:r w:rsidR="004D5B1D">
        <w:rPr>
          <w:rFonts w:eastAsiaTheme="majorEastAsia"/>
          <w:b/>
          <w:bCs/>
          <w:sz w:val="36"/>
          <w:szCs w:val="36"/>
          <w:lang w:eastAsia="en-AU"/>
        </w:rPr>
        <w:t xml:space="preserve">ride and 2.9 mg naloxone </w:t>
      </w:r>
      <w:r w:rsidRPr="0043094D">
        <w:rPr>
          <w:rFonts w:eastAsiaTheme="majorEastAsia"/>
          <w:b/>
          <w:bCs/>
          <w:sz w:val="36"/>
          <w:szCs w:val="36"/>
          <w:lang w:eastAsia="en-AU"/>
        </w:rPr>
        <w:t>hydrochloride</w:t>
      </w:r>
      <w:r w:rsidR="007D70A1">
        <w:rPr>
          <w:rFonts w:eastAsiaTheme="majorEastAsia"/>
          <w:b/>
          <w:bCs/>
          <w:sz w:val="36"/>
          <w:szCs w:val="36"/>
          <w:lang w:eastAsia="en-AU"/>
        </w:rPr>
        <w:t>,</w:t>
      </w:r>
      <w:r w:rsidRPr="0043094D">
        <w:rPr>
          <w:rFonts w:eastAsiaTheme="majorEastAsia"/>
          <w:b/>
          <w:bCs/>
          <w:sz w:val="36"/>
          <w:szCs w:val="36"/>
          <w:lang w:eastAsia="en-AU"/>
        </w:rPr>
        <w:br/>
      </w:r>
      <w:r w:rsidR="007A5C45" w:rsidRPr="0043094D">
        <w:rPr>
          <w:rFonts w:eastAsiaTheme="majorEastAsia"/>
          <w:b/>
          <w:bCs/>
          <w:sz w:val="36"/>
          <w:szCs w:val="36"/>
          <w:lang w:eastAsia="en-AU"/>
        </w:rPr>
        <w:t>Zubsolv</w:t>
      </w:r>
      <w:r w:rsidR="00B60939" w:rsidRPr="0043094D">
        <w:rPr>
          <w:rFonts w:eastAsiaTheme="majorEastAsia"/>
          <w:b/>
          <w:bCs/>
          <w:sz w:val="36"/>
          <w:szCs w:val="36"/>
          <w:lang w:eastAsia="en-AU"/>
        </w:rPr>
        <w:t xml:space="preserve">®, </w:t>
      </w:r>
    </w:p>
    <w:p w:rsidR="00B60939" w:rsidRPr="0043094D" w:rsidRDefault="007A5C45" w:rsidP="0043094D">
      <w:pPr>
        <w:spacing w:before="120" w:after="120"/>
        <w:ind w:left="709"/>
        <w:rPr>
          <w:rFonts w:eastAsiaTheme="majorEastAsia"/>
          <w:b/>
          <w:bCs/>
          <w:sz w:val="36"/>
          <w:szCs w:val="36"/>
          <w:lang w:eastAsia="en-AU"/>
        </w:rPr>
      </w:pPr>
      <w:r w:rsidRPr="0043094D">
        <w:rPr>
          <w:rFonts w:eastAsiaTheme="majorEastAsia"/>
          <w:b/>
          <w:bCs/>
          <w:sz w:val="36"/>
          <w:szCs w:val="36"/>
          <w:lang w:eastAsia="en-AU"/>
        </w:rPr>
        <w:t>Mundipharma Pty Ltd</w:t>
      </w:r>
      <w:r w:rsidR="00B60939" w:rsidRPr="0043094D">
        <w:rPr>
          <w:rFonts w:eastAsiaTheme="majorEastAsia"/>
          <w:b/>
          <w:bCs/>
          <w:sz w:val="36"/>
          <w:szCs w:val="36"/>
          <w:lang w:eastAsia="en-AU"/>
        </w:rPr>
        <w:t>.</w:t>
      </w:r>
    </w:p>
    <w:p w:rsidR="00B50DB8" w:rsidRPr="00431541" w:rsidRDefault="00B50DB8" w:rsidP="007D70A1">
      <w:pPr>
        <w:pStyle w:val="PBACHeading1"/>
        <w:spacing w:before="0"/>
      </w:pPr>
      <w:bookmarkStart w:id="0" w:name="_Toc17412650"/>
      <w:r w:rsidRPr="00431541">
        <w:t>Purpose of Application</w:t>
      </w:r>
      <w:bookmarkEnd w:id="0"/>
    </w:p>
    <w:p w:rsidR="002C2775" w:rsidRPr="006911FB" w:rsidRDefault="00C2715B" w:rsidP="007D70A1">
      <w:pPr>
        <w:pStyle w:val="ListParagraph"/>
        <w:widowControl/>
        <w:numPr>
          <w:ilvl w:val="1"/>
          <w:numId w:val="1"/>
        </w:numPr>
        <w:spacing w:after="120"/>
      </w:pPr>
      <w:r w:rsidRPr="006911FB">
        <w:t xml:space="preserve">The submission sought Section 100 (Opiate Dependence </w:t>
      </w:r>
      <w:r w:rsidR="00431541">
        <w:t xml:space="preserve">Treatment </w:t>
      </w:r>
      <w:r w:rsidRPr="006911FB">
        <w:t xml:space="preserve">Program) </w:t>
      </w:r>
      <w:r w:rsidR="008B1757" w:rsidRPr="006911FB">
        <w:t xml:space="preserve">listing for </w:t>
      </w:r>
      <w:r w:rsidR="008B153A" w:rsidRPr="006911FB">
        <w:t>buprenorphine/naloxone sublingual</w:t>
      </w:r>
      <w:r w:rsidR="00B0256E" w:rsidRPr="006911FB">
        <w:t xml:space="preserve"> (SL)</w:t>
      </w:r>
      <w:r w:rsidR="008B153A" w:rsidRPr="006911FB">
        <w:t xml:space="preserve"> tablets</w:t>
      </w:r>
      <w:r w:rsidR="00D63587" w:rsidRPr="006911FB">
        <w:t xml:space="preserve"> (Zubsolv®)</w:t>
      </w:r>
      <w:r w:rsidR="008B153A" w:rsidRPr="006911FB">
        <w:t>, hereafter referred to as Zubsolv</w:t>
      </w:r>
      <w:r w:rsidR="00D63587" w:rsidRPr="006911FB">
        <w:t>,</w:t>
      </w:r>
      <w:r w:rsidR="008B153A" w:rsidRPr="006911FB">
        <w:t xml:space="preserve"> </w:t>
      </w:r>
      <w:r w:rsidR="008B1757" w:rsidRPr="006911FB">
        <w:t xml:space="preserve">for </w:t>
      </w:r>
      <w:r w:rsidR="00C53E01">
        <w:t xml:space="preserve">the </w:t>
      </w:r>
      <w:r w:rsidR="008B1757" w:rsidRPr="006911FB">
        <w:t xml:space="preserve">treatment of </w:t>
      </w:r>
      <w:r w:rsidR="00C53E01">
        <w:t xml:space="preserve">patients with </w:t>
      </w:r>
      <w:r w:rsidR="008B153A" w:rsidRPr="006911FB">
        <w:t>opioid dependence.</w:t>
      </w:r>
      <w:r w:rsidR="00225F33" w:rsidRPr="006911FB">
        <w:t xml:space="preserve"> This is the first submission to the PBAC for Zubsolv.</w:t>
      </w:r>
    </w:p>
    <w:p w:rsidR="00C2778B" w:rsidRPr="006911FB" w:rsidRDefault="00D63587" w:rsidP="007D70A1">
      <w:pPr>
        <w:pStyle w:val="ListParagraph"/>
        <w:widowControl/>
        <w:numPr>
          <w:ilvl w:val="1"/>
          <w:numId w:val="1"/>
        </w:numPr>
        <w:spacing w:after="120"/>
      </w:pPr>
      <w:r w:rsidRPr="006911FB">
        <w:t>T</w:t>
      </w:r>
      <w:r w:rsidR="008B1757" w:rsidRPr="006911FB">
        <w:t xml:space="preserve">he requested basis for listing </w:t>
      </w:r>
      <w:r w:rsidRPr="006911FB">
        <w:t>was a c</w:t>
      </w:r>
      <w:r w:rsidR="008B1757" w:rsidRPr="006911FB">
        <w:t>ost-min</w:t>
      </w:r>
      <w:r w:rsidRPr="006911FB">
        <w:t xml:space="preserve">imisation analysis compared </w:t>
      </w:r>
      <w:r w:rsidR="00C53E01">
        <w:t>with</w:t>
      </w:r>
      <w:r w:rsidR="00C53E01" w:rsidRPr="006911FB">
        <w:t xml:space="preserve"> </w:t>
      </w:r>
      <w:r w:rsidRPr="006911FB">
        <w:t xml:space="preserve">buprenorphine/naloxone </w:t>
      </w:r>
      <w:r w:rsidR="00B0256E" w:rsidRPr="006911FB">
        <w:t>SL</w:t>
      </w:r>
      <w:r w:rsidRPr="006911FB">
        <w:t xml:space="preserve"> film</w:t>
      </w:r>
      <w:r w:rsidR="00C2715B" w:rsidRPr="006911FB">
        <w:t xml:space="preserve"> (Suboxone®),</w:t>
      </w:r>
      <w:r w:rsidRPr="006911FB">
        <w:t xml:space="preserve"> </w:t>
      </w:r>
      <w:r w:rsidR="000C75F9" w:rsidRPr="006911FB">
        <w:t xml:space="preserve">hereafter referred to as </w:t>
      </w:r>
      <w:r w:rsidRPr="006911FB">
        <w:t xml:space="preserve">Suboxone </w:t>
      </w:r>
      <w:r w:rsidR="009A6732" w:rsidRPr="006911FB">
        <w:t>f</w:t>
      </w:r>
      <w:r w:rsidRPr="006911FB">
        <w:t>ilm.</w:t>
      </w:r>
      <w:r w:rsidR="008B1757" w:rsidRPr="006911FB">
        <w:t xml:space="preserve"> </w:t>
      </w:r>
      <w:r w:rsidR="00FB0FE5" w:rsidRPr="006911FB">
        <w:t>Table 1</w:t>
      </w:r>
      <w:r w:rsidR="00027EC4" w:rsidRPr="006911FB">
        <w:t xml:space="preserve"> summarises the key components of the clinical issue addressed by the submission.</w:t>
      </w:r>
    </w:p>
    <w:p w:rsidR="008B1757" w:rsidRPr="006911FB" w:rsidRDefault="000C75F9" w:rsidP="00E26CB0">
      <w:pPr>
        <w:pStyle w:val="Caption"/>
        <w:keepNext/>
        <w:keepLines/>
        <w:widowControl/>
        <w:suppressLineNumbers/>
        <w:suppressAutoHyphens/>
        <w:spacing w:after="0"/>
        <w:rPr>
          <w:rStyle w:val="CommentReference"/>
          <w:b/>
          <w:color w:val="000000" w:themeColor="text1"/>
          <w:szCs w:val="20"/>
        </w:rPr>
      </w:pPr>
      <w:bookmarkStart w:id="1" w:name="_Ref17406109"/>
      <w:r w:rsidRPr="006911FB">
        <w:rPr>
          <w:rFonts w:ascii="Arial Narrow" w:hAnsi="Arial Narrow"/>
          <w:color w:val="000000" w:themeColor="text1"/>
          <w:sz w:val="20"/>
          <w:szCs w:val="20"/>
        </w:rPr>
        <w:lastRenderedPageBreak/>
        <w:t xml:space="preserve">Table </w:t>
      </w:r>
      <w:r w:rsidR="00613A1E" w:rsidRPr="006911FB">
        <w:rPr>
          <w:rFonts w:ascii="Arial Narrow" w:hAnsi="Arial Narrow"/>
          <w:noProof/>
          <w:color w:val="000000" w:themeColor="text1"/>
          <w:sz w:val="20"/>
          <w:szCs w:val="20"/>
        </w:rPr>
        <w:t>1</w:t>
      </w:r>
      <w:bookmarkEnd w:id="1"/>
      <w:r w:rsidR="008B1757" w:rsidRPr="006911FB">
        <w:rPr>
          <w:rStyle w:val="CommentReference"/>
          <w:color w:val="000000" w:themeColor="text1"/>
          <w:szCs w:val="20"/>
        </w:rPr>
        <w:t>:</w:t>
      </w:r>
      <w:r w:rsidR="008B1757" w:rsidRPr="006911FB">
        <w:rPr>
          <w:rStyle w:val="CommentReference"/>
          <w:b/>
          <w:color w:val="000000" w:themeColor="text1"/>
          <w:szCs w:val="20"/>
        </w:rPr>
        <w:t xml:space="preserve">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E61099" w:rsidRPr="006911FB" w:rsidTr="00E61099">
        <w:tc>
          <w:tcPr>
            <w:tcW w:w="1668" w:type="dxa"/>
            <w:vAlign w:val="center"/>
          </w:tcPr>
          <w:p w:rsidR="00E61099" w:rsidRPr="006911FB" w:rsidRDefault="00E61099" w:rsidP="00E26CB0">
            <w:pPr>
              <w:pStyle w:val="Tabletext"/>
              <w:keepNext/>
              <w:keepLines/>
              <w:suppressLineNumbers/>
              <w:suppressAutoHyphens/>
              <w:rPr>
                <w:b/>
              </w:rPr>
            </w:pPr>
            <w:r w:rsidRPr="006911FB">
              <w:rPr>
                <w:b/>
              </w:rPr>
              <w:t>Component</w:t>
            </w:r>
          </w:p>
        </w:tc>
        <w:tc>
          <w:tcPr>
            <w:tcW w:w="7488" w:type="dxa"/>
            <w:vAlign w:val="center"/>
          </w:tcPr>
          <w:p w:rsidR="00E61099" w:rsidRPr="006911FB" w:rsidRDefault="00E61099" w:rsidP="00E26CB0">
            <w:pPr>
              <w:pStyle w:val="Tabletext"/>
              <w:keepNext/>
              <w:keepLines/>
              <w:suppressLineNumbers/>
              <w:suppressAutoHyphens/>
              <w:jc w:val="center"/>
              <w:rPr>
                <w:b/>
              </w:rPr>
            </w:pPr>
            <w:r w:rsidRPr="006911FB">
              <w:rPr>
                <w:b/>
              </w:rPr>
              <w:t>Description</w:t>
            </w:r>
          </w:p>
        </w:tc>
      </w:tr>
      <w:tr w:rsidR="007E72F5" w:rsidRPr="006911FB" w:rsidTr="00E61099">
        <w:tc>
          <w:tcPr>
            <w:tcW w:w="1668" w:type="dxa"/>
            <w:vAlign w:val="center"/>
          </w:tcPr>
          <w:p w:rsidR="007E72F5" w:rsidRPr="006911FB" w:rsidRDefault="007E72F5" w:rsidP="00E26CB0">
            <w:pPr>
              <w:pStyle w:val="Tabletext"/>
              <w:keepNext/>
              <w:keepLines/>
              <w:suppressLineNumbers/>
              <w:suppressAutoHyphens/>
            </w:pPr>
            <w:r w:rsidRPr="006911FB">
              <w:t>Population</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7E72F5" w:rsidRPr="006911FB" w:rsidRDefault="007E72F5" w:rsidP="00E26CB0">
            <w:pPr>
              <w:pStyle w:val="Tabletext"/>
              <w:keepNext/>
              <w:keepLines/>
              <w:suppressLineNumbers/>
              <w:suppressAutoHyphens/>
            </w:pPr>
            <w:r w:rsidRPr="006911FB">
              <w:t>Patients entering opioid substitution treatment</w:t>
            </w:r>
          </w:p>
        </w:tc>
      </w:tr>
      <w:tr w:rsidR="007E72F5" w:rsidRPr="006911FB" w:rsidTr="00E61099">
        <w:tc>
          <w:tcPr>
            <w:tcW w:w="1668" w:type="dxa"/>
            <w:vAlign w:val="center"/>
          </w:tcPr>
          <w:p w:rsidR="007E72F5" w:rsidRPr="006911FB" w:rsidRDefault="007E72F5" w:rsidP="00E26CB0">
            <w:pPr>
              <w:pStyle w:val="Tabletext"/>
              <w:keepNext/>
              <w:keepLines/>
              <w:suppressLineNumbers/>
              <w:suppressAutoHyphens/>
            </w:pPr>
            <w:r w:rsidRPr="006911FB">
              <w:t>Intervention</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7E72F5" w:rsidRPr="006911FB" w:rsidRDefault="007E72F5" w:rsidP="00E26CB0">
            <w:pPr>
              <w:pStyle w:val="Tabletext"/>
              <w:keepNext/>
              <w:keepLines/>
              <w:suppressLineNumbers/>
              <w:suppressAutoHyphens/>
            </w:pPr>
            <w:r w:rsidRPr="006911FB">
              <w:t xml:space="preserve">Buprenorphine/naloxone sublingual </w:t>
            </w:r>
            <w:r w:rsidR="00E442B6" w:rsidRPr="006911FB">
              <w:t xml:space="preserve">tablets </w:t>
            </w:r>
            <w:r w:rsidRPr="006911FB">
              <w:t>(Zubsolv)</w:t>
            </w:r>
          </w:p>
        </w:tc>
      </w:tr>
      <w:tr w:rsidR="007E72F5" w:rsidRPr="006911FB" w:rsidTr="00E61099">
        <w:tc>
          <w:tcPr>
            <w:tcW w:w="1668" w:type="dxa"/>
            <w:vAlign w:val="center"/>
          </w:tcPr>
          <w:p w:rsidR="007E72F5" w:rsidRPr="006911FB" w:rsidRDefault="007E72F5" w:rsidP="00E26CB0">
            <w:pPr>
              <w:pStyle w:val="Tabletext"/>
              <w:keepNext/>
              <w:keepLines/>
              <w:suppressLineNumbers/>
              <w:suppressAutoHyphens/>
            </w:pPr>
            <w:r w:rsidRPr="006911FB">
              <w:t>Comparator</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7E72F5" w:rsidRPr="006911FB" w:rsidRDefault="007E72F5" w:rsidP="00E26CB0">
            <w:pPr>
              <w:pStyle w:val="Tabletext"/>
              <w:keepNext/>
              <w:keepLines/>
              <w:suppressLineNumbers/>
              <w:suppressAutoHyphens/>
            </w:pPr>
            <w:r w:rsidRPr="006911FB">
              <w:t>Buprenorphine/naloxone sublingual film (Suboxone film)</w:t>
            </w:r>
          </w:p>
        </w:tc>
      </w:tr>
      <w:tr w:rsidR="007E72F5" w:rsidRPr="006911FB" w:rsidTr="00E61099">
        <w:tc>
          <w:tcPr>
            <w:tcW w:w="1668" w:type="dxa"/>
            <w:vAlign w:val="center"/>
          </w:tcPr>
          <w:p w:rsidR="007E72F5" w:rsidRPr="006911FB" w:rsidRDefault="007E72F5" w:rsidP="00E26CB0">
            <w:pPr>
              <w:pStyle w:val="Tabletext"/>
              <w:keepNext/>
              <w:keepLines/>
              <w:suppressLineNumbers/>
              <w:suppressAutoHyphens/>
            </w:pPr>
            <w:r w:rsidRPr="006911FB">
              <w:t>Outcomes</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7E72F5" w:rsidRPr="006911FB" w:rsidRDefault="007E72F5" w:rsidP="00E26CB0">
            <w:pPr>
              <w:pStyle w:val="KMC16-Tablecontent"/>
              <w:keepNext/>
              <w:keepLines/>
              <w:suppressLineNumbers/>
              <w:suppressAutoHyphens/>
            </w:pPr>
            <w:r w:rsidRPr="006911FB">
              <w:rPr>
                <w:u w:val="single"/>
              </w:rPr>
              <w:t>Primary</w:t>
            </w:r>
            <w:r w:rsidRPr="006911FB">
              <w:t xml:space="preserve"> </w:t>
            </w:r>
            <w:r w:rsidRPr="006911FB">
              <w:rPr>
                <w:rStyle w:val="KMC16-TablecontentChar"/>
              </w:rPr>
              <w:t>- Proportion of patients retained in treatment</w:t>
            </w:r>
            <w:r w:rsidRPr="006911FB">
              <w:t xml:space="preserve"> </w:t>
            </w:r>
          </w:p>
          <w:p w:rsidR="007E72F5" w:rsidRPr="006911FB" w:rsidRDefault="007E72F5" w:rsidP="00E26CB0">
            <w:pPr>
              <w:pStyle w:val="KMC16-Tablecontent"/>
              <w:keepNext/>
              <w:keepLines/>
              <w:suppressLineNumbers/>
              <w:suppressAutoHyphens/>
            </w:pPr>
            <w:r w:rsidRPr="006911FB">
              <w:rPr>
                <w:u w:val="single"/>
              </w:rPr>
              <w:t>Secondary</w:t>
            </w:r>
            <w:r w:rsidRPr="006911FB">
              <w:t>: Clinical Opiate Withdrawal Scale (COWS); Subjective Opiate Withdrawal Scale (SOWS); Taste acceptability Visual Analogue Scale (VAS); Ease of drug administration; Overall acceptability of formulation VAS; Change from baseline in VAS for craving</w:t>
            </w:r>
          </w:p>
          <w:p w:rsidR="007E72F5" w:rsidRPr="006911FB" w:rsidRDefault="007E72F5" w:rsidP="00E26CB0">
            <w:pPr>
              <w:pStyle w:val="Tabletext"/>
              <w:keepNext/>
              <w:keepLines/>
              <w:suppressLineNumbers/>
              <w:suppressAutoHyphens/>
            </w:pPr>
            <w:r w:rsidRPr="006911FB">
              <w:t>Key safety outcomes: Adverse events (AEs) and discontinuations due to AEs</w:t>
            </w:r>
          </w:p>
        </w:tc>
      </w:tr>
      <w:tr w:rsidR="007E72F5" w:rsidRPr="006911FB" w:rsidTr="00E61099">
        <w:tc>
          <w:tcPr>
            <w:tcW w:w="1668" w:type="dxa"/>
            <w:vAlign w:val="center"/>
          </w:tcPr>
          <w:p w:rsidR="007E72F5" w:rsidRPr="006911FB" w:rsidRDefault="007E72F5" w:rsidP="00E26CB0">
            <w:pPr>
              <w:pStyle w:val="Tabletext"/>
              <w:keepNext/>
              <w:keepLines/>
              <w:suppressLineNumbers/>
              <w:suppressAutoHyphens/>
            </w:pPr>
            <w:r w:rsidRPr="006911FB">
              <w:t>Clinical claim</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7E72F5" w:rsidRPr="006911FB" w:rsidRDefault="007E72F5" w:rsidP="00E26CB0">
            <w:pPr>
              <w:pStyle w:val="Tabletext"/>
              <w:keepNext/>
              <w:keepLines/>
              <w:suppressLineNumbers/>
              <w:suppressAutoHyphens/>
            </w:pPr>
            <w:r w:rsidRPr="006911FB">
              <w:t>Zubsolv is non-inferior to Suboxone film and offers an alternative treatment option for patients seeking to overcome their opioid dependence</w:t>
            </w:r>
            <w:r w:rsidR="00CE30F7">
              <w:t>.</w:t>
            </w:r>
          </w:p>
        </w:tc>
      </w:tr>
    </w:tbl>
    <w:p w:rsidR="00E61099" w:rsidRPr="006911FB" w:rsidRDefault="00E61099" w:rsidP="00E26CB0">
      <w:pPr>
        <w:keepNext/>
        <w:keepLines/>
        <w:widowControl/>
        <w:suppressLineNumbers/>
        <w:suppressAutoHyphens/>
        <w:rPr>
          <w:rFonts w:ascii="Arial Narrow" w:hAnsi="Arial Narrow"/>
          <w:sz w:val="18"/>
        </w:rPr>
      </w:pPr>
      <w:r w:rsidRPr="006911FB">
        <w:rPr>
          <w:rFonts w:ascii="Arial Narrow" w:hAnsi="Arial Narrow"/>
          <w:sz w:val="18"/>
        </w:rPr>
        <w:t>VAS = visual analogue scale; AE = adverse event</w:t>
      </w:r>
    </w:p>
    <w:p w:rsidR="00E61099" w:rsidRPr="006911FB" w:rsidRDefault="00E61099" w:rsidP="00E26CB0">
      <w:pPr>
        <w:keepNext/>
        <w:keepLines/>
        <w:widowControl/>
        <w:suppressLineNumbers/>
        <w:suppressAutoHyphens/>
        <w:spacing w:after="120"/>
        <w:rPr>
          <w:rFonts w:ascii="Arial Narrow" w:hAnsi="Arial Narrow"/>
          <w:sz w:val="18"/>
        </w:rPr>
      </w:pPr>
      <w:r w:rsidRPr="006911FB">
        <w:rPr>
          <w:rFonts w:ascii="Arial Narrow" w:hAnsi="Arial Narrow"/>
          <w:sz w:val="18"/>
        </w:rPr>
        <w:t>Source: Table 1.4, p9 of the submission.</w:t>
      </w:r>
    </w:p>
    <w:p w:rsidR="00B60939" w:rsidRPr="002E2082" w:rsidRDefault="00B50DB8" w:rsidP="00E26CB0">
      <w:pPr>
        <w:pStyle w:val="PBACHeading1"/>
        <w:spacing w:before="0"/>
      </w:pPr>
      <w:bookmarkStart w:id="2" w:name="_Toc17412651"/>
      <w:r w:rsidRPr="00F61954">
        <w:t>Requested listing</w:t>
      </w:r>
      <w:bookmarkEnd w:id="2"/>
    </w:p>
    <w:p w:rsidR="006911FB" w:rsidRPr="00E5098C" w:rsidRDefault="00F70EAF" w:rsidP="00E26CB0">
      <w:pPr>
        <w:pStyle w:val="ListParagraph"/>
        <w:widowControl/>
        <w:numPr>
          <w:ilvl w:val="1"/>
          <w:numId w:val="1"/>
        </w:numPr>
        <w:spacing w:after="120"/>
      </w:pPr>
      <w:r w:rsidRPr="00E5098C">
        <w:t>The proposed restriction is shown below.</w:t>
      </w:r>
      <w:r>
        <w:t xml:space="preserve"> </w:t>
      </w:r>
    </w:p>
    <w:tbl>
      <w:tblPr>
        <w:tblW w:w="4977" w:type="pct"/>
        <w:tblInd w:w="28" w:type="dxa"/>
        <w:tblCellMar>
          <w:left w:w="28" w:type="dxa"/>
          <w:right w:w="28" w:type="dxa"/>
        </w:tblCellMar>
        <w:tblLook w:val="0000" w:firstRow="0" w:lastRow="0" w:firstColumn="0" w:lastColumn="0" w:noHBand="0" w:noVBand="0"/>
      </w:tblPr>
      <w:tblGrid>
        <w:gridCol w:w="2235"/>
        <w:gridCol w:w="1116"/>
        <w:gridCol w:w="1073"/>
        <w:gridCol w:w="830"/>
        <w:gridCol w:w="1502"/>
        <w:gridCol w:w="752"/>
        <w:gridCol w:w="1477"/>
      </w:tblGrid>
      <w:tr w:rsidR="00E61099" w:rsidRPr="006911FB" w:rsidTr="00EE6E4A">
        <w:trPr>
          <w:cantSplit/>
          <w:trHeight w:val="463"/>
        </w:trPr>
        <w:tc>
          <w:tcPr>
            <w:tcW w:w="1865" w:type="pct"/>
            <w:gridSpan w:val="2"/>
            <w:tcBorders>
              <w:top w:val="single" w:sz="4" w:space="0" w:color="auto"/>
              <w:bottom w:val="single" w:sz="4" w:space="0" w:color="auto"/>
            </w:tcBorders>
            <w:vAlign w:val="center"/>
          </w:tcPr>
          <w:p w:rsidR="00617E12" w:rsidRPr="006911FB" w:rsidRDefault="00617E12" w:rsidP="00536D38">
            <w:pPr>
              <w:keepNext/>
              <w:widowControl/>
              <w:jc w:val="left"/>
              <w:rPr>
                <w:rFonts w:ascii="Arial Narrow" w:hAnsi="Arial Narrow"/>
                <w:b/>
                <w:sz w:val="20"/>
              </w:rPr>
            </w:pPr>
            <w:r w:rsidRPr="006911FB">
              <w:rPr>
                <w:rFonts w:ascii="Arial Narrow" w:hAnsi="Arial Narrow"/>
                <w:b/>
                <w:sz w:val="20"/>
              </w:rPr>
              <w:t>Name, Restriction,</w:t>
            </w:r>
          </w:p>
          <w:p w:rsidR="00617E12" w:rsidRPr="006911FB" w:rsidRDefault="00617E12" w:rsidP="00536D38">
            <w:pPr>
              <w:keepNext/>
              <w:widowControl/>
              <w:jc w:val="left"/>
              <w:rPr>
                <w:rFonts w:ascii="Arial Narrow" w:hAnsi="Arial Narrow"/>
                <w:b/>
                <w:sz w:val="20"/>
              </w:rPr>
            </w:pPr>
            <w:r w:rsidRPr="006911FB">
              <w:rPr>
                <w:rFonts w:ascii="Arial Narrow" w:hAnsi="Arial Narrow"/>
                <w:b/>
                <w:sz w:val="20"/>
              </w:rPr>
              <w:t>Manner of administration and form</w:t>
            </w:r>
          </w:p>
        </w:tc>
        <w:tc>
          <w:tcPr>
            <w:tcW w:w="597" w:type="pct"/>
            <w:tcBorders>
              <w:top w:val="single" w:sz="4" w:space="0" w:color="auto"/>
              <w:bottom w:val="single" w:sz="4" w:space="0" w:color="auto"/>
            </w:tcBorders>
            <w:vAlign w:val="center"/>
          </w:tcPr>
          <w:p w:rsidR="00617E12" w:rsidRPr="006911FB" w:rsidRDefault="00617E12" w:rsidP="00536D38">
            <w:pPr>
              <w:keepNext/>
              <w:widowControl/>
              <w:jc w:val="center"/>
              <w:rPr>
                <w:rFonts w:ascii="Arial Narrow" w:hAnsi="Arial Narrow"/>
                <w:b/>
                <w:sz w:val="20"/>
              </w:rPr>
            </w:pPr>
            <w:r w:rsidRPr="006911FB">
              <w:rPr>
                <w:rFonts w:ascii="Arial Narrow" w:hAnsi="Arial Narrow"/>
                <w:b/>
                <w:sz w:val="20"/>
              </w:rPr>
              <w:t>Max.</w:t>
            </w:r>
          </w:p>
          <w:p w:rsidR="00617E12" w:rsidRPr="006911FB" w:rsidRDefault="00617E12" w:rsidP="00536D38">
            <w:pPr>
              <w:keepNext/>
              <w:widowControl/>
              <w:jc w:val="center"/>
              <w:rPr>
                <w:rFonts w:ascii="Arial Narrow" w:hAnsi="Arial Narrow"/>
                <w:b/>
                <w:sz w:val="20"/>
              </w:rPr>
            </w:pPr>
            <w:r w:rsidRPr="006911FB">
              <w:rPr>
                <w:rFonts w:ascii="Arial Narrow" w:hAnsi="Arial Narrow"/>
                <w:b/>
                <w:sz w:val="20"/>
              </w:rPr>
              <w:t>Qty</w:t>
            </w:r>
            <w:r w:rsidR="00591957" w:rsidRPr="006911FB">
              <w:rPr>
                <w:rFonts w:ascii="Arial Narrow" w:hAnsi="Arial Narrow"/>
                <w:b/>
                <w:sz w:val="20"/>
              </w:rPr>
              <w:t xml:space="preserve"> </w:t>
            </w:r>
            <w:r w:rsidR="00E61099" w:rsidRPr="006911FB">
              <w:rPr>
                <w:rFonts w:ascii="Arial Narrow" w:hAnsi="Arial Narrow"/>
                <w:b/>
                <w:sz w:val="20"/>
              </w:rPr>
              <w:t>(units)</w:t>
            </w:r>
          </w:p>
        </w:tc>
        <w:tc>
          <w:tcPr>
            <w:tcW w:w="462" w:type="pct"/>
            <w:tcBorders>
              <w:top w:val="single" w:sz="4" w:space="0" w:color="auto"/>
              <w:bottom w:val="single" w:sz="4" w:space="0" w:color="auto"/>
            </w:tcBorders>
            <w:vAlign w:val="center"/>
          </w:tcPr>
          <w:p w:rsidR="00617E12" w:rsidRPr="006911FB" w:rsidRDefault="00617E12" w:rsidP="00536D38">
            <w:pPr>
              <w:keepNext/>
              <w:widowControl/>
              <w:jc w:val="center"/>
              <w:rPr>
                <w:rFonts w:ascii="Arial Narrow" w:hAnsi="Arial Narrow"/>
                <w:b/>
                <w:sz w:val="20"/>
              </w:rPr>
            </w:pPr>
            <w:r w:rsidRPr="006911FB">
              <w:rPr>
                <w:rFonts w:ascii="Arial Narrow" w:hAnsi="Arial Narrow" w:cs="Times New Roman"/>
                <w:b/>
                <w:sz w:val="20"/>
              </w:rPr>
              <w:t>№</w:t>
            </w:r>
            <w:r w:rsidRPr="006911FB">
              <w:rPr>
                <w:rFonts w:ascii="Arial Narrow" w:hAnsi="Arial Narrow"/>
                <w:b/>
                <w:sz w:val="20"/>
              </w:rPr>
              <w:t>.of</w:t>
            </w:r>
          </w:p>
          <w:p w:rsidR="00617E12" w:rsidRPr="006911FB" w:rsidRDefault="00617E12" w:rsidP="00536D38">
            <w:pPr>
              <w:keepNext/>
              <w:widowControl/>
              <w:jc w:val="center"/>
              <w:rPr>
                <w:rFonts w:ascii="Arial Narrow" w:hAnsi="Arial Narrow"/>
                <w:b/>
                <w:sz w:val="20"/>
              </w:rPr>
            </w:pPr>
            <w:r w:rsidRPr="006911FB">
              <w:rPr>
                <w:rFonts w:ascii="Arial Narrow" w:hAnsi="Arial Narrow"/>
                <w:b/>
                <w:sz w:val="20"/>
              </w:rPr>
              <w:t>Rpts</w:t>
            </w:r>
          </w:p>
        </w:tc>
        <w:tc>
          <w:tcPr>
            <w:tcW w:w="836" w:type="pct"/>
            <w:tcBorders>
              <w:top w:val="single" w:sz="4" w:space="0" w:color="auto"/>
              <w:bottom w:val="single" w:sz="4" w:space="0" w:color="auto"/>
            </w:tcBorders>
            <w:vAlign w:val="center"/>
          </w:tcPr>
          <w:p w:rsidR="00617E12" w:rsidRPr="006911FB" w:rsidRDefault="00617E12" w:rsidP="00536D38">
            <w:pPr>
              <w:keepNext/>
              <w:widowControl/>
              <w:jc w:val="center"/>
              <w:rPr>
                <w:rFonts w:ascii="Arial Narrow" w:hAnsi="Arial Narrow"/>
                <w:b/>
                <w:sz w:val="20"/>
              </w:rPr>
            </w:pPr>
            <w:r w:rsidRPr="006911FB">
              <w:rPr>
                <w:rFonts w:ascii="Arial Narrow" w:hAnsi="Arial Narrow"/>
                <w:b/>
                <w:sz w:val="20"/>
              </w:rPr>
              <w:t>Dispensed Price for Max. Qty</w:t>
            </w:r>
          </w:p>
        </w:tc>
        <w:tc>
          <w:tcPr>
            <w:tcW w:w="1240" w:type="pct"/>
            <w:gridSpan w:val="2"/>
            <w:tcBorders>
              <w:top w:val="single" w:sz="4" w:space="0" w:color="auto"/>
              <w:bottom w:val="single" w:sz="4" w:space="0" w:color="auto"/>
            </w:tcBorders>
            <w:vAlign w:val="center"/>
          </w:tcPr>
          <w:p w:rsidR="00617E12" w:rsidRPr="006911FB" w:rsidRDefault="00617E12" w:rsidP="00536D38">
            <w:pPr>
              <w:keepNext/>
              <w:widowControl/>
              <w:jc w:val="center"/>
              <w:rPr>
                <w:rFonts w:ascii="Arial Narrow" w:hAnsi="Arial Narrow"/>
                <w:b/>
                <w:sz w:val="20"/>
                <w:lang w:val="fr-FR"/>
              </w:rPr>
            </w:pPr>
            <w:r w:rsidRPr="006911FB">
              <w:rPr>
                <w:rFonts w:ascii="Arial Narrow" w:hAnsi="Arial Narrow"/>
                <w:b/>
                <w:sz w:val="20"/>
              </w:rPr>
              <w:t>Proprietary Name and Manufacturer</w:t>
            </w:r>
          </w:p>
        </w:tc>
      </w:tr>
      <w:tr w:rsidR="00E61099" w:rsidRPr="006911FB" w:rsidTr="00EE6E4A">
        <w:trPr>
          <w:cantSplit/>
          <w:trHeight w:val="567"/>
        </w:trPr>
        <w:tc>
          <w:tcPr>
            <w:tcW w:w="1865" w:type="pct"/>
            <w:gridSpan w:val="2"/>
            <w:vAlign w:val="center"/>
          </w:tcPr>
          <w:p w:rsidR="00E61099" w:rsidRPr="006911FB" w:rsidRDefault="00E61099" w:rsidP="00536D38">
            <w:pPr>
              <w:keepNext/>
              <w:widowControl/>
              <w:jc w:val="left"/>
              <w:rPr>
                <w:rFonts w:ascii="Arial Narrow" w:hAnsi="Arial Narrow"/>
                <w:smallCaps/>
                <w:sz w:val="20"/>
              </w:rPr>
            </w:pPr>
            <w:r w:rsidRPr="006911FB">
              <w:rPr>
                <w:rFonts w:ascii="Arial Narrow" w:hAnsi="Arial Narrow"/>
                <w:smallCaps/>
                <w:sz w:val="20"/>
              </w:rPr>
              <w:t>buprenorphine/naloxone</w:t>
            </w:r>
          </w:p>
          <w:p w:rsidR="00E61099" w:rsidRPr="006911FB" w:rsidRDefault="00E61099" w:rsidP="00536D38">
            <w:pPr>
              <w:keepNext/>
              <w:widowControl/>
              <w:jc w:val="left"/>
              <w:rPr>
                <w:rFonts w:ascii="Arial Narrow" w:hAnsi="Arial Narrow"/>
                <w:sz w:val="20"/>
              </w:rPr>
            </w:pPr>
            <w:r w:rsidRPr="006911FB">
              <w:rPr>
                <w:rFonts w:ascii="Arial Narrow" w:hAnsi="Arial Narrow"/>
                <w:sz w:val="20"/>
              </w:rPr>
              <w:t>Sublingual tablet 0.7/0.18</w:t>
            </w:r>
          </w:p>
          <w:p w:rsidR="00E61099" w:rsidRPr="006911FB" w:rsidRDefault="00E61099" w:rsidP="00536D38">
            <w:pPr>
              <w:keepNext/>
              <w:widowControl/>
              <w:jc w:val="left"/>
              <w:rPr>
                <w:rFonts w:ascii="Arial Narrow" w:hAnsi="Arial Narrow"/>
                <w:sz w:val="20"/>
              </w:rPr>
            </w:pPr>
            <w:r w:rsidRPr="006911FB">
              <w:rPr>
                <w:rFonts w:ascii="Arial Narrow" w:hAnsi="Arial Narrow"/>
                <w:sz w:val="20"/>
              </w:rPr>
              <w:t>Sublingual tablet 1.4/0.36</w:t>
            </w:r>
          </w:p>
          <w:p w:rsidR="00617E12" w:rsidRPr="006911FB" w:rsidRDefault="00E61099" w:rsidP="00536D38">
            <w:pPr>
              <w:keepNext/>
              <w:widowControl/>
              <w:jc w:val="left"/>
              <w:rPr>
                <w:rFonts w:ascii="Arial Narrow" w:hAnsi="Arial Narrow"/>
                <w:sz w:val="20"/>
              </w:rPr>
            </w:pPr>
            <w:r w:rsidRPr="006911FB">
              <w:rPr>
                <w:rFonts w:ascii="Arial Narrow" w:hAnsi="Arial Narrow"/>
                <w:sz w:val="20"/>
              </w:rPr>
              <w:t>Sublingual tablet 2.9/0.71</w:t>
            </w:r>
          </w:p>
          <w:p w:rsidR="00E61099" w:rsidRPr="006911FB" w:rsidRDefault="00E61099" w:rsidP="00536D38">
            <w:pPr>
              <w:keepNext/>
              <w:widowControl/>
              <w:jc w:val="left"/>
              <w:rPr>
                <w:rFonts w:ascii="Arial Narrow" w:hAnsi="Arial Narrow"/>
                <w:sz w:val="20"/>
              </w:rPr>
            </w:pPr>
            <w:r w:rsidRPr="006911FB">
              <w:rPr>
                <w:rFonts w:ascii="Arial Narrow" w:hAnsi="Arial Narrow"/>
                <w:sz w:val="20"/>
              </w:rPr>
              <w:t>Sublingual tablet 5.7/1.4</w:t>
            </w:r>
          </w:p>
          <w:p w:rsidR="00E61099" w:rsidRPr="006911FB" w:rsidRDefault="00E61099" w:rsidP="00536D38">
            <w:pPr>
              <w:keepNext/>
              <w:widowControl/>
              <w:jc w:val="left"/>
              <w:rPr>
                <w:rFonts w:ascii="Arial Narrow" w:hAnsi="Arial Narrow"/>
                <w:sz w:val="20"/>
              </w:rPr>
            </w:pPr>
            <w:r w:rsidRPr="006911FB">
              <w:rPr>
                <w:rFonts w:ascii="Arial Narrow" w:hAnsi="Arial Narrow"/>
                <w:sz w:val="20"/>
              </w:rPr>
              <w:t>Sublingual tablet 8.6/2.1</w:t>
            </w:r>
          </w:p>
          <w:p w:rsidR="00E61099" w:rsidRPr="006911FB" w:rsidRDefault="00E61099" w:rsidP="00536D38">
            <w:pPr>
              <w:keepNext/>
              <w:widowControl/>
              <w:jc w:val="left"/>
              <w:rPr>
                <w:rFonts w:ascii="Arial Narrow" w:hAnsi="Arial Narrow"/>
                <w:sz w:val="20"/>
              </w:rPr>
            </w:pPr>
            <w:r w:rsidRPr="006911FB">
              <w:rPr>
                <w:rFonts w:ascii="Arial Narrow" w:hAnsi="Arial Narrow"/>
                <w:sz w:val="20"/>
              </w:rPr>
              <w:t>Sublingual tablet 11.4/2.9</w:t>
            </w:r>
          </w:p>
        </w:tc>
        <w:tc>
          <w:tcPr>
            <w:tcW w:w="597" w:type="pct"/>
            <w:vAlign w:val="center"/>
          </w:tcPr>
          <w:p w:rsidR="00617E12" w:rsidRPr="006911FB" w:rsidRDefault="00617E12" w:rsidP="00536D38">
            <w:pPr>
              <w:keepNext/>
              <w:widowControl/>
              <w:jc w:val="center"/>
              <w:rPr>
                <w:rFonts w:ascii="Arial Narrow" w:hAnsi="Arial Narrow"/>
                <w:sz w:val="20"/>
              </w:rPr>
            </w:pPr>
          </w:p>
          <w:p w:rsidR="00617E12" w:rsidRPr="006911FB" w:rsidRDefault="00E61099" w:rsidP="00536D38">
            <w:pPr>
              <w:keepNext/>
              <w:widowControl/>
              <w:jc w:val="center"/>
              <w:rPr>
                <w:rFonts w:ascii="Arial Narrow" w:hAnsi="Arial Narrow"/>
                <w:sz w:val="20"/>
              </w:rPr>
            </w:pPr>
            <w:r w:rsidRPr="006911FB">
              <w:rPr>
                <w:rFonts w:ascii="Arial Narrow" w:hAnsi="Arial Narrow"/>
                <w:sz w:val="20"/>
              </w:rPr>
              <w:t>28</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28</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28</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28</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28</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28</w:t>
            </w:r>
          </w:p>
        </w:tc>
        <w:tc>
          <w:tcPr>
            <w:tcW w:w="462" w:type="pct"/>
            <w:vAlign w:val="center"/>
          </w:tcPr>
          <w:p w:rsidR="00617E12" w:rsidRPr="006911FB" w:rsidRDefault="00617E12" w:rsidP="00536D38">
            <w:pPr>
              <w:keepNext/>
              <w:widowControl/>
              <w:jc w:val="center"/>
              <w:rPr>
                <w:rFonts w:ascii="Arial Narrow" w:hAnsi="Arial Narrow"/>
                <w:sz w:val="20"/>
              </w:rPr>
            </w:pPr>
          </w:p>
          <w:p w:rsidR="00617E12" w:rsidRPr="006911FB" w:rsidRDefault="00E61099" w:rsidP="00536D38">
            <w:pPr>
              <w:keepNext/>
              <w:widowControl/>
              <w:jc w:val="center"/>
              <w:rPr>
                <w:rFonts w:ascii="Arial Narrow" w:hAnsi="Arial Narrow"/>
                <w:sz w:val="20"/>
              </w:rPr>
            </w:pPr>
            <w:r w:rsidRPr="006911FB">
              <w:rPr>
                <w:rFonts w:ascii="Arial Narrow" w:hAnsi="Arial Narrow"/>
                <w:sz w:val="20"/>
              </w:rPr>
              <w:t>0</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0</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0</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0</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0</w:t>
            </w:r>
          </w:p>
          <w:p w:rsidR="00E61099" w:rsidRPr="006911FB" w:rsidRDefault="00E61099" w:rsidP="00536D38">
            <w:pPr>
              <w:keepNext/>
              <w:widowControl/>
              <w:jc w:val="center"/>
              <w:rPr>
                <w:rFonts w:ascii="Arial Narrow" w:hAnsi="Arial Narrow"/>
                <w:sz w:val="20"/>
              </w:rPr>
            </w:pPr>
            <w:r w:rsidRPr="006911FB">
              <w:rPr>
                <w:rFonts w:ascii="Arial Narrow" w:hAnsi="Arial Narrow"/>
                <w:sz w:val="20"/>
              </w:rPr>
              <w:t>0</w:t>
            </w:r>
          </w:p>
        </w:tc>
        <w:tc>
          <w:tcPr>
            <w:tcW w:w="836" w:type="pct"/>
            <w:vAlign w:val="center"/>
          </w:tcPr>
          <w:p w:rsidR="00617E12" w:rsidRPr="006911FB" w:rsidRDefault="00617E12" w:rsidP="00536D38">
            <w:pPr>
              <w:keepNext/>
              <w:widowControl/>
              <w:jc w:val="center"/>
              <w:rPr>
                <w:rFonts w:ascii="Arial Narrow" w:hAnsi="Arial Narrow"/>
                <w:sz w:val="20"/>
              </w:rPr>
            </w:pPr>
          </w:p>
          <w:p w:rsidR="00E61099" w:rsidRPr="00562116" w:rsidRDefault="00E61099" w:rsidP="00536D38">
            <w:pPr>
              <w:keepNext/>
              <w:widowControl/>
              <w:jc w:val="center"/>
              <w:rPr>
                <w:rFonts w:ascii="Arial Narrow" w:hAnsi="Arial Narrow"/>
                <w:sz w:val="20"/>
              </w:rPr>
            </w:pPr>
            <w:r w:rsidRPr="006911FB">
              <w:rPr>
                <w:rFonts w:ascii="Arial Narrow" w:hAnsi="Arial Narrow"/>
                <w:sz w:val="20"/>
              </w:rPr>
              <w:t>$</w:t>
            </w:r>
            <w:r w:rsidR="00562116">
              <w:rPr>
                <w:rFonts w:ascii="Arial Narrow" w:hAnsi="Arial Narrow"/>
                <w:noProof/>
                <w:color w:val="000000"/>
                <w:sz w:val="20"/>
                <w:highlight w:val="black"/>
              </w:rPr>
              <w:t>''''''''''''</w:t>
            </w:r>
          </w:p>
          <w:p w:rsidR="00E61099" w:rsidRPr="00562116" w:rsidRDefault="00E61099" w:rsidP="00536D38">
            <w:pPr>
              <w:keepNext/>
              <w:widowControl/>
              <w:jc w:val="center"/>
              <w:rPr>
                <w:rFonts w:ascii="Arial Narrow" w:hAnsi="Arial Narrow"/>
                <w:sz w:val="20"/>
              </w:rPr>
            </w:pPr>
            <w:r w:rsidRPr="007F1FDE">
              <w:rPr>
                <w:rFonts w:ascii="Arial Narrow" w:hAnsi="Arial Narrow"/>
                <w:sz w:val="20"/>
              </w:rPr>
              <w:t>$</w:t>
            </w:r>
            <w:r w:rsidR="00562116">
              <w:rPr>
                <w:rFonts w:ascii="Arial Narrow" w:hAnsi="Arial Narrow"/>
                <w:noProof/>
                <w:color w:val="000000"/>
                <w:sz w:val="20"/>
                <w:highlight w:val="black"/>
              </w:rPr>
              <w:t>'''''''''''''</w:t>
            </w:r>
          </w:p>
          <w:p w:rsidR="00E61099" w:rsidRPr="00562116" w:rsidRDefault="00E61099" w:rsidP="00536D38">
            <w:pPr>
              <w:keepNext/>
              <w:widowControl/>
              <w:jc w:val="center"/>
              <w:rPr>
                <w:rFonts w:ascii="Arial Narrow" w:hAnsi="Arial Narrow"/>
                <w:sz w:val="20"/>
              </w:rPr>
            </w:pPr>
            <w:r w:rsidRPr="007F1FDE">
              <w:rPr>
                <w:rFonts w:ascii="Arial Narrow" w:hAnsi="Arial Narrow"/>
                <w:sz w:val="20"/>
              </w:rPr>
              <w:t>$</w:t>
            </w:r>
            <w:r w:rsidR="00562116">
              <w:rPr>
                <w:rFonts w:ascii="Arial Narrow" w:hAnsi="Arial Narrow"/>
                <w:noProof/>
                <w:color w:val="000000"/>
                <w:sz w:val="20"/>
                <w:highlight w:val="black"/>
              </w:rPr>
              <w:t>''''''''''''</w:t>
            </w:r>
          </w:p>
          <w:p w:rsidR="00E61099" w:rsidRPr="00562116" w:rsidRDefault="00E61099" w:rsidP="00536D38">
            <w:pPr>
              <w:keepNext/>
              <w:widowControl/>
              <w:jc w:val="center"/>
              <w:rPr>
                <w:rFonts w:ascii="Arial Narrow" w:hAnsi="Arial Narrow"/>
                <w:sz w:val="20"/>
              </w:rPr>
            </w:pPr>
            <w:r w:rsidRPr="007F1FDE">
              <w:rPr>
                <w:rFonts w:ascii="Arial Narrow" w:hAnsi="Arial Narrow"/>
                <w:sz w:val="20"/>
              </w:rPr>
              <w:t>$</w:t>
            </w:r>
            <w:r w:rsidR="00562116">
              <w:rPr>
                <w:rFonts w:ascii="Arial Narrow" w:hAnsi="Arial Narrow"/>
                <w:noProof/>
                <w:color w:val="000000"/>
                <w:sz w:val="20"/>
                <w:highlight w:val="black"/>
              </w:rPr>
              <w:t>'''''''''''''''''</w:t>
            </w:r>
          </w:p>
          <w:p w:rsidR="00E61099" w:rsidRPr="00562116" w:rsidRDefault="00E61099" w:rsidP="00536D38">
            <w:pPr>
              <w:keepNext/>
              <w:widowControl/>
              <w:jc w:val="center"/>
              <w:rPr>
                <w:rFonts w:ascii="Arial Narrow" w:hAnsi="Arial Narrow"/>
                <w:sz w:val="20"/>
              </w:rPr>
            </w:pPr>
            <w:r w:rsidRPr="007F1FDE">
              <w:rPr>
                <w:rFonts w:ascii="Arial Narrow" w:hAnsi="Arial Narrow"/>
                <w:sz w:val="20"/>
              </w:rPr>
              <w:t>$</w:t>
            </w:r>
            <w:r w:rsidR="00562116">
              <w:rPr>
                <w:rFonts w:ascii="Arial Narrow" w:hAnsi="Arial Narrow"/>
                <w:noProof/>
                <w:color w:val="000000"/>
                <w:sz w:val="20"/>
                <w:highlight w:val="black"/>
              </w:rPr>
              <w:t>'''''''''''''''''</w:t>
            </w:r>
          </w:p>
          <w:p w:rsidR="00617E12" w:rsidRPr="006911FB" w:rsidRDefault="00E61099" w:rsidP="00536D38">
            <w:pPr>
              <w:keepNext/>
              <w:widowControl/>
              <w:jc w:val="center"/>
              <w:rPr>
                <w:rFonts w:ascii="Arial Narrow" w:hAnsi="Arial Narrow"/>
                <w:sz w:val="20"/>
              </w:rPr>
            </w:pPr>
            <w:r w:rsidRPr="007F1FDE">
              <w:rPr>
                <w:rFonts w:ascii="Arial Narrow" w:hAnsi="Arial Narrow"/>
                <w:sz w:val="20"/>
              </w:rPr>
              <w:t>$</w:t>
            </w:r>
            <w:r w:rsidR="00562116">
              <w:rPr>
                <w:rFonts w:ascii="Arial Narrow" w:hAnsi="Arial Narrow"/>
                <w:noProof/>
                <w:color w:val="000000"/>
                <w:sz w:val="20"/>
                <w:highlight w:val="black"/>
              </w:rPr>
              <w:t>'''''''''''''''''</w:t>
            </w:r>
          </w:p>
        </w:tc>
        <w:tc>
          <w:tcPr>
            <w:tcW w:w="418" w:type="pct"/>
            <w:vAlign w:val="center"/>
          </w:tcPr>
          <w:p w:rsidR="00617E12" w:rsidRPr="006911FB" w:rsidRDefault="00E61099" w:rsidP="00536D38">
            <w:pPr>
              <w:keepNext/>
              <w:widowControl/>
              <w:jc w:val="center"/>
              <w:rPr>
                <w:rFonts w:ascii="Arial Narrow" w:hAnsi="Arial Narrow"/>
                <w:sz w:val="20"/>
              </w:rPr>
            </w:pPr>
            <w:r w:rsidRPr="006911FB">
              <w:rPr>
                <w:rFonts w:ascii="Arial Narrow" w:hAnsi="Arial Narrow"/>
                <w:sz w:val="20"/>
              </w:rPr>
              <w:t>Zubsolv</w:t>
            </w:r>
            <w:r w:rsidR="00C2715B" w:rsidRPr="006911FB">
              <w:rPr>
                <w:rFonts w:ascii="Arial Narrow" w:hAnsi="Arial Narrow"/>
                <w:sz w:val="20"/>
              </w:rPr>
              <w:t>®</w:t>
            </w:r>
          </w:p>
        </w:tc>
        <w:tc>
          <w:tcPr>
            <w:tcW w:w="821" w:type="pct"/>
            <w:vAlign w:val="center"/>
          </w:tcPr>
          <w:p w:rsidR="00E61099" w:rsidRPr="006911FB" w:rsidRDefault="00E61099" w:rsidP="00536D38">
            <w:pPr>
              <w:keepNext/>
              <w:widowControl/>
              <w:jc w:val="center"/>
              <w:rPr>
                <w:rFonts w:ascii="Arial Narrow" w:hAnsi="Arial Narrow"/>
                <w:sz w:val="20"/>
              </w:rPr>
            </w:pPr>
          </w:p>
          <w:p w:rsidR="00617E12" w:rsidRPr="006911FB" w:rsidRDefault="00E61099" w:rsidP="00536D38">
            <w:pPr>
              <w:keepNext/>
              <w:widowControl/>
              <w:jc w:val="center"/>
              <w:rPr>
                <w:rFonts w:ascii="Arial Narrow" w:hAnsi="Arial Narrow"/>
                <w:sz w:val="20"/>
              </w:rPr>
            </w:pPr>
            <w:r w:rsidRPr="006911FB">
              <w:rPr>
                <w:rFonts w:ascii="Arial Narrow" w:hAnsi="Arial Narrow"/>
                <w:sz w:val="20"/>
              </w:rPr>
              <w:t>Mundipharma</w:t>
            </w:r>
          </w:p>
          <w:p w:rsidR="00591957" w:rsidRPr="006911FB" w:rsidRDefault="00591957" w:rsidP="00536D38">
            <w:pPr>
              <w:keepNext/>
              <w:widowControl/>
              <w:rPr>
                <w:rFonts w:ascii="Arial Narrow" w:hAnsi="Arial Narrow"/>
                <w:sz w:val="20"/>
              </w:rPr>
            </w:pPr>
          </w:p>
        </w:tc>
      </w:tr>
      <w:tr w:rsidR="00542C2D"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hideMark/>
          </w:tcPr>
          <w:p w:rsidR="00542C2D" w:rsidRPr="006911FB" w:rsidRDefault="00591957" w:rsidP="00536D38">
            <w:pPr>
              <w:pStyle w:val="Tabletext"/>
              <w:keepNext/>
              <w:rPr>
                <w:lang w:eastAsia="en-AU"/>
              </w:rPr>
            </w:pPr>
            <w:r w:rsidRPr="006911FB">
              <w:rPr>
                <w:lang w:eastAsia="en-AU"/>
              </w:rPr>
              <w:t>Category/Program:</w:t>
            </w:r>
          </w:p>
        </w:tc>
        <w:tc>
          <w:tcPr>
            <w:tcW w:w="3756" w:type="pct"/>
            <w:gridSpan w:val="6"/>
            <w:tcBorders>
              <w:top w:val="single" w:sz="4" w:space="0" w:color="auto"/>
              <w:left w:val="single" w:sz="4" w:space="0" w:color="auto"/>
              <w:bottom w:val="single" w:sz="4" w:space="0" w:color="auto"/>
              <w:right w:val="single" w:sz="4" w:space="0" w:color="auto"/>
            </w:tcBorders>
          </w:tcPr>
          <w:p w:rsidR="00542C2D" w:rsidRPr="006911FB" w:rsidRDefault="00C2715B" w:rsidP="00536D38">
            <w:pPr>
              <w:pStyle w:val="Tabletext"/>
              <w:keepNext/>
              <w:rPr>
                <w:lang w:eastAsia="en-AU"/>
              </w:rPr>
            </w:pPr>
            <w:r w:rsidRPr="006911FB">
              <w:rPr>
                <w:lang w:eastAsia="en-AU"/>
              </w:rPr>
              <w:t>Section 100 (Opiate Dependence Treatment Program)</w:t>
            </w:r>
          </w:p>
        </w:tc>
      </w:tr>
      <w:tr w:rsidR="00542C2D"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hideMark/>
          </w:tcPr>
          <w:p w:rsidR="00542C2D" w:rsidRPr="006911FB" w:rsidRDefault="00591957" w:rsidP="00536D38">
            <w:pPr>
              <w:pStyle w:val="Tabletext"/>
              <w:keepNext/>
              <w:rPr>
                <w:lang w:eastAsia="en-AU"/>
              </w:rPr>
            </w:pPr>
            <w:r w:rsidRPr="006911FB">
              <w:rPr>
                <w:lang w:eastAsia="en-AU"/>
              </w:rPr>
              <w:t>PBS indication:</w:t>
            </w:r>
          </w:p>
        </w:tc>
        <w:tc>
          <w:tcPr>
            <w:tcW w:w="3756" w:type="pct"/>
            <w:gridSpan w:val="6"/>
            <w:tcBorders>
              <w:top w:val="single" w:sz="4" w:space="0" w:color="auto"/>
              <w:left w:val="single" w:sz="4" w:space="0" w:color="auto"/>
              <w:bottom w:val="single" w:sz="4" w:space="0" w:color="auto"/>
              <w:right w:val="single" w:sz="4" w:space="0" w:color="auto"/>
            </w:tcBorders>
          </w:tcPr>
          <w:p w:rsidR="00542C2D" w:rsidRPr="006911FB" w:rsidRDefault="00E61099" w:rsidP="00536D38">
            <w:pPr>
              <w:pStyle w:val="Tabletext"/>
              <w:keepNext/>
              <w:rPr>
                <w:lang w:eastAsia="en-AU"/>
              </w:rPr>
            </w:pPr>
            <w:r w:rsidRPr="006911FB">
              <w:rPr>
                <w:lang w:eastAsia="en-AU"/>
              </w:rPr>
              <w:t>Opiate dependence</w:t>
            </w:r>
          </w:p>
        </w:tc>
      </w:tr>
      <w:tr w:rsidR="00542C2D"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hideMark/>
          </w:tcPr>
          <w:p w:rsidR="00542C2D" w:rsidRPr="006911FB" w:rsidRDefault="00591957" w:rsidP="00536D38">
            <w:pPr>
              <w:pStyle w:val="Tabletext"/>
              <w:keepNext/>
              <w:rPr>
                <w:lang w:eastAsia="en-AU"/>
              </w:rPr>
            </w:pPr>
            <w:r w:rsidRPr="006911FB">
              <w:rPr>
                <w:lang w:eastAsia="en-AU"/>
              </w:rPr>
              <w:t>Treatment phase:</w:t>
            </w:r>
          </w:p>
        </w:tc>
        <w:tc>
          <w:tcPr>
            <w:tcW w:w="3756" w:type="pct"/>
            <w:gridSpan w:val="6"/>
            <w:tcBorders>
              <w:top w:val="single" w:sz="4" w:space="0" w:color="auto"/>
              <w:left w:val="single" w:sz="4" w:space="0" w:color="auto"/>
              <w:bottom w:val="single" w:sz="4" w:space="0" w:color="auto"/>
              <w:right w:val="single" w:sz="4" w:space="0" w:color="auto"/>
            </w:tcBorders>
          </w:tcPr>
          <w:p w:rsidR="00542C2D" w:rsidRPr="006911FB" w:rsidRDefault="00E61099" w:rsidP="00536D38">
            <w:pPr>
              <w:pStyle w:val="Tabletext"/>
              <w:keepNext/>
              <w:rPr>
                <w:lang w:eastAsia="en-AU"/>
              </w:rPr>
            </w:pPr>
            <w:r w:rsidRPr="006911FB">
              <w:rPr>
                <w:lang w:eastAsia="en-AU"/>
              </w:rPr>
              <w:t>Initial and Maintenance: detoxification (withdrawal)</w:t>
            </w:r>
          </w:p>
        </w:tc>
      </w:tr>
      <w:tr w:rsidR="00542C2D"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hideMark/>
          </w:tcPr>
          <w:p w:rsidR="00542C2D" w:rsidRPr="006911FB" w:rsidRDefault="00542C2D" w:rsidP="00536D38">
            <w:pPr>
              <w:pStyle w:val="Tabletext"/>
              <w:keepNext/>
              <w:rPr>
                <w:lang w:eastAsia="en-AU"/>
              </w:rPr>
            </w:pPr>
            <w:r w:rsidRPr="006911FB">
              <w:rPr>
                <w:lang w:eastAsia="en-AU"/>
              </w:rPr>
              <w:t>Restriction</w:t>
            </w:r>
            <w:r w:rsidR="00C2715B" w:rsidRPr="006911FB">
              <w:rPr>
                <w:lang w:eastAsia="en-AU"/>
              </w:rPr>
              <w:t xml:space="preserve"> level/method</w:t>
            </w:r>
            <w:r w:rsidR="00591957" w:rsidRPr="006911FB">
              <w:rPr>
                <w:lang w:eastAsia="en-AU"/>
              </w:rPr>
              <w:t>:</w:t>
            </w:r>
          </w:p>
        </w:tc>
        <w:tc>
          <w:tcPr>
            <w:tcW w:w="3756" w:type="pct"/>
            <w:gridSpan w:val="6"/>
            <w:tcBorders>
              <w:top w:val="single" w:sz="4" w:space="0" w:color="auto"/>
              <w:left w:val="single" w:sz="4" w:space="0" w:color="auto"/>
              <w:bottom w:val="single" w:sz="4" w:space="0" w:color="auto"/>
              <w:right w:val="single" w:sz="4" w:space="0" w:color="auto"/>
            </w:tcBorders>
          </w:tcPr>
          <w:p w:rsidR="00542C2D" w:rsidRPr="006911FB" w:rsidRDefault="00E61099" w:rsidP="00536D38">
            <w:pPr>
              <w:pStyle w:val="Tabletext"/>
              <w:keepNext/>
              <w:rPr>
                <w:lang w:eastAsia="en-AU"/>
              </w:rPr>
            </w:pPr>
            <w:r w:rsidRPr="006911FB">
              <w:rPr>
                <w:lang w:eastAsia="en-AU"/>
              </w:rPr>
              <w:t>Restricted benefit</w:t>
            </w:r>
          </w:p>
        </w:tc>
      </w:tr>
      <w:tr w:rsidR="00E61099"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hideMark/>
          </w:tcPr>
          <w:p w:rsidR="00E61099" w:rsidRPr="006911FB" w:rsidRDefault="00E61099" w:rsidP="00536D38">
            <w:pPr>
              <w:pStyle w:val="Tabletext"/>
              <w:keepNext/>
              <w:rPr>
                <w:lang w:eastAsia="en-AU"/>
              </w:rPr>
            </w:pPr>
            <w:r w:rsidRPr="006911FB">
              <w:rPr>
                <w:lang w:eastAsia="en-AU"/>
              </w:rPr>
              <w:t>Clinical criteria:</w:t>
            </w:r>
          </w:p>
        </w:tc>
        <w:tc>
          <w:tcPr>
            <w:tcW w:w="3756" w:type="pct"/>
            <w:gridSpan w:val="6"/>
            <w:tcBorders>
              <w:top w:val="single" w:sz="4" w:space="0" w:color="auto"/>
              <w:left w:val="single" w:sz="4" w:space="0" w:color="auto"/>
              <w:bottom w:val="single" w:sz="4" w:space="0" w:color="auto"/>
              <w:right w:val="single" w:sz="4" w:space="0" w:color="auto"/>
            </w:tcBorders>
          </w:tcPr>
          <w:p w:rsidR="00E61099" w:rsidRPr="006911FB" w:rsidRDefault="00E61099" w:rsidP="00536D38">
            <w:pPr>
              <w:pStyle w:val="Tabletext"/>
              <w:keepNext/>
              <w:rPr>
                <w:lang w:eastAsia="en-AU"/>
              </w:rPr>
            </w:pPr>
            <w:r w:rsidRPr="006911FB">
              <w:t xml:space="preserve">The treatment must be within a framework of medical, social and psychological treatment. </w:t>
            </w:r>
          </w:p>
        </w:tc>
      </w:tr>
      <w:tr w:rsidR="00EE6E4A"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tcPr>
          <w:p w:rsidR="00EE6E4A" w:rsidRPr="006911FB" w:rsidRDefault="00EE6E4A" w:rsidP="00536D38">
            <w:pPr>
              <w:pStyle w:val="Tabletext"/>
              <w:keepNext/>
              <w:rPr>
                <w:lang w:eastAsia="en-AU"/>
              </w:rPr>
            </w:pPr>
            <w:r w:rsidRPr="006911FB">
              <w:t>Prescriber Instructions</w:t>
            </w:r>
          </w:p>
        </w:tc>
        <w:tc>
          <w:tcPr>
            <w:tcW w:w="3756" w:type="pct"/>
            <w:gridSpan w:val="6"/>
            <w:tcBorders>
              <w:top w:val="single" w:sz="4" w:space="0" w:color="auto"/>
              <w:left w:val="single" w:sz="4" w:space="0" w:color="auto"/>
              <w:bottom w:val="single" w:sz="4" w:space="0" w:color="auto"/>
              <w:right w:val="single" w:sz="4" w:space="0" w:color="auto"/>
            </w:tcBorders>
          </w:tcPr>
          <w:p w:rsidR="00EE6E4A" w:rsidRPr="006911FB" w:rsidRDefault="00EE6E4A" w:rsidP="00536D38">
            <w:pPr>
              <w:pStyle w:val="Tabletext"/>
              <w:keepNext/>
            </w:pPr>
            <w:r w:rsidRPr="006911FB">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EE6E4A"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tcPr>
          <w:p w:rsidR="00EE6E4A" w:rsidRPr="006911FB" w:rsidRDefault="00EE6E4A" w:rsidP="00536D38">
            <w:pPr>
              <w:pStyle w:val="Tabletext"/>
              <w:keepNext/>
              <w:rPr>
                <w:lang w:eastAsia="en-AU"/>
              </w:rPr>
            </w:pPr>
            <w:r w:rsidRPr="006911FB">
              <w:t>Administrative Advice</w:t>
            </w:r>
          </w:p>
        </w:tc>
        <w:tc>
          <w:tcPr>
            <w:tcW w:w="3756" w:type="pct"/>
            <w:gridSpan w:val="6"/>
            <w:tcBorders>
              <w:top w:val="single" w:sz="4" w:space="0" w:color="auto"/>
              <w:left w:val="single" w:sz="4" w:space="0" w:color="auto"/>
              <w:bottom w:val="single" w:sz="4" w:space="0" w:color="auto"/>
              <w:right w:val="single" w:sz="4" w:space="0" w:color="auto"/>
            </w:tcBorders>
          </w:tcPr>
          <w:p w:rsidR="00EE6E4A" w:rsidRPr="006911FB" w:rsidRDefault="00EE6E4A" w:rsidP="00536D38">
            <w:pPr>
              <w:pStyle w:val="Tabletext"/>
              <w:keepNext/>
            </w:pPr>
            <w:r w:rsidRPr="006911FB">
              <w:t xml:space="preserve">Buprenorphine with naloxone soluble film and buprenorphine with naloxone sublingual tablet do not meet all the criteria for bioequivalence. Patients being switched between soluble films and sublingual tablets may therefore require a dosage adjustment. </w:t>
            </w:r>
          </w:p>
        </w:tc>
      </w:tr>
      <w:tr w:rsidR="00EE6E4A" w:rsidRPr="006911FB" w:rsidTr="00EE6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4" w:type="pct"/>
            <w:tcBorders>
              <w:top w:val="single" w:sz="4" w:space="0" w:color="auto"/>
              <w:left w:val="single" w:sz="4" w:space="0" w:color="auto"/>
              <w:bottom w:val="single" w:sz="4" w:space="0" w:color="auto"/>
              <w:right w:val="single" w:sz="4" w:space="0" w:color="auto"/>
            </w:tcBorders>
          </w:tcPr>
          <w:p w:rsidR="00EE6E4A" w:rsidRPr="006911FB" w:rsidRDefault="00EE6E4A" w:rsidP="00536D38">
            <w:pPr>
              <w:pStyle w:val="Tabletext"/>
              <w:keepNext/>
              <w:rPr>
                <w:lang w:eastAsia="en-AU"/>
              </w:rPr>
            </w:pPr>
            <w:r w:rsidRPr="006911FB">
              <w:t>Cautions</w:t>
            </w:r>
          </w:p>
        </w:tc>
        <w:tc>
          <w:tcPr>
            <w:tcW w:w="3756" w:type="pct"/>
            <w:gridSpan w:val="6"/>
            <w:tcBorders>
              <w:top w:val="single" w:sz="4" w:space="0" w:color="auto"/>
              <w:left w:val="single" w:sz="4" w:space="0" w:color="auto"/>
              <w:bottom w:val="single" w:sz="4" w:space="0" w:color="auto"/>
              <w:right w:val="single" w:sz="4" w:space="0" w:color="auto"/>
            </w:tcBorders>
          </w:tcPr>
          <w:p w:rsidR="00EE6E4A" w:rsidRPr="006911FB" w:rsidRDefault="00EE6E4A" w:rsidP="00536D38">
            <w:pPr>
              <w:pStyle w:val="Tabletext"/>
              <w:keepNext/>
            </w:pPr>
            <w:r w:rsidRPr="006911FB">
              <w:t>Care must be taken to comply with the provisions of State/Territory law when prescribing this drug.</w:t>
            </w:r>
          </w:p>
        </w:tc>
      </w:tr>
    </w:tbl>
    <w:p w:rsidR="00E150BC" w:rsidRDefault="000C75F9" w:rsidP="00C83660">
      <w:pPr>
        <w:pStyle w:val="ListParagraph"/>
        <w:widowControl/>
        <w:numPr>
          <w:ilvl w:val="1"/>
          <w:numId w:val="1"/>
        </w:numPr>
        <w:spacing w:after="120"/>
      </w:pPr>
      <w:r w:rsidRPr="006911FB">
        <w:t xml:space="preserve">The requested restriction is consistent with that for Suboxone film, in terms of the wording of the restriction, maximum quantities and number of repeats. </w:t>
      </w:r>
      <w:r w:rsidR="00A52E06" w:rsidRPr="00E5098C">
        <w:t>The evaluation</w:t>
      </w:r>
      <w:r w:rsidR="00A52E06">
        <w:t xml:space="preserve"> </w:t>
      </w:r>
      <w:r w:rsidRPr="006911FB">
        <w:t xml:space="preserve">noted that the other </w:t>
      </w:r>
      <w:r w:rsidR="00B0256E" w:rsidRPr="006911FB">
        <w:t>SL</w:t>
      </w:r>
      <w:r w:rsidRPr="006911FB">
        <w:t xml:space="preserve"> tablet formulation (buprenorphine alone; Subutex®) is restricted to a maximum quantity of seven tablets, with zero repeats.</w:t>
      </w:r>
    </w:p>
    <w:p w:rsidR="004E43B2" w:rsidRDefault="000C75F9" w:rsidP="00C83660">
      <w:pPr>
        <w:pStyle w:val="ListParagraph"/>
        <w:widowControl/>
        <w:numPr>
          <w:ilvl w:val="1"/>
          <w:numId w:val="1"/>
        </w:numPr>
        <w:spacing w:after="120"/>
      </w:pPr>
      <w:r w:rsidRPr="006911FB">
        <w:t>The Zubsolv 1.4/0.36</w:t>
      </w:r>
      <w:r w:rsidR="00333E59">
        <w:t xml:space="preserve"> </w:t>
      </w:r>
      <w:r w:rsidRPr="006911FB">
        <w:t>mg and 5.7/1.4</w:t>
      </w:r>
      <w:r w:rsidR="00333E59">
        <w:t xml:space="preserve"> </w:t>
      </w:r>
      <w:r w:rsidRPr="006911FB">
        <w:t>m</w:t>
      </w:r>
      <w:r w:rsidR="00027EC4" w:rsidRPr="006911FB">
        <w:t>g</w:t>
      </w:r>
      <w:r w:rsidRPr="006911FB">
        <w:t xml:space="preserve"> formulations are priced </w:t>
      </w:r>
      <w:r w:rsidR="00562116">
        <w:rPr>
          <w:noProof/>
          <w:color w:val="000000"/>
          <w:highlight w:val="black"/>
        </w:rPr>
        <w:t>''''''''''''''''''''''''</w:t>
      </w:r>
      <w:r w:rsidRPr="00F132F1">
        <w:t xml:space="preserve"> to</w:t>
      </w:r>
      <w:r w:rsidRPr="006911FB">
        <w:t xml:space="preserve"> Suboxone film 2/0.5</w:t>
      </w:r>
      <w:r w:rsidR="00333E59">
        <w:t xml:space="preserve"> </w:t>
      </w:r>
      <w:r w:rsidRPr="006911FB">
        <w:t>mg and 8/2</w:t>
      </w:r>
      <w:r w:rsidR="00333E59">
        <w:t xml:space="preserve"> </w:t>
      </w:r>
      <w:r w:rsidRPr="006911FB">
        <w:t xml:space="preserve">mg presentations, respectively. </w:t>
      </w:r>
      <w:r w:rsidR="00027EC4" w:rsidRPr="006911FB">
        <w:t>Prices for t</w:t>
      </w:r>
      <w:r w:rsidRPr="006911FB">
        <w:t xml:space="preserve">he other doses are based on </w:t>
      </w:r>
      <w:r w:rsidR="00562116">
        <w:rPr>
          <w:noProof/>
          <w:color w:val="000000"/>
          <w:highlight w:val="black"/>
        </w:rPr>
        <w:t>''''''''''''''''''</w:t>
      </w:r>
      <w:r w:rsidRPr="006911FB">
        <w:t xml:space="preserve"> price per mg extrapolation</w:t>
      </w:r>
      <w:r w:rsidR="008D0493" w:rsidRPr="006911FB">
        <w:t xml:space="preserve"> </w:t>
      </w:r>
      <w:r w:rsidR="008D0493" w:rsidRPr="00536D38">
        <w:t>(</w:t>
      </w:r>
      <w:r w:rsidR="004B70E8" w:rsidRPr="00536D38">
        <w:t>see paragraph 6.3</w:t>
      </w:r>
      <w:r w:rsidR="00821483">
        <w:t>7</w:t>
      </w:r>
      <w:r w:rsidR="008D0493" w:rsidRPr="00536D38">
        <w:t>)</w:t>
      </w:r>
      <w:r w:rsidRPr="00536D38">
        <w:t>.</w:t>
      </w:r>
    </w:p>
    <w:p w:rsidR="000312BF" w:rsidRPr="006911FB" w:rsidRDefault="000312BF" w:rsidP="00C83660">
      <w:pPr>
        <w:widowControl/>
        <w:spacing w:after="120"/>
        <w:ind w:left="709"/>
        <w:contextualSpacing/>
      </w:pPr>
      <w:r w:rsidRPr="000312BF">
        <w:rPr>
          <w:rFonts w:asciiTheme="minorHAnsi" w:hAnsiTheme="minorHAnsi" w:cs="Times New Roman"/>
          <w:i/>
          <w:snapToGrid/>
          <w:szCs w:val="24"/>
          <w:lang w:eastAsia="en-AU"/>
        </w:rPr>
        <w:t>For more detail on PBAC’s view, see section 7 PBAC outcome</w:t>
      </w:r>
      <w:r w:rsidR="00C83660">
        <w:rPr>
          <w:rFonts w:asciiTheme="minorHAnsi" w:hAnsiTheme="minorHAnsi" w:cs="Times New Roman"/>
          <w:i/>
          <w:snapToGrid/>
          <w:szCs w:val="24"/>
          <w:lang w:eastAsia="en-AU"/>
        </w:rPr>
        <w:t>.</w:t>
      </w:r>
    </w:p>
    <w:p w:rsidR="00B50DB8" w:rsidRPr="002E2082" w:rsidRDefault="00B50DB8" w:rsidP="00C83660">
      <w:pPr>
        <w:pStyle w:val="PBACHeading1"/>
        <w:spacing w:before="0"/>
      </w:pPr>
      <w:bookmarkStart w:id="3" w:name="_Toc17412652"/>
      <w:r w:rsidRPr="00F61954">
        <w:lastRenderedPageBreak/>
        <w:t>Background</w:t>
      </w:r>
      <w:bookmarkEnd w:id="3"/>
    </w:p>
    <w:p w:rsidR="00B60939" w:rsidRPr="002E2082" w:rsidRDefault="00591957" w:rsidP="00C83660">
      <w:pPr>
        <w:pStyle w:val="Heading2"/>
        <w:widowControl/>
      </w:pPr>
      <w:r w:rsidRPr="002E2082">
        <w:t>Registration status</w:t>
      </w:r>
    </w:p>
    <w:p w:rsidR="00B60939" w:rsidRDefault="00022D6B" w:rsidP="00C83660">
      <w:pPr>
        <w:pStyle w:val="ListParagraph"/>
        <w:keepLines/>
        <w:widowControl/>
        <w:numPr>
          <w:ilvl w:val="1"/>
          <w:numId w:val="1"/>
        </w:numPr>
        <w:spacing w:after="120"/>
      </w:pPr>
      <w:r w:rsidRPr="006911FB">
        <w:t xml:space="preserve">Zubsolv </w:t>
      </w:r>
      <w:r w:rsidR="00F50550" w:rsidRPr="006911FB">
        <w:t>was</w:t>
      </w:r>
      <w:r w:rsidRPr="006911FB">
        <w:t xml:space="preserve"> TGA </w:t>
      </w:r>
      <w:r w:rsidR="00F50550" w:rsidRPr="006911FB">
        <w:t xml:space="preserve">registered on </w:t>
      </w:r>
      <w:r w:rsidR="0060328D" w:rsidRPr="006911FB">
        <w:t>26 March 2019</w:t>
      </w:r>
      <w:r w:rsidR="00F50550" w:rsidRPr="006911FB">
        <w:t xml:space="preserve"> </w:t>
      </w:r>
      <w:r w:rsidRPr="006911FB">
        <w:t xml:space="preserve">for the treatment of opioid dependence, within a framework of medical, social and psychological treatment. </w:t>
      </w:r>
    </w:p>
    <w:p w:rsidR="00B55EE6" w:rsidRDefault="00B55EE6" w:rsidP="00C83660">
      <w:pPr>
        <w:pStyle w:val="Heading2"/>
        <w:widowControl/>
      </w:pPr>
      <w:r>
        <w:t>Previous PBAC considerations</w:t>
      </w:r>
    </w:p>
    <w:p w:rsidR="00B55EE6" w:rsidRPr="00E5098C" w:rsidRDefault="00B55EE6" w:rsidP="00C83660">
      <w:pPr>
        <w:pStyle w:val="ListParagraph"/>
        <w:keepLines/>
        <w:widowControl/>
        <w:numPr>
          <w:ilvl w:val="1"/>
          <w:numId w:val="1"/>
        </w:numPr>
        <w:spacing w:after="120"/>
      </w:pPr>
      <w:r w:rsidRPr="00E5098C">
        <w:t xml:space="preserve">In November 2005, the PBAC recommended Suboxone </w:t>
      </w:r>
      <w:r w:rsidR="0082056F" w:rsidRPr="00E5098C">
        <w:t>tablets</w:t>
      </w:r>
      <w:r w:rsidR="00E51436" w:rsidRPr="00E5098C">
        <w:t xml:space="preserve"> (2/0.5</w:t>
      </w:r>
      <w:r w:rsidR="00333E59">
        <w:t xml:space="preserve"> </w:t>
      </w:r>
      <w:r w:rsidR="00E51436" w:rsidRPr="00E5098C">
        <w:t>mg and 8/2</w:t>
      </w:r>
      <w:r w:rsidR="00333E59">
        <w:t xml:space="preserve"> </w:t>
      </w:r>
      <w:r w:rsidR="00E51436" w:rsidRPr="00E5098C">
        <w:t>mg)</w:t>
      </w:r>
      <w:r w:rsidRPr="00E5098C">
        <w:t xml:space="preserve"> on a cost-minimisation basis to buprenorphine, with the equi-effective doses being determined on a milligram for milligram basis (Suboxone</w:t>
      </w:r>
      <w:r w:rsidR="00D51F7F">
        <w:t xml:space="preserve"> Public Summary Document</w:t>
      </w:r>
      <w:r w:rsidRPr="00E5098C">
        <w:t xml:space="preserve"> </w:t>
      </w:r>
      <w:r w:rsidR="00D51F7F">
        <w:t>(</w:t>
      </w:r>
      <w:r w:rsidRPr="00E5098C">
        <w:t>PSD</w:t>
      </w:r>
      <w:r w:rsidR="00D51F7F">
        <w:t>)</w:t>
      </w:r>
      <w:r w:rsidRPr="00E5098C">
        <w:t>, November 2005).</w:t>
      </w:r>
      <w:r w:rsidR="0082056F" w:rsidRPr="00E5098C">
        <w:t xml:space="preserve"> </w:t>
      </w:r>
    </w:p>
    <w:p w:rsidR="0082056F" w:rsidRPr="00E5098C" w:rsidRDefault="0082056F" w:rsidP="00C83660">
      <w:pPr>
        <w:pStyle w:val="ListParagraph"/>
        <w:keepLines/>
        <w:widowControl/>
        <w:numPr>
          <w:ilvl w:val="1"/>
          <w:numId w:val="1"/>
        </w:numPr>
        <w:spacing w:after="120"/>
      </w:pPr>
      <w:r w:rsidRPr="00E5098C">
        <w:t>In March 2011, the PBAC recommended</w:t>
      </w:r>
      <w:r w:rsidR="00C20EA4" w:rsidRPr="00E5098C">
        <w:t xml:space="preserve"> Suboxone film (2/0.5</w:t>
      </w:r>
      <w:r w:rsidR="00333E59">
        <w:t xml:space="preserve"> </w:t>
      </w:r>
      <w:r w:rsidR="00C20EA4" w:rsidRPr="00E5098C">
        <w:t>mg and 8/2</w:t>
      </w:r>
      <w:r w:rsidR="00333E59">
        <w:t xml:space="preserve"> </w:t>
      </w:r>
      <w:r w:rsidR="00C20EA4" w:rsidRPr="00E5098C">
        <w:t xml:space="preserve">mg) on a cost minimisation basis to Suboxone tablets (March 2011 PBAC outcomes, positive recommendations). Suboxone tablets were subsequently delisted </w:t>
      </w:r>
      <w:r w:rsidR="00BD1211">
        <w:t>from the PBS</w:t>
      </w:r>
      <w:r w:rsidR="00C20EA4" w:rsidRPr="00E5098C">
        <w:t>.</w:t>
      </w:r>
    </w:p>
    <w:p w:rsidR="00FD2525" w:rsidRDefault="00E51436" w:rsidP="00C83660">
      <w:pPr>
        <w:pStyle w:val="ListParagraph"/>
        <w:keepLines/>
        <w:widowControl/>
        <w:numPr>
          <w:ilvl w:val="1"/>
          <w:numId w:val="1"/>
        </w:numPr>
        <w:spacing w:after="120"/>
      </w:pPr>
      <w:r w:rsidRPr="00E5098C">
        <w:t xml:space="preserve">In November 2014, the PBAC recommended </w:t>
      </w:r>
      <w:r w:rsidR="00C20EA4" w:rsidRPr="00E5098C">
        <w:t xml:space="preserve">two </w:t>
      </w:r>
      <w:r w:rsidRPr="00E5098C">
        <w:t>additional strengths of Suboxone film (4/1</w:t>
      </w:r>
      <w:r w:rsidR="00333E59">
        <w:t xml:space="preserve"> </w:t>
      </w:r>
      <w:r w:rsidRPr="00E5098C">
        <w:t>mg and 12/3</w:t>
      </w:r>
      <w:r w:rsidR="00333E59">
        <w:t xml:space="preserve"> </w:t>
      </w:r>
      <w:r w:rsidRPr="00E5098C">
        <w:t>mg)</w:t>
      </w:r>
      <w:r w:rsidR="00B43D48" w:rsidRPr="00E5098C">
        <w:t xml:space="preserve"> </w:t>
      </w:r>
      <w:r w:rsidRPr="00E5098C">
        <w:t>(Suboxone PSD, November 2018)</w:t>
      </w:r>
      <w:r w:rsidR="00B43D48" w:rsidRPr="00E5098C">
        <w:t>,</w:t>
      </w:r>
      <w:r w:rsidR="00DB4AF9" w:rsidRPr="00E5098C">
        <w:t xml:space="preserve"> at a price per milligram to be linearly extrapolated from the prices of the currently listed strengths.</w:t>
      </w:r>
      <w:r w:rsidRPr="00E5098C">
        <w:t xml:space="preserve"> </w:t>
      </w:r>
      <w:r w:rsidR="00DB4AF9" w:rsidRPr="00E5098C">
        <w:t xml:space="preserve">The PBAC considered there would be a moderate benefit associated with listing additional strengths including a reduced number of films required to be administered to patients, in turn potentially decreasing the risk of diversion, improving pharmacy administration time, and allowing flexibility of dose titration, addressing potential quality use of medicines issues relevant to this product. </w:t>
      </w:r>
      <w:r w:rsidR="00DF428B">
        <w:t>At the time of PBAC consideration of Zubsolv, t</w:t>
      </w:r>
      <w:r w:rsidR="00DB4AF9" w:rsidRPr="00E5098C">
        <w:t>he additional strengths of Suboxone film ha</w:t>
      </w:r>
      <w:r w:rsidR="00DF428B">
        <w:t>d</w:t>
      </w:r>
      <w:r w:rsidR="00DB4AF9" w:rsidRPr="00E5098C">
        <w:t xml:space="preserve"> not been listed on the PBS.</w:t>
      </w:r>
      <w:r w:rsidR="0068725F">
        <w:t xml:space="preserve"> </w:t>
      </w:r>
    </w:p>
    <w:p w:rsidR="0012486B" w:rsidRDefault="00850D4C" w:rsidP="00C83660">
      <w:pPr>
        <w:pStyle w:val="ListParagraph"/>
        <w:keepLines/>
        <w:widowControl/>
        <w:numPr>
          <w:ilvl w:val="1"/>
          <w:numId w:val="1"/>
        </w:numPr>
        <w:spacing w:after="120"/>
      </w:pPr>
      <w:r w:rsidRPr="00E5098C">
        <w:t>In March 2019,</w:t>
      </w:r>
      <w:r w:rsidR="00D80304" w:rsidRPr="00E5098C">
        <w:t xml:space="preserve"> the PBAC considered two submissions for </w:t>
      </w:r>
      <w:r w:rsidR="001E2464" w:rsidRPr="00E5098C">
        <w:t xml:space="preserve">buprenorphine modified </w:t>
      </w:r>
      <w:r w:rsidRPr="00E5098C">
        <w:t>release injection (Buvidal</w:t>
      </w:r>
      <w:r w:rsidR="003D7831" w:rsidRPr="00E5098C">
        <w:t>®</w:t>
      </w:r>
      <w:r w:rsidR="00D80304" w:rsidRPr="00E5098C">
        <w:t xml:space="preserve"> and Sublocade®</w:t>
      </w:r>
      <w:r w:rsidR="0012486B" w:rsidRPr="00E5098C">
        <w:t>)</w:t>
      </w:r>
      <w:r w:rsidR="00D80304" w:rsidRPr="00E5098C">
        <w:t>. The PBAC recommended Buvidal</w:t>
      </w:r>
      <w:r w:rsidRPr="00E5098C">
        <w:t xml:space="preserve"> on a cost-minimisation to Suboxone film</w:t>
      </w:r>
      <w:r w:rsidR="00D80304" w:rsidRPr="00E5098C">
        <w:t xml:space="preserve"> with a price premium</w:t>
      </w:r>
      <w:r w:rsidR="00E51436" w:rsidRPr="00E5098C">
        <w:t xml:space="preserve"> (Buvidal PSD, March 2018)</w:t>
      </w:r>
      <w:r w:rsidR="00D80304" w:rsidRPr="00E5098C">
        <w:t xml:space="preserve"> and deferred its decision on whether to recommend Sublocade, pending provision of a positive TGA Delegate’s overview</w:t>
      </w:r>
      <w:r w:rsidR="00EA03CF" w:rsidRPr="00E5098C">
        <w:t>.</w:t>
      </w:r>
      <w:r w:rsidR="007518C1" w:rsidRPr="00E5098C">
        <w:t xml:space="preserve"> Buvidal was listed on the PBS on 1 </w:t>
      </w:r>
      <w:r w:rsidR="008C6E39">
        <w:t xml:space="preserve">September </w:t>
      </w:r>
      <w:r w:rsidR="007518C1" w:rsidRPr="00E5098C">
        <w:t>2019.</w:t>
      </w:r>
    </w:p>
    <w:p w:rsidR="000312BF" w:rsidRPr="000312BF" w:rsidRDefault="000312BF" w:rsidP="00C83660">
      <w:pPr>
        <w:widowControl/>
        <w:spacing w:after="120"/>
        <w:ind w:left="709"/>
        <w:contextualSpacing/>
        <w:rPr>
          <w:rFonts w:asciiTheme="minorHAnsi" w:hAnsiTheme="minorHAnsi" w:cs="Times New Roman"/>
          <w:i/>
          <w:snapToGrid/>
          <w:szCs w:val="24"/>
          <w:lang w:eastAsia="en-AU"/>
        </w:rPr>
      </w:pPr>
      <w:r w:rsidRPr="000312BF">
        <w:rPr>
          <w:rFonts w:asciiTheme="minorHAnsi" w:hAnsiTheme="minorHAnsi" w:cs="Times New Roman"/>
          <w:i/>
          <w:snapToGrid/>
          <w:szCs w:val="24"/>
          <w:lang w:eastAsia="en-AU"/>
        </w:rPr>
        <w:t>For more detail on PBAC’s view, see section 7 PBAC outcome.</w:t>
      </w:r>
    </w:p>
    <w:p w:rsidR="00B50DB8" w:rsidRPr="002E2082" w:rsidRDefault="00203181" w:rsidP="00C83660">
      <w:pPr>
        <w:pStyle w:val="PBACHeading1"/>
        <w:spacing w:before="0"/>
      </w:pPr>
      <w:bookmarkStart w:id="4" w:name="_Toc17412653"/>
      <w:r w:rsidRPr="00F61954">
        <w:t xml:space="preserve">Population and </w:t>
      </w:r>
      <w:r w:rsidR="008E0D3C" w:rsidRPr="00F61954">
        <w:t>d</w:t>
      </w:r>
      <w:r w:rsidRPr="00F61954">
        <w:t>isease</w:t>
      </w:r>
      <w:bookmarkEnd w:id="4"/>
    </w:p>
    <w:p w:rsidR="00D302C5" w:rsidRPr="006911FB" w:rsidRDefault="00D302C5" w:rsidP="00C83660">
      <w:pPr>
        <w:pStyle w:val="ListParagraph"/>
        <w:widowControl/>
        <w:numPr>
          <w:ilvl w:val="1"/>
          <w:numId w:val="1"/>
        </w:numPr>
        <w:spacing w:after="120"/>
      </w:pPr>
      <w:r w:rsidRPr="006911FB">
        <w:t xml:space="preserve">Opioid substitution therapy </w:t>
      </w:r>
      <w:r w:rsidR="00021AF9" w:rsidRPr="006911FB">
        <w:t xml:space="preserve">(OST) </w:t>
      </w:r>
      <w:r w:rsidRPr="006911FB">
        <w:t xml:space="preserve">is an approach that assists opioid users to reduce their illicit use of opioids and to thereby improve their health and social wellbeing. The submission highlighted the importance of maintenance of treatment, </w:t>
      </w:r>
      <w:r w:rsidR="004E6082" w:rsidRPr="006911FB">
        <w:t xml:space="preserve">claiming </w:t>
      </w:r>
      <w:r w:rsidRPr="006911FB">
        <w:t>that illicit opioid use may resume once treatment ceases. Based on an Illicit Drug Reporting System Survey (2017), the submission stated that 38% of persons who regularly inject drugs illicitly had participated in an OST</w:t>
      </w:r>
      <w:r w:rsidR="002854D5" w:rsidRPr="006911FB">
        <w:t xml:space="preserve"> program</w:t>
      </w:r>
      <w:r w:rsidRPr="006911FB">
        <w:t>, with 39% of participants in current treatment reporting that they had been in treatment for 12 months or less.</w:t>
      </w:r>
    </w:p>
    <w:p w:rsidR="000312BF" w:rsidRDefault="00D302C5" w:rsidP="00C83660">
      <w:pPr>
        <w:pStyle w:val="ListParagraph"/>
        <w:widowControl/>
        <w:numPr>
          <w:ilvl w:val="1"/>
          <w:numId w:val="1"/>
        </w:numPr>
        <w:spacing w:after="120"/>
      </w:pPr>
      <w:r w:rsidRPr="006911FB">
        <w:lastRenderedPageBreak/>
        <w:t xml:space="preserve">Zubsolv is proposed as an alternative to </w:t>
      </w:r>
      <w:r w:rsidR="004E6082" w:rsidRPr="006911FB">
        <w:t>Suboxone</w:t>
      </w:r>
      <w:r w:rsidRPr="006911FB">
        <w:t xml:space="preserve"> </w:t>
      </w:r>
      <w:r w:rsidR="00CC78F7" w:rsidRPr="006911FB">
        <w:t xml:space="preserve">film </w:t>
      </w:r>
      <w:r w:rsidRPr="006911FB">
        <w:t xml:space="preserve">for patients dependent on opioids, as a long-term approach to opioid dependence together with regular clinical reviews and monitoring as well as psychosocial interventions. </w:t>
      </w:r>
      <w:r w:rsidR="000D3790" w:rsidRPr="006911FB">
        <w:t>The recent consideration of</w:t>
      </w:r>
      <w:r w:rsidR="001E2464">
        <w:t xml:space="preserve"> buprenorphine</w:t>
      </w:r>
      <w:r w:rsidR="00DD0117">
        <w:t xml:space="preserve"> </w:t>
      </w:r>
      <w:r w:rsidR="001E2464">
        <w:t>modified</w:t>
      </w:r>
      <w:r w:rsidR="00A86481">
        <w:t xml:space="preserve"> release</w:t>
      </w:r>
      <w:r w:rsidR="001E2464">
        <w:t xml:space="preserve"> injection</w:t>
      </w:r>
      <w:r w:rsidR="00DD0117">
        <w:t xml:space="preserve"> (</w:t>
      </w:r>
      <w:r w:rsidR="000D3790" w:rsidRPr="006911FB">
        <w:t>Sublocade</w:t>
      </w:r>
      <w:r w:rsidR="00DD0117">
        <w:t>)</w:t>
      </w:r>
      <w:r w:rsidR="000D3790" w:rsidRPr="006911FB">
        <w:t xml:space="preserve"> at the March 2019 PBAC meeting indicated that </w:t>
      </w:r>
      <w:r w:rsidR="00E66932">
        <w:t>‘</w:t>
      </w:r>
      <w:r w:rsidR="000D3790" w:rsidRPr="006911FB">
        <w:t xml:space="preserve">… it was most likely that in Australian clinical practice, patients would be stabilised on daily BUP/NAL SL </w:t>
      </w:r>
      <w:r w:rsidR="00722031" w:rsidRPr="006911FB">
        <w:t xml:space="preserve">[Suboxone] </w:t>
      </w:r>
      <w:r w:rsidR="000D3790" w:rsidRPr="006911FB">
        <w:t>film and be responding well to treatment, including being authorised for multiple takeaway doses. It was likely at that point, patients might be considered to be good candidates for transitioning to a</w:t>
      </w:r>
      <w:r w:rsidR="001E2464">
        <w:t xml:space="preserve"> modified</w:t>
      </w:r>
      <w:r w:rsidR="000D3790" w:rsidRPr="006911FB">
        <w:t xml:space="preserve"> </w:t>
      </w:r>
      <w:r w:rsidR="00A86481">
        <w:t xml:space="preserve">release </w:t>
      </w:r>
      <w:r w:rsidR="000D3790" w:rsidRPr="006911FB">
        <w:t>injectable formulation. As such</w:t>
      </w:r>
      <w:r w:rsidR="004C7CB0">
        <w:t xml:space="preserve"> </w:t>
      </w:r>
      <w:r w:rsidR="000D3790" w:rsidRPr="006911FB">
        <w:t>Sublocade would be used later in the treatment algorithm</w:t>
      </w:r>
      <w:r w:rsidR="00E66932">
        <w:t>’</w:t>
      </w:r>
      <w:r w:rsidR="000D3790" w:rsidRPr="006911FB">
        <w:t xml:space="preserve"> (Sublocade PSD, March 2019, para 4.4). </w:t>
      </w:r>
      <w:r w:rsidR="00707028">
        <w:t xml:space="preserve">The evaluation </w:t>
      </w:r>
      <w:r w:rsidR="000D3790" w:rsidRPr="006911FB">
        <w:t xml:space="preserve">expected that patients stabilised on daily Zubsolv doses, responding well and authorised for takeaway doses </w:t>
      </w:r>
      <w:r w:rsidR="00707028">
        <w:t>may</w:t>
      </w:r>
      <w:r w:rsidR="00707028" w:rsidRPr="006911FB">
        <w:t xml:space="preserve"> </w:t>
      </w:r>
      <w:r w:rsidR="000D3790" w:rsidRPr="006911FB">
        <w:t xml:space="preserve">also be considered good candidates </w:t>
      </w:r>
      <w:r w:rsidR="00707028">
        <w:t xml:space="preserve">to transition to </w:t>
      </w:r>
      <w:r w:rsidR="001E2464" w:rsidRPr="00E5098C">
        <w:t xml:space="preserve">buprenorphine modified </w:t>
      </w:r>
      <w:r w:rsidR="00A86481" w:rsidRPr="00E5098C">
        <w:t>release</w:t>
      </w:r>
      <w:r w:rsidR="001E2464" w:rsidRPr="00E5098C">
        <w:t xml:space="preserve"> injection</w:t>
      </w:r>
      <w:r w:rsidR="000D3790" w:rsidRPr="006911FB">
        <w:t>.</w:t>
      </w:r>
      <w:r w:rsidR="000312BF">
        <w:t xml:space="preserve"> </w:t>
      </w:r>
    </w:p>
    <w:p w:rsidR="002C2775" w:rsidRDefault="000312BF" w:rsidP="00C83660">
      <w:pPr>
        <w:widowControl/>
        <w:spacing w:after="120"/>
        <w:ind w:left="709"/>
        <w:contextualSpacing/>
      </w:pPr>
      <w:r w:rsidRPr="000312BF">
        <w:rPr>
          <w:rFonts w:asciiTheme="minorHAnsi" w:hAnsiTheme="minorHAnsi" w:cs="Times New Roman"/>
          <w:i/>
          <w:snapToGrid/>
          <w:szCs w:val="24"/>
          <w:lang w:eastAsia="en-AU"/>
        </w:rPr>
        <w:t>For more detail on PBAC’s view, see section 7 PBAC outcome.</w:t>
      </w:r>
    </w:p>
    <w:p w:rsidR="00B50DB8" w:rsidRPr="002E2082" w:rsidRDefault="00B50DB8" w:rsidP="00C83660">
      <w:pPr>
        <w:pStyle w:val="PBACHeading1"/>
        <w:spacing w:before="0"/>
      </w:pPr>
      <w:bookmarkStart w:id="5" w:name="_Toc17412654"/>
      <w:r w:rsidRPr="00F61954">
        <w:t>Comparator</w:t>
      </w:r>
      <w:bookmarkEnd w:id="5"/>
    </w:p>
    <w:p w:rsidR="00651AC7" w:rsidRPr="006911FB" w:rsidRDefault="00651AC7" w:rsidP="00C83660">
      <w:pPr>
        <w:pStyle w:val="ListParagraph"/>
        <w:widowControl/>
        <w:numPr>
          <w:ilvl w:val="1"/>
          <w:numId w:val="1"/>
        </w:numPr>
        <w:spacing w:after="120"/>
        <w:rPr>
          <w:rFonts w:cs="Calibri"/>
          <w:snapToGrid/>
          <w:szCs w:val="24"/>
          <w:lang w:val="en-US" w:eastAsia="en-AU"/>
        </w:rPr>
      </w:pPr>
      <w:r w:rsidRPr="006911FB">
        <w:rPr>
          <w:rFonts w:cs="Calibri"/>
          <w:snapToGrid/>
          <w:szCs w:val="24"/>
          <w:lang w:val="en-US" w:eastAsia="en-AU"/>
        </w:rPr>
        <w:t>The submission nominated Suboxone film as the main comparator</w:t>
      </w:r>
      <w:r w:rsidR="00604410">
        <w:rPr>
          <w:rFonts w:cs="Calibri"/>
          <w:snapToGrid/>
          <w:szCs w:val="24"/>
          <w:lang w:val="en-US" w:eastAsia="en-AU"/>
        </w:rPr>
        <w:t xml:space="preserve"> based on: it</w:t>
      </w:r>
      <w:r w:rsidRPr="006911FB">
        <w:rPr>
          <w:rFonts w:cs="Calibri"/>
          <w:snapToGrid/>
          <w:szCs w:val="24"/>
          <w:lang w:val="en-US" w:eastAsia="en-AU"/>
        </w:rPr>
        <w:t xml:space="preserve"> is the OST that is most likely to be replaced in clinical practice</w:t>
      </w:r>
      <w:r w:rsidR="00604410">
        <w:rPr>
          <w:rFonts w:cs="Calibri"/>
          <w:snapToGrid/>
          <w:szCs w:val="24"/>
          <w:lang w:val="en-US" w:eastAsia="en-AU"/>
        </w:rPr>
        <w:t>;</w:t>
      </w:r>
      <w:r w:rsidRPr="006911FB">
        <w:rPr>
          <w:rFonts w:cs="Calibri"/>
          <w:snapToGrid/>
          <w:szCs w:val="24"/>
          <w:lang w:val="en-US" w:eastAsia="en-AU"/>
        </w:rPr>
        <w:t xml:space="preserve"> it contains the same active drugs as Zubsolv</w:t>
      </w:r>
      <w:r w:rsidR="00604410">
        <w:rPr>
          <w:rFonts w:cs="Calibri"/>
          <w:snapToGrid/>
          <w:szCs w:val="24"/>
          <w:lang w:val="en-US" w:eastAsia="en-AU"/>
        </w:rPr>
        <w:t>;</w:t>
      </w:r>
      <w:r w:rsidRPr="006911FB">
        <w:rPr>
          <w:rFonts w:cs="Calibri"/>
          <w:snapToGrid/>
          <w:szCs w:val="24"/>
          <w:lang w:val="en-US" w:eastAsia="en-AU"/>
        </w:rPr>
        <w:t xml:space="preserve"> and the PBS indication is identical to that requested for Zubsolv. Further, both Zubsolv and Suboxone film can be administered as take-away doses. </w:t>
      </w:r>
      <w:r w:rsidR="00604410">
        <w:rPr>
          <w:rFonts w:cs="Calibri"/>
          <w:snapToGrid/>
          <w:szCs w:val="24"/>
          <w:lang w:val="en-US" w:eastAsia="en-AU"/>
        </w:rPr>
        <w:t xml:space="preserve">This was considered </w:t>
      </w:r>
      <w:r w:rsidRPr="006911FB">
        <w:rPr>
          <w:rFonts w:cs="Calibri"/>
          <w:snapToGrid/>
          <w:szCs w:val="24"/>
          <w:lang w:val="en-US" w:eastAsia="en-AU"/>
        </w:rPr>
        <w:t>reasonable</w:t>
      </w:r>
      <w:r w:rsidR="00604410">
        <w:rPr>
          <w:rFonts w:cs="Calibri"/>
          <w:snapToGrid/>
          <w:szCs w:val="24"/>
          <w:lang w:val="en-US" w:eastAsia="en-AU"/>
        </w:rPr>
        <w:t>,</w:t>
      </w:r>
      <w:r w:rsidRPr="006911FB">
        <w:rPr>
          <w:rFonts w:cs="Calibri"/>
          <w:snapToGrid/>
          <w:szCs w:val="24"/>
          <w:lang w:val="en-US" w:eastAsia="en-AU"/>
        </w:rPr>
        <w:t xml:space="preserve"> the </w:t>
      </w:r>
      <w:r w:rsidR="007D08B2">
        <w:rPr>
          <w:rFonts w:cs="Calibri"/>
          <w:snapToGrid/>
          <w:szCs w:val="24"/>
          <w:lang w:val="en-US" w:eastAsia="en-AU"/>
        </w:rPr>
        <w:t xml:space="preserve">main </w:t>
      </w:r>
      <w:r w:rsidRPr="006911FB">
        <w:rPr>
          <w:rFonts w:cs="Calibri"/>
          <w:snapToGrid/>
          <w:szCs w:val="24"/>
          <w:lang w:val="en-US" w:eastAsia="en-AU"/>
        </w:rPr>
        <w:t>comparator was appropriate, and was consistent with the accepted comparators for</w:t>
      </w:r>
      <w:r w:rsidR="001E2464">
        <w:rPr>
          <w:rFonts w:cs="Calibri"/>
          <w:snapToGrid/>
          <w:szCs w:val="24"/>
          <w:lang w:val="en-US" w:eastAsia="en-AU"/>
        </w:rPr>
        <w:t xml:space="preserve"> buprenorphine</w:t>
      </w:r>
      <w:r w:rsidRPr="006911FB">
        <w:rPr>
          <w:rFonts w:cs="Calibri"/>
          <w:snapToGrid/>
          <w:szCs w:val="24"/>
          <w:lang w:val="en-US" w:eastAsia="en-AU"/>
        </w:rPr>
        <w:t xml:space="preserve"> </w:t>
      </w:r>
      <w:r w:rsidR="00D45B34">
        <w:rPr>
          <w:rFonts w:cs="Calibri"/>
          <w:snapToGrid/>
          <w:szCs w:val="24"/>
          <w:lang w:val="en-US" w:eastAsia="en-AU"/>
        </w:rPr>
        <w:t>modified</w:t>
      </w:r>
      <w:r w:rsidR="00A86481" w:rsidRPr="006911FB">
        <w:rPr>
          <w:rFonts w:cs="Calibri"/>
          <w:snapToGrid/>
          <w:szCs w:val="24"/>
          <w:lang w:val="en-US" w:eastAsia="en-AU"/>
        </w:rPr>
        <w:t xml:space="preserve"> </w:t>
      </w:r>
      <w:r w:rsidRPr="006911FB">
        <w:rPr>
          <w:rFonts w:cs="Calibri"/>
          <w:snapToGrid/>
          <w:szCs w:val="24"/>
          <w:lang w:val="en-US" w:eastAsia="en-AU"/>
        </w:rPr>
        <w:t xml:space="preserve">release </w:t>
      </w:r>
      <w:r w:rsidR="00044F56">
        <w:rPr>
          <w:rFonts w:cs="Calibri"/>
          <w:snapToGrid/>
          <w:szCs w:val="24"/>
          <w:lang w:val="en-US" w:eastAsia="en-AU"/>
        </w:rPr>
        <w:t>injection</w:t>
      </w:r>
      <w:r w:rsidRPr="006911FB">
        <w:rPr>
          <w:rFonts w:cs="Calibri"/>
          <w:snapToGrid/>
          <w:szCs w:val="24"/>
          <w:lang w:val="en-US" w:eastAsia="en-AU"/>
        </w:rPr>
        <w:t xml:space="preserve"> (Buvidal; para 5.4 November 2018 PSD and Sublocade, para 5.2 March 2019 PSD). However, other PBS-listed therapies (methadone and buprenorphine tablets (Subutex</w:t>
      </w:r>
      <w:r w:rsidR="00DA20ED" w:rsidRPr="006911FB">
        <w:rPr>
          <w:rFonts w:cs="Calibri"/>
          <w:snapToGrid/>
          <w:szCs w:val="24"/>
          <w:lang w:val="en-US" w:eastAsia="en-AU"/>
        </w:rPr>
        <w:t>)</w:t>
      </w:r>
      <w:r w:rsidRPr="006911FB">
        <w:rPr>
          <w:rFonts w:cs="Calibri"/>
          <w:snapToGrid/>
          <w:szCs w:val="24"/>
          <w:lang w:val="en-US" w:eastAsia="en-AU"/>
        </w:rPr>
        <w:t xml:space="preserve">) also represent treatment alternatives. </w:t>
      </w:r>
    </w:p>
    <w:p w:rsidR="008675E1" w:rsidRPr="009C04A3" w:rsidRDefault="00651AC7" w:rsidP="00C83660">
      <w:pPr>
        <w:pStyle w:val="ListParagraph"/>
        <w:widowControl/>
        <w:numPr>
          <w:ilvl w:val="1"/>
          <w:numId w:val="1"/>
        </w:numPr>
        <w:spacing w:after="120"/>
      </w:pPr>
      <w:r w:rsidRPr="006911FB">
        <w:rPr>
          <w:rFonts w:cs="Calibri"/>
          <w:snapToGrid/>
          <w:szCs w:val="24"/>
          <w:lang w:val="en-US" w:eastAsia="en-AU"/>
        </w:rPr>
        <w:t xml:space="preserve">For the requested population, the alternative therapies listed on the PBS (methadone, buprenorphine, and </w:t>
      </w:r>
      <w:r w:rsidR="00A15990">
        <w:rPr>
          <w:rFonts w:cs="Calibri"/>
          <w:snapToGrid/>
          <w:szCs w:val="24"/>
          <w:lang w:val="en-US" w:eastAsia="en-AU"/>
        </w:rPr>
        <w:t>the individual components (</w:t>
      </w:r>
      <w:r w:rsidRPr="006911FB">
        <w:rPr>
          <w:rFonts w:cs="Calibri"/>
          <w:snapToGrid/>
          <w:szCs w:val="24"/>
          <w:lang w:val="en-US" w:eastAsia="en-AU"/>
        </w:rPr>
        <w:t xml:space="preserve">buprenorphine </w:t>
      </w:r>
      <w:r w:rsidR="00A15990">
        <w:rPr>
          <w:rFonts w:cs="Calibri"/>
          <w:snapToGrid/>
          <w:szCs w:val="24"/>
          <w:lang w:val="en-US" w:eastAsia="en-AU"/>
        </w:rPr>
        <w:t>and</w:t>
      </w:r>
      <w:r w:rsidRPr="006911FB">
        <w:rPr>
          <w:rFonts w:cs="Calibri"/>
          <w:snapToGrid/>
          <w:szCs w:val="24"/>
          <w:lang w:val="en-US" w:eastAsia="en-AU"/>
        </w:rPr>
        <w:t xml:space="preserve"> naloxone)</w:t>
      </w:r>
      <w:r w:rsidR="00A15990">
        <w:rPr>
          <w:rFonts w:cs="Calibri"/>
          <w:snapToGrid/>
          <w:szCs w:val="24"/>
          <w:lang w:val="en-US" w:eastAsia="en-AU"/>
        </w:rPr>
        <w:t>)</w:t>
      </w:r>
      <w:r w:rsidRPr="006911FB">
        <w:rPr>
          <w:rFonts w:cs="Calibri"/>
          <w:snapToGrid/>
          <w:szCs w:val="24"/>
          <w:lang w:val="en-US" w:eastAsia="en-AU"/>
        </w:rPr>
        <w:t xml:space="preserve"> are less costly than the requested price for Zubsolv. If treatment with Zubsolv is substantially more costly than an alternative therapy or alternative therapies, the PBAC could only recommend listing of Zubsolv if it is satisfied that Zubsolv provides, for some patients, a significant improvement in efficacy or reduction of toxicity over the alternative therapy or therapies (</w:t>
      </w:r>
      <w:r w:rsidRPr="00604410">
        <w:rPr>
          <w:rFonts w:cs="Calibri"/>
          <w:i/>
          <w:snapToGrid/>
          <w:szCs w:val="24"/>
          <w:lang w:val="en-US" w:eastAsia="en-AU"/>
        </w:rPr>
        <w:t>National Health Act 1953</w:t>
      </w:r>
      <w:r w:rsidRPr="00DA1CEF">
        <w:rPr>
          <w:rFonts w:cs="Calibri"/>
          <w:snapToGrid/>
          <w:szCs w:val="24"/>
          <w:lang w:val="en-US" w:eastAsia="en-AU"/>
        </w:rPr>
        <w:t>, Section 101(3B)</w:t>
      </w:r>
      <w:r w:rsidRPr="006911FB">
        <w:rPr>
          <w:rFonts w:cs="Calibri"/>
          <w:snapToGrid/>
          <w:szCs w:val="24"/>
          <w:lang w:val="en-US" w:eastAsia="en-AU"/>
        </w:rPr>
        <w:t>).</w:t>
      </w:r>
    </w:p>
    <w:p w:rsidR="009C04A3" w:rsidRDefault="009C04A3" w:rsidP="00C83660">
      <w:pPr>
        <w:pStyle w:val="ListParagraph"/>
        <w:widowControl/>
        <w:numPr>
          <w:ilvl w:val="1"/>
          <w:numId w:val="1"/>
        </w:numPr>
        <w:spacing w:after="120"/>
      </w:pPr>
      <w:r w:rsidRPr="00E5098C">
        <w:t xml:space="preserve">Through the </w:t>
      </w:r>
      <w:r w:rsidR="00D51F7F">
        <w:t>Pre-Sub-Committee Response (</w:t>
      </w:r>
      <w:r w:rsidRPr="00E5098C">
        <w:t>PSCR</w:t>
      </w:r>
      <w:r w:rsidR="00D51F7F">
        <w:t>)</w:t>
      </w:r>
      <w:r w:rsidRPr="00E5098C">
        <w:t xml:space="preserve">, the Sponsor claimed methadone and buprenorphine should not be considered alternative therapies as they are not intended for take-home treatments and do not include naloxone. The </w:t>
      </w:r>
      <w:r w:rsidR="003E1218" w:rsidRPr="007C7244">
        <w:rPr>
          <w:rFonts w:asciiTheme="minorHAnsi" w:hAnsiTheme="minorHAnsi" w:cstheme="minorHAnsi"/>
          <w:szCs w:val="24"/>
        </w:rPr>
        <w:t>Economics Sub-Committee</w:t>
      </w:r>
      <w:r w:rsidR="003E1218" w:rsidRPr="00E5098C">
        <w:t xml:space="preserve"> </w:t>
      </w:r>
      <w:r w:rsidR="003E1218">
        <w:t>(</w:t>
      </w:r>
      <w:r w:rsidRPr="00E5098C">
        <w:t>ESC</w:t>
      </w:r>
      <w:r w:rsidR="003E1218">
        <w:t>)</w:t>
      </w:r>
      <w:r w:rsidRPr="00E5098C">
        <w:t xml:space="preserve"> disagreed with the sponsor and considered that these can be used in the take-home setting in Australian clinical practice</w:t>
      </w:r>
      <w:r w:rsidR="004B4303" w:rsidRPr="00E5098C">
        <w:t xml:space="preserve"> (</w:t>
      </w:r>
      <w:r w:rsidR="00E16F84" w:rsidRPr="00E5098C">
        <w:t xml:space="preserve">e.g. </w:t>
      </w:r>
      <w:r w:rsidR="004B4303" w:rsidRPr="00E5098C">
        <w:t>NSW Clinical Guidelines</w:t>
      </w:r>
      <w:r w:rsidR="004B4303" w:rsidRPr="00E5098C">
        <w:rPr>
          <w:rStyle w:val="FootnoteReference"/>
        </w:rPr>
        <w:t xml:space="preserve"> </w:t>
      </w:r>
      <w:r w:rsidR="005B7EF3" w:rsidRPr="00E5098C">
        <w:rPr>
          <w:rStyle w:val="FootnoteReference"/>
        </w:rPr>
        <w:footnoteReference w:id="1"/>
      </w:r>
      <w:r w:rsidR="004B4303" w:rsidRPr="00E5098C">
        <w:rPr>
          <w:rStyle w:val="FootnoteReference"/>
          <w:vertAlign w:val="baseline"/>
        </w:rPr>
        <w:t xml:space="preserve">, </w:t>
      </w:r>
      <w:r w:rsidR="004B4303" w:rsidRPr="00E5098C">
        <w:rPr>
          <w:rStyle w:val="FootnoteReference"/>
          <w:vertAlign w:val="baseline"/>
        </w:rPr>
        <w:lastRenderedPageBreak/>
        <w:t>page 37)</w:t>
      </w:r>
      <w:r w:rsidRPr="00E5098C">
        <w:t xml:space="preserve"> and are also relevant comparators.</w:t>
      </w:r>
      <w:r w:rsidR="00E04E8B" w:rsidRPr="00E5098C">
        <w:t xml:space="preserve"> </w:t>
      </w:r>
      <w:r w:rsidR="00180572">
        <w:t xml:space="preserve">In the </w:t>
      </w:r>
      <w:r w:rsidR="001822F9">
        <w:t>p</w:t>
      </w:r>
      <w:r w:rsidR="00180572">
        <w:t xml:space="preserve">re-PBAC response, the Sponsor argued that </w:t>
      </w:r>
      <w:r w:rsidR="00707028">
        <w:t xml:space="preserve">the NSW Clinical Guidelines, which suggest that </w:t>
      </w:r>
      <w:r w:rsidR="00E60F65">
        <w:t xml:space="preserve">methadone can also be take-home (in limited </w:t>
      </w:r>
      <w:r w:rsidR="00F75DDC">
        <w:t>circumstances</w:t>
      </w:r>
      <w:r w:rsidR="00E60F65">
        <w:t>)</w:t>
      </w:r>
      <w:r w:rsidR="00707028">
        <w:t xml:space="preserve">, actually </w:t>
      </w:r>
      <w:r w:rsidR="00E60F65">
        <w:t>demonstrate</w:t>
      </w:r>
      <w:r w:rsidR="00707028">
        <w:t>s</w:t>
      </w:r>
      <w:r w:rsidR="00E60F65">
        <w:t xml:space="preserve"> a more stringent risk assessment for methadone than for Suboxone – particularly for patients deemed moderate or low risk. </w:t>
      </w:r>
    </w:p>
    <w:p w:rsidR="00604410" w:rsidRPr="00604410" w:rsidRDefault="00604410" w:rsidP="00C83660">
      <w:pPr>
        <w:pStyle w:val="ListParagraph"/>
        <w:widowControl/>
        <w:spacing w:after="120"/>
        <w:rPr>
          <w:i/>
        </w:rPr>
      </w:pPr>
      <w:r w:rsidRPr="00604410">
        <w:rPr>
          <w:i/>
        </w:rPr>
        <w:t>For more detail on PBAC’s view, see section 7 PBAC outcome.</w:t>
      </w:r>
    </w:p>
    <w:p w:rsidR="00B50DB8" w:rsidRPr="002E2082" w:rsidRDefault="00BD6CF3" w:rsidP="00C83660">
      <w:pPr>
        <w:pStyle w:val="PBACHeading1"/>
        <w:spacing w:before="0"/>
      </w:pPr>
      <w:bookmarkStart w:id="6" w:name="_Toc17412655"/>
      <w:r w:rsidRPr="009C04A3">
        <w:rPr>
          <w:i/>
        </w:rPr>
        <w:t>C</w:t>
      </w:r>
      <w:r w:rsidR="00B50DB8" w:rsidRPr="009C04A3">
        <w:rPr>
          <w:i/>
        </w:rPr>
        <w:t>onsideration</w:t>
      </w:r>
      <w:r w:rsidR="00B50DB8" w:rsidRPr="00F61954">
        <w:t xml:space="preserve"> of the evidence</w:t>
      </w:r>
      <w:bookmarkEnd w:id="6"/>
    </w:p>
    <w:p w:rsidR="001E553C" w:rsidRPr="006E44DE" w:rsidRDefault="001E553C" w:rsidP="00C83660">
      <w:pPr>
        <w:pStyle w:val="Heading2"/>
        <w:widowControl/>
      </w:pPr>
      <w:bookmarkStart w:id="7" w:name="_Toc17412656"/>
      <w:r w:rsidRPr="006E44DE">
        <w:t>Sponsor hearing</w:t>
      </w:r>
    </w:p>
    <w:p w:rsidR="001E553C" w:rsidRPr="00836F75" w:rsidRDefault="001E553C" w:rsidP="00C83660">
      <w:pPr>
        <w:numPr>
          <w:ilvl w:val="1"/>
          <w:numId w:val="1"/>
        </w:numPr>
        <w:spacing w:after="120"/>
        <w:rPr>
          <w:rFonts w:asciiTheme="minorHAnsi" w:hAnsiTheme="minorHAnsi"/>
          <w:bCs/>
        </w:rPr>
      </w:pPr>
      <w:r w:rsidRPr="00836F75">
        <w:rPr>
          <w:rFonts w:asciiTheme="minorHAnsi" w:hAnsiTheme="minorHAnsi"/>
          <w:bCs/>
        </w:rPr>
        <w:t>There was no hearing for this item.</w:t>
      </w:r>
    </w:p>
    <w:p w:rsidR="001E553C" w:rsidRPr="006E44DE" w:rsidRDefault="001E553C" w:rsidP="00C83660">
      <w:pPr>
        <w:pStyle w:val="Heading2"/>
        <w:widowControl/>
      </w:pPr>
      <w:r w:rsidRPr="006E44DE">
        <w:t>Consumer comments</w:t>
      </w:r>
    </w:p>
    <w:p w:rsidR="001E553C" w:rsidRPr="00836F75" w:rsidRDefault="001E553C" w:rsidP="00C83660">
      <w:pPr>
        <w:numPr>
          <w:ilvl w:val="1"/>
          <w:numId w:val="1"/>
        </w:numPr>
        <w:spacing w:after="120"/>
        <w:rPr>
          <w:rFonts w:asciiTheme="minorHAnsi" w:hAnsiTheme="minorHAnsi"/>
          <w:bCs/>
        </w:rPr>
      </w:pPr>
      <w:r w:rsidRPr="00836F75">
        <w:rPr>
          <w:rFonts w:asciiTheme="minorHAnsi" w:hAnsiTheme="minorHAnsi"/>
          <w:bCs/>
        </w:rPr>
        <w:t>The PBAC noted that no consumer comments were received for this item.</w:t>
      </w:r>
    </w:p>
    <w:p w:rsidR="00B60939" w:rsidRPr="006911FB" w:rsidRDefault="00B60939" w:rsidP="00C83660">
      <w:pPr>
        <w:pStyle w:val="Heading2"/>
        <w:widowControl/>
      </w:pPr>
      <w:r w:rsidRPr="006911FB">
        <w:t>Clinical trials</w:t>
      </w:r>
      <w:bookmarkEnd w:id="7"/>
    </w:p>
    <w:p w:rsidR="007F1017" w:rsidRPr="006911FB" w:rsidRDefault="00A73134" w:rsidP="00C83660">
      <w:pPr>
        <w:pStyle w:val="ListParagraph"/>
        <w:widowControl/>
        <w:numPr>
          <w:ilvl w:val="1"/>
          <w:numId w:val="1"/>
        </w:numPr>
        <w:spacing w:after="120"/>
      </w:pPr>
      <w:r w:rsidRPr="006911FB">
        <w:rPr>
          <w:rFonts w:cs="Calibri"/>
          <w:snapToGrid/>
          <w:szCs w:val="24"/>
          <w:lang w:val="en-US" w:eastAsia="en-AU"/>
        </w:rPr>
        <w:t xml:space="preserve">The submission </w:t>
      </w:r>
      <w:r w:rsidR="00E52C08" w:rsidRPr="006911FB">
        <w:rPr>
          <w:rFonts w:cs="Calibri"/>
          <w:snapToGrid/>
          <w:szCs w:val="24"/>
          <w:lang w:val="en-US" w:eastAsia="en-AU"/>
        </w:rPr>
        <w:t>wa</w:t>
      </w:r>
      <w:r w:rsidRPr="006911FB">
        <w:rPr>
          <w:rFonts w:cs="Calibri"/>
          <w:snapToGrid/>
          <w:szCs w:val="24"/>
          <w:lang w:val="en-US" w:eastAsia="en-AU"/>
        </w:rPr>
        <w:t xml:space="preserve">s based on one head-to-head trial comparing </w:t>
      </w:r>
      <w:r w:rsidR="00E52C08" w:rsidRPr="006911FB">
        <w:rPr>
          <w:rFonts w:cs="Calibri"/>
          <w:snapToGrid/>
          <w:szCs w:val="24"/>
          <w:lang w:val="en-US" w:eastAsia="en-AU"/>
        </w:rPr>
        <w:t xml:space="preserve">Zubsolv and Suboxone </w:t>
      </w:r>
      <w:r w:rsidR="009A6732" w:rsidRPr="006911FB">
        <w:rPr>
          <w:rFonts w:cs="Calibri"/>
          <w:snapToGrid/>
          <w:szCs w:val="24"/>
          <w:lang w:val="en-US" w:eastAsia="en-AU"/>
        </w:rPr>
        <w:t>f</w:t>
      </w:r>
      <w:r w:rsidR="00E52C08" w:rsidRPr="006911FB">
        <w:rPr>
          <w:rFonts w:cs="Calibri"/>
          <w:snapToGrid/>
          <w:szCs w:val="24"/>
          <w:lang w:val="en-US" w:eastAsia="en-AU"/>
        </w:rPr>
        <w:t xml:space="preserve">ilm (with titration on generic buprenorphine </w:t>
      </w:r>
      <w:r w:rsidR="00B0256E" w:rsidRPr="006911FB">
        <w:rPr>
          <w:rFonts w:cs="Calibri"/>
          <w:snapToGrid/>
          <w:szCs w:val="24"/>
          <w:lang w:val="en-US" w:eastAsia="en-AU"/>
        </w:rPr>
        <w:t>SL</w:t>
      </w:r>
      <w:r w:rsidR="00E52C08" w:rsidRPr="006911FB">
        <w:rPr>
          <w:rFonts w:cs="Calibri"/>
          <w:snapToGrid/>
          <w:szCs w:val="24"/>
          <w:lang w:val="en-US" w:eastAsia="en-AU"/>
        </w:rPr>
        <w:t xml:space="preserve"> tablets) (OX219-006, n</w:t>
      </w:r>
      <w:r w:rsidR="0048343F">
        <w:rPr>
          <w:rFonts w:cs="Calibri"/>
          <w:snapToGrid/>
          <w:szCs w:val="24"/>
          <w:lang w:val="en-US" w:eastAsia="en-AU"/>
        </w:rPr>
        <w:t> </w:t>
      </w:r>
      <w:r w:rsidR="00E52C08" w:rsidRPr="006911FB">
        <w:rPr>
          <w:rFonts w:cs="Calibri"/>
          <w:snapToGrid/>
          <w:szCs w:val="24"/>
          <w:lang w:val="en-US" w:eastAsia="en-AU"/>
        </w:rPr>
        <w:t>=758</w:t>
      </w:r>
      <w:r w:rsidR="00265678" w:rsidRPr="006911FB">
        <w:rPr>
          <w:rFonts w:cs="Calibri"/>
          <w:snapToGrid/>
          <w:szCs w:val="24"/>
          <w:lang w:val="en-US" w:eastAsia="en-AU"/>
        </w:rPr>
        <w:t>)</w:t>
      </w:r>
      <w:r w:rsidR="00E52C08" w:rsidRPr="006911FB">
        <w:rPr>
          <w:rFonts w:cs="Calibri"/>
          <w:snapToGrid/>
          <w:szCs w:val="24"/>
          <w:lang w:val="en-US" w:eastAsia="en-AU"/>
        </w:rPr>
        <w:t>, with trial NCT02038790 being used as supportive evidence</w:t>
      </w:r>
      <w:r w:rsidR="002B790F" w:rsidRPr="006911FB">
        <w:rPr>
          <w:rFonts w:cs="Calibri"/>
          <w:snapToGrid/>
          <w:szCs w:val="24"/>
          <w:lang w:val="en-US" w:eastAsia="en-AU"/>
        </w:rPr>
        <w:t xml:space="preserve">, and </w:t>
      </w:r>
      <w:r w:rsidR="00027EC4" w:rsidRPr="006911FB">
        <w:rPr>
          <w:rFonts w:cs="Calibri"/>
          <w:snapToGrid/>
          <w:szCs w:val="24"/>
          <w:lang w:val="en-US" w:eastAsia="en-AU"/>
        </w:rPr>
        <w:t>Study</w:t>
      </w:r>
      <w:r w:rsidR="002B790F" w:rsidRPr="006911FB">
        <w:rPr>
          <w:rFonts w:cs="Calibri"/>
          <w:snapToGrid/>
          <w:szCs w:val="24"/>
          <w:lang w:val="en-US" w:eastAsia="en-AU"/>
        </w:rPr>
        <w:t xml:space="preserve"> OX219-008 </w:t>
      </w:r>
      <w:r w:rsidR="00027EC4" w:rsidRPr="006911FB">
        <w:rPr>
          <w:rFonts w:cs="Calibri"/>
          <w:snapToGrid/>
          <w:szCs w:val="24"/>
          <w:lang w:val="en-US" w:eastAsia="en-AU"/>
        </w:rPr>
        <w:t xml:space="preserve">extension to Trial OX219-006) </w:t>
      </w:r>
      <w:r w:rsidR="002B790F" w:rsidRPr="006911FB">
        <w:rPr>
          <w:rFonts w:cs="Calibri"/>
          <w:snapToGrid/>
          <w:szCs w:val="24"/>
          <w:lang w:val="en-US" w:eastAsia="en-AU"/>
        </w:rPr>
        <w:t>providing longer-term safety data</w:t>
      </w:r>
      <w:r w:rsidR="00E52C08" w:rsidRPr="006911FB">
        <w:rPr>
          <w:rFonts w:cs="Calibri"/>
          <w:snapToGrid/>
          <w:szCs w:val="24"/>
          <w:lang w:val="en-US" w:eastAsia="en-AU"/>
        </w:rPr>
        <w:t xml:space="preserve">. </w:t>
      </w:r>
    </w:p>
    <w:p w:rsidR="00862502" w:rsidRPr="006911FB" w:rsidRDefault="00A73134" w:rsidP="00C83660">
      <w:pPr>
        <w:pStyle w:val="ListParagraph"/>
        <w:widowControl/>
        <w:numPr>
          <w:ilvl w:val="1"/>
          <w:numId w:val="1"/>
        </w:numPr>
        <w:spacing w:after="120"/>
        <w:rPr>
          <w:rFonts w:cs="Calibri"/>
          <w:snapToGrid/>
          <w:szCs w:val="24"/>
          <w:lang w:val="en-US" w:eastAsia="en-AU"/>
        </w:rPr>
      </w:pPr>
      <w:r w:rsidRPr="006911FB">
        <w:rPr>
          <w:rFonts w:cs="Calibri"/>
          <w:snapToGrid/>
          <w:szCs w:val="24"/>
          <w:lang w:val="en-US" w:eastAsia="en-AU"/>
        </w:rPr>
        <w:t xml:space="preserve">Details of the trials presented in the submission are provided in </w:t>
      </w:r>
      <w:r w:rsidR="00FB0FE5" w:rsidRPr="006911FB">
        <w:rPr>
          <w:rFonts w:cs="Calibri"/>
          <w:snapToGrid/>
          <w:szCs w:val="24"/>
          <w:lang w:val="en-US" w:eastAsia="en-AU"/>
        </w:rPr>
        <w:t>Table 2</w:t>
      </w:r>
      <w:r w:rsidRPr="006911FB">
        <w:rPr>
          <w:rFonts w:cs="Calibri"/>
          <w:snapToGrid/>
          <w:szCs w:val="24"/>
          <w:lang w:val="en-US" w:eastAsia="en-AU"/>
        </w:rPr>
        <w:t xml:space="preserve">.  </w:t>
      </w:r>
    </w:p>
    <w:p w:rsidR="008E0D3C" w:rsidRPr="006911FB" w:rsidRDefault="00027EC4" w:rsidP="00C83660">
      <w:pPr>
        <w:pStyle w:val="Caption"/>
        <w:keepNext/>
        <w:keepLines/>
        <w:widowControl/>
        <w:spacing w:after="0"/>
        <w:rPr>
          <w:rStyle w:val="CommentReference"/>
          <w:b/>
          <w:color w:val="000000" w:themeColor="text1"/>
        </w:rPr>
      </w:pPr>
      <w:bookmarkStart w:id="8" w:name="_Ref17406419"/>
      <w:r w:rsidRPr="006911FB">
        <w:rPr>
          <w:rFonts w:ascii="Arial Narrow" w:hAnsi="Arial Narrow"/>
          <w:color w:val="000000" w:themeColor="text1"/>
        </w:rPr>
        <w:lastRenderedPageBreak/>
        <w:t xml:space="preserve">Table </w:t>
      </w:r>
      <w:r w:rsidR="00613A1E" w:rsidRPr="006911FB">
        <w:rPr>
          <w:rFonts w:ascii="Arial Narrow" w:hAnsi="Arial Narrow"/>
          <w:noProof/>
          <w:color w:val="000000" w:themeColor="text1"/>
        </w:rPr>
        <w:t>2</w:t>
      </w:r>
      <w:bookmarkEnd w:id="8"/>
      <w:r w:rsidRPr="006911FB">
        <w:rPr>
          <w:rFonts w:ascii="Arial Narrow" w:hAnsi="Arial Narrow"/>
          <w:b w:val="0"/>
          <w:color w:val="000000" w:themeColor="text1"/>
        </w:rPr>
        <w:t xml:space="preserve">: </w:t>
      </w:r>
      <w:r w:rsidR="008E0D3C" w:rsidRPr="006911FB">
        <w:rPr>
          <w:rStyle w:val="CommentReference"/>
          <w:b/>
          <w:color w:val="000000" w:themeColor="text1"/>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4"/>
        <w:gridCol w:w="5055"/>
        <w:gridCol w:w="2528"/>
      </w:tblGrid>
      <w:tr w:rsidR="00E52C08" w:rsidRPr="006911FB" w:rsidTr="00D13675">
        <w:trPr>
          <w:tblHeader/>
        </w:trPr>
        <w:tc>
          <w:tcPr>
            <w:tcW w:w="795" w:type="pct"/>
            <w:vAlign w:val="center"/>
          </w:tcPr>
          <w:p w:rsidR="00E52C08" w:rsidRPr="006911FB" w:rsidRDefault="00E52C08" w:rsidP="00C83660">
            <w:pPr>
              <w:pStyle w:val="Tabletext"/>
              <w:keepNext/>
              <w:keepLines/>
              <w:rPr>
                <w:b/>
              </w:rPr>
            </w:pPr>
            <w:r w:rsidRPr="006911FB">
              <w:rPr>
                <w:b/>
              </w:rPr>
              <w:t>Trial ID</w:t>
            </w:r>
          </w:p>
        </w:tc>
        <w:tc>
          <w:tcPr>
            <w:tcW w:w="2803" w:type="pct"/>
            <w:vAlign w:val="center"/>
          </w:tcPr>
          <w:p w:rsidR="00E52C08" w:rsidRPr="006911FB" w:rsidRDefault="00E52C08" w:rsidP="00C83660">
            <w:pPr>
              <w:pStyle w:val="Tabletext"/>
              <w:keepNext/>
              <w:keepLines/>
              <w:jc w:val="center"/>
              <w:rPr>
                <w:b/>
              </w:rPr>
            </w:pPr>
            <w:r w:rsidRPr="006911FB">
              <w:rPr>
                <w:b/>
              </w:rPr>
              <w:t>Protocol title/ Publication title</w:t>
            </w:r>
          </w:p>
        </w:tc>
        <w:tc>
          <w:tcPr>
            <w:tcW w:w="1402" w:type="pct"/>
            <w:vAlign w:val="center"/>
          </w:tcPr>
          <w:p w:rsidR="00E52C08" w:rsidRPr="006911FB" w:rsidRDefault="00E52C08" w:rsidP="00C83660">
            <w:pPr>
              <w:pStyle w:val="Tabletext"/>
              <w:keepNext/>
              <w:keepLines/>
              <w:jc w:val="center"/>
              <w:rPr>
                <w:b/>
              </w:rPr>
            </w:pPr>
            <w:r w:rsidRPr="006911FB">
              <w:rPr>
                <w:b/>
              </w:rPr>
              <w:t>Publication citation</w:t>
            </w:r>
          </w:p>
        </w:tc>
      </w:tr>
      <w:tr w:rsidR="00E52C08" w:rsidRPr="006911FB" w:rsidTr="00220BB1">
        <w:tc>
          <w:tcPr>
            <w:tcW w:w="795" w:type="pct"/>
            <w:vMerge w:val="restart"/>
            <w:vAlign w:val="center"/>
          </w:tcPr>
          <w:p w:rsidR="00E52C08" w:rsidRPr="006911FB" w:rsidRDefault="00E52C08" w:rsidP="00C83660">
            <w:pPr>
              <w:pStyle w:val="Tabletext"/>
              <w:keepNext/>
              <w:keepLines/>
            </w:pPr>
            <w:r w:rsidRPr="006911FB">
              <w:t>OX219-006</w:t>
            </w:r>
          </w:p>
          <w:p w:rsidR="00E52C08" w:rsidRPr="006911FB" w:rsidRDefault="00E52C08" w:rsidP="00C83660">
            <w:pPr>
              <w:pStyle w:val="Tabletext"/>
              <w:keepNext/>
              <w:keepLines/>
              <w:rPr>
                <w:rFonts w:ascii="Times" w:hAnsi="Times"/>
              </w:rPr>
            </w:pPr>
            <w:r w:rsidRPr="006911FB">
              <w:t>(NCT01908842)</w:t>
            </w:r>
          </w:p>
        </w:tc>
        <w:tc>
          <w:tcPr>
            <w:tcW w:w="2803" w:type="pct"/>
            <w:tcBorders>
              <w:bottom w:val="nil"/>
            </w:tcBorders>
            <w:vAlign w:val="center"/>
          </w:tcPr>
          <w:p w:rsidR="00E52C08" w:rsidRPr="006911FB" w:rsidRDefault="00E52C08" w:rsidP="00C83660">
            <w:pPr>
              <w:pStyle w:val="Tabletext"/>
              <w:keepNext/>
              <w:keepLines/>
              <w:rPr>
                <w:szCs w:val="18"/>
              </w:rPr>
            </w:pPr>
            <w:r w:rsidRPr="006911FB">
              <w:t xml:space="preserve">Induction, </w:t>
            </w:r>
            <w:r w:rsidR="00A67D63" w:rsidRPr="006911FB">
              <w:t>Stabilization</w:t>
            </w:r>
            <w:r w:rsidRPr="006911FB">
              <w:t>, Adherence and Retention Trial (ISTART) - A randomized, non-inferiority, multicenter study to assess early treatment efficacy of OX219 versus Suboxone</w:t>
            </w:r>
            <w:r w:rsidRPr="006911FB">
              <w:rPr>
                <w:vertAlign w:val="superscript"/>
              </w:rPr>
              <w:t>®</w:t>
            </w:r>
            <w:r w:rsidRPr="006911FB">
              <w:t xml:space="preserve"> Film and to explore switching between treatments.</w:t>
            </w:r>
          </w:p>
        </w:tc>
        <w:tc>
          <w:tcPr>
            <w:tcW w:w="1402" w:type="pct"/>
            <w:tcBorders>
              <w:bottom w:val="nil"/>
            </w:tcBorders>
          </w:tcPr>
          <w:p w:rsidR="00E52C08" w:rsidRPr="006911FB" w:rsidRDefault="00E52C08" w:rsidP="00C83660">
            <w:pPr>
              <w:pStyle w:val="Tabletext"/>
              <w:keepNext/>
              <w:keepLines/>
              <w:rPr>
                <w:rFonts w:ascii="Times" w:hAnsi="Times"/>
              </w:rPr>
            </w:pPr>
            <w:r w:rsidRPr="006911FB">
              <w:t>Clinical study report. 03 October 2014.</w:t>
            </w:r>
          </w:p>
        </w:tc>
      </w:tr>
      <w:tr w:rsidR="00E52C08" w:rsidRPr="006911FB" w:rsidTr="00220BB1">
        <w:tc>
          <w:tcPr>
            <w:tcW w:w="795" w:type="pct"/>
            <w:vMerge/>
            <w:vAlign w:val="center"/>
          </w:tcPr>
          <w:p w:rsidR="00E52C08" w:rsidRPr="006911FB" w:rsidRDefault="00E52C08" w:rsidP="00C83660">
            <w:pPr>
              <w:pStyle w:val="Tabletext"/>
              <w:keepNext/>
              <w:keepLines/>
            </w:pPr>
          </w:p>
        </w:tc>
        <w:tc>
          <w:tcPr>
            <w:tcW w:w="2803" w:type="pct"/>
            <w:tcBorders>
              <w:top w:val="nil"/>
              <w:bottom w:val="nil"/>
            </w:tcBorders>
            <w:vAlign w:val="center"/>
          </w:tcPr>
          <w:p w:rsidR="00E52C08" w:rsidRPr="006911FB" w:rsidRDefault="00E52C08" w:rsidP="00C83660">
            <w:pPr>
              <w:pStyle w:val="Tabletext"/>
              <w:keepNext/>
              <w:keepLines/>
              <w:rPr>
                <w:szCs w:val="18"/>
                <w:lang w:eastAsia="en-AU"/>
              </w:rPr>
            </w:pPr>
            <w:r w:rsidRPr="006911FB">
              <w:t>Gunderson E, Hjelmstrom P, Sumner M. Effects of a Higher-bioavailability Buprenorphine/Naloxone Sublingual Tablet Versus Buprenorphine/Naloxone Film for the Treatment of Opioid Dependence during Induction and Stabilization: A Multicenter, Randomized Trial.</w:t>
            </w:r>
          </w:p>
        </w:tc>
        <w:tc>
          <w:tcPr>
            <w:tcW w:w="1402" w:type="pct"/>
            <w:tcBorders>
              <w:top w:val="nil"/>
              <w:bottom w:val="nil"/>
            </w:tcBorders>
          </w:tcPr>
          <w:p w:rsidR="00E52C08" w:rsidRPr="006911FB" w:rsidRDefault="00E52C08" w:rsidP="00C83660">
            <w:pPr>
              <w:pStyle w:val="Tabletext"/>
              <w:keepNext/>
              <w:keepLines/>
              <w:rPr>
                <w:szCs w:val="18"/>
                <w:lang w:eastAsia="en-AU"/>
              </w:rPr>
            </w:pPr>
            <w:r w:rsidRPr="006911FB">
              <w:t>Clinical Therapeutics. 2015;37(10):2244-2255</w:t>
            </w:r>
          </w:p>
        </w:tc>
      </w:tr>
      <w:tr w:rsidR="00E52C08" w:rsidRPr="006911FB" w:rsidTr="00220BB1">
        <w:tc>
          <w:tcPr>
            <w:tcW w:w="795" w:type="pct"/>
            <w:vMerge/>
            <w:vAlign w:val="center"/>
          </w:tcPr>
          <w:p w:rsidR="00E52C08" w:rsidRPr="006911FB" w:rsidRDefault="00E52C08" w:rsidP="00C83660">
            <w:pPr>
              <w:pStyle w:val="Tabletext"/>
              <w:keepNext/>
              <w:keepLines/>
            </w:pPr>
          </w:p>
        </w:tc>
        <w:tc>
          <w:tcPr>
            <w:tcW w:w="2803" w:type="pct"/>
            <w:tcBorders>
              <w:top w:val="nil"/>
              <w:bottom w:val="nil"/>
            </w:tcBorders>
            <w:vAlign w:val="center"/>
          </w:tcPr>
          <w:p w:rsidR="00E52C08" w:rsidRPr="006911FB" w:rsidRDefault="00E52C08" w:rsidP="00C83660">
            <w:pPr>
              <w:pStyle w:val="Tabletext"/>
              <w:keepNext/>
              <w:keepLines/>
              <w:rPr>
                <w:szCs w:val="18"/>
                <w:lang w:val="en-US" w:eastAsia="en-AU"/>
              </w:rPr>
            </w:pPr>
            <w:r w:rsidRPr="006911FB">
              <w:t>Gunderson E, et al. Induction, Stabilization, Adherence and Retention Trial (ISTART): Efficacy of Advanced-Formulation Buprenorphine/Naloxone Sublingual Tablet Versus Buprenorphine/Naloxone Film for the Treatment of Opioid Dependence.</w:t>
            </w:r>
          </w:p>
        </w:tc>
        <w:tc>
          <w:tcPr>
            <w:tcW w:w="1402" w:type="pct"/>
            <w:tcBorders>
              <w:top w:val="nil"/>
              <w:bottom w:val="nil"/>
            </w:tcBorders>
            <w:vAlign w:val="center"/>
          </w:tcPr>
          <w:p w:rsidR="00E52C08" w:rsidRPr="006911FB" w:rsidRDefault="00E52C08" w:rsidP="00C83660">
            <w:pPr>
              <w:pStyle w:val="Tabletext"/>
              <w:keepNext/>
              <w:keepLines/>
              <w:rPr>
                <w:szCs w:val="18"/>
                <w:lang w:val="en-US" w:eastAsia="en-AU"/>
              </w:rPr>
            </w:pPr>
            <w:r w:rsidRPr="006911FB">
              <w:rPr>
                <w:szCs w:val="18"/>
                <w:lang w:val="en-US" w:eastAsia="en-AU"/>
              </w:rPr>
              <w:t>25</w:t>
            </w:r>
            <w:r w:rsidRPr="006911FB">
              <w:rPr>
                <w:szCs w:val="18"/>
                <w:vertAlign w:val="superscript"/>
                <w:lang w:val="en-US" w:eastAsia="en-AU"/>
              </w:rPr>
              <w:t>th</w:t>
            </w:r>
            <w:r w:rsidRPr="006911FB">
              <w:rPr>
                <w:szCs w:val="18"/>
                <w:lang w:val="en-US" w:eastAsia="en-AU"/>
              </w:rPr>
              <w:t xml:space="preserve"> Annual Meeting and Symposium of the American Academy of Addiction Psychiatry, AAAP 2014. </w:t>
            </w:r>
          </w:p>
        </w:tc>
      </w:tr>
      <w:tr w:rsidR="00E52C08" w:rsidRPr="006911FB" w:rsidTr="00E52C08">
        <w:tc>
          <w:tcPr>
            <w:tcW w:w="795" w:type="pct"/>
            <w:vMerge/>
            <w:tcBorders>
              <w:bottom w:val="single" w:sz="4" w:space="0" w:color="auto"/>
            </w:tcBorders>
            <w:vAlign w:val="center"/>
          </w:tcPr>
          <w:p w:rsidR="00E52C08" w:rsidRPr="006911FB" w:rsidRDefault="00E52C08" w:rsidP="00C83660">
            <w:pPr>
              <w:pStyle w:val="Tabletext"/>
              <w:keepNext/>
              <w:keepLines/>
              <w:rPr>
                <w:rFonts w:ascii="Times" w:hAnsi="Times"/>
              </w:rPr>
            </w:pPr>
          </w:p>
        </w:tc>
        <w:tc>
          <w:tcPr>
            <w:tcW w:w="2803" w:type="pct"/>
            <w:tcBorders>
              <w:top w:val="nil"/>
              <w:bottom w:val="single" w:sz="4" w:space="0" w:color="auto"/>
            </w:tcBorders>
            <w:vAlign w:val="center"/>
          </w:tcPr>
          <w:p w:rsidR="00E52C08" w:rsidRPr="006911FB" w:rsidRDefault="00E52C08" w:rsidP="00C83660">
            <w:pPr>
              <w:pStyle w:val="Tabletext"/>
              <w:keepNext/>
              <w:keepLines/>
              <w:rPr>
                <w:rFonts w:ascii="Times" w:hAnsi="Times"/>
              </w:rPr>
            </w:pPr>
            <w:r w:rsidRPr="006911FB">
              <w:t>Gunderson E. and Sumner M. Efficacy of Buprenorphine/Naloxone Rapidly Dissolving Sublingual Tablets (BNX-RDT) after Switching from BNX Sublingual Film.</w:t>
            </w:r>
          </w:p>
        </w:tc>
        <w:tc>
          <w:tcPr>
            <w:tcW w:w="1402" w:type="pct"/>
            <w:tcBorders>
              <w:top w:val="nil"/>
              <w:bottom w:val="single" w:sz="4" w:space="0" w:color="auto"/>
            </w:tcBorders>
            <w:vAlign w:val="center"/>
          </w:tcPr>
          <w:p w:rsidR="00E52C08" w:rsidRPr="006911FB" w:rsidRDefault="00E52C08" w:rsidP="00C83660">
            <w:pPr>
              <w:pStyle w:val="Tabletext"/>
              <w:keepNext/>
              <w:keepLines/>
            </w:pPr>
            <w:r w:rsidRPr="006911FB">
              <w:t>Journal of Addiction Medicine. 2016;10(2):124-130.</w:t>
            </w:r>
          </w:p>
        </w:tc>
      </w:tr>
      <w:tr w:rsidR="00E52C08" w:rsidRPr="006911FB" w:rsidTr="00E52C08">
        <w:tc>
          <w:tcPr>
            <w:tcW w:w="795" w:type="pct"/>
            <w:tcBorders>
              <w:bottom w:val="single" w:sz="4" w:space="0" w:color="auto"/>
            </w:tcBorders>
            <w:vAlign w:val="center"/>
          </w:tcPr>
          <w:p w:rsidR="00E52C08" w:rsidRPr="006911FB" w:rsidRDefault="00E52C08" w:rsidP="00C83660">
            <w:pPr>
              <w:pStyle w:val="Tabletext"/>
              <w:keepNext/>
              <w:keepLines/>
            </w:pPr>
            <w:r w:rsidRPr="006911FB">
              <w:t>NCT02038790</w:t>
            </w:r>
          </w:p>
        </w:tc>
        <w:tc>
          <w:tcPr>
            <w:tcW w:w="2803" w:type="pct"/>
            <w:tcBorders>
              <w:bottom w:val="single" w:sz="4" w:space="0" w:color="auto"/>
            </w:tcBorders>
            <w:vAlign w:val="center"/>
          </w:tcPr>
          <w:p w:rsidR="00E52C08" w:rsidRPr="006911FB" w:rsidRDefault="00E52C08" w:rsidP="00C83660">
            <w:pPr>
              <w:pStyle w:val="Tabletext"/>
              <w:keepNext/>
              <w:keepLines/>
              <w:rPr>
                <w:szCs w:val="18"/>
              </w:rPr>
            </w:pPr>
            <w:r w:rsidRPr="006911FB">
              <w:t>Usability of Zubsolv Sublingual Tablets 5.7/1.4 to Suboxone Sublingual Film 8/2 In Buprenorphine/Naloxone Treated Opioid Dependent Population.</w:t>
            </w:r>
          </w:p>
        </w:tc>
        <w:tc>
          <w:tcPr>
            <w:tcW w:w="1402" w:type="pct"/>
            <w:tcBorders>
              <w:bottom w:val="single" w:sz="4" w:space="0" w:color="auto"/>
            </w:tcBorders>
            <w:vAlign w:val="center"/>
          </w:tcPr>
          <w:p w:rsidR="00E52C08" w:rsidRPr="006911FB" w:rsidRDefault="00E52C08" w:rsidP="00C83660">
            <w:pPr>
              <w:pStyle w:val="Tabletext"/>
              <w:keepNext/>
              <w:keepLines/>
            </w:pPr>
            <w:r w:rsidRPr="006911FB">
              <w:t>ClinTrials.gov. 21 March 2017.</w:t>
            </w:r>
          </w:p>
        </w:tc>
      </w:tr>
      <w:tr w:rsidR="00E52C08" w:rsidRPr="006911FB" w:rsidTr="00220BB1">
        <w:tc>
          <w:tcPr>
            <w:tcW w:w="795" w:type="pct"/>
            <w:vMerge w:val="restart"/>
            <w:tcBorders>
              <w:top w:val="single" w:sz="4" w:space="0" w:color="auto"/>
              <w:left w:val="single" w:sz="4" w:space="0" w:color="auto"/>
              <w:right w:val="single" w:sz="4" w:space="0" w:color="auto"/>
            </w:tcBorders>
            <w:vAlign w:val="center"/>
          </w:tcPr>
          <w:p w:rsidR="00E52C08" w:rsidRPr="006911FB" w:rsidRDefault="00E52C08" w:rsidP="00C83660">
            <w:pPr>
              <w:pStyle w:val="Tabletext"/>
              <w:keepNext/>
              <w:keepLines/>
            </w:pPr>
            <w:r w:rsidRPr="006911FB">
              <w:t>OX219-008</w:t>
            </w:r>
          </w:p>
          <w:p w:rsidR="00E52C08" w:rsidRPr="006911FB" w:rsidRDefault="00E52C08" w:rsidP="00C83660">
            <w:pPr>
              <w:pStyle w:val="Tabletext"/>
              <w:keepNext/>
              <w:keepLines/>
            </w:pPr>
            <w:r w:rsidRPr="006911FB">
              <w:t>(NCT01903005)</w:t>
            </w:r>
          </w:p>
        </w:tc>
        <w:tc>
          <w:tcPr>
            <w:tcW w:w="2803" w:type="pct"/>
            <w:tcBorders>
              <w:top w:val="single" w:sz="4" w:space="0" w:color="auto"/>
              <w:left w:val="single" w:sz="4" w:space="0" w:color="auto"/>
              <w:bottom w:val="single" w:sz="4" w:space="0" w:color="auto"/>
              <w:right w:val="single" w:sz="4" w:space="0" w:color="auto"/>
            </w:tcBorders>
            <w:vAlign w:val="center"/>
          </w:tcPr>
          <w:p w:rsidR="00E52C08" w:rsidRPr="006911FB" w:rsidRDefault="00E52C08" w:rsidP="00C83660">
            <w:pPr>
              <w:pStyle w:val="Tabletext"/>
              <w:keepNext/>
              <w:keepLines/>
            </w:pPr>
            <w:r w:rsidRPr="006911FB">
              <w:t>A Multi-Center, Open-Label, 24-Week, Follow-Up Study to Assess Safety, Efficacy, and Treatment Adherence for Maintenance Treatment of Opioid Dependence with OX219.</w:t>
            </w:r>
          </w:p>
        </w:tc>
        <w:tc>
          <w:tcPr>
            <w:tcW w:w="1402" w:type="pct"/>
            <w:tcBorders>
              <w:top w:val="single" w:sz="4" w:space="0" w:color="auto"/>
              <w:left w:val="single" w:sz="4" w:space="0" w:color="auto"/>
              <w:bottom w:val="single" w:sz="4" w:space="0" w:color="auto"/>
              <w:right w:val="single" w:sz="4" w:space="0" w:color="auto"/>
            </w:tcBorders>
            <w:vAlign w:val="center"/>
          </w:tcPr>
          <w:p w:rsidR="00E52C08" w:rsidRPr="006911FB" w:rsidRDefault="00E52C08" w:rsidP="00C83660">
            <w:pPr>
              <w:pStyle w:val="Tabletext"/>
              <w:keepNext/>
              <w:keepLines/>
            </w:pPr>
            <w:r w:rsidRPr="006911FB">
              <w:t>Clinical study report. 06 March 2014.</w:t>
            </w:r>
          </w:p>
        </w:tc>
      </w:tr>
      <w:tr w:rsidR="00E52C08" w:rsidRPr="006911FB" w:rsidTr="00220BB1">
        <w:tc>
          <w:tcPr>
            <w:tcW w:w="795" w:type="pct"/>
            <w:vMerge/>
            <w:tcBorders>
              <w:left w:val="single" w:sz="4" w:space="0" w:color="auto"/>
              <w:bottom w:val="single" w:sz="4" w:space="0" w:color="auto"/>
              <w:right w:val="single" w:sz="4" w:space="0" w:color="auto"/>
            </w:tcBorders>
            <w:vAlign w:val="center"/>
          </w:tcPr>
          <w:p w:rsidR="00E52C08" w:rsidRPr="006911FB" w:rsidRDefault="00E52C08" w:rsidP="00C83660">
            <w:pPr>
              <w:pStyle w:val="Tabletext"/>
              <w:keepNext/>
              <w:keepLines/>
            </w:pPr>
          </w:p>
        </w:tc>
        <w:tc>
          <w:tcPr>
            <w:tcW w:w="2803" w:type="pct"/>
            <w:tcBorders>
              <w:top w:val="single" w:sz="4" w:space="0" w:color="auto"/>
              <w:left w:val="single" w:sz="4" w:space="0" w:color="auto"/>
              <w:bottom w:val="single" w:sz="4" w:space="0" w:color="auto"/>
              <w:right w:val="single" w:sz="4" w:space="0" w:color="auto"/>
            </w:tcBorders>
            <w:vAlign w:val="center"/>
          </w:tcPr>
          <w:p w:rsidR="00E52C08" w:rsidRPr="006911FB" w:rsidRDefault="00E52C08" w:rsidP="00C83660">
            <w:pPr>
              <w:pStyle w:val="Tabletext"/>
              <w:keepNext/>
              <w:keepLines/>
            </w:pPr>
            <w:r w:rsidRPr="006911FB">
              <w:t>Hoffman K, Peyton M, Sumner M. Safety of a Rapidly Dissolving Buprenorphine/Naloxone Sublingual Tablet (BNX-RDT) for Treatment of Opioid Dependence: A Multicenter, Open-label Extension Study.</w:t>
            </w:r>
          </w:p>
        </w:tc>
        <w:tc>
          <w:tcPr>
            <w:tcW w:w="1402" w:type="pct"/>
            <w:tcBorders>
              <w:top w:val="single" w:sz="4" w:space="0" w:color="auto"/>
              <w:left w:val="single" w:sz="4" w:space="0" w:color="auto"/>
              <w:bottom w:val="single" w:sz="4" w:space="0" w:color="auto"/>
              <w:right w:val="single" w:sz="4" w:space="0" w:color="auto"/>
            </w:tcBorders>
            <w:vAlign w:val="center"/>
          </w:tcPr>
          <w:p w:rsidR="00E52C08" w:rsidRPr="006911FB" w:rsidRDefault="00E52C08" w:rsidP="00C83660">
            <w:pPr>
              <w:pStyle w:val="Tabletext"/>
              <w:keepNext/>
              <w:keepLines/>
            </w:pPr>
            <w:r w:rsidRPr="006911FB">
              <w:t>Journal of Addiction Medicine. 2017;11(3):217-223.</w:t>
            </w:r>
          </w:p>
        </w:tc>
      </w:tr>
    </w:tbl>
    <w:p w:rsidR="008E0D3C" w:rsidRPr="006911FB" w:rsidRDefault="008E0D3C" w:rsidP="00C83660">
      <w:pPr>
        <w:pStyle w:val="TableFooter"/>
        <w:keepNext/>
        <w:keepLines/>
        <w:widowControl/>
        <w:spacing w:after="120"/>
        <w:rPr>
          <w:sz w:val="20"/>
        </w:rPr>
      </w:pPr>
      <w:r w:rsidRPr="006911FB">
        <w:t xml:space="preserve">Source: </w:t>
      </w:r>
      <w:r w:rsidR="00E52C08" w:rsidRPr="006911FB">
        <w:t>Table 2-4, pp42-43 of the submission.</w:t>
      </w:r>
    </w:p>
    <w:p w:rsidR="007F1017" w:rsidRPr="006911FB" w:rsidRDefault="008F120A" w:rsidP="00C83660">
      <w:pPr>
        <w:pStyle w:val="ListParagraph"/>
        <w:widowControl/>
        <w:numPr>
          <w:ilvl w:val="1"/>
          <w:numId w:val="1"/>
        </w:numPr>
        <w:spacing w:after="120"/>
      </w:pPr>
      <w:r w:rsidRPr="006911FB">
        <w:t xml:space="preserve">The key features of the direct randomised trials are summarised in the table below.  </w:t>
      </w:r>
    </w:p>
    <w:p w:rsidR="007F1017" w:rsidRPr="006911FB" w:rsidRDefault="00027EC4" w:rsidP="00C83660">
      <w:pPr>
        <w:pStyle w:val="Caption"/>
        <w:keepNext/>
        <w:keepLines/>
        <w:widowControl/>
        <w:spacing w:after="0"/>
        <w:rPr>
          <w:rStyle w:val="CommentReference"/>
          <w:b/>
          <w:color w:val="000000" w:themeColor="text1"/>
        </w:rPr>
      </w:pPr>
      <w:r w:rsidRPr="006911FB">
        <w:rPr>
          <w:rStyle w:val="CommentReference"/>
          <w:b/>
          <w:color w:val="000000" w:themeColor="text1"/>
        </w:rPr>
        <w:t xml:space="preserve">Table </w:t>
      </w:r>
      <w:r w:rsidR="00613A1E" w:rsidRPr="006911FB">
        <w:rPr>
          <w:rStyle w:val="CommentReference"/>
          <w:b/>
          <w:noProof/>
          <w:color w:val="000000" w:themeColor="text1"/>
        </w:rPr>
        <w:t>3</w:t>
      </w:r>
      <w:r w:rsidRPr="006911FB">
        <w:rPr>
          <w:rStyle w:val="CommentReference"/>
          <w:b/>
          <w:color w:val="000000" w:themeColor="text1"/>
        </w:rPr>
        <w:t>:</w:t>
      </w:r>
      <w:r w:rsidR="007F1017" w:rsidRPr="006911FB">
        <w:rPr>
          <w:rStyle w:val="CommentReference"/>
          <w:b/>
          <w:color w:val="000000" w:themeColor="text1"/>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132"/>
        <w:gridCol w:w="563"/>
        <w:gridCol w:w="1277"/>
        <w:gridCol w:w="851"/>
        <w:gridCol w:w="1558"/>
        <w:gridCol w:w="3636"/>
      </w:tblGrid>
      <w:tr w:rsidR="006D3467" w:rsidRPr="006911FB" w:rsidTr="006D3467">
        <w:tc>
          <w:tcPr>
            <w:tcW w:w="628" w:type="pct"/>
            <w:shd w:val="clear" w:color="auto" w:fill="auto"/>
            <w:vAlign w:val="center"/>
          </w:tcPr>
          <w:p w:rsidR="002B790F" w:rsidRPr="006911FB" w:rsidRDefault="002B790F" w:rsidP="00C83660">
            <w:pPr>
              <w:pStyle w:val="Tabletext"/>
              <w:keepNext/>
              <w:keepLines/>
              <w:rPr>
                <w:b/>
                <w:lang w:val="en-US"/>
              </w:rPr>
            </w:pPr>
            <w:r w:rsidRPr="006911FB">
              <w:rPr>
                <w:b/>
                <w:lang w:val="en-US"/>
              </w:rPr>
              <w:t>Trial</w:t>
            </w:r>
          </w:p>
        </w:tc>
        <w:tc>
          <w:tcPr>
            <w:tcW w:w="312" w:type="pct"/>
            <w:shd w:val="clear" w:color="auto" w:fill="auto"/>
            <w:vAlign w:val="center"/>
          </w:tcPr>
          <w:p w:rsidR="002B790F" w:rsidRPr="006911FB" w:rsidRDefault="002B790F" w:rsidP="00C83660">
            <w:pPr>
              <w:pStyle w:val="Tabletext"/>
              <w:keepNext/>
              <w:keepLines/>
              <w:jc w:val="center"/>
              <w:rPr>
                <w:b/>
                <w:lang w:val="en-US"/>
              </w:rPr>
            </w:pPr>
            <w:r w:rsidRPr="006911FB">
              <w:rPr>
                <w:b/>
                <w:lang w:val="en-US"/>
              </w:rPr>
              <w:t>N</w:t>
            </w:r>
          </w:p>
        </w:tc>
        <w:tc>
          <w:tcPr>
            <w:tcW w:w="708" w:type="pct"/>
            <w:shd w:val="clear" w:color="auto" w:fill="auto"/>
            <w:vAlign w:val="center"/>
          </w:tcPr>
          <w:p w:rsidR="002B790F" w:rsidRPr="006911FB" w:rsidRDefault="002B790F" w:rsidP="00C83660">
            <w:pPr>
              <w:pStyle w:val="Tabletext"/>
              <w:keepNext/>
              <w:keepLines/>
              <w:jc w:val="center"/>
              <w:rPr>
                <w:b/>
                <w:lang w:val="en-US"/>
              </w:rPr>
            </w:pPr>
            <w:r w:rsidRPr="006911FB">
              <w:rPr>
                <w:b/>
                <w:lang w:val="en-US"/>
              </w:rPr>
              <w:t>Design/ duration</w:t>
            </w:r>
          </w:p>
        </w:tc>
        <w:tc>
          <w:tcPr>
            <w:tcW w:w="472" w:type="pct"/>
            <w:shd w:val="clear" w:color="auto" w:fill="auto"/>
            <w:vAlign w:val="center"/>
          </w:tcPr>
          <w:p w:rsidR="002B790F" w:rsidRPr="006911FB" w:rsidRDefault="002B790F" w:rsidP="00C83660">
            <w:pPr>
              <w:pStyle w:val="Tabletext"/>
              <w:keepNext/>
              <w:keepLines/>
              <w:jc w:val="center"/>
              <w:rPr>
                <w:b/>
                <w:lang w:val="en-US"/>
              </w:rPr>
            </w:pPr>
            <w:r w:rsidRPr="006911FB">
              <w:rPr>
                <w:b/>
                <w:lang w:val="en-US"/>
              </w:rPr>
              <w:t>Risk of bias</w:t>
            </w:r>
          </w:p>
        </w:tc>
        <w:tc>
          <w:tcPr>
            <w:tcW w:w="864" w:type="pct"/>
            <w:shd w:val="clear" w:color="auto" w:fill="auto"/>
            <w:vAlign w:val="center"/>
          </w:tcPr>
          <w:p w:rsidR="002B790F" w:rsidRPr="006911FB" w:rsidRDefault="002B790F" w:rsidP="00C83660">
            <w:pPr>
              <w:pStyle w:val="Tabletext"/>
              <w:keepNext/>
              <w:keepLines/>
              <w:jc w:val="center"/>
              <w:rPr>
                <w:b/>
                <w:lang w:val="en-US"/>
              </w:rPr>
            </w:pPr>
            <w:r w:rsidRPr="006911FB">
              <w:rPr>
                <w:b/>
                <w:lang w:val="en-US"/>
              </w:rPr>
              <w:t>Patient population</w:t>
            </w:r>
          </w:p>
        </w:tc>
        <w:tc>
          <w:tcPr>
            <w:tcW w:w="2016" w:type="pct"/>
            <w:shd w:val="clear" w:color="auto" w:fill="auto"/>
            <w:vAlign w:val="center"/>
          </w:tcPr>
          <w:p w:rsidR="002B790F" w:rsidRPr="006911FB" w:rsidRDefault="002B790F" w:rsidP="00C83660">
            <w:pPr>
              <w:pStyle w:val="Tabletext"/>
              <w:keepNext/>
              <w:keepLines/>
              <w:jc w:val="center"/>
              <w:rPr>
                <w:b/>
                <w:lang w:val="en-US"/>
              </w:rPr>
            </w:pPr>
            <w:r w:rsidRPr="006911FB">
              <w:rPr>
                <w:b/>
                <w:lang w:val="en-US"/>
              </w:rPr>
              <w:t>Outcome(s)</w:t>
            </w:r>
          </w:p>
        </w:tc>
      </w:tr>
      <w:tr w:rsidR="006D3467" w:rsidRPr="006911FB" w:rsidTr="006D3467">
        <w:tc>
          <w:tcPr>
            <w:tcW w:w="628" w:type="pct"/>
            <w:shd w:val="clear" w:color="auto" w:fill="auto"/>
            <w:vAlign w:val="center"/>
          </w:tcPr>
          <w:p w:rsidR="002B790F" w:rsidRPr="006911FB" w:rsidRDefault="002B790F" w:rsidP="00C83660">
            <w:pPr>
              <w:pStyle w:val="Tabletext"/>
              <w:keepNext/>
              <w:keepLines/>
              <w:rPr>
                <w:lang w:val="en-US"/>
              </w:rPr>
            </w:pPr>
            <w:r w:rsidRPr="006911FB">
              <w:rPr>
                <w:lang w:val="en-US"/>
              </w:rPr>
              <w:t>OX219-006</w:t>
            </w:r>
          </w:p>
        </w:tc>
        <w:tc>
          <w:tcPr>
            <w:tcW w:w="312" w:type="pct"/>
            <w:shd w:val="clear" w:color="auto" w:fill="auto"/>
            <w:vAlign w:val="center"/>
          </w:tcPr>
          <w:p w:rsidR="002B790F" w:rsidRPr="006911FB" w:rsidRDefault="005951DE" w:rsidP="00C83660">
            <w:pPr>
              <w:pStyle w:val="Tabletext"/>
              <w:keepNext/>
              <w:keepLines/>
              <w:jc w:val="center"/>
              <w:rPr>
                <w:lang w:val="en-US"/>
              </w:rPr>
            </w:pPr>
            <w:r w:rsidRPr="006911FB">
              <w:rPr>
                <w:lang w:val="en-US"/>
              </w:rPr>
              <w:t>7</w:t>
            </w:r>
            <w:r w:rsidR="002B790F" w:rsidRPr="006911FB">
              <w:rPr>
                <w:lang w:val="en-US"/>
              </w:rPr>
              <w:t>58</w:t>
            </w:r>
          </w:p>
        </w:tc>
        <w:tc>
          <w:tcPr>
            <w:tcW w:w="708" w:type="pct"/>
            <w:shd w:val="clear" w:color="auto" w:fill="auto"/>
            <w:vAlign w:val="center"/>
          </w:tcPr>
          <w:p w:rsidR="002B790F" w:rsidRPr="006911FB" w:rsidRDefault="002B790F" w:rsidP="00C83660">
            <w:pPr>
              <w:pStyle w:val="Tabletext"/>
              <w:keepNext/>
              <w:keepLines/>
              <w:jc w:val="center"/>
              <w:rPr>
                <w:lang w:val="en-US"/>
              </w:rPr>
            </w:pPr>
            <w:r w:rsidRPr="006911FB">
              <w:rPr>
                <w:lang w:val="en-US"/>
              </w:rPr>
              <w:t xml:space="preserve">R, </w:t>
            </w:r>
            <w:r w:rsidR="00EC5E53" w:rsidRPr="006911FB">
              <w:rPr>
                <w:lang w:val="en-US"/>
              </w:rPr>
              <w:t xml:space="preserve">MC, </w:t>
            </w:r>
            <w:r w:rsidRPr="006911FB">
              <w:rPr>
                <w:lang w:val="en-US"/>
              </w:rPr>
              <w:t>initiation blinded</w:t>
            </w:r>
            <w:r w:rsidR="00AD318B" w:rsidRPr="006911FB">
              <w:rPr>
                <w:lang w:val="en-US"/>
              </w:rPr>
              <w:t xml:space="preserve"> then OL</w:t>
            </w:r>
            <w:r w:rsidRPr="006911FB">
              <w:rPr>
                <w:lang w:val="en-US"/>
              </w:rPr>
              <w:t>, cross-over</w:t>
            </w:r>
            <w:r w:rsidR="007E7B13" w:rsidRPr="006911FB">
              <w:rPr>
                <w:lang w:val="en-US"/>
              </w:rPr>
              <w:t xml:space="preserve"> </w:t>
            </w:r>
            <w:r w:rsidR="000D3790" w:rsidRPr="006911FB">
              <w:rPr>
                <w:lang w:val="en-US"/>
              </w:rPr>
              <w:t>at</w:t>
            </w:r>
          </w:p>
          <w:p w:rsidR="002B790F" w:rsidRPr="006911FB" w:rsidRDefault="00BB4C2B" w:rsidP="00C83660">
            <w:pPr>
              <w:pStyle w:val="Tabletext"/>
              <w:keepNext/>
              <w:keepLines/>
              <w:jc w:val="center"/>
              <w:rPr>
                <w:lang w:val="en-US"/>
              </w:rPr>
            </w:pPr>
            <w:r w:rsidRPr="006911FB">
              <w:rPr>
                <w:lang w:val="en-US"/>
              </w:rPr>
              <w:t>Day 15</w:t>
            </w:r>
          </w:p>
        </w:tc>
        <w:tc>
          <w:tcPr>
            <w:tcW w:w="472" w:type="pct"/>
            <w:shd w:val="clear" w:color="auto" w:fill="auto"/>
            <w:vAlign w:val="center"/>
          </w:tcPr>
          <w:p w:rsidR="002B790F" w:rsidRPr="006911FB" w:rsidRDefault="002B790F" w:rsidP="00C83660">
            <w:pPr>
              <w:pStyle w:val="Tabletext"/>
              <w:keepNext/>
              <w:keepLines/>
              <w:jc w:val="center"/>
              <w:rPr>
                <w:lang w:val="en-US"/>
              </w:rPr>
            </w:pPr>
            <w:r w:rsidRPr="006911FB">
              <w:rPr>
                <w:lang w:val="en-US"/>
              </w:rPr>
              <w:t>High</w:t>
            </w:r>
          </w:p>
        </w:tc>
        <w:tc>
          <w:tcPr>
            <w:tcW w:w="864" w:type="pct"/>
            <w:shd w:val="clear" w:color="auto" w:fill="auto"/>
            <w:vAlign w:val="center"/>
          </w:tcPr>
          <w:p w:rsidR="002B790F" w:rsidRPr="006911FB" w:rsidRDefault="00EC5E53" w:rsidP="00C83660">
            <w:pPr>
              <w:pStyle w:val="Tabletext"/>
              <w:keepNext/>
              <w:keepLines/>
              <w:jc w:val="center"/>
              <w:rPr>
                <w:lang w:val="en-US"/>
              </w:rPr>
            </w:pPr>
            <w:r w:rsidRPr="006911FB">
              <w:rPr>
                <w:lang w:val="en-US"/>
              </w:rPr>
              <w:t>Opioid dependence with at least mild withdrawal symptoms</w:t>
            </w:r>
          </w:p>
        </w:tc>
        <w:tc>
          <w:tcPr>
            <w:tcW w:w="2016" w:type="pct"/>
            <w:shd w:val="clear" w:color="auto" w:fill="auto"/>
            <w:vAlign w:val="center"/>
          </w:tcPr>
          <w:p w:rsidR="002B790F" w:rsidRPr="006911FB" w:rsidRDefault="00EC5E53" w:rsidP="00C83660">
            <w:pPr>
              <w:pStyle w:val="Tabletext"/>
              <w:keepNext/>
              <w:keepLines/>
              <w:jc w:val="center"/>
              <w:rPr>
                <w:lang w:val="en-US"/>
              </w:rPr>
            </w:pPr>
            <w:r w:rsidRPr="006911FB">
              <w:rPr>
                <w:lang w:val="en-US"/>
              </w:rPr>
              <w:t>Retention in treatment at Day 3</w:t>
            </w:r>
            <w:r w:rsidR="00265678" w:rsidRPr="006911FB">
              <w:rPr>
                <w:lang w:val="en-US"/>
              </w:rPr>
              <w:t>*</w:t>
            </w:r>
            <w:r w:rsidRPr="006911FB">
              <w:rPr>
                <w:lang w:val="en-US"/>
              </w:rPr>
              <w:t xml:space="preserve"> and 15 (co-primary outcomes)</w:t>
            </w:r>
            <w:r w:rsidR="006D3467" w:rsidRPr="006911FB">
              <w:rPr>
                <w:lang w:val="en-US"/>
              </w:rPr>
              <w:t>, key secondary outcomes: clinical opiate withdrawal scale and subjective opiate withdrawal scale, taste acceptability, ease of drug administration, change from baselin</w:t>
            </w:r>
            <w:r w:rsidR="00B75AD8" w:rsidRPr="006911FB">
              <w:rPr>
                <w:lang w:val="en-US"/>
              </w:rPr>
              <w:t>e</w:t>
            </w:r>
            <w:r w:rsidR="006D3467" w:rsidRPr="006911FB">
              <w:rPr>
                <w:lang w:val="en-US"/>
              </w:rPr>
              <w:t xml:space="preserve"> in V</w:t>
            </w:r>
            <w:r w:rsidR="00B75AD8" w:rsidRPr="006911FB">
              <w:rPr>
                <w:lang w:val="en-US"/>
              </w:rPr>
              <w:t>isual A</w:t>
            </w:r>
            <w:r w:rsidR="00651AC7" w:rsidRPr="006911FB">
              <w:rPr>
                <w:lang w:val="en-US"/>
              </w:rPr>
              <w:t>nalogue</w:t>
            </w:r>
            <w:r w:rsidR="00B75AD8" w:rsidRPr="006911FB">
              <w:rPr>
                <w:lang w:val="en-US"/>
              </w:rPr>
              <w:t xml:space="preserve"> Scale</w:t>
            </w:r>
            <w:r w:rsidR="006D3467" w:rsidRPr="006911FB">
              <w:rPr>
                <w:lang w:val="en-US"/>
              </w:rPr>
              <w:t xml:space="preserve"> for craving</w:t>
            </w:r>
          </w:p>
        </w:tc>
      </w:tr>
      <w:tr w:rsidR="006D3467" w:rsidRPr="006911FB" w:rsidTr="006D3467">
        <w:tc>
          <w:tcPr>
            <w:tcW w:w="628" w:type="pct"/>
            <w:shd w:val="clear" w:color="auto" w:fill="auto"/>
            <w:vAlign w:val="center"/>
          </w:tcPr>
          <w:p w:rsidR="002B790F" w:rsidRPr="006911FB" w:rsidRDefault="002B790F" w:rsidP="00C83660">
            <w:pPr>
              <w:pStyle w:val="Tabletext"/>
              <w:keepNext/>
              <w:keepLines/>
              <w:rPr>
                <w:lang w:val="en-US"/>
              </w:rPr>
            </w:pPr>
            <w:r w:rsidRPr="006911FB">
              <w:rPr>
                <w:lang w:val="en-US"/>
              </w:rPr>
              <w:t>NCT02038790</w:t>
            </w:r>
          </w:p>
        </w:tc>
        <w:tc>
          <w:tcPr>
            <w:tcW w:w="312" w:type="pct"/>
            <w:shd w:val="clear" w:color="auto" w:fill="auto"/>
            <w:vAlign w:val="center"/>
          </w:tcPr>
          <w:p w:rsidR="002B790F" w:rsidRPr="006911FB" w:rsidRDefault="002B790F" w:rsidP="00C83660">
            <w:pPr>
              <w:pStyle w:val="Tabletext"/>
              <w:keepNext/>
              <w:keepLines/>
              <w:jc w:val="center"/>
              <w:rPr>
                <w:lang w:val="en-US"/>
              </w:rPr>
            </w:pPr>
            <w:r w:rsidRPr="006911FB">
              <w:rPr>
                <w:lang w:val="en-US"/>
              </w:rPr>
              <w:t>3</w:t>
            </w:r>
            <w:r w:rsidR="00EC5E53" w:rsidRPr="006911FB">
              <w:rPr>
                <w:lang w:val="en-US"/>
              </w:rPr>
              <w:t>3</w:t>
            </w:r>
          </w:p>
        </w:tc>
        <w:tc>
          <w:tcPr>
            <w:tcW w:w="708" w:type="pct"/>
            <w:shd w:val="clear" w:color="auto" w:fill="auto"/>
            <w:vAlign w:val="center"/>
          </w:tcPr>
          <w:p w:rsidR="002B790F" w:rsidRPr="006911FB" w:rsidRDefault="002B790F" w:rsidP="00C83660">
            <w:pPr>
              <w:pStyle w:val="Tabletext"/>
              <w:keepNext/>
              <w:keepLines/>
              <w:jc w:val="center"/>
              <w:rPr>
                <w:lang w:val="en-US"/>
              </w:rPr>
            </w:pPr>
            <w:r w:rsidRPr="006911FB">
              <w:rPr>
                <w:lang w:val="en-US"/>
              </w:rPr>
              <w:t>R, OL, cross-over</w:t>
            </w:r>
          </w:p>
          <w:p w:rsidR="002B790F" w:rsidRPr="006911FB" w:rsidRDefault="002B790F" w:rsidP="00C83660">
            <w:pPr>
              <w:pStyle w:val="Tabletext"/>
              <w:keepNext/>
              <w:keepLines/>
              <w:jc w:val="center"/>
              <w:rPr>
                <w:lang w:val="en-US"/>
              </w:rPr>
            </w:pPr>
            <w:r w:rsidRPr="006911FB">
              <w:rPr>
                <w:lang w:val="en-US"/>
              </w:rPr>
              <w:t>2 days</w:t>
            </w:r>
          </w:p>
        </w:tc>
        <w:tc>
          <w:tcPr>
            <w:tcW w:w="472" w:type="pct"/>
            <w:shd w:val="clear" w:color="auto" w:fill="auto"/>
            <w:vAlign w:val="center"/>
          </w:tcPr>
          <w:p w:rsidR="002B790F" w:rsidRPr="006911FB" w:rsidRDefault="00EC5E53" w:rsidP="00C83660">
            <w:pPr>
              <w:pStyle w:val="Tabletext"/>
              <w:keepNext/>
              <w:keepLines/>
              <w:jc w:val="center"/>
              <w:rPr>
                <w:lang w:val="en-US"/>
              </w:rPr>
            </w:pPr>
            <w:r w:rsidRPr="006911FB">
              <w:rPr>
                <w:lang w:val="en-US"/>
              </w:rPr>
              <w:t>High</w:t>
            </w:r>
          </w:p>
        </w:tc>
        <w:tc>
          <w:tcPr>
            <w:tcW w:w="864" w:type="pct"/>
            <w:shd w:val="clear" w:color="auto" w:fill="auto"/>
            <w:vAlign w:val="center"/>
          </w:tcPr>
          <w:p w:rsidR="002B790F" w:rsidRPr="006911FB" w:rsidRDefault="00EC5E53" w:rsidP="00C83660">
            <w:pPr>
              <w:pStyle w:val="Tabletext"/>
              <w:keepNext/>
              <w:keepLines/>
              <w:jc w:val="center"/>
              <w:rPr>
                <w:lang w:val="en-US"/>
              </w:rPr>
            </w:pPr>
            <w:r w:rsidRPr="006911FB">
              <w:rPr>
                <w:lang w:val="en-US"/>
              </w:rPr>
              <w:t xml:space="preserve">Patients on an 8/2 dose of Suboxone </w:t>
            </w:r>
            <w:r w:rsidR="009A6732" w:rsidRPr="006911FB">
              <w:rPr>
                <w:lang w:val="en-US"/>
              </w:rPr>
              <w:t>f</w:t>
            </w:r>
            <w:r w:rsidRPr="006911FB">
              <w:rPr>
                <w:lang w:val="en-US"/>
              </w:rPr>
              <w:t>ilm or generic equivalent or on 5.7/1.4 Zubsolv</w:t>
            </w:r>
          </w:p>
        </w:tc>
        <w:tc>
          <w:tcPr>
            <w:tcW w:w="2016" w:type="pct"/>
            <w:shd w:val="clear" w:color="auto" w:fill="auto"/>
            <w:vAlign w:val="center"/>
          </w:tcPr>
          <w:p w:rsidR="002B790F" w:rsidRPr="006911FB" w:rsidRDefault="00EC5E53" w:rsidP="00C83660">
            <w:pPr>
              <w:pStyle w:val="Tabletext"/>
              <w:keepNext/>
              <w:keepLines/>
              <w:jc w:val="center"/>
              <w:rPr>
                <w:lang w:val="en-US"/>
              </w:rPr>
            </w:pPr>
            <w:r w:rsidRPr="006911FB">
              <w:rPr>
                <w:lang w:val="en-US"/>
              </w:rPr>
              <w:t>Patient treatment preference (primary outcome)</w:t>
            </w:r>
          </w:p>
        </w:tc>
      </w:tr>
    </w:tbl>
    <w:p w:rsidR="00265678" w:rsidRPr="006911FB" w:rsidRDefault="00265678" w:rsidP="00C83660">
      <w:pPr>
        <w:pStyle w:val="TableFooter"/>
        <w:keepNext/>
        <w:keepLines/>
        <w:widowControl/>
      </w:pPr>
      <w:r w:rsidRPr="006911FB">
        <w:t xml:space="preserve">*This outcome was added as a protocol amendment, approximately 9 months after the original protocol date </w:t>
      </w:r>
    </w:p>
    <w:p w:rsidR="007F1017" w:rsidRPr="006911FB" w:rsidRDefault="007F1017" w:rsidP="00C83660">
      <w:pPr>
        <w:pStyle w:val="TableFooter"/>
        <w:keepNext/>
        <w:keepLines/>
        <w:widowControl/>
      </w:pPr>
      <w:r w:rsidRPr="006911FB">
        <w:t>DB=double blind; MC=multi-centre; OL=open label; R=randomised.</w:t>
      </w:r>
    </w:p>
    <w:p w:rsidR="00045017" w:rsidRPr="006911FB" w:rsidRDefault="00EC5E53" w:rsidP="00C83660">
      <w:pPr>
        <w:pStyle w:val="TableFooter"/>
        <w:keepNext/>
        <w:keepLines/>
        <w:widowControl/>
        <w:rPr>
          <w:sz w:val="20"/>
        </w:rPr>
      </w:pPr>
      <w:r w:rsidRPr="006911FB">
        <w:t>Source: Table 2-15, pp69-70 of the submission, Section 2.4 of the submission, and compiled from Section 2 of the submission during the evaluation.</w:t>
      </w:r>
    </w:p>
    <w:p w:rsidR="007F1017" w:rsidRPr="006911FB" w:rsidRDefault="007F1017" w:rsidP="009A4F97">
      <w:pPr>
        <w:widowControl/>
      </w:pPr>
    </w:p>
    <w:p w:rsidR="002171AE" w:rsidRPr="00E5098C" w:rsidRDefault="006F5C54" w:rsidP="00C83660">
      <w:pPr>
        <w:pStyle w:val="ListParagraph"/>
        <w:widowControl/>
        <w:numPr>
          <w:ilvl w:val="1"/>
          <w:numId w:val="1"/>
        </w:numPr>
        <w:spacing w:after="120"/>
      </w:pPr>
      <w:r w:rsidRPr="00E5098C">
        <w:t>T</w:t>
      </w:r>
      <w:r w:rsidR="002171AE" w:rsidRPr="00E5098C">
        <w:t xml:space="preserve">he </w:t>
      </w:r>
      <w:r w:rsidR="005472C1">
        <w:t>ESC</w:t>
      </w:r>
      <w:r w:rsidR="005472C1" w:rsidRPr="00E5098C">
        <w:t xml:space="preserve"> </w:t>
      </w:r>
      <w:r w:rsidR="002171AE" w:rsidRPr="00E5098C">
        <w:t xml:space="preserve">noted </w:t>
      </w:r>
      <w:r w:rsidR="00663DCE" w:rsidRPr="00E5098C">
        <w:t xml:space="preserve">that Trial </w:t>
      </w:r>
      <w:r w:rsidRPr="00E5098C">
        <w:t xml:space="preserve">OX219-006 </w:t>
      </w:r>
      <w:r w:rsidR="00663DCE" w:rsidRPr="00E5098C">
        <w:t>may not be directly relevant to Australian clinical practice because</w:t>
      </w:r>
      <w:r w:rsidR="008463F2">
        <w:t>:</w:t>
      </w:r>
      <w:r w:rsidR="00663DCE" w:rsidRPr="00E5098C">
        <w:t xml:space="preserve"> 1) it was conducted </w:t>
      </w:r>
      <w:r w:rsidR="002171AE" w:rsidRPr="00E5098C">
        <w:t xml:space="preserve">in the US, where </w:t>
      </w:r>
      <w:r w:rsidRPr="00E5098C">
        <w:t xml:space="preserve">the </w:t>
      </w:r>
      <w:r w:rsidR="00036129" w:rsidRPr="00E5098C">
        <w:t>OST treatment</w:t>
      </w:r>
      <w:r w:rsidR="002171AE" w:rsidRPr="00E5098C">
        <w:t xml:space="preserve"> model</w:t>
      </w:r>
      <w:r w:rsidR="00036129" w:rsidRPr="00E5098C">
        <w:t xml:space="preserve"> </w:t>
      </w:r>
      <w:r w:rsidR="00036129" w:rsidRPr="00E5098C">
        <w:lastRenderedPageBreak/>
        <w:t>(referred to as opioid agonist treatment (OAT))</w:t>
      </w:r>
      <w:r w:rsidR="002171AE" w:rsidRPr="00E5098C">
        <w:t xml:space="preserve"> </w:t>
      </w:r>
      <w:r w:rsidR="00663DCE" w:rsidRPr="00E5098C">
        <w:t xml:space="preserve">is </w:t>
      </w:r>
      <w:r w:rsidR="002171AE" w:rsidRPr="00E5098C">
        <w:t>different to Australia</w:t>
      </w:r>
      <w:r w:rsidR="007D74B1">
        <w:t xml:space="preserve">. However, the Sponsor argued in its </w:t>
      </w:r>
      <w:r w:rsidR="001822F9">
        <w:t>p</w:t>
      </w:r>
      <w:r w:rsidR="007D74B1">
        <w:t xml:space="preserve">re-PBAC response, that the differences in treatments between the two countries </w:t>
      </w:r>
      <w:r w:rsidR="001A0631">
        <w:t>do</w:t>
      </w:r>
      <w:r w:rsidR="007D74B1">
        <w:t xml:space="preserve"> not invalidate the comparative trial results</w:t>
      </w:r>
      <w:r w:rsidR="00663DCE" w:rsidRPr="00E5098C">
        <w:t xml:space="preserve">; 2) </w:t>
      </w:r>
      <w:r w:rsidR="002171AE" w:rsidRPr="00E5098C">
        <w:t>30% of participants were not OAT naïve</w:t>
      </w:r>
      <w:r w:rsidRPr="00E5098C">
        <w:t>, which may introduce bias</w:t>
      </w:r>
      <w:r w:rsidR="00663DCE" w:rsidRPr="00E5098C">
        <w:t>; and 3)</w:t>
      </w:r>
      <w:r w:rsidR="00910515" w:rsidRPr="00E5098C">
        <w:t xml:space="preserve"> patients were titrated to a maximum of 24</w:t>
      </w:r>
      <w:r w:rsidR="00333E59">
        <w:t xml:space="preserve"> </w:t>
      </w:r>
      <w:r w:rsidR="00910515" w:rsidRPr="00E5098C">
        <w:t>mg buprenorphine for Suboxone film, whereas the maximum daily dose in the Australian setting is 32</w:t>
      </w:r>
      <w:r w:rsidR="00333E59">
        <w:t xml:space="preserve"> </w:t>
      </w:r>
      <w:r w:rsidR="00910515" w:rsidRPr="00E5098C">
        <w:t>mg (NSW Clinical Guidelines, page</w:t>
      </w:r>
      <w:r w:rsidR="00FD3836">
        <w:t> </w:t>
      </w:r>
      <w:r w:rsidR="00910515" w:rsidRPr="00E5098C">
        <w:t xml:space="preserve">30). </w:t>
      </w:r>
    </w:p>
    <w:p w:rsidR="002A05AA" w:rsidRDefault="001E0F57" w:rsidP="00C83660">
      <w:pPr>
        <w:pStyle w:val="ListParagraph"/>
        <w:widowControl/>
        <w:numPr>
          <w:ilvl w:val="1"/>
          <w:numId w:val="1"/>
        </w:numPr>
        <w:spacing w:after="120"/>
      </w:pPr>
      <w:bookmarkStart w:id="9" w:name="_Ref22200152"/>
      <w:r>
        <w:t xml:space="preserve">The </w:t>
      </w:r>
      <w:r w:rsidR="00A33D77" w:rsidRPr="00E5098C">
        <w:t>ESC considered that w</w:t>
      </w:r>
      <w:r w:rsidR="00645DC7" w:rsidRPr="00E5098C">
        <w:t xml:space="preserve">hile </w:t>
      </w:r>
      <w:r w:rsidR="00A33D77" w:rsidRPr="00E5098C">
        <w:t xml:space="preserve">the primary outcome of </w:t>
      </w:r>
      <w:r w:rsidR="00645DC7" w:rsidRPr="00E5098C">
        <w:t xml:space="preserve">retention in treatment </w:t>
      </w:r>
      <w:r w:rsidR="00A33D77" w:rsidRPr="00E5098C">
        <w:t xml:space="preserve">was </w:t>
      </w:r>
      <w:r w:rsidR="004B4303" w:rsidRPr="00E5098C">
        <w:t>important</w:t>
      </w:r>
      <w:r w:rsidR="00645DC7" w:rsidRPr="00E5098C">
        <w:t xml:space="preserve">, </w:t>
      </w:r>
      <w:r w:rsidR="004B4303" w:rsidRPr="00E5098C">
        <w:t>this should ideally have been assessed over a longer time period than 13/15 days and supported by</w:t>
      </w:r>
      <w:r w:rsidR="00550787" w:rsidRPr="00E5098C">
        <w:t xml:space="preserve"> </w:t>
      </w:r>
      <w:r w:rsidR="00645DC7" w:rsidRPr="00E5098C">
        <w:t xml:space="preserve">an objective </w:t>
      </w:r>
      <w:r w:rsidR="00A33D77" w:rsidRPr="00E5098C">
        <w:t>measure of decreased drug use</w:t>
      </w:r>
      <w:r w:rsidR="00A33D77" w:rsidRPr="006911FB">
        <w:t xml:space="preserve"> </w:t>
      </w:r>
      <w:r w:rsidR="00645DC7" w:rsidRPr="006911FB">
        <w:t xml:space="preserve">such as </w:t>
      </w:r>
      <w:r w:rsidR="00E66932">
        <w:t>‘</w:t>
      </w:r>
      <w:r w:rsidR="00645DC7" w:rsidRPr="006911FB">
        <w:t>proportion of patients with urine samples negative for illicit opioids</w:t>
      </w:r>
      <w:r w:rsidR="00E66932">
        <w:t>’</w:t>
      </w:r>
      <w:r w:rsidR="00645DC7" w:rsidRPr="006911FB">
        <w:t>, as presented in the Buvidal (</w:t>
      </w:r>
      <w:r w:rsidR="00C47E55" w:rsidRPr="006911FB">
        <w:t>November 2018</w:t>
      </w:r>
      <w:r w:rsidR="00645DC7" w:rsidRPr="006911FB">
        <w:t xml:space="preserve"> PSD) and Sublocade (March 2019 PSD) submissions.</w:t>
      </w:r>
      <w:bookmarkEnd w:id="9"/>
      <w:r w:rsidR="006F5C54">
        <w:t xml:space="preserve"> </w:t>
      </w:r>
    </w:p>
    <w:p w:rsidR="00B82F48" w:rsidRPr="006911FB" w:rsidRDefault="00B82F48" w:rsidP="00C83660">
      <w:pPr>
        <w:pStyle w:val="ListParagraph"/>
        <w:widowControl/>
        <w:numPr>
          <w:ilvl w:val="1"/>
          <w:numId w:val="1"/>
        </w:numPr>
        <w:spacing w:after="120"/>
      </w:pPr>
      <w:r w:rsidRPr="006911FB">
        <w:t>Dose conversion for patients on Suboxone film who were converted to Zubsolv at Day</w:t>
      </w:r>
      <w:r w:rsidR="004A7F03">
        <w:t> </w:t>
      </w:r>
      <w:r w:rsidRPr="006911FB">
        <w:t xml:space="preserve">15 in Trial OX219-006 occurred </w:t>
      </w:r>
      <w:r w:rsidRPr="00F132F1">
        <w:t xml:space="preserve">using the following conversion table, see </w:t>
      </w:r>
      <w:r w:rsidR="00FB0FE5" w:rsidRPr="00F132F1">
        <w:t>Table 4</w:t>
      </w:r>
      <w:r w:rsidRPr="00F132F1">
        <w:t>.</w:t>
      </w:r>
      <w:r w:rsidRPr="006911FB">
        <w:t xml:space="preserve"> </w:t>
      </w:r>
      <w:r w:rsidR="001E0F57">
        <w:t>The PBAC considered t</w:t>
      </w:r>
      <w:r w:rsidRPr="006911FB">
        <w:t xml:space="preserve">he use of pre-assumed dose relativities </w:t>
      </w:r>
      <w:r w:rsidR="00715395">
        <w:t xml:space="preserve">may </w:t>
      </w:r>
      <w:r w:rsidRPr="006911FB">
        <w:t>introduce bias in any estimation of dose equivalence, with any dose adjustments made only on evidence of under- or over-dosing.</w:t>
      </w:r>
    </w:p>
    <w:p w:rsidR="007D4A03" w:rsidRPr="00F132F1" w:rsidRDefault="00027EC4" w:rsidP="009A4F97">
      <w:pPr>
        <w:pStyle w:val="Caption"/>
        <w:keepNext/>
        <w:widowControl/>
        <w:spacing w:after="0"/>
        <w:rPr>
          <w:rStyle w:val="CommentReference"/>
          <w:b/>
          <w:color w:val="000000" w:themeColor="text1"/>
        </w:rPr>
      </w:pPr>
      <w:bookmarkStart w:id="10" w:name="_Ref17406586"/>
      <w:r w:rsidRPr="00F132F1">
        <w:rPr>
          <w:rStyle w:val="CommentReference"/>
          <w:b/>
          <w:color w:val="000000" w:themeColor="text1"/>
        </w:rPr>
        <w:t xml:space="preserve">Table </w:t>
      </w:r>
      <w:r w:rsidR="00613A1E" w:rsidRPr="00F132F1">
        <w:rPr>
          <w:rStyle w:val="CommentReference"/>
          <w:b/>
          <w:noProof/>
          <w:color w:val="000000" w:themeColor="text1"/>
        </w:rPr>
        <w:t>4</w:t>
      </w:r>
      <w:bookmarkEnd w:id="10"/>
      <w:r w:rsidRPr="00F132F1">
        <w:rPr>
          <w:rStyle w:val="CommentReference"/>
          <w:b/>
          <w:color w:val="000000" w:themeColor="text1"/>
        </w:rPr>
        <w:t>:</w:t>
      </w:r>
      <w:r w:rsidR="007D4A03" w:rsidRPr="00F132F1">
        <w:rPr>
          <w:rStyle w:val="CommentReference"/>
          <w:b/>
          <w:color w:val="000000" w:themeColor="text1"/>
        </w:rPr>
        <w:t xml:space="preserve"> Conversion table for doses of Suboxone </w:t>
      </w:r>
      <w:r w:rsidR="0048343F" w:rsidRPr="00F132F1">
        <w:rPr>
          <w:rStyle w:val="CommentReference"/>
          <w:b/>
          <w:color w:val="000000" w:themeColor="text1"/>
        </w:rPr>
        <w:t>f</w:t>
      </w:r>
      <w:r w:rsidR="007D4A03" w:rsidRPr="00F132F1">
        <w:rPr>
          <w:rStyle w:val="CommentReference"/>
          <w:b/>
          <w:color w:val="000000" w:themeColor="text1"/>
        </w:rPr>
        <w:t>ilm to Zubsolv</w:t>
      </w:r>
    </w:p>
    <w:tbl>
      <w:tblPr>
        <w:tblStyle w:val="TableGrid"/>
        <w:tblW w:w="0" w:type="auto"/>
        <w:shd w:val="clear" w:color="auto" w:fill="FFFFFF" w:themeFill="background1"/>
        <w:tblLook w:val="04A0" w:firstRow="1" w:lastRow="0" w:firstColumn="1" w:lastColumn="0" w:noHBand="0" w:noVBand="1"/>
        <w:tblCaption w:val="Table 4: Conversion table for doses of Suboxone film to Zubsolv"/>
      </w:tblPr>
      <w:tblGrid>
        <w:gridCol w:w="4463"/>
        <w:gridCol w:w="4463"/>
      </w:tblGrid>
      <w:tr w:rsidR="007D4A03" w:rsidRPr="00F132F1" w:rsidTr="00D208E5">
        <w:trPr>
          <w:tblHeader/>
        </w:trPr>
        <w:tc>
          <w:tcPr>
            <w:tcW w:w="4463" w:type="dxa"/>
            <w:shd w:val="clear" w:color="auto" w:fill="FFFFFF" w:themeFill="background1"/>
          </w:tcPr>
          <w:p w:rsidR="007D4A03" w:rsidRPr="00F132F1" w:rsidRDefault="007D4A03" w:rsidP="009A4F97">
            <w:pPr>
              <w:keepNext/>
              <w:widowControl/>
              <w:jc w:val="center"/>
              <w:rPr>
                <w:rFonts w:ascii="Arial Narrow" w:hAnsi="Arial Narrow"/>
                <w:b/>
                <w:sz w:val="20"/>
                <w:szCs w:val="20"/>
              </w:rPr>
            </w:pPr>
            <w:r w:rsidRPr="00F132F1">
              <w:rPr>
                <w:rFonts w:ascii="Arial Narrow" w:hAnsi="Arial Narrow"/>
                <w:b/>
                <w:sz w:val="20"/>
                <w:szCs w:val="20"/>
              </w:rPr>
              <w:t xml:space="preserve">Suboxone film dose </w:t>
            </w:r>
            <w:r w:rsidRPr="00F132F1">
              <w:rPr>
                <w:rFonts w:ascii="Arial Narrow" w:hAnsi="Arial Narrow"/>
                <w:sz w:val="20"/>
                <w:szCs w:val="20"/>
              </w:rPr>
              <w:t>(Buprenorphine/naloxone mg)</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rPr>
            </w:pPr>
            <w:r w:rsidRPr="00F132F1">
              <w:rPr>
                <w:rFonts w:ascii="Arial Narrow" w:hAnsi="Arial Narrow"/>
                <w:b/>
                <w:sz w:val="20"/>
                <w:szCs w:val="20"/>
              </w:rPr>
              <w:t xml:space="preserve">Zubsolv dose </w:t>
            </w:r>
            <w:r w:rsidRPr="00F132F1">
              <w:rPr>
                <w:rFonts w:ascii="Arial Narrow" w:hAnsi="Arial Narrow"/>
                <w:sz w:val="20"/>
                <w:szCs w:val="20"/>
              </w:rPr>
              <w:t>(Buprenorphine/naloxone mg)</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8/2</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5.7/1.4</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10/2.5</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7.1/1.8</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12/3</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8.5/2.1</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14/3.5</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9.9/2.5</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16/4</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11.4/2.8</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18/4.5</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12.8/3.2</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20/5</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14.2/3.5</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22/5.5</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15.6/3.9</w:t>
            </w:r>
          </w:p>
        </w:tc>
      </w:tr>
      <w:tr w:rsidR="007D4A03" w:rsidRPr="00F132F1" w:rsidTr="00D208E5">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24/6</w:t>
            </w:r>
          </w:p>
        </w:tc>
        <w:tc>
          <w:tcPr>
            <w:tcW w:w="4463" w:type="dxa"/>
            <w:shd w:val="clear" w:color="auto" w:fill="FFFFFF" w:themeFill="background1"/>
          </w:tcPr>
          <w:p w:rsidR="007D4A03" w:rsidRPr="00F132F1" w:rsidRDefault="007D4A03" w:rsidP="009A4F97">
            <w:pPr>
              <w:keepNext/>
              <w:widowControl/>
              <w:jc w:val="center"/>
              <w:rPr>
                <w:rFonts w:ascii="Arial Narrow" w:hAnsi="Arial Narrow"/>
                <w:sz w:val="20"/>
                <w:szCs w:val="20"/>
                <w:lang w:val="en-GB"/>
              </w:rPr>
            </w:pPr>
            <w:r w:rsidRPr="00F132F1">
              <w:rPr>
                <w:rFonts w:ascii="Arial Narrow" w:hAnsi="Arial Narrow"/>
                <w:sz w:val="20"/>
                <w:szCs w:val="20"/>
                <w:lang w:val="en-GB"/>
              </w:rPr>
              <w:t>17.1/4.2</w:t>
            </w:r>
          </w:p>
        </w:tc>
      </w:tr>
    </w:tbl>
    <w:p w:rsidR="007D4A03" w:rsidRPr="006911FB" w:rsidRDefault="007D4A03" w:rsidP="009A4F97">
      <w:pPr>
        <w:widowControl/>
        <w:rPr>
          <w:rFonts w:ascii="Arial Narrow" w:hAnsi="Arial Narrow"/>
          <w:sz w:val="18"/>
          <w:szCs w:val="18"/>
        </w:rPr>
      </w:pPr>
      <w:r w:rsidRPr="00F132F1">
        <w:rPr>
          <w:rFonts w:ascii="Arial Narrow" w:hAnsi="Arial Narrow"/>
          <w:sz w:val="18"/>
          <w:szCs w:val="18"/>
        </w:rPr>
        <w:t>Source: Table 2-16, p70 of the submission.</w:t>
      </w:r>
    </w:p>
    <w:p w:rsidR="007D4A03" w:rsidRPr="006911FB" w:rsidRDefault="007D4A03" w:rsidP="009A4F97">
      <w:pPr>
        <w:widowControl/>
        <w:rPr>
          <w:rFonts w:ascii="Arial Narrow" w:hAnsi="Arial Narrow"/>
          <w:sz w:val="18"/>
          <w:szCs w:val="18"/>
        </w:rPr>
      </w:pPr>
    </w:p>
    <w:p w:rsidR="00B82F48" w:rsidRPr="00F132F1" w:rsidRDefault="00B82F48" w:rsidP="00C83660">
      <w:pPr>
        <w:pStyle w:val="ListParagraph"/>
        <w:widowControl/>
        <w:numPr>
          <w:ilvl w:val="1"/>
          <w:numId w:val="1"/>
        </w:numPr>
        <w:spacing w:after="120"/>
      </w:pPr>
      <w:r w:rsidRPr="00F132F1">
        <w:t>Only a limited number of tablet and film strengths were available for use during the trial</w:t>
      </w:r>
      <w:r w:rsidR="00EB57CF" w:rsidRPr="00F132F1">
        <w:t xml:space="preserve">. </w:t>
      </w:r>
      <w:r w:rsidR="00DD1F24" w:rsidRPr="00F132F1">
        <w:t>F</w:t>
      </w:r>
      <w:r w:rsidR="0048343F" w:rsidRPr="00F132F1">
        <w:t xml:space="preserve">our </w:t>
      </w:r>
      <w:r w:rsidRPr="00F132F1">
        <w:t xml:space="preserve">additional strengths to </w:t>
      </w:r>
      <w:r w:rsidR="00FF2663" w:rsidRPr="00F132F1">
        <w:t xml:space="preserve">the two strengths </w:t>
      </w:r>
      <w:r w:rsidR="00DD1F24" w:rsidRPr="00F132F1">
        <w:t xml:space="preserve">of Zubsolv </w:t>
      </w:r>
      <w:r w:rsidR="00FF2663" w:rsidRPr="00F132F1">
        <w:t xml:space="preserve">that were </w:t>
      </w:r>
      <w:r w:rsidRPr="00F132F1">
        <w:t>used in the trial</w:t>
      </w:r>
      <w:r w:rsidR="00FF2663" w:rsidRPr="00F132F1">
        <w:t xml:space="preserve"> (i.e. 5.7/1.4 mg and 1.4/0.36 mg)</w:t>
      </w:r>
      <w:r w:rsidRPr="00F132F1">
        <w:t xml:space="preserve"> are proposed for PBS listing. The conversion table for the tablet and film strengths is detailed in </w:t>
      </w:r>
      <w:r w:rsidR="00FB0FE5" w:rsidRPr="00F132F1">
        <w:t>Table 5</w:t>
      </w:r>
      <w:r w:rsidRPr="00F132F1">
        <w:t>.</w:t>
      </w:r>
    </w:p>
    <w:p w:rsidR="00B82F48" w:rsidRPr="00F132F1" w:rsidRDefault="00027EC4" w:rsidP="00C83660">
      <w:pPr>
        <w:pStyle w:val="Caption"/>
        <w:keepNext/>
        <w:widowControl/>
        <w:spacing w:after="0"/>
        <w:rPr>
          <w:rStyle w:val="CommentReference"/>
          <w:b/>
          <w:color w:val="000000" w:themeColor="text1"/>
        </w:rPr>
      </w:pPr>
      <w:bookmarkStart w:id="11" w:name="_Ref17406691"/>
      <w:r w:rsidRPr="00F132F1">
        <w:rPr>
          <w:rStyle w:val="CommentReference"/>
          <w:b/>
          <w:color w:val="000000" w:themeColor="text1"/>
        </w:rPr>
        <w:lastRenderedPageBreak/>
        <w:t xml:space="preserve">Table </w:t>
      </w:r>
      <w:r w:rsidR="00613A1E" w:rsidRPr="00F132F1">
        <w:rPr>
          <w:rStyle w:val="CommentReference"/>
          <w:b/>
          <w:noProof/>
          <w:color w:val="000000" w:themeColor="text1"/>
        </w:rPr>
        <w:t>5</w:t>
      </w:r>
      <w:bookmarkEnd w:id="11"/>
      <w:r w:rsidRPr="00F132F1">
        <w:rPr>
          <w:rStyle w:val="CommentReference"/>
          <w:b/>
          <w:color w:val="000000" w:themeColor="text1"/>
        </w:rPr>
        <w:t>:</w:t>
      </w:r>
      <w:r w:rsidR="00B82F48" w:rsidRPr="00F132F1">
        <w:rPr>
          <w:rStyle w:val="CommentReference"/>
          <w:b/>
          <w:color w:val="000000" w:themeColor="text1"/>
        </w:rPr>
        <w:t xml:space="preserve"> Conversion table for </w:t>
      </w:r>
      <w:r w:rsidR="00204BF6" w:rsidRPr="00F132F1">
        <w:rPr>
          <w:rStyle w:val="CommentReference"/>
          <w:b/>
          <w:color w:val="000000" w:themeColor="text1"/>
        </w:rPr>
        <w:t xml:space="preserve">dose to tablets/films for </w:t>
      </w:r>
      <w:r w:rsidR="00B82F48" w:rsidRPr="00F132F1">
        <w:rPr>
          <w:rStyle w:val="CommentReference"/>
          <w:b/>
          <w:color w:val="000000" w:themeColor="text1"/>
        </w:rPr>
        <w:t xml:space="preserve">Suboxone film </w:t>
      </w:r>
      <w:r w:rsidR="00204BF6" w:rsidRPr="00F132F1">
        <w:rPr>
          <w:rStyle w:val="CommentReference"/>
          <w:b/>
          <w:color w:val="000000" w:themeColor="text1"/>
        </w:rPr>
        <w:t xml:space="preserve">and </w:t>
      </w:r>
      <w:r w:rsidR="00B82F48" w:rsidRPr="00F132F1">
        <w:rPr>
          <w:rStyle w:val="CommentReference"/>
          <w:b/>
          <w:color w:val="000000" w:themeColor="text1"/>
        </w:rPr>
        <w:t>Zubsolv</w:t>
      </w:r>
    </w:p>
    <w:tbl>
      <w:tblPr>
        <w:tblStyle w:val="TableGrid"/>
        <w:tblW w:w="0" w:type="auto"/>
        <w:tblLook w:val="04A0" w:firstRow="1" w:lastRow="0" w:firstColumn="1" w:lastColumn="0" w:noHBand="0" w:noVBand="1"/>
        <w:tblCaption w:val="Table 5: Conversion table for dose to tablets/films for Suboxone film and Zubsolv"/>
      </w:tblPr>
      <w:tblGrid>
        <w:gridCol w:w="1413"/>
        <w:gridCol w:w="3050"/>
        <w:gridCol w:w="1486"/>
        <w:gridCol w:w="2977"/>
      </w:tblGrid>
      <w:tr w:rsidR="00B82F48" w:rsidRPr="00F132F1" w:rsidTr="00D77AFE">
        <w:trPr>
          <w:tblHeader/>
        </w:trPr>
        <w:tc>
          <w:tcPr>
            <w:tcW w:w="4463" w:type="dxa"/>
            <w:gridSpan w:val="2"/>
            <w:shd w:val="clear" w:color="auto" w:fill="FFFFFF" w:themeFill="background1"/>
          </w:tcPr>
          <w:p w:rsidR="00B82F48" w:rsidRPr="00F132F1" w:rsidRDefault="00B82F48" w:rsidP="00C83660">
            <w:pPr>
              <w:pStyle w:val="KMC16-TableHeading"/>
              <w:keepNext/>
              <w:spacing w:before="0" w:after="0"/>
              <w:jc w:val="center"/>
              <w:rPr>
                <w:color w:val="auto"/>
              </w:rPr>
            </w:pPr>
            <w:r w:rsidRPr="00F132F1">
              <w:rPr>
                <w:color w:val="auto"/>
              </w:rPr>
              <w:t>Zubsolv dose level</w:t>
            </w:r>
          </w:p>
          <w:p w:rsidR="00B82F48" w:rsidRPr="00F132F1" w:rsidRDefault="00B82F48" w:rsidP="00C83660">
            <w:pPr>
              <w:pStyle w:val="KMC16-TableHeading"/>
              <w:keepNext/>
              <w:spacing w:before="0" w:after="0"/>
              <w:jc w:val="center"/>
              <w:rPr>
                <w:b w:val="0"/>
                <w:color w:val="auto"/>
              </w:rPr>
            </w:pPr>
            <w:r w:rsidRPr="00F132F1">
              <w:rPr>
                <w:b w:val="0"/>
                <w:color w:val="auto"/>
              </w:rPr>
              <w:t>(Buprenorphine/naloxone mg)</w:t>
            </w:r>
          </w:p>
        </w:tc>
        <w:tc>
          <w:tcPr>
            <w:tcW w:w="4463" w:type="dxa"/>
            <w:gridSpan w:val="2"/>
            <w:shd w:val="clear" w:color="auto" w:fill="FFFFFF" w:themeFill="background1"/>
          </w:tcPr>
          <w:p w:rsidR="00B82F48" w:rsidRPr="00F132F1" w:rsidRDefault="00B82F48" w:rsidP="00C83660">
            <w:pPr>
              <w:pStyle w:val="KMC16-TableHeading"/>
              <w:keepNext/>
              <w:spacing w:before="0" w:after="0"/>
              <w:jc w:val="center"/>
              <w:rPr>
                <w:color w:val="auto"/>
              </w:rPr>
            </w:pPr>
            <w:r w:rsidRPr="00F132F1">
              <w:rPr>
                <w:color w:val="auto"/>
              </w:rPr>
              <w:t>Suboxone film dose level</w:t>
            </w:r>
          </w:p>
          <w:p w:rsidR="00B82F48" w:rsidRPr="00F132F1" w:rsidRDefault="00B82F48" w:rsidP="00C83660">
            <w:pPr>
              <w:pStyle w:val="KMC16-TableHeading"/>
              <w:keepNext/>
              <w:spacing w:before="0" w:after="0"/>
              <w:jc w:val="center"/>
              <w:rPr>
                <w:b w:val="0"/>
                <w:color w:val="auto"/>
              </w:rPr>
            </w:pPr>
            <w:r w:rsidRPr="00F132F1">
              <w:rPr>
                <w:b w:val="0"/>
                <w:color w:val="auto"/>
              </w:rPr>
              <w:t>(Buprenorphine/naloxone mg)</w:t>
            </w:r>
          </w:p>
        </w:tc>
      </w:tr>
      <w:tr w:rsidR="00B82F48" w:rsidRPr="00F132F1" w:rsidTr="00D77AFE">
        <w:trPr>
          <w:tblHeader/>
        </w:trPr>
        <w:tc>
          <w:tcPr>
            <w:tcW w:w="1413" w:type="dxa"/>
            <w:shd w:val="clear" w:color="auto" w:fill="FFFFFF" w:themeFill="background1"/>
          </w:tcPr>
          <w:p w:rsidR="00B82F48" w:rsidRPr="00F132F1" w:rsidRDefault="00B82F48" w:rsidP="00C83660">
            <w:pPr>
              <w:pStyle w:val="KMC16-TableHeading"/>
              <w:keepNext/>
              <w:spacing w:before="0" w:after="0"/>
            </w:pPr>
            <w:r w:rsidRPr="00F132F1">
              <w:t>Dose</w:t>
            </w:r>
          </w:p>
        </w:tc>
        <w:tc>
          <w:tcPr>
            <w:tcW w:w="3050" w:type="dxa"/>
            <w:shd w:val="clear" w:color="auto" w:fill="FFFFFF" w:themeFill="background1"/>
            <w:vAlign w:val="bottom"/>
          </w:tcPr>
          <w:p w:rsidR="00B82F48" w:rsidRPr="00F132F1" w:rsidRDefault="00B82F48" w:rsidP="00C83660">
            <w:pPr>
              <w:pStyle w:val="KMC16-TableHeading"/>
              <w:keepNext/>
              <w:spacing w:before="0" w:after="0"/>
              <w:rPr>
                <w:color w:val="auto"/>
              </w:rPr>
            </w:pPr>
            <w:r w:rsidRPr="00F132F1">
              <w:rPr>
                <w:color w:val="auto"/>
              </w:rPr>
              <w:t>Number of tablets</w:t>
            </w:r>
          </w:p>
        </w:tc>
        <w:tc>
          <w:tcPr>
            <w:tcW w:w="1486" w:type="dxa"/>
            <w:shd w:val="clear" w:color="auto" w:fill="FFFFFF" w:themeFill="background1"/>
          </w:tcPr>
          <w:p w:rsidR="00B82F48" w:rsidRPr="00F132F1" w:rsidRDefault="00B82F48" w:rsidP="00C83660">
            <w:pPr>
              <w:pStyle w:val="KMC16-TableHeading"/>
              <w:keepNext/>
              <w:spacing w:before="0" w:after="0"/>
              <w:rPr>
                <w:color w:val="auto"/>
              </w:rPr>
            </w:pPr>
            <w:r w:rsidRPr="00F132F1">
              <w:rPr>
                <w:color w:val="auto"/>
              </w:rPr>
              <w:t>Dose</w:t>
            </w:r>
          </w:p>
        </w:tc>
        <w:tc>
          <w:tcPr>
            <w:tcW w:w="2977" w:type="dxa"/>
            <w:shd w:val="clear" w:color="auto" w:fill="FFFFFF" w:themeFill="background1"/>
            <w:vAlign w:val="bottom"/>
          </w:tcPr>
          <w:p w:rsidR="00B82F48" w:rsidRPr="00F132F1" w:rsidRDefault="00B82F48" w:rsidP="00C83660">
            <w:pPr>
              <w:pStyle w:val="KMC16-TableHeading"/>
              <w:keepNext/>
              <w:spacing w:before="0" w:after="0"/>
              <w:rPr>
                <w:color w:val="auto"/>
              </w:rPr>
            </w:pPr>
            <w:r w:rsidRPr="00F132F1">
              <w:rPr>
                <w:color w:val="auto"/>
              </w:rPr>
              <w:t>Number of films</w:t>
            </w:r>
          </w:p>
        </w:tc>
      </w:tr>
      <w:tr w:rsidR="00B82F48" w:rsidRPr="00F132F1" w:rsidTr="00D77AFE">
        <w:trPr>
          <w:tblHeader/>
        </w:trPr>
        <w:tc>
          <w:tcPr>
            <w:tcW w:w="1413" w:type="dxa"/>
          </w:tcPr>
          <w:p w:rsidR="00B82F48" w:rsidRPr="00F132F1" w:rsidRDefault="00B82F48" w:rsidP="00C83660">
            <w:pPr>
              <w:pStyle w:val="KMC16-Tablecontent"/>
              <w:keepNext/>
              <w:spacing w:before="0" w:after="0"/>
              <w:rPr>
                <w:rFonts w:cs="Calibri"/>
                <w:szCs w:val="20"/>
              </w:rPr>
            </w:pPr>
            <w:r w:rsidRPr="00F132F1">
              <w:rPr>
                <w:szCs w:val="20"/>
              </w:rPr>
              <w:t>5.7/1.4 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8/2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w:t>
            </w:r>
          </w:p>
        </w:tc>
      </w:tr>
      <w:tr w:rsidR="00B82F48" w:rsidRPr="00F132F1" w:rsidTr="00D77AFE">
        <w:trPr>
          <w:tblHeader/>
        </w:trPr>
        <w:tc>
          <w:tcPr>
            <w:tcW w:w="1413" w:type="dxa"/>
          </w:tcPr>
          <w:p w:rsidR="00B82F48" w:rsidRPr="00F132F1" w:rsidRDefault="00B82F48" w:rsidP="00C83660">
            <w:pPr>
              <w:pStyle w:val="KMC16-Tablecontent"/>
              <w:keepNext/>
              <w:spacing w:before="0" w:after="0"/>
              <w:rPr>
                <w:rFonts w:cs="Calibri"/>
                <w:szCs w:val="20"/>
              </w:rPr>
            </w:pPr>
            <w:r w:rsidRPr="00F132F1">
              <w:rPr>
                <w:szCs w:val="20"/>
              </w:rPr>
              <w:t>7.1/1.8 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10/2.5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r>
      <w:tr w:rsidR="00B82F48" w:rsidRPr="00F132F1" w:rsidTr="00D77AFE">
        <w:trPr>
          <w:tblHeader/>
        </w:trPr>
        <w:tc>
          <w:tcPr>
            <w:tcW w:w="1413" w:type="dxa"/>
          </w:tcPr>
          <w:p w:rsidR="00B82F48" w:rsidRPr="00F132F1" w:rsidRDefault="00B82F48" w:rsidP="00C83660">
            <w:pPr>
              <w:pStyle w:val="KMC16-Tablecontent"/>
              <w:keepNext/>
              <w:spacing w:before="0" w:after="0"/>
              <w:rPr>
                <w:rFonts w:cs="Calibri"/>
                <w:szCs w:val="20"/>
              </w:rPr>
            </w:pPr>
            <w:r w:rsidRPr="00F132F1">
              <w:rPr>
                <w:rFonts w:cs="Calibri"/>
                <w:szCs w:val="20"/>
              </w:rPr>
              <w:t xml:space="preserve">8.5/2.1 </w:t>
            </w:r>
            <w:r w:rsidRPr="00F132F1">
              <w:rPr>
                <w:szCs w:val="20"/>
              </w:rPr>
              <w:t>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12/3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r>
      <w:tr w:rsidR="00B82F48" w:rsidRPr="00F132F1" w:rsidTr="00D77AFE">
        <w:trPr>
          <w:tblHeader/>
        </w:trPr>
        <w:tc>
          <w:tcPr>
            <w:tcW w:w="1413" w:type="dxa"/>
          </w:tcPr>
          <w:p w:rsidR="00B82F48" w:rsidRPr="00F132F1" w:rsidRDefault="00B82F48" w:rsidP="00C83660">
            <w:pPr>
              <w:pStyle w:val="KMC16-Tablecontent"/>
              <w:keepNext/>
              <w:spacing w:before="0" w:after="0"/>
              <w:rPr>
                <w:rFonts w:cs="Calibri"/>
                <w:szCs w:val="20"/>
              </w:rPr>
            </w:pPr>
            <w:r w:rsidRPr="00F132F1">
              <w:rPr>
                <w:rFonts w:cs="Calibri"/>
                <w:szCs w:val="20"/>
              </w:rPr>
              <w:t xml:space="preserve">9.9/2.5 </w:t>
            </w:r>
            <w:r w:rsidRPr="00F132F1">
              <w:rPr>
                <w:szCs w:val="20"/>
              </w:rPr>
              <w:t>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14/3.5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r>
      <w:tr w:rsidR="00B82F48" w:rsidRPr="00F132F1" w:rsidTr="00D77AFE">
        <w:trPr>
          <w:tblHeader/>
        </w:trPr>
        <w:tc>
          <w:tcPr>
            <w:tcW w:w="1413" w:type="dxa"/>
            <w:vAlign w:val="bottom"/>
          </w:tcPr>
          <w:p w:rsidR="00B82F48" w:rsidRPr="00F132F1" w:rsidRDefault="00B82F48" w:rsidP="00C83660">
            <w:pPr>
              <w:pStyle w:val="KMC16-Tablecontent"/>
              <w:keepNext/>
              <w:spacing w:before="0" w:after="0"/>
              <w:rPr>
                <w:rFonts w:cs="Calibri"/>
                <w:szCs w:val="20"/>
              </w:rPr>
            </w:pPr>
            <w:r w:rsidRPr="00F132F1">
              <w:rPr>
                <w:rFonts w:cs="Calibri"/>
                <w:szCs w:val="20"/>
              </w:rPr>
              <w:t xml:space="preserve">11.4/2.8 </w:t>
            </w:r>
            <w:r w:rsidRPr="00F132F1">
              <w:rPr>
                <w:szCs w:val="20"/>
              </w:rPr>
              <w:t>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16/4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w:t>
            </w:r>
          </w:p>
        </w:tc>
      </w:tr>
      <w:tr w:rsidR="00B82F48" w:rsidRPr="00F132F1" w:rsidTr="00D77AFE">
        <w:trPr>
          <w:tblHeader/>
        </w:trPr>
        <w:tc>
          <w:tcPr>
            <w:tcW w:w="1413" w:type="dxa"/>
            <w:vAlign w:val="bottom"/>
          </w:tcPr>
          <w:p w:rsidR="00B82F48" w:rsidRPr="00F132F1" w:rsidRDefault="00B82F48" w:rsidP="00C83660">
            <w:pPr>
              <w:pStyle w:val="KMC16-Tablecontent"/>
              <w:keepNext/>
              <w:spacing w:before="0" w:after="0"/>
              <w:rPr>
                <w:rFonts w:cs="Calibri"/>
                <w:szCs w:val="20"/>
              </w:rPr>
            </w:pPr>
            <w:r w:rsidRPr="00F132F1">
              <w:rPr>
                <w:rFonts w:cs="Calibri"/>
                <w:szCs w:val="20"/>
              </w:rPr>
              <w:t xml:space="preserve">12.8/3.2 </w:t>
            </w:r>
            <w:r w:rsidRPr="00F132F1">
              <w:rPr>
                <w:szCs w:val="20"/>
              </w:rPr>
              <w:t>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18/4.5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r>
      <w:tr w:rsidR="00B82F48" w:rsidRPr="00F132F1" w:rsidTr="00D77AFE">
        <w:trPr>
          <w:tblHeader/>
        </w:trPr>
        <w:tc>
          <w:tcPr>
            <w:tcW w:w="1413" w:type="dxa"/>
          </w:tcPr>
          <w:p w:rsidR="00B82F48" w:rsidRPr="00F132F1" w:rsidRDefault="00B82F48" w:rsidP="00C83660">
            <w:pPr>
              <w:pStyle w:val="KMC16-Tablecontent"/>
              <w:keepNext/>
              <w:spacing w:before="0" w:after="0"/>
              <w:rPr>
                <w:rFonts w:cs="Calibri"/>
                <w:szCs w:val="20"/>
              </w:rPr>
            </w:pPr>
            <w:r w:rsidRPr="00F132F1">
              <w:rPr>
                <w:rFonts w:cs="Calibri"/>
                <w:szCs w:val="20"/>
              </w:rPr>
              <w:t xml:space="preserve">14.2/3.5 </w:t>
            </w:r>
            <w:r w:rsidRPr="00F132F1">
              <w:rPr>
                <w:szCs w:val="20"/>
              </w:rPr>
              <w:t>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20/5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r>
      <w:tr w:rsidR="00B82F48" w:rsidRPr="00F132F1" w:rsidTr="00D77AFE">
        <w:trPr>
          <w:tblHeader/>
        </w:trPr>
        <w:tc>
          <w:tcPr>
            <w:tcW w:w="1413" w:type="dxa"/>
          </w:tcPr>
          <w:p w:rsidR="00B82F48" w:rsidRPr="00F132F1" w:rsidRDefault="00B82F48" w:rsidP="00C83660">
            <w:pPr>
              <w:pStyle w:val="KMC16-Tablecontent"/>
              <w:keepNext/>
              <w:spacing w:before="0" w:after="0"/>
              <w:rPr>
                <w:rFonts w:cs="Calibri"/>
                <w:szCs w:val="20"/>
              </w:rPr>
            </w:pPr>
            <w:r w:rsidRPr="00F132F1">
              <w:rPr>
                <w:rFonts w:cs="Calibri"/>
                <w:szCs w:val="20"/>
              </w:rPr>
              <w:t xml:space="preserve">15.6/3.9 </w:t>
            </w:r>
            <w:r w:rsidRPr="00F132F1">
              <w:rPr>
                <w:szCs w:val="20"/>
              </w:rPr>
              <w:t>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22/5.5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 ''' ''' '''' ''''''''''''' ''''''''</w:t>
            </w:r>
          </w:p>
        </w:tc>
      </w:tr>
      <w:tr w:rsidR="00B82F48" w:rsidRPr="00F132F1" w:rsidTr="00D77AFE">
        <w:trPr>
          <w:tblHeader/>
        </w:trPr>
        <w:tc>
          <w:tcPr>
            <w:tcW w:w="1413" w:type="dxa"/>
          </w:tcPr>
          <w:p w:rsidR="00B82F48" w:rsidRPr="00F132F1" w:rsidRDefault="00B82F48" w:rsidP="00C83660">
            <w:pPr>
              <w:pStyle w:val="KMC16-Tablecontent"/>
              <w:keepNext/>
              <w:spacing w:before="0" w:after="0"/>
              <w:rPr>
                <w:rFonts w:cs="Calibri"/>
                <w:szCs w:val="20"/>
              </w:rPr>
            </w:pPr>
            <w:r w:rsidRPr="00F132F1">
              <w:rPr>
                <w:rFonts w:cs="Calibri"/>
                <w:szCs w:val="20"/>
              </w:rPr>
              <w:t xml:space="preserve">17.1/4.2 </w:t>
            </w:r>
            <w:r w:rsidRPr="00F132F1">
              <w:rPr>
                <w:szCs w:val="20"/>
              </w:rPr>
              <w:t>mg</w:t>
            </w:r>
          </w:p>
        </w:tc>
        <w:tc>
          <w:tcPr>
            <w:tcW w:w="3050" w:type="dxa"/>
            <w:shd w:val="clear" w:color="auto" w:fill="FFFFFF" w:themeFill="background1"/>
            <w:vAlign w:val="bottom"/>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w:t>
            </w:r>
          </w:p>
        </w:tc>
        <w:tc>
          <w:tcPr>
            <w:tcW w:w="1486" w:type="dxa"/>
            <w:shd w:val="clear" w:color="auto" w:fill="FFFFFF" w:themeFill="background1"/>
          </w:tcPr>
          <w:p w:rsidR="00B82F48" w:rsidRPr="00F132F1" w:rsidRDefault="00B82F48" w:rsidP="00C83660">
            <w:pPr>
              <w:pStyle w:val="KMC16-Tablecontent"/>
              <w:keepNext/>
              <w:spacing w:before="0" w:after="0"/>
              <w:rPr>
                <w:color w:val="auto"/>
                <w:szCs w:val="20"/>
              </w:rPr>
            </w:pPr>
            <w:r w:rsidRPr="00F132F1">
              <w:rPr>
                <w:rFonts w:cs="Times New Roman"/>
                <w:color w:val="auto"/>
                <w:szCs w:val="20"/>
              </w:rPr>
              <w:t>24/6 mg</w:t>
            </w:r>
          </w:p>
        </w:tc>
        <w:tc>
          <w:tcPr>
            <w:tcW w:w="2977" w:type="dxa"/>
            <w:shd w:val="clear" w:color="auto" w:fill="FFFFFF" w:themeFill="background1"/>
          </w:tcPr>
          <w:p w:rsidR="00B82F48" w:rsidRPr="00562116" w:rsidRDefault="00562116" w:rsidP="00C83660">
            <w:pPr>
              <w:pStyle w:val="KMC16-Tablecontent"/>
              <w:keepNext/>
              <w:spacing w:before="0" w:after="0"/>
              <w:rPr>
                <w:color w:val="auto"/>
                <w:szCs w:val="20"/>
                <w:highlight w:val="black"/>
              </w:rPr>
            </w:pPr>
            <w:r>
              <w:rPr>
                <w:rFonts w:cs="Times New Roman"/>
                <w:noProof/>
                <w:szCs w:val="20"/>
                <w:highlight w:val="black"/>
              </w:rPr>
              <w:t>'''' '''' '''''''' '''''''''</w:t>
            </w:r>
          </w:p>
        </w:tc>
      </w:tr>
    </w:tbl>
    <w:p w:rsidR="00B82F48" w:rsidRPr="006911FB" w:rsidRDefault="00B82F48" w:rsidP="00C83660">
      <w:pPr>
        <w:widowControl/>
        <w:rPr>
          <w:rFonts w:ascii="Arial Narrow" w:hAnsi="Arial Narrow"/>
          <w:sz w:val="18"/>
          <w:szCs w:val="18"/>
        </w:rPr>
      </w:pPr>
      <w:r w:rsidRPr="00F132F1">
        <w:rPr>
          <w:rFonts w:ascii="Arial Narrow" w:hAnsi="Arial Narrow"/>
          <w:sz w:val="18"/>
          <w:szCs w:val="18"/>
        </w:rPr>
        <w:t>Source: Table 2-17, p71 of the submission.</w:t>
      </w:r>
    </w:p>
    <w:p w:rsidR="00B82F48" w:rsidRPr="006911FB" w:rsidRDefault="00B82F48" w:rsidP="009A4F97">
      <w:pPr>
        <w:widowControl/>
        <w:rPr>
          <w:rFonts w:ascii="Arial Narrow" w:hAnsi="Arial Narrow"/>
          <w:sz w:val="18"/>
          <w:szCs w:val="18"/>
        </w:rPr>
      </w:pPr>
    </w:p>
    <w:p w:rsidR="006341F7" w:rsidRDefault="00265678" w:rsidP="00C83660">
      <w:pPr>
        <w:pStyle w:val="ListParagraph"/>
        <w:widowControl/>
        <w:numPr>
          <w:ilvl w:val="1"/>
          <w:numId w:val="1"/>
        </w:numPr>
        <w:spacing w:after="120"/>
      </w:pPr>
      <w:r w:rsidRPr="006911FB">
        <w:t>As both trials were open-label (apart from the blinded phase of OX219-006) they had a high risk of outcome bias. This was considered particularly important, given the subjective nature of the outcome</w:t>
      </w:r>
      <w:r w:rsidR="0089130F" w:rsidRPr="006911FB">
        <w:t>s</w:t>
      </w:r>
      <w:r w:rsidRPr="006911FB">
        <w:t>.</w:t>
      </w:r>
    </w:p>
    <w:p w:rsidR="0055553C" w:rsidRPr="00E5098C" w:rsidRDefault="006341F7" w:rsidP="00C83660">
      <w:pPr>
        <w:pStyle w:val="ListParagraph"/>
        <w:widowControl/>
        <w:numPr>
          <w:ilvl w:val="1"/>
          <w:numId w:val="1"/>
        </w:numPr>
        <w:spacing w:after="120"/>
      </w:pPr>
      <w:r w:rsidRPr="00E5098C">
        <w:t xml:space="preserve">Through the PSCR, the Sponsor maintained the bias in the OX219-006 </w:t>
      </w:r>
      <w:r w:rsidR="006F5C54" w:rsidRPr="00E5098C">
        <w:t xml:space="preserve">trial </w:t>
      </w:r>
      <w:r w:rsidRPr="00E5098C">
        <w:t>to be low-moderate</w:t>
      </w:r>
      <w:r w:rsidR="00AA4945" w:rsidRPr="00E5098C">
        <w:t xml:space="preserve"> and that the co-primary outcome ‘retention in study at Day 15’ is objectively assessed</w:t>
      </w:r>
      <w:r w:rsidRPr="00E5098C">
        <w:t xml:space="preserve">. It </w:t>
      </w:r>
      <w:r w:rsidR="00AA4945" w:rsidRPr="00E5098C">
        <w:t>stated</w:t>
      </w:r>
      <w:r w:rsidRPr="00E5098C">
        <w:t xml:space="preserve"> that due to the </w:t>
      </w:r>
      <w:r w:rsidR="00AA4945" w:rsidRPr="00E5098C">
        <w:t xml:space="preserve">differences in the </w:t>
      </w:r>
      <w:r w:rsidRPr="00E5098C">
        <w:t xml:space="preserve">formulation of Zubsolv and Suboxone </w:t>
      </w:r>
      <w:r w:rsidR="00AA4945" w:rsidRPr="00E5098C">
        <w:t>film (including distinct dissolution and taste)</w:t>
      </w:r>
      <w:r w:rsidRPr="00E5098C">
        <w:t xml:space="preserve">, </w:t>
      </w:r>
      <w:r w:rsidR="00AA4945" w:rsidRPr="00E5098C">
        <w:t>blinding</w:t>
      </w:r>
      <w:r w:rsidRPr="00E5098C">
        <w:t xml:space="preserve"> was not feasible. </w:t>
      </w:r>
      <w:r w:rsidR="006F5C54" w:rsidRPr="00E5098C">
        <w:t xml:space="preserve">The ESC considered the open label nature of the trial </w:t>
      </w:r>
      <w:r w:rsidR="00AA4945" w:rsidRPr="00E5098C">
        <w:t xml:space="preserve">was associated with a high risk of bias. </w:t>
      </w:r>
    </w:p>
    <w:p w:rsidR="004022C8" w:rsidRDefault="004022C8" w:rsidP="00C83660">
      <w:pPr>
        <w:pStyle w:val="ListParagraph"/>
        <w:widowControl/>
        <w:numPr>
          <w:ilvl w:val="1"/>
          <w:numId w:val="1"/>
        </w:numPr>
        <w:spacing w:after="120"/>
      </w:pPr>
      <w:r w:rsidRPr="006911FB">
        <w:t>In relation to a minimal clinically important difference</w:t>
      </w:r>
      <w:r w:rsidR="008B4009" w:rsidRPr="006911FB">
        <w:t xml:space="preserve"> (MCID)</w:t>
      </w:r>
      <w:r w:rsidRPr="006911FB">
        <w:t xml:space="preserve">, the submission stated that there is little published data on what a clinically relevant MCID is or what difference should be used to support non-inferiority in this therapeutic area. The submission noted that other studies (Beck, Haasen et al 2014, Haemmig 2014) utilised a 10% margin based on a 2-sided test to represent non-inferiority in the area of OST and that ideally, the margin value is chosen to be smaller than the minimum difference between an active therapy and a placebo to indicate clinically relevant results. Other than this margin having being used in other studies, it was unclear how this margin was determined or whether it was appropriate. </w:t>
      </w:r>
      <w:r w:rsidR="00CF45FE">
        <w:t>The evaluation</w:t>
      </w:r>
      <w:r w:rsidR="00CF45FE" w:rsidRPr="006911FB">
        <w:t xml:space="preserve"> </w:t>
      </w:r>
      <w:r w:rsidRPr="006911FB">
        <w:t>noted the Beck, Haasen et al 2014 publication assessed MCID based on the proportion of heroin-positive urine samples (using a 10% margin), and the Haemmig 2014 reference did not indicate the non-inferiority margin or the assessment outcome.</w:t>
      </w:r>
    </w:p>
    <w:p w:rsidR="004022C8" w:rsidRDefault="004022C8" w:rsidP="00C83660">
      <w:pPr>
        <w:pStyle w:val="ListParagraph"/>
        <w:widowControl/>
        <w:numPr>
          <w:ilvl w:val="1"/>
          <w:numId w:val="1"/>
        </w:numPr>
        <w:spacing w:after="120"/>
      </w:pPr>
      <w:r w:rsidRPr="006911FB">
        <w:t>In relation to evidence previously considered by the PBAC, the PSD for Buvidal, November 2018 (paragraph 6.7</w:t>
      </w:r>
      <w:r w:rsidR="003A3911">
        <w:t>, Buvidal PSD, November 2018</w:t>
      </w:r>
      <w:r w:rsidRPr="006911FB">
        <w:t>) indicated that a pre-defined non-inferiority margin of 11% was used for the outcome of percentage urine samples negative for illicit opioids, without self-reported opioid use (ITT). A non-inferiority margin of 15% was used for the outcome of retention rate at 24 weeks (paragraph 6.18</w:t>
      </w:r>
      <w:r w:rsidR="003A3911">
        <w:t>, Buvidal PSD, November 2018</w:t>
      </w:r>
      <w:r w:rsidRPr="006911FB">
        <w:t>).</w:t>
      </w:r>
    </w:p>
    <w:p w:rsidR="009C0CF2" w:rsidRPr="00E5098C" w:rsidRDefault="009C0CF2" w:rsidP="00C83660">
      <w:pPr>
        <w:pStyle w:val="ListParagraph"/>
        <w:widowControl/>
        <w:numPr>
          <w:ilvl w:val="1"/>
          <w:numId w:val="1"/>
        </w:numPr>
        <w:spacing w:after="120"/>
      </w:pPr>
      <w:r w:rsidRPr="00E5098C">
        <w:lastRenderedPageBreak/>
        <w:t xml:space="preserve">The ESC </w:t>
      </w:r>
      <w:r w:rsidR="00CF45FE" w:rsidRPr="00E5098C">
        <w:t>considered</w:t>
      </w:r>
      <w:r w:rsidRPr="00E5098C">
        <w:t xml:space="preserve"> that </w:t>
      </w:r>
      <w:r w:rsidR="00CF45FE" w:rsidRPr="00E5098C">
        <w:t xml:space="preserve">while </w:t>
      </w:r>
      <w:r w:rsidRPr="00E5098C">
        <w:t>there was little precedence for a non-inferiority margin</w:t>
      </w:r>
      <w:r w:rsidR="00CF45FE" w:rsidRPr="00E5098C">
        <w:t xml:space="preserve"> in this context</w:t>
      </w:r>
      <w:r w:rsidRPr="00E5098C">
        <w:t>,</w:t>
      </w:r>
      <w:r w:rsidR="00CF45FE" w:rsidRPr="00E5098C">
        <w:t xml:space="preserve"> the nominated margin of 10% </w:t>
      </w:r>
      <w:r w:rsidR="00663DCE" w:rsidRPr="00E5098C">
        <w:t>was</w:t>
      </w:r>
      <w:r w:rsidR="00552EA7">
        <w:t xml:space="preserve"> adequately</w:t>
      </w:r>
      <w:r w:rsidR="00663DCE" w:rsidRPr="00E5098C">
        <w:t xml:space="preserve"> justified by the submission</w:t>
      </w:r>
      <w:r w:rsidRPr="00E5098C">
        <w:t>.</w:t>
      </w:r>
    </w:p>
    <w:p w:rsidR="00B60939" w:rsidRPr="006911FB" w:rsidRDefault="00B60939" w:rsidP="00C83660">
      <w:pPr>
        <w:pStyle w:val="Heading2"/>
        <w:widowControl/>
      </w:pPr>
      <w:bookmarkStart w:id="12" w:name="_Toc17412657"/>
      <w:r w:rsidRPr="006911FB">
        <w:t>Comparative effectiveness</w:t>
      </w:r>
      <w:bookmarkEnd w:id="12"/>
    </w:p>
    <w:p w:rsidR="00A82427" w:rsidRPr="006911FB" w:rsidRDefault="00A82427" w:rsidP="00C83660">
      <w:pPr>
        <w:pStyle w:val="ListParagraph"/>
        <w:widowControl/>
        <w:numPr>
          <w:ilvl w:val="1"/>
          <w:numId w:val="1"/>
        </w:numPr>
        <w:spacing w:after="120"/>
        <w:rPr>
          <w:color w:val="000000" w:themeColor="text1"/>
        </w:rPr>
      </w:pPr>
      <w:r w:rsidRPr="006911FB">
        <w:rPr>
          <w:color w:val="000000" w:themeColor="text1"/>
        </w:rPr>
        <w:t xml:space="preserve">The </w:t>
      </w:r>
      <w:r w:rsidR="00462795">
        <w:rPr>
          <w:color w:val="000000" w:themeColor="text1"/>
        </w:rPr>
        <w:t xml:space="preserve">ESC considered that the results of trial </w:t>
      </w:r>
      <w:r w:rsidRPr="006911FB">
        <w:rPr>
          <w:color w:val="000000" w:themeColor="text1"/>
        </w:rPr>
        <w:t xml:space="preserve">NCT02038790 </w:t>
      </w:r>
      <w:r w:rsidR="00462795">
        <w:rPr>
          <w:color w:val="000000" w:themeColor="text1"/>
        </w:rPr>
        <w:t>were not</w:t>
      </w:r>
      <w:r w:rsidRPr="006911FB">
        <w:rPr>
          <w:color w:val="000000" w:themeColor="text1"/>
        </w:rPr>
        <w:t xml:space="preserve"> </w:t>
      </w:r>
      <w:r w:rsidR="00552EA7">
        <w:rPr>
          <w:color w:val="000000" w:themeColor="text1"/>
        </w:rPr>
        <w:t>informative</w:t>
      </w:r>
      <w:r w:rsidR="00552EA7" w:rsidRPr="006911FB">
        <w:rPr>
          <w:color w:val="000000" w:themeColor="text1"/>
        </w:rPr>
        <w:t xml:space="preserve"> </w:t>
      </w:r>
      <w:r w:rsidR="00FC6685" w:rsidRPr="006911FB">
        <w:rPr>
          <w:color w:val="000000" w:themeColor="text1"/>
        </w:rPr>
        <w:t xml:space="preserve">given the trial compared only a single dose of </w:t>
      </w:r>
      <w:r w:rsidR="00462795" w:rsidRPr="006911FB">
        <w:rPr>
          <w:color w:val="000000" w:themeColor="text1"/>
        </w:rPr>
        <w:t xml:space="preserve">Zubsolv and Suboxone film </w:t>
      </w:r>
      <w:r w:rsidR="00FC6685" w:rsidRPr="006911FB">
        <w:rPr>
          <w:color w:val="000000" w:themeColor="text1"/>
        </w:rPr>
        <w:t>on alternate days</w:t>
      </w:r>
      <w:r w:rsidRPr="006911FB">
        <w:rPr>
          <w:color w:val="000000" w:themeColor="text1"/>
        </w:rPr>
        <w:t>.</w:t>
      </w:r>
      <w:r w:rsidR="00BB1F42" w:rsidRPr="006911FB">
        <w:rPr>
          <w:color w:val="000000" w:themeColor="text1"/>
        </w:rPr>
        <w:t xml:space="preserve"> </w:t>
      </w:r>
    </w:p>
    <w:p w:rsidR="00DA3167" w:rsidRPr="006911FB" w:rsidRDefault="00B82F48" w:rsidP="00C83660">
      <w:pPr>
        <w:pStyle w:val="ListParagraph"/>
        <w:widowControl/>
        <w:numPr>
          <w:ilvl w:val="1"/>
          <w:numId w:val="1"/>
        </w:numPr>
        <w:spacing w:after="120"/>
      </w:pPr>
      <w:r w:rsidRPr="006911FB">
        <w:rPr>
          <w:rFonts w:cs="Calibri"/>
          <w:snapToGrid/>
          <w:szCs w:val="24"/>
          <w:lang w:val="en-US" w:eastAsia="en-AU"/>
        </w:rPr>
        <w:t>Table 6</w:t>
      </w:r>
      <w:r w:rsidR="00E70E32" w:rsidRPr="006911FB">
        <w:rPr>
          <w:rFonts w:cs="Calibri"/>
          <w:snapToGrid/>
          <w:szCs w:val="24"/>
          <w:lang w:val="en-US" w:eastAsia="en-AU"/>
        </w:rPr>
        <w:t xml:space="preserve"> presents key results f</w:t>
      </w:r>
      <w:r w:rsidR="009E465F" w:rsidRPr="006911FB">
        <w:rPr>
          <w:rFonts w:cs="Calibri"/>
          <w:snapToGrid/>
          <w:szCs w:val="24"/>
          <w:lang w:val="en-US" w:eastAsia="en-AU"/>
        </w:rPr>
        <w:t>rom</w:t>
      </w:r>
      <w:r w:rsidR="00E70E32" w:rsidRPr="006911FB">
        <w:rPr>
          <w:rFonts w:cs="Calibri"/>
          <w:snapToGrid/>
          <w:szCs w:val="24"/>
          <w:lang w:val="en-US" w:eastAsia="en-AU"/>
        </w:rPr>
        <w:t xml:space="preserve"> </w:t>
      </w:r>
      <w:r w:rsidR="00FC6685" w:rsidRPr="006911FB">
        <w:rPr>
          <w:rFonts w:cs="Calibri"/>
          <w:snapToGrid/>
          <w:szCs w:val="24"/>
          <w:lang w:val="en-US" w:eastAsia="en-AU"/>
        </w:rPr>
        <w:t xml:space="preserve">Trial </w:t>
      </w:r>
      <w:r w:rsidR="00E70E32" w:rsidRPr="006911FB">
        <w:rPr>
          <w:rFonts w:cs="Calibri"/>
          <w:snapToGrid/>
          <w:szCs w:val="24"/>
          <w:lang w:val="en-US" w:eastAsia="en-AU"/>
        </w:rPr>
        <w:t>OX219-006.</w:t>
      </w:r>
    </w:p>
    <w:p w:rsidR="005D26B4" w:rsidRPr="006911FB" w:rsidRDefault="00FC6685" w:rsidP="00C83660">
      <w:pPr>
        <w:pStyle w:val="Caption"/>
        <w:keepNext/>
        <w:widowControl/>
        <w:spacing w:after="0"/>
        <w:rPr>
          <w:rStyle w:val="CommentReference"/>
          <w:b/>
          <w:color w:val="000000" w:themeColor="text1"/>
        </w:rPr>
      </w:pPr>
      <w:r w:rsidRPr="006911FB">
        <w:rPr>
          <w:rStyle w:val="CommentReference"/>
          <w:b/>
          <w:color w:val="000000" w:themeColor="text1"/>
        </w:rPr>
        <w:t xml:space="preserve">Table </w:t>
      </w:r>
      <w:r w:rsidR="00613A1E" w:rsidRPr="006911FB">
        <w:rPr>
          <w:rStyle w:val="CommentReference"/>
          <w:b/>
          <w:noProof/>
          <w:color w:val="000000" w:themeColor="text1"/>
        </w:rPr>
        <w:t>6</w:t>
      </w:r>
      <w:r w:rsidRPr="006911FB">
        <w:rPr>
          <w:rStyle w:val="CommentReference"/>
          <w:b/>
          <w:color w:val="000000" w:themeColor="text1"/>
        </w:rPr>
        <w:t>:</w:t>
      </w:r>
      <w:r w:rsidR="005D26B4" w:rsidRPr="006911FB">
        <w:rPr>
          <w:rStyle w:val="CommentReference"/>
          <w:b/>
          <w:color w:val="000000" w:themeColor="text1"/>
        </w:rPr>
        <w:t xml:space="preserve"> Results of </w:t>
      </w:r>
      <w:r w:rsidR="00CD5C38" w:rsidRPr="006911FB">
        <w:rPr>
          <w:rStyle w:val="CommentReference"/>
          <w:b/>
          <w:color w:val="000000" w:themeColor="text1"/>
        </w:rPr>
        <w:t>retention in treatment</w:t>
      </w:r>
      <w:r w:rsidR="005D26B4" w:rsidRPr="006911FB">
        <w:rPr>
          <w:rStyle w:val="CommentReference"/>
          <w:b/>
          <w:color w:val="000000" w:themeColor="text1"/>
        </w:rPr>
        <w:t xml:space="preserve"> </w:t>
      </w:r>
      <w:r w:rsidR="00CD5C38" w:rsidRPr="006911FB">
        <w:rPr>
          <w:rStyle w:val="CommentReference"/>
          <w:b/>
          <w:color w:val="000000" w:themeColor="text1"/>
        </w:rPr>
        <w:t>from OX219-006</w:t>
      </w:r>
    </w:p>
    <w:tbl>
      <w:tblPr>
        <w:tblStyle w:val="TableGrid"/>
        <w:tblW w:w="9102" w:type="dxa"/>
        <w:shd w:val="clear" w:color="auto" w:fill="FFFFFF" w:themeFill="background1"/>
        <w:tblLayout w:type="fixed"/>
        <w:tblCellMar>
          <w:left w:w="28" w:type="dxa"/>
          <w:right w:w="28" w:type="dxa"/>
        </w:tblCellMar>
        <w:tblLook w:val="04A0" w:firstRow="1" w:lastRow="0" w:firstColumn="1" w:lastColumn="0" w:noHBand="0" w:noVBand="1"/>
        <w:tblCaption w:val="Table 6: Results of retention in treatment from OX219-006"/>
      </w:tblPr>
      <w:tblGrid>
        <w:gridCol w:w="504"/>
        <w:gridCol w:w="1021"/>
        <w:gridCol w:w="1022"/>
        <w:gridCol w:w="2256"/>
        <w:gridCol w:w="998"/>
        <w:gridCol w:w="998"/>
        <w:gridCol w:w="2303"/>
      </w:tblGrid>
      <w:tr w:rsidR="004022C8" w:rsidRPr="006911FB" w:rsidTr="00D77AFE">
        <w:trPr>
          <w:tblHeader/>
        </w:trPr>
        <w:tc>
          <w:tcPr>
            <w:tcW w:w="504" w:type="dxa"/>
            <w:vMerge w:val="restart"/>
            <w:tcBorders>
              <w:right w:val="double" w:sz="4" w:space="0" w:color="auto"/>
            </w:tcBorders>
            <w:shd w:val="clear" w:color="auto" w:fill="FFFFFF" w:themeFill="background1"/>
          </w:tcPr>
          <w:p w:rsidR="004022C8" w:rsidRPr="006911FB" w:rsidRDefault="004022C8" w:rsidP="00C83660">
            <w:pPr>
              <w:keepNext/>
              <w:widowControl/>
              <w:rPr>
                <w:rFonts w:ascii="Arial Narrow" w:hAnsi="Arial Narrow"/>
                <w:b/>
                <w:sz w:val="20"/>
                <w:szCs w:val="20"/>
              </w:rPr>
            </w:pPr>
          </w:p>
        </w:tc>
        <w:tc>
          <w:tcPr>
            <w:tcW w:w="4299" w:type="dxa"/>
            <w:gridSpan w:val="3"/>
            <w:tcBorders>
              <w:left w:val="double" w:sz="4" w:space="0" w:color="auto"/>
              <w:righ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b/>
                <w:sz w:val="20"/>
                <w:szCs w:val="20"/>
              </w:rPr>
            </w:pPr>
            <w:r w:rsidRPr="006911FB">
              <w:rPr>
                <w:rFonts w:ascii="Arial Narrow" w:hAnsi="Arial Narrow"/>
                <w:b/>
                <w:sz w:val="20"/>
                <w:szCs w:val="20"/>
              </w:rPr>
              <w:t>Per Protocol Set (PPS)</w:t>
            </w:r>
          </w:p>
        </w:tc>
        <w:tc>
          <w:tcPr>
            <w:tcW w:w="4299" w:type="dxa"/>
            <w:gridSpan w:val="3"/>
            <w:tcBorders>
              <w:lef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b/>
                <w:sz w:val="20"/>
                <w:szCs w:val="20"/>
              </w:rPr>
            </w:pPr>
            <w:r w:rsidRPr="006911FB">
              <w:rPr>
                <w:rFonts w:ascii="Arial Narrow" w:hAnsi="Arial Narrow"/>
                <w:b/>
                <w:sz w:val="20"/>
                <w:szCs w:val="20"/>
              </w:rPr>
              <w:t>Full Analysis Set (FAS)</w:t>
            </w:r>
          </w:p>
        </w:tc>
      </w:tr>
      <w:tr w:rsidR="004022C8" w:rsidRPr="006911FB" w:rsidTr="00D77AFE">
        <w:trPr>
          <w:tblHeader/>
        </w:trPr>
        <w:tc>
          <w:tcPr>
            <w:tcW w:w="504" w:type="dxa"/>
            <w:vMerge/>
            <w:tcBorders>
              <w:right w:val="double" w:sz="4" w:space="0" w:color="auto"/>
            </w:tcBorders>
            <w:shd w:val="clear" w:color="auto" w:fill="FFFFFF" w:themeFill="background1"/>
          </w:tcPr>
          <w:p w:rsidR="004022C8" w:rsidRPr="006911FB" w:rsidRDefault="004022C8" w:rsidP="00C83660">
            <w:pPr>
              <w:keepNext/>
              <w:widowControl/>
              <w:rPr>
                <w:rFonts w:ascii="Arial Narrow" w:hAnsi="Arial Narrow"/>
                <w:b/>
                <w:sz w:val="20"/>
                <w:szCs w:val="20"/>
              </w:rPr>
            </w:pPr>
          </w:p>
        </w:tc>
        <w:tc>
          <w:tcPr>
            <w:tcW w:w="1021" w:type="dxa"/>
            <w:tcBorders>
              <w:lef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b/>
                <w:sz w:val="20"/>
                <w:szCs w:val="20"/>
              </w:rPr>
            </w:pPr>
            <w:r w:rsidRPr="006911FB">
              <w:rPr>
                <w:rFonts w:ascii="Arial Narrow" w:hAnsi="Arial Narrow"/>
                <w:b/>
                <w:sz w:val="20"/>
                <w:szCs w:val="20"/>
              </w:rPr>
              <w:t>Zubsolv</w:t>
            </w:r>
          </w:p>
        </w:tc>
        <w:tc>
          <w:tcPr>
            <w:tcW w:w="1022" w:type="dxa"/>
            <w:shd w:val="clear" w:color="auto" w:fill="FFFFFF" w:themeFill="background1"/>
            <w:vAlign w:val="center"/>
          </w:tcPr>
          <w:p w:rsidR="004022C8" w:rsidRPr="00411E4C" w:rsidRDefault="004022C8" w:rsidP="00C83660">
            <w:pPr>
              <w:keepNext/>
              <w:widowControl/>
              <w:jc w:val="center"/>
              <w:rPr>
                <w:rFonts w:ascii="Arial Narrow" w:hAnsi="Arial Narrow"/>
                <w:b/>
                <w:sz w:val="20"/>
                <w:szCs w:val="20"/>
              </w:rPr>
            </w:pPr>
            <w:r w:rsidRPr="00411E4C">
              <w:rPr>
                <w:rFonts w:ascii="Arial Narrow" w:hAnsi="Arial Narrow"/>
                <w:b/>
                <w:sz w:val="20"/>
                <w:szCs w:val="20"/>
              </w:rPr>
              <w:t>Generic BUP/ Suboxone film*</w:t>
            </w:r>
          </w:p>
        </w:tc>
        <w:tc>
          <w:tcPr>
            <w:tcW w:w="2256" w:type="dxa"/>
            <w:tcBorders>
              <w:right w:val="double" w:sz="4" w:space="0" w:color="auto"/>
            </w:tcBorders>
            <w:shd w:val="clear" w:color="auto" w:fill="FFFFFF" w:themeFill="background1"/>
            <w:vAlign w:val="center"/>
          </w:tcPr>
          <w:p w:rsidR="004022C8" w:rsidRPr="00411E4C" w:rsidRDefault="004022C8" w:rsidP="00C83660">
            <w:pPr>
              <w:keepNext/>
              <w:widowControl/>
              <w:jc w:val="center"/>
              <w:rPr>
                <w:rFonts w:ascii="Arial Narrow" w:hAnsi="Arial Narrow"/>
                <w:b/>
                <w:sz w:val="20"/>
                <w:szCs w:val="20"/>
              </w:rPr>
            </w:pPr>
            <w:r w:rsidRPr="00411E4C">
              <w:rPr>
                <w:rFonts w:ascii="Arial Narrow" w:hAnsi="Arial Narrow"/>
                <w:b/>
                <w:sz w:val="20"/>
                <w:szCs w:val="20"/>
              </w:rPr>
              <w:t>Mean difference (95% CI)</w:t>
            </w:r>
            <w:r w:rsidRPr="00411E4C">
              <w:rPr>
                <w:rFonts w:ascii="Arial Narrow" w:hAnsi="Arial Narrow"/>
                <w:b/>
                <w:sz w:val="20"/>
                <w:szCs w:val="20"/>
              </w:rPr>
              <w:br/>
              <w:t>(Zubsolv – Generic BUP/Suboxone film)</w:t>
            </w:r>
          </w:p>
        </w:tc>
        <w:tc>
          <w:tcPr>
            <w:tcW w:w="998" w:type="dxa"/>
            <w:tcBorders>
              <w:left w:val="double" w:sz="4" w:space="0" w:color="auto"/>
            </w:tcBorders>
            <w:shd w:val="clear" w:color="auto" w:fill="FFFFFF" w:themeFill="background1"/>
            <w:vAlign w:val="center"/>
          </w:tcPr>
          <w:p w:rsidR="004022C8" w:rsidRPr="00411E4C" w:rsidRDefault="004022C8" w:rsidP="00C83660">
            <w:pPr>
              <w:keepNext/>
              <w:widowControl/>
              <w:jc w:val="center"/>
              <w:rPr>
                <w:rFonts w:ascii="Arial Narrow" w:hAnsi="Arial Narrow"/>
                <w:b/>
                <w:sz w:val="20"/>
                <w:szCs w:val="20"/>
              </w:rPr>
            </w:pPr>
            <w:r w:rsidRPr="00411E4C">
              <w:rPr>
                <w:rFonts w:ascii="Arial Narrow" w:hAnsi="Arial Narrow"/>
                <w:b/>
                <w:sz w:val="20"/>
                <w:szCs w:val="20"/>
              </w:rPr>
              <w:t>Zubsolv</w:t>
            </w:r>
          </w:p>
        </w:tc>
        <w:tc>
          <w:tcPr>
            <w:tcW w:w="998" w:type="dxa"/>
            <w:shd w:val="clear" w:color="auto" w:fill="FFFFFF" w:themeFill="background1"/>
            <w:vAlign w:val="center"/>
          </w:tcPr>
          <w:p w:rsidR="004022C8" w:rsidRPr="00411E4C" w:rsidRDefault="004022C8" w:rsidP="00C83660">
            <w:pPr>
              <w:keepNext/>
              <w:widowControl/>
              <w:jc w:val="center"/>
              <w:rPr>
                <w:rFonts w:ascii="Arial Narrow" w:hAnsi="Arial Narrow"/>
                <w:b/>
                <w:sz w:val="20"/>
                <w:szCs w:val="20"/>
              </w:rPr>
            </w:pPr>
            <w:r w:rsidRPr="00411E4C">
              <w:rPr>
                <w:rFonts w:ascii="Arial Narrow" w:hAnsi="Arial Narrow"/>
                <w:b/>
                <w:sz w:val="20"/>
                <w:szCs w:val="20"/>
              </w:rPr>
              <w:t>Generic BUP/ Suboxone film*</w:t>
            </w:r>
          </w:p>
        </w:tc>
        <w:tc>
          <w:tcPr>
            <w:tcW w:w="2303" w:type="dxa"/>
            <w:shd w:val="clear" w:color="auto" w:fill="FFFFFF" w:themeFill="background1"/>
            <w:vAlign w:val="center"/>
          </w:tcPr>
          <w:p w:rsidR="004022C8" w:rsidRPr="006911FB" w:rsidRDefault="004022C8" w:rsidP="00C83660">
            <w:pPr>
              <w:keepNext/>
              <w:widowControl/>
              <w:jc w:val="center"/>
              <w:rPr>
                <w:rFonts w:ascii="Arial Narrow" w:hAnsi="Arial Narrow"/>
                <w:b/>
                <w:sz w:val="20"/>
                <w:szCs w:val="20"/>
              </w:rPr>
            </w:pPr>
            <w:r w:rsidRPr="006911FB">
              <w:rPr>
                <w:rFonts w:ascii="Arial Narrow" w:hAnsi="Arial Narrow"/>
                <w:b/>
                <w:sz w:val="20"/>
                <w:szCs w:val="20"/>
              </w:rPr>
              <w:t>Mean difference</w:t>
            </w:r>
            <w:r w:rsidRPr="006911FB">
              <w:rPr>
                <w:rFonts w:ascii="Arial Narrow" w:hAnsi="Arial Narrow"/>
                <w:b/>
                <w:sz w:val="20"/>
                <w:szCs w:val="20"/>
              </w:rPr>
              <w:br/>
              <w:t>(Zubsolv – Generic BUP/Suboxone film)</w:t>
            </w:r>
          </w:p>
        </w:tc>
      </w:tr>
      <w:tr w:rsidR="004022C8" w:rsidRPr="006911FB" w:rsidTr="00D77AFE">
        <w:trPr>
          <w:tblHeader/>
        </w:trPr>
        <w:tc>
          <w:tcPr>
            <w:tcW w:w="9102" w:type="dxa"/>
            <w:gridSpan w:val="7"/>
            <w:shd w:val="clear" w:color="auto" w:fill="FFFFFF" w:themeFill="background1"/>
          </w:tcPr>
          <w:p w:rsidR="004022C8" w:rsidRPr="006911FB" w:rsidRDefault="004022C8" w:rsidP="00C83660">
            <w:pPr>
              <w:keepNext/>
              <w:widowControl/>
              <w:jc w:val="left"/>
              <w:rPr>
                <w:rFonts w:ascii="Arial Narrow" w:hAnsi="Arial Narrow"/>
                <w:b/>
                <w:sz w:val="20"/>
                <w:szCs w:val="20"/>
                <w:lang w:val="en-GB"/>
              </w:rPr>
            </w:pPr>
            <w:r w:rsidRPr="006911FB">
              <w:rPr>
                <w:rFonts w:ascii="Arial Narrow" w:hAnsi="Arial Narrow"/>
                <w:b/>
                <w:sz w:val="20"/>
                <w:szCs w:val="20"/>
                <w:lang w:val="en-GB"/>
              </w:rPr>
              <w:t>Retention in treatment at Day 3</w:t>
            </w:r>
          </w:p>
        </w:tc>
      </w:tr>
      <w:tr w:rsidR="004022C8" w:rsidRPr="006911FB" w:rsidTr="00D77AFE">
        <w:trPr>
          <w:tblHeader/>
        </w:trPr>
        <w:tc>
          <w:tcPr>
            <w:tcW w:w="504" w:type="dxa"/>
            <w:tcBorders>
              <w:right w:val="double" w:sz="4" w:space="0" w:color="auto"/>
            </w:tcBorders>
            <w:shd w:val="clear" w:color="auto" w:fill="FFFFFF" w:themeFill="background1"/>
            <w:vAlign w:val="center"/>
          </w:tcPr>
          <w:p w:rsidR="004022C8" w:rsidRPr="006911FB" w:rsidRDefault="004022C8" w:rsidP="00C83660">
            <w:pPr>
              <w:keepNext/>
              <w:widowControl/>
              <w:jc w:val="left"/>
              <w:rPr>
                <w:rFonts w:ascii="Arial Narrow" w:hAnsi="Arial Narrow"/>
                <w:sz w:val="20"/>
                <w:szCs w:val="20"/>
                <w:lang w:val="en-GB"/>
              </w:rPr>
            </w:pPr>
            <w:r w:rsidRPr="006911FB">
              <w:rPr>
                <w:rFonts w:ascii="Arial Narrow" w:hAnsi="Arial Narrow"/>
                <w:sz w:val="20"/>
                <w:szCs w:val="20"/>
                <w:lang w:val="en-GB"/>
              </w:rPr>
              <w:t>n/N (%)</w:t>
            </w:r>
          </w:p>
        </w:tc>
        <w:tc>
          <w:tcPr>
            <w:tcW w:w="1021" w:type="dxa"/>
            <w:tcBorders>
              <w:lef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309/329</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(93.9%)</w:t>
            </w:r>
          </w:p>
        </w:tc>
        <w:tc>
          <w:tcPr>
            <w:tcW w:w="1022" w:type="dxa"/>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302/326</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(92.6%)</w:t>
            </w:r>
          </w:p>
        </w:tc>
        <w:tc>
          <w:tcPr>
            <w:tcW w:w="2256" w:type="dxa"/>
            <w:tcBorders>
              <w:righ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1.3% (-2.6%, 5.1%)</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SE 1.96</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p=0.512</w:t>
            </w:r>
          </w:p>
        </w:tc>
        <w:tc>
          <w:tcPr>
            <w:tcW w:w="998" w:type="dxa"/>
            <w:tcBorders>
              <w:lef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357/383</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(93.2%)</w:t>
            </w:r>
          </w:p>
        </w:tc>
        <w:tc>
          <w:tcPr>
            <w:tcW w:w="998" w:type="dxa"/>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344/375</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(91.7%)</w:t>
            </w:r>
          </w:p>
        </w:tc>
        <w:tc>
          <w:tcPr>
            <w:tcW w:w="2303" w:type="dxa"/>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1.5% (-2.3%, 5.2%)</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SE 1.92</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p=0.440</w:t>
            </w:r>
          </w:p>
        </w:tc>
      </w:tr>
      <w:tr w:rsidR="004022C8" w:rsidRPr="006911FB" w:rsidTr="00D77AFE">
        <w:trPr>
          <w:tblHeader/>
        </w:trPr>
        <w:tc>
          <w:tcPr>
            <w:tcW w:w="9102" w:type="dxa"/>
            <w:gridSpan w:val="7"/>
            <w:shd w:val="clear" w:color="auto" w:fill="FFFFFF" w:themeFill="background1"/>
            <w:vAlign w:val="center"/>
          </w:tcPr>
          <w:p w:rsidR="004022C8" w:rsidRPr="006911FB" w:rsidRDefault="004022C8" w:rsidP="00C83660">
            <w:pPr>
              <w:keepNext/>
              <w:widowControl/>
              <w:jc w:val="left"/>
              <w:rPr>
                <w:rFonts w:ascii="Arial Narrow" w:hAnsi="Arial Narrow"/>
                <w:b/>
                <w:sz w:val="20"/>
                <w:szCs w:val="20"/>
                <w:lang w:val="en-GB"/>
              </w:rPr>
            </w:pPr>
            <w:r w:rsidRPr="006911FB">
              <w:rPr>
                <w:rFonts w:ascii="Arial Narrow" w:hAnsi="Arial Narrow"/>
                <w:b/>
                <w:sz w:val="20"/>
                <w:szCs w:val="20"/>
                <w:lang w:val="en-GB"/>
              </w:rPr>
              <w:t>Retention in treatment at Day 15</w:t>
            </w:r>
          </w:p>
        </w:tc>
      </w:tr>
      <w:tr w:rsidR="004022C8" w:rsidRPr="006911FB" w:rsidTr="00D77AFE">
        <w:trPr>
          <w:tblHeader/>
        </w:trPr>
        <w:tc>
          <w:tcPr>
            <w:tcW w:w="504" w:type="dxa"/>
            <w:tcBorders>
              <w:bottom w:val="single" w:sz="4" w:space="0" w:color="auto"/>
              <w:right w:val="double" w:sz="4" w:space="0" w:color="auto"/>
            </w:tcBorders>
            <w:shd w:val="clear" w:color="auto" w:fill="FFFFFF" w:themeFill="background1"/>
            <w:vAlign w:val="center"/>
          </w:tcPr>
          <w:p w:rsidR="004022C8" w:rsidRPr="006911FB" w:rsidRDefault="004022C8" w:rsidP="00C83660">
            <w:pPr>
              <w:keepNext/>
              <w:widowControl/>
              <w:jc w:val="left"/>
              <w:rPr>
                <w:rFonts w:ascii="Arial Narrow" w:hAnsi="Arial Narrow"/>
                <w:sz w:val="20"/>
                <w:szCs w:val="20"/>
                <w:lang w:val="en-GB"/>
              </w:rPr>
            </w:pPr>
            <w:r w:rsidRPr="006911FB">
              <w:rPr>
                <w:rFonts w:ascii="Arial Narrow" w:hAnsi="Arial Narrow"/>
                <w:sz w:val="20"/>
                <w:szCs w:val="20"/>
                <w:lang w:val="en-GB"/>
              </w:rPr>
              <w:t>n/N (%)</w:t>
            </w:r>
          </w:p>
        </w:tc>
        <w:tc>
          <w:tcPr>
            <w:tcW w:w="1021" w:type="dxa"/>
            <w:tcBorders>
              <w:left w:val="double" w:sz="4" w:space="0" w:color="auto"/>
              <w:bottom w:val="sing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273/329</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(83.0%)</w:t>
            </w:r>
          </w:p>
        </w:tc>
        <w:tc>
          <w:tcPr>
            <w:tcW w:w="1022" w:type="dxa"/>
            <w:tcBorders>
              <w:bottom w:val="sing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269/326</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(82.5%)</w:t>
            </w:r>
          </w:p>
        </w:tc>
        <w:tc>
          <w:tcPr>
            <w:tcW w:w="2256" w:type="dxa"/>
            <w:tcBorders>
              <w:bottom w:val="single" w:sz="4" w:space="0" w:color="auto"/>
              <w:righ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0.5% (-5.3%, 6.3%)</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SE 2.95</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p=0.875</w:t>
            </w:r>
          </w:p>
        </w:tc>
        <w:tc>
          <w:tcPr>
            <w:tcW w:w="998" w:type="dxa"/>
            <w:tcBorders>
              <w:left w:val="double" w:sz="4" w:space="0" w:color="auto"/>
            </w:tcBorders>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287/383</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(74.9%)</w:t>
            </w:r>
          </w:p>
        </w:tc>
        <w:tc>
          <w:tcPr>
            <w:tcW w:w="998" w:type="dxa"/>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279/375</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(74.4%)</w:t>
            </w:r>
          </w:p>
        </w:tc>
        <w:tc>
          <w:tcPr>
            <w:tcW w:w="2303" w:type="dxa"/>
            <w:shd w:val="clear" w:color="auto" w:fill="FFFFFF" w:themeFill="background1"/>
            <w:vAlign w:val="center"/>
          </w:tcPr>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0.5% (-5.7%, 6.7%)</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SE 3.16</w:t>
            </w:r>
          </w:p>
          <w:p w:rsidR="004022C8" w:rsidRPr="006911FB" w:rsidRDefault="004022C8" w:rsidP="00C83660">
            <w:pPr>
              <w:keepNext/>
              <w:widowControl/>
              <w:jc w:val="center"/>
              <w:rPr>
                <w:rFonts w:ascii="Arial Narrow" w:hAnsi="Arial Narrow"/>
                <w:sz w:val="20"/>
                <w:szCs w:val="20"/>
                <w:lang w:val="en-GB"/>
              </w:rPr>
            </w:pPr>
            <w:r w:rsidRPr="006911FB">
              <w:rPr>
                <w:rFonts w:ascii="Arial Narrow" w:hAnsi="Arial Narrow"/>
                <w:sz w:val="20"/>
                <w:szCs w:val="20"/>
                <w:lang w:val="en-GB"/>
              </w:rPr>
              <w:t>p=0.866</w:t>
            </w:r>
          </w:p>
        </w:tc>
      </w:tr>
    </w:tbl>
    <w:p w:rsidR="004022C8" w:rsidRDefault="004022C8" w:rsidP="00C83660">
      <w:pPr>
        <w:pStyle w:val="TableFooter"/>
        <w:keepNext/>
        <w:widowControl/>
        <w:rPr>
          <w:rFonts w:eastAsia="Calibri"/>
        </w:rPr>
      </w:pPr>
      <w:r w:rsidRPr="006911FB">
        <w:rPr>
          <w:szCs w:val="18"/>
        </w:rPr>
        <w:t>BUP = buprenorphine;</w:t>
      </w:r>
      <w:r w:rsidRPr="006911FB">
        <w:rPr>
          <w:rFonts w:eastAsia="Calibri"/>
        </w:rPr>
        <w:t xml:space="preserve"> CI = confidence interval; n = number of participants with event; N = total participants in group</w:t>
      </w:r>
    </w:p>
    <w:p w:rsidR="00411E4C" w:rsidRPr="006911FB" w:rsidRDefault="00411E4C" w:rsidP="00C83660">
      <w:pPr>
        <w:pStyle w:val="TableFooter"/>
        <w:keepNext/>
        <w:widowControl/>
        <w:rPr>
          <w:rFonts w:eastAsia="Calibri"/>
        </w:rPr>
      </w:pPr>
      <w:r>
        <w:rPr>
          <w:rFonts w:eastAsia="Calibri"/>
        </w:rPr>
        <w:t xml:space="preserve">*Patients received generic buprenorphine (BUP) tablets up to day 3, as specified in the protocol, followed by Suboxone Film up to day 15. </w:t>
      </w:r>
    </w:p>
    <w:p w:rsidR="004022C8" w:rsidRPr="006911FB" w:rsidRDefault="004022C8" w:rsidP="00C83660">
      <w:pPr>
        <w:keepNext/>
        <w:widowControl/>
        <w:rPr>
          <w:rFonts w:ascii="Arial Narrow" w:hAnsi="Arial Narrow"/>
          <w:sz w:val="18"/>
          <w:szCs w:val="18"/>
        </w:rPr>
      </w:pPr>
      <w:r w:rsidRPr="006911FB">
        <w:rPr>
          <w:rFonts w:ascii="Arial Narrow" w:hAnsi="Arial Narrow"/>
          <w:sz w:val="18"/>
          <w:szCs w:val="18"/>
        </w:rPr>
        <w:t>Source: Table 2-25, p95 of the submission.</w:t>
      </w:r>
    </w:p>
    <w:p w:rsidR="004022C8" w:rsidRPr="006911FB" w:rsidRDefault="004022C8" w:rsidP="009A4F97">
      <w:pPr>
        <w:keepNext/>
        <w:widowControl/>
        <w:rPr>
          <w:rStyle w:val="CommentReference"/>
          <w:b w:val="0"/>
        </w:rPr>
      </w:pPr>
    </w:p>
    <w:p w:rsidR="000E62C6" w:rsidRPr="006911FB" w:rsidRDefault="004022C8" w:rsidP="00C83660">
      <w:pPr>
        <w:pStyle w:val="ListParagraph"/>
        <w:widowControl/>
        <w:numPr>
          <w:ilvl w:val="1"/>
          <w:numId w:val="1"/>
        </w:numPr>
        <w:spacing w:after="120"/>
        <w:rPr>
          <w:color w:val="000000" w:themeColor="text1"/>
        </w:rPr>
      </w:pPr>
      <w:r w:rsidRPr="006911FB">
        <w:rPr>
          <w:color w:val="000000" w:themeColor="text1"/>
        </w:rPr>
        <w:t xml:space="preserve">As the 95% CI for the lower limit of the difference between the two treatments was within the range of -10% to 0% for the </w:t>
      </w:r>
      <w:r w:rsidR="008D30F0">
        <w:rPr>
          <w:color w:val="000000" w:themeColor="text1"/>
        </w:rPr>
        <w:t>Per Protocol Set (</w:t>
      </w:r>
      <w:r w:rsidRPr="006911FB">
        <w:rPr>
          <w:color w:val="000000" w:themeColor="text1"/>
        </w:rPr>
        <w:t>PPS</w:t>
      </w:r>
      <w:r w:rsidR="008D30F0">
        <w:rPr>
          <w:color w:val="000000" w:themeColor="text1"/>
        </w:rPr>
        <w:t>)</w:t>
      </w:r>
      <w:r w:rsidRPr="006911FB">
        <w:rPr>
          <w:color w:val="000000" w:themeColor="text1"/>
        </w:rPr>
        <w:t xml:space="preserve"> at Day 15 (with the lower limit being -5.3%), the non-inferiority margin </w:t>
      </w:r>
      <w:r w:rsidR="00A82427" w:rsidRPr="006911FB">
        <w:rPr>
          <w:color w:val="000000" w:themeColor="text1"/>
        </w:rPr>
        <w:t xml:space="preserve">in Trial OX219-006 </w:t>
      </w:r>
      <w:r w:rsidRPr="006911FB">
        <w:rPr>
          <w:color w:val="000000" w:themeColor="text1"/>
        </w:rPr>
        <w:t xml:space="preserve">was met. </w:t>
      </w:r>
      <w:r w:rsidR="00676343">
        <w:rPr>
          <w:color w:val="000000" w:themeColor="text1"/>
        </w:rPr>
        <w:t>T</w:t>
      </w:r>
      <w:r w:rsidRPr="006911FB">
        <w:rPr>
          <w:color w:val="000000" w:themeColor="text1"/>
        </w:rPr>
        <w:t>he lower limit of the 95% CI for the difference between the two treatments based on the FAS also met the non-inferiority criteria</w:t>
      </w:r>
      <w:r w:rsidR="00676343">
        <w:rPr>
          <w:color w:val="000000" w:themeColor="text1"/>
        </w:rPr>
        <w:t>,</w:t>
      </w:r>
      <w:r w:rsidRPr="006911FB">
        <w:rPr>
          <w:color w:val="000000" w:themeColor="text1"/>
        </w:rPr>
        <w:t xml:space="preserve"> with the lower bound being -5.7% at Day 15. The Day 3 outcome results were also similar. </w:t>
      </w:r>
    </w:p>
    <w:p w:rsidR="00BB1F42" w:rsidRPr="00E5098C" w:rsidRDefault="00F621F0" w:rsidP="00C83660">
      <w:pPr>
        <w:pStyle w:val="ListParagraph"/>
        <w:widowControl/>
        <w:numPr>
          <w:ilvl w:val="1"/>
          <w:numId w:val="1"/>
        </w:numPr>
        <w:spacing w:after="120"/>
        <w:rPr>
          <w:color w:val="000000" w:themeColor="text1"/>
        </w:rPr>
      </w:pPr>
      <w:r w:rsidRPr="006911FB">
        <w:rPr>
          <w:color w:val="000000" w:themeColor="text1"/>
        </w:rPr>
        <w:t xml:space="preserve">Overall, as the Day 3 comparison effectively looked at generic buprenorphine versus Zubsolv, </w:t>
      </w:r>
      <w:r w:rsidR="00676343" w:rsidRPr="00E5098C">
        <w:rPr>
          <w:color w:val="000000" w:themeColor="text1"/>
        </w:rPr>
        <w:t>the ESC</w:t>
      </w:r>
      <w:r w:rsidR="00676343" w:rsidRPr="006911FB">
        <w:rPr>
          <w:color w:val="000000" w:themeColor="text1"/>
        </w:rPr>
        <w:t xml:space="preserve"> </w:t>
      </w:r>
      <w:r w:rsidRPr="006911FB">
        <w:rPr>
          <w:color w:val="000000" w:themeColor="text1"/>
        </w:rPr>
        <w:t xml:space="preserve">considered that this outcome could not inform the question of whether Zubsolv and </w:t>
      </w:r>
      <w:r w:rsidR="00BB1F42" w:rsidRPr="006911FB">
        <w:rPr>
          <w:color w:val="000000" w:themeColor="text1"/>
        </w:rPr>
        <w:t xml:space="preserve">Suboxone film are non-inferior. </w:t>
      </w:r>
    </w:p>
    <w:p w:rsidR="00F621F0" w:rsidRPr="006911FB" w:rsidRDefault="00F621F0" w:rsidP="00C83660">
      <w:pPr>
        <w:pStyle w:val="ListParagraph"/>
        <w:widowControl/>
        <w:numPr>
          <w:ilvl w:val="1"/>
          <w:numId w:val="1"/>
        </w:numPr>
        <w:spacing w:after="120"/>
        <w:rPr>
          <w:color w:val="000000" w:themeColor="text1"/>
        </w:rPr>
      </w:pPr>
      <w:r w:rsidRPr="006911FB">
        <w:rPr>
          <w:color w:val="000000" w:themeColor="text1"/>
        </w:rPr>
        <w:t>The</w:t>
      </w:r>
      <w:r w:rsidR="00CD3B1C">
        <w:rPr>
          <w:color w:val="000000" w:themeColor="text1"/>
        </w:rPr>
        <w:t xml:space="preserve"> </w:t>
      </w:r>
      <w:r w:rsidR="0019776A">
        <w:rPr>
          <w:color w:val="000000" w:themeColor="text1"/>
        </w:rPr>
        <w:t>ESC</w:t>
      </w:r>
      <w:r w:rsidR="0019776A" w:rsidRPr="00E5098C">
        <w:rPr>
          <w:color w:val="000000" w:themeColor="text1"/>
        </w:rPr>
        <w:t xml:space="preserve"> </w:t>
      </w:r>
      <w:r w:rsidR="00CD3B1C" w:rsidRPr="00E5098C">
        <w:rPr>
          <w:color w:val="000000" w:themeColor="text1"/>
        </w:rPr>
        <w:t>considered that the</w:t>
      </w:r>
      <w:r w:rsidRPr="006911FB">
        <w:rPr>
          <w:color w:val="000000" w:themeColor="text1"/>
        </w:rPr>
        <w:t xml:space="preserve"> </w:t>
      </w:r>
      <w:r w:rsidR="002B4BAF" w:rsidRPr="006911FB">
        <w:rPr>
          <w:color w:val="000000" w:themeColor="text1"/>
        </w:rPr>
        <w:t xml:space="preserve">reliability of the </w:t>
      </w:r>
      <w:r w:rsidRPr="006911FB">
        <w:rPr>
          <w:color w:val="000000" w:themeColor="text1"/>
        </w:rPr>
        <w:t xml:space="preserve">results from the </w:t>
      </w:r>
      <w:r w:rsidR="00867882" w:rsidRPr="006911FB">
        <w:rPr>
          <w:color w:val="000000" w:themeColor="text1"/>
        </w:rPr>
        <w:t xml:space="preserve">Day </w:t>
      </w:r>
      <w:r w:rsidRPr="006911FB">
        <w:rPr>
          <w:color w:val="000000" w:themeColor="text1"/>
        </w:rPr>
        <w:t xml:space="preserve">15 endpoint </w:t>
      </w:r>
      <w:r w:rsidR="002B4BAF" w:rsidRPr="006911FB">
        <w:rPr>
          <w:color w:val="000000" w:themeColor="text1"/>
        </w:rPr>
        <w:t xml:space="preserve">was </w:t>
      </w:r>
      <w:r w:rsidRPr="006911FB">
        <w:rPr>
          <w:color w:val="000000" w:themeColor="text1"/>
        </w:rPr>
        <w:t>limited</w:t>
      </w:r>
      <w:r w:rsidR="00B82F48" w:rsidRPr="006911FB">
        <w:rPr>
          <w:color w:val="000000" w:themeColor="text1"/>
        </w:rPr>
        <w:t xml:space="preserve"> for the following reasons</w:t>
      </w:r>
      <w:r w:rsidRPr="006911FB">
        <w:rPr>
          <w:color w:val="000000" w:themeColor="text1"/>
        </w:rPr>
        <w:t>:</w:t>
      </w:r>
    </w:p>
    <w:p w:rsidR="00F621F0" w:rsidRPr="006911FB" w:rsidRDefault="00B82F48" w:rsidP="00C83660">
      <w:pPr>
        <w:pStyle w:val="ListParagraph"/>
        <w:widowControl/>
        <w:numPr>
          <w:ilvl w:val="1"/>
          <w:numId w:val="3"/>
        </w:numPr>
        <w:spacing w:after="120"/>
        <w:ind w:left="1134" w:hanging="425"/>
        <w:rPr>
          <w:color w:val="000000" w:themeColor="text1"/>
        </w:rPr>
      </w:pPr>
      <w:r w:rsidRPr="006911FB">
        <w:rPr>
          <w:color w:val="000000" w:themeColor="text1"/>
        </w:rPr>
        <w:t>t</w:t>
      </w:r>
      <w:r w:rsidR="00F621F0" w:rsidRPr="006911FB">
        <w:rPr>
          <w:color w:val="000000" w:themeColor="text1"/>
        </w:rPr>
        <w:t>he time of observation was short given the long-term nature of treatment;</w:t>
      </w:r>
    </w:p>
    <w:p w:rsidR="00F621F0" w:rsidRPr="006911FB" w:rsidRDefault="00B82F48" w:rsidP="00C83660">
      <w:pPr>
        <w:pStyle w:val="ListParagraph"/>
        <w:widowControl/>
        <w:numPr>
          <w:ilvl w:val="1"/>
          <w:numId w:val="3"/>
        </w:numPr>
        <w:spacing w:after="120"/>
        <w:ind w:left="1134" w:hanging="425"/>
        <w:rPr>
          <w:color w:val="000000" w:themeColor="text1"/>
        </w:rPr>
      </w:pPr>
      <w:r w:rsidRPr="006911FB">
        <w:rPr>
          <w:color w:val="000000" w:themeColor="text1"/>
        </w:rPr>
        <w:t>t</w:t>
      </w:r>
      <w:r w:rsidR="00F621F0" w:rsidRPr="006911FB">
        <w:rPr>
          <w:color w:val="000000" w:themeColor="text1"/>
        </w:rPr>
        <w:t>he primary outcome of retention in treatment is not recommended as a standalone end point,</w:t>
      </w:r>
      <w:r w:rsidR="00CD3B1C">
        <w:rPr>
          <w:color w:val="000000" w:themeColor="text1"/>
        </w:rPr>
        <w:t xml:space="preserve"> </w:t>
      </w:r>
      <w:r w:rsidR="00CD3B1C" w:rsidRPr="00E5098C">
        <w:rPr>
          <w:color w:val="000000" w:themeColor="text1"/>
        </w:rPr>
        <w:t>without supportive objective measures of decreased drug use,</w:t>
      </w:r>
      <w:r w:rsidR="00F621F0" w:rsidRPr="006911FB">
        <w:rPr>
          <w:color w:val="000000" w:themeColor="text1"/>
        </w:rPr>
        <w:t xml:space="preserve"> as features of trial design can provide incentives to remain in treatment without accruing clinical benefit; and </w:t>
      </w:r>
    </w:p>
    <w:p w:rsidR="00F621F0" w:rsidRPr="006911FB" w:rsidRDefault="00B82F48" w:rsidP="00C83660">
      <w:pPr>
        <w:pStyle w:val="ListParagraph"/>
        <w:widowControl/>
        <w:numPr>
          <w:ilvl w:val="1"/>
          <w:numId w:val="3"/>
        </w:numPr>
        <w:spacing w:after="120"/>
        <w:ind w:left="1134" w:hanging="425"/>
        <w:rPr>
          <w:color w:val="000000" w:themeColor="text1"/>
        </w:rPr>
      </w:pPr>
      <w:r w:rsidRPr="006911FB">
        <w:rPr>
          <w:color w:val="000000" w:themeColor="text1"/>
        </w:rPr>
        <w:t>t</w:t>
      </w:r>
      <w:r w:rsidR="00F621F0" w:rsidRPr="006911FB">
        <w:rPr>
          <w:color w:val="000000" w:themeColor="text1"/>
        </w:rPr>
        <w:t>here was potential for outcome bias due to the open-label nature of the trial.</w:t>
      </w:r>
    </w:p>
    <w:p w:rsidR="003A3911" w:rsidRPr="005F4B2A" w:rsidRDefault="003A3911" w:rsidP="00C83660">
      <w:pPr>
        <w:pStyle w:val="ListParagraph"/>
        <w:widowControl/>
        <w:numPr>
          <w:ilvl w:val="1"/>
          <w:numId w:val="1"/>
        </w:numPr>
        <w:spacing w:after="120"/>
        <w:rPr>
          <w:color w:val="000000" w:themeColor="text1"/>
        </w:rPr>
      </w:pPr>
      <w:r w:rsidRPr="005F4B2A">
        <w:lastRenderedPageBreak/>
        <w:t xml:space="preserve">The pre-PBAC response  </w:t>
      </w:r>
      <w:r w:rsidR="00552EA7" w:rsidRPr="005F4B2A">
        <w:t xml:space="preserve">provided additional results from Trial </w:t>
      </w:r>
      <w:r w:rsidR="00552EA7" w:rsidRPr="005F4B2A">
        <w:rPr>
          <w:color w:val="000000" w:themeColor="text1"/>
        </w:rPr>
        <w:t xml:space="preserve">OX219-006, </w:t>
      </w:r>
      <w:r w:rsidRPr="005F4B2A">
        <w:t>stat</w:t>
      </w:r>
      <w:r w:rsidR="00552EA7" w:rsidRPr="005F4B2A">
        <w:t>ing</w:t>
      </w:r>
      <w:r w:rsidRPr="005F4B2A">
        <w:t xml:space="preserve"> ‘there were no statistically significant differences between treatments in the time to first negative </w:t>
      </w:r>
      <w:r w:rsidR="00313BD0" w:rsidRPr="005F4B2A">
        <w:t xml:space="preserve">urine </w:t>
      </w:r>
      <w:r w:rsidRPr="005F4B2A">
        <w:t xml:space="preserve">drug screen (UDS) prior to the switching of treatments at Day 15 (HR </w:t>
      </w:r>
      <w:r w:rsidR="00562116">
        <w:rPr>
          <w:noProof/>
          <w:color w:val="000000"/>
          <w:highlight w:val="black"/>
        </w:rPr>
        <w:t>'''''''''</w:t>
      </w:r>
      <w:r w:rsidRPr="005F4B2A">
        <w:t xml:space="preserve">, 95% CI </w:t>
      </w:r>
      <w:r w:rsidR="00562116">
        <w:rPr>
          <w:noProof/>
          <w:color w:val="000000"/>
          <w:highlight w:val="black"/>
        </w:rPr>
        <w:t>'''''''''''' '''''''''''</w:t>
      </w:r>
      <w:r w:rsidRPr="005F4B2A">
        <w:t>), providing an objective measure of the impact of Zubsolv and Suboxone on changes in illicit drug use’</w:t>
      </w:r>
      <w:r w:rsidR="00313BD0" w:rsidRPr="005F4B2A">
        <w:t>. The risk difference presented in the pre-PBAC response for this outcome</w:t>
      </w:r>
      <w:r w:rsidR="00AE7C27" w:rsidRPr="005F4B2A">
        <w:t xml:space="preserve"> for Zubsolv compared with generic buprenorphine/Suboxone film</w:t>
      </w:r>
      <w:r w:rsidR="00313BD0" w:rsidRPr="005F4B2A">
        <w:t xml:space="preserve"> was </w:t>
      </w:r>
      <w:r w:rsidR="00562116">
        <w:rPr>
          <w:noProof/>
          <w:color w:val="000000"/>
          <w:highlight w:val="black"/>
        </w:rPr>
        <w:t>''''''</w:t>
      </w:r>
      <w:r w:rsidR="00313BD0" w:rsidRPr="005F4B2A">
        <w:t xml:space="preserve">% (95% CI: </w:t>
      </w:r>
      <w:r w:rsidR="00562116">
        <w:rPr>
          <w:noProof/>
          <w:color w:val="000000"/>
          <w:highlight w:val="black"/>
        </w:rPr>
        <w:t>'''''''</w:t>
      </w:r>
      <w:r w:rsidR="00313BD0" w:rsidRPr="005F4B2A">
        <w:t xml:space="preserve">%, </w:t>
      </w:r>
      <w:r w:rsidR="00562116">
        <w:rPr>
          <w:noProof/>
          <w:color w:val="000000"/>
          <w:highlight w:val="black"/>
        </w:rPr>
        <w:t>''''''''</w:t>
      </w:r>
      <w:r w:rsidR="00313BD0" w:rsidRPr="005F4B2A">
        <w:t>%).</w:t>
      </w:r>
    </w:p>
    <w:p w:rsidR="0043509F" w:rsidRPr="00E5098C" w:rsidRDefault="00657A3C" w:rsidP="00C83660">
      <w:pPr>
        <w:pStyle w:val="ListParagraph"/>
        <w:widowControl/>
        <w:numPr>
          <w:ilvl w:val="1"/>
          <w:numId w:val="1"/>
        </w:numPr>
        <w:spacing w:after="120"/>
        <w:rPr>
          <w:color w:val="000000" w:themeColor="text1"/>
        </w:rPr>
      </w:pPr>
      <w:r w:rsidRPr="005F4B2A">
        <w:rPr>
          <w:color w:val="000000" w:themeColor="text1"/>
        </w:rPr>
        <w:t xml:space="preserve">The </w:t>
      </w:r>
      <w:r w:rsidR="0019776A" w:rsidRPr="005F4B2A">
        <w:rPr>
          <w:color w:val="000000" w:themeColor="text1"/>
        </w:rPr>
        <w:t xml:space="preserve">ESC </w:t>
      </w:r>
      <w:r w:rsidRPr="005F4B2A">
        <w:rPr>
          <w:color w:val="000000" w:themeColor="text1"/>
        </w:rPr>
        <w:t>noted that t</w:t>
      </w:r>
      <w:r w:rsidR="00645DC7" w:rsidRPr="005F4B2A">
        <w:rPr>
          <w:color w:val="000000" w:themeColor="text1"/>
        </w:rPr>
        <w:t xml:space="preserve">here were no statistically significant differences noted for the secondary outcomes </w:t>
      </w:r>
      <w:r w:rsidR="0046009D" w:rsidRPr="005F4B2A">
        <w:rPr>
          <w:color w:val="000000" w:themeColor="text1"/>
        </w:rPr>
        <w:t>for</w:t>
      </w:r>
      <w:r w:rsidR="001E6A48" w:rsidRPr="005F4B2A">
        <w:rPr>
          <w:color w:val="000000" w:themeColor="text1"/>
        </w:rPr>
        <w:t xml:space="preserve"> </w:t>
      </w:r>
      <w:r w:rsidR="00645DC7" w:rsidRPr="005F4B2A">
        <w:rPr>
          <w:color w:val="000000" w:themeColor="text1"/>
        </w:rPr>
        <w:t>between treatment group</w:t>
      </w:r>
      <w:r w:rsidR="001E6A48" w:rsidRPr="005F4B2A">
        <w:rPr>
          <w:color w:val="000000" w:themeColor="text1"/>
        </w:rPr>
        <w:t xml:space="preserve"> preference</w:t>
      </w:r>
      <w:r w:rsidR="00645DC7" w:rsidRPr="005F4B2A">
        <w:rPr>
          <w:color w:val="000000" w:themeColor="text1"/>
        </w:rPr>
        <w:t>s, with the exception of acceptability and preference assessments, which favoured Zubsolv treated patients</w:t>
      </w:r>
      <w:r w:rsidR="00645DC7" w:rsidRPr="006911FB">
        <w:rPr>
          <w:color w:val="000000" w:themeColor="text1"/>
        </w:rPr>
        <w:t>.</w:t>
      </w:r>
      <w:r w:rsidR="00AC497D">
        <w:rPr>
          <w:color w:val="000000" w:themeColor="text1"/>
        </w:rPr>
        <w:t xml:space="preserve"> </w:t>
      </w:r>
      <w:r w:rsidR="002467E5" w:rsidRPr="00E5098C">
        <w:rPr>
          <w:color w:val="000000" w:themeColor="text1"/>
        </w:rPr>
        <w:t xml:space="preserve"> </w:t>
      </w:r>
      <w:r w:rsidR="0043509F" w:rsidRPr="00E5098C">
        <w:t xml:space="preserve">The </w:t>
      </w:r>
      <w:r w:rsidR="0019776A">
        <w:t>ESC</w:t>
      </w:r>
      <w:r w:rsidR="0019776A" w:rsidRPr="00E5098C">
        <w:t xml:space="preserve"> </w:t>
      </w:r>
      <w:r w:rsidR="0043509F" w:rsidRPr="00E5098C">
        <w:t>noted the key clinical trial only used combinations of two strengths of Zubsolv, which it considered provided a different patient experience to administration with the strengths proposed. The ESC considered the claims that improved taste, mouth feel and ease of administration would result in improved clinical outcomes were not adequately supported by the evidence in the submission.</w:t>
      </w:r>
    </w:p>
    <w:p w:rsidR="00CE57CB" w:rsidRPr="00CE57CB" w:rsidRDefault="00A82427" w:rsidP="00C83660">
      <w:pPr>
        <w:pStyle w:val="ListParagraph"/>
        <w:widowControl/>
        <w:numPr>
          <w:ilvl w:val="1"/>
          <w:numId w:val="1"/>
        </w:numPr>
        <w:spacing w:after="120"/>
        <w:rPr>
          <w:color w:val="000000" w:themeColor="text1"/>
        </w:rPr>
      </w:pPr>
      <w:r w:rsidRPr="006911FB">
        <w:rPr>
          <w:color w:val="000000" w:themeColor="text1"/>
        </w:rPr>
        <w:t>The submission reported the mean doses of buprenorphine taken by patients in Trial OX219-006, to be 10.8</w:t>
      </w:r>
      <w:r w:rsidR="00333E59">
        <w:rPr>
          <w:color w:val="000000" w:themeColor="text1"/>
        </w:rPr>
        <w:t xml:space="preserve"> </w:t>
      </w:r>
      <w:r w:rsidRPr="006911FB">
        <w:rPr>
          <w:color w:val="000000" w:themeColor="text1"/>
        </w:rPr>
        <w:t>mg for Zubsolv treated patients at Day 15 and 15.9</w:t>
      </w:r>
      <w:r w:rsidR="00333E59">
        <w:rPr>
          <w:color w:val="000000" w:themeColor="text1"/>
        </w:rPr>
        <w:t xml:space="preserve"> </w:t>
      </w:r>
      <w:r w:rsidRPr="006911FB">
        <w:rPr>
          <w:color w:val="000000" w:themeColor="text1"/>
        </w:rPr>
        <w:t xml:space="preserve">mg for Suboxone film treated patients at Day 15. </w:t>
      </w:r>
      <w:r w:rsidR="0046009D" w:rsidRPr="006911FB">
        <w:rPr>
          <w:color w:val="000000" w:themeColor="text1"/>
        </w:rPr>
        <w:t xml:space="preserve">These doses were not reported in the trial report, but were reported in a publication of the trial (Gunderson et al 2015). The </w:t>
      </w:r>
      <w:r w:rsidR="00B73634">
        <w:rPr>
          <w:color w:val="000000" w:themeColor="text1"/>
        </w:rPr>
        <w:t xml:space="preserve">evaluation considered that the </w:t>
      </w:r>
      <w:r w:rsidR="0046009D" w:rsidRPr="006911FB">
        <w:rPr>
          <w:color w:val="000000" w:themeColor="text1"/>
        </w:rPr>
        <w:t>data on which this calculation was based was difficult to interpret, as the doses referred to those on Day 15 (after switch of treatments)</w:t>
      </w:r>
      <w:r w:rsidR="00AB37F0" w:rsidRPr="006911FB">
        <w:rPr>
          <w:color w:val="000000" w:themeColor="text1"/>
        </w:rPr>
        <w:t>, so it was unclear whether the group reported to be taking Zubsolv (after switch of treatments) referred to those who switched to Zubsolv on Day 15 or those initially randomised to Zubsolv.</w:t>
      </w:r>
      <w:r w:rsidR="0046009D" w:rsidRPr="006911FB">
        <w:rPr>
          <w:color w:val="000000" w:themeColor="text1"/>
        </w:rPr>
        <w:t xml:space="preserve"> Should the doses refer to those after switching </w:t>
      </w:r>
      <w:r w:rsidR="00AB37F0" w:rsidRPr="006911FB">
        <w:rPr>
          <w:color w:val="000000" w:themeColor="text1"/>
        </w:rPr>
        <w:t xml:space="preserve">(which is supported by other information in the trial report), this method was not a reasonable way to estimate the mean dose as the proportion of patients on each dose of the therapies at Day 1 of the switch (Day 15 of the trial) would not represent titrated doses </w:t>
      </w:r>
      <w:r w:rsidR="00E66932">
        <w:rPr>
          <w:color w:val="000000" w:themeColor="text1"/>
        </w:rPr>
        <w:t>‘</w:t>
      </w:r>
      <w:r w:rsidR="00AB37F0" w:rsidRPr="006911FB">
        <w:rPr>
          <w:color w:val="000000" w:themeColor="text1"/>
        </w:rPr>
        <w:t>that relieved cravings and opioid withdrawal symptoms with minimal side effects</w:t>
      </w:r>
      <w:r w:rsidR="00E66932">
        <w:rPr>
          <w:color w:val="000000" w:themeColor="text1"/>
        </w:rPr>
        <w:t>’</w:t>
      </w:r>
      <w:r w:rsidR="00AB37F0" w:rsidRPr="006911FB">
        <w:rPr>
          <w:color w:val="000000" w:themeColor="text1"/>
        </w:rPr>
        <w:t xml:space="preserve">. </w:t>
      </w:r>
      <w:r w:rsidR="00AB37F0" w:rsidRPr="005F4B2A">
        <w:rPr>
          <w:color w:val="000000" w:themeColor="text1"/>
        </w:rPr>
        <w:t xml:space="preserve">Rather, this would represent a dose that was based on </w:t>
      </w:r>
      <w:r w:rsidR="00E66932" w:rsidRPr="005F4B2A">
        <w:rPr>
          <w:color w:val="000000" w:themeColor="text1"/>
        </w:rPr>
        <w:t>‘</w:t>
      </w:r>
      <w:r w:rsidR="00AB37F0" w:rsidRPr="005F4B2A">
        <w:rPr>
          <w:color w:val="000000" w:themeColor="text1"/>
        </w:rPr>
        <w:t>Dose conversion</w:t>
      </w:r>
      <w:r w:rsidR="00E66932" w:rsidRPr="005F4B2A">
        <w:rPr>
          <w:color w:val="000000" w:themeColor="text1"/>
        </w:rPr>
        <w:t>’</w:t>
      </w:r>
      <w:r w:rsidR="00AB37F0" w:rsidRPr="005F4B2A">
        <w:rPr>
          <w:color w:val="000000" w:themeColor="text1"/>
        </w:rPr>
        <w:t xml:space="preserve"> (see </w:t>
      </w:r>
      <w:r w:rsidR="00FB0FE5" w:rsidRPr="005F4B2A">
        <w:t>Table 5</w:t>
      </w:r>
      <w:r w:rsidR="00AB37F0" w:rsidRPr="005F4B2A">
        <w:rPr>
          <w:color w:val="000000" w:themeColor="text1"/>
        </w:rPr>
        <w:t>). In the absence of having doses reported at Day 14 (once titration was presumably complete and</w:t>
      </w:r>
      <w:r w:rsidR="00AB37F0" w:rsidRPr="006911FB">
        <w:rPr>
          <w:color w:val="000000" w:themeColor="text1"/>
        </w:rPr>
        <w:t xml:space="preserve"> steady-state doses achieved), one could assume that the proportion reportedly on 5.7/1.4</w:t>
      </w:r>
      <w:r w:rsidR="00333E59">
        <w:rPr>
          <w:color w:val="000000" w:themeColor="text1"/>
        </w:rPr>
        <w:t xml:space="preserve"> </w:t>
      </w:r>
      <w:r w:rsidR="00AB37F0" w:rsidRPr="006911FB">
        <w:rPr>
          <w:color w:val="000000" w:themeColor="text1"/>
        </w:rPr>
        <w:t>mg Zubsolv at Day 15 were on a dose of 8/2</w:t>
      </w:r>
      <w:r w:rsidR="00333E59">
        <w:rPr>
          <w:color w:val="000000" w:themeColor="text1"/>
        </w:rPr>
        <w:t xml:space="preserve"> </w:t>
      </w:r>
      <w:r w:rsidR="00AB37F0" w:rsidRPr="006911FB">
        <w:rPr>
          <w:color w:val="000000" w:themeColor="text1"/>
        </w:rPr>
        <w:t>mg Suboxone film on Day 14 (based on the conversions used in the trial) and so on. Assuming this results in mean buprenorphine doses of 11.3 mg for Zubsolv and 15.2 mg for Suboxone film at Day 14.</w:t>
      </w:r>
      <w:r w:rsidR="00AA4945">
        <w:rPr>
          <w:color w:val="000000" w:themeColor="text1"/>
        </w:rPr>
        <w:t xml:space="preserve"> </w:t>
      </w:r>
      <w:r w:rsidR="00D34DE7" w:rsidRPr="006911FB">
        <w:rPr>
          <w:color w:val="000000" w:themeColor="text1"/>
        </w:rPr>
        <w:t>The submission highlighted that the relative amounts of buprenorphine in the therapies used by patients in the trial (10.8</w:t>
      </w:r>
      <w:r w:rsidR="00333E59">
        <w:rPr>
          <w:color w:val="000000" w:themeColor="text1"/>
        </w:rPr>
        <w:t xml:space="preserve"> </w:t>
      </w:r>
      <w:r w:rsidR="00D34DE7" w:rsidRPr="006911FB">
        <w:rPr>
          <w:color w:val="000000" w:themeColor="text1"/>
        </w:rPr>
        <w:t>mg versus 15.9</w:t>
      </w:r>
      <w:r w:rsidR="00333E59">
        <w:rPr>
          <w:color w:val="000000" w:themeColor="text1"/>
        </w:rPr>
        <w:t xml:space="preserve"> </w:t>
      </w:r>
      <w:r w:rsidR="00D34DE7" w:rsidRPr="006911FB">
        <w:rPr>
          <w:color w:val="000000" w:themeColor="text1"/>
        </w:rPr>
        <w:t xml:space="preserve">mg) equated to a relativity of 1:1.5. This is similar to the dose relativity of 5.7:8 (1:1.4) that was used to convert doses between the two therapies during the study (and the therapeutic relativity proposed in the submission). This is not surprising given the pre-supposed relativities assumed when patients switched from one therapy to another and the dosing may relate to the day of that switch. Using the above approach estimating </w:t>
      </w:r>
      <w:r w:rsidR="00D34DE7" w:rsidRPr="006911FB">
        <w:rPr>
          <w:color w:val="000000" w:themeColor="text1"/>
        </w:rPr>
        <w:lastRenderedPageBreak/>
        <w:t>mean buprenorphine doses of 11.3</w:t>
      </w:r>
      <w:r w:rsidR="00333E59">
        <w:rPr>
          <w:color w:val="000000" w:themeColor="text1"/>
        </w:rPr>
        <w:t xml:space="preserve"> </w:t>
      </w:r>
      <w:r w:rsidR="00D34DE7" w:rsidRPr="006911FB">
        <w:rPr>
          <w:color w:val="000000" w:themeColor="text1"/>
        </w:rPr>
        <w:t>mg for Zubsolv and 15.2</w:t>
      </w:r>
      <w:r w:rsidR="00333E59">
        <w:rPr>
          <w:color w:val="000000" w:themeColor="text1"/>
        </w:rPr>
        <w:t xml:space="preserve"> </w:t>
      </w:r>
      <w:r w:rsidR="00D34DE7" w:rsidRPr="006911FB">
        <w:rPr>
          <w:color w:val="000000" w:themeColor="text1"/>
        </w:rPr>
        <w:t>mg for Suboxone film, the dose relativity would be 1:1.34.</w:t>
      </w:r>
    </w:p>
    <w:p w:rsidR="0060175D" w:rsidRPr="0060175D" w:rsidRDefault="006F77C0" w:rsidP="00C83660">
      <w:pPr>
        <w:pStyle w:val="ListParagraph"/>
        <w:widowControl/>
        <w:numPr>
          <w:ilvl w:val="1"/>
          <w:numId w:val="1"/>
        </w:numPr>
        <w:spacing w:after="120"/>
      </w:pPr>
      <w:r w:rsidRPr="00E5098C">
        <w:rPr>
          <w:color w:val="000000" w:themeColor="text1"/>
        </w:rPr>
        <w:t xml:space="preserve">The PSCR </w:t>
      </w:r>
      <w:r w:rsidR="009B0158" w:rsidRPr="00E5098C">
        <w:rPr>
          <w:color w:val="000000" w:themeColor="text1"/>
        </w:rPr>
        <w:t>stated</w:t>
      </w:r>
      <w:r w:rsidRPr="00E5098C">
        <w:rPr>
          <w:color w:val="000000" w:themeColor="text1"/>
        </w:rPr>
        <w:t xml:space="preserve"> ‘the primary outcome used to determine non-inferiority and all key secondary outcomes were reported prior to any change in therapy and thus are not impacted by whatever dose conversion was subsequently used’. The ESC </w:t>
      </w:r>
      <w:r w:rsidR="00D676B7" w:rsidRPr="00E5098C">
        <w:rPr>
          <w:color w:val="000000" w:themeColor="text1"/>
        </w:rPr>
        <w:t>agreed that if participants were titrated to effect, pre-assumed knowledge of dose equivalence would not cause significant bias. However,</w:t>
      </w:r>
      <w:r w:rsidRPr="00E5098C">
        <w:rPr>
          <w:color w:val="000000" w:themeColor="text1"/>
        </w:rPr>
        <w:t xml:space="preserve"> </w:t>
      </w:r>
      <w:r w:rsidR="00D676B7" w:rsidRPr="00E5098C">
        <w:rPr>
          <w:color w:val="000000" w:themeColor="text1"/>
        </w:rPr>
        <w:t xml:space="preserve">the ESC considered </w:t>
      </w:r>
      <w:r w:rsidRPr="00E5098C">
        <w:rPr>
          <w:color w:val="000000" w:themeColor="text1"/>
        </w:rPr>
        <w:t xml:space="preserve">that the PSCR indicated the dose relativity was determined after the conversion had taken place. It considered that since participants were crossed over on Day 15, the doses reported </w:t>
      </w:r>
      <w:r w:rsidR="00D676B7" w:rsidRPr="00E5098C">
        <w:rPr>
          <w:color w:val="000000" w:themeColor="text1"/>
        </w:rPr>
        <w:t xml:space="preserve">may </w:t>
      </w:r>
      <w:r w:rsidRPr="00E5098C">
        <w:rPr>
          <w:color w:val="000000" w:themeColor="text1"/>
        </w:rPr>
        <w:t xml:space="preserve">not have been doses that were titrated to relieve cravings and opioid withdrawal symptoms with minimal side-effects, but doses that were based on the pre-assumed dose conversion table. </w:t>
      </w:r>
    </w:p>
    <w:p w:rsidR="000B6378" w:rsidRPr="009B0158" w:rsidRDefault="0060175D" w:rsidP="00C83660">
      <w:pPr>
        <w:pStyle w:val="ListParagraph"/>
        <w:widowControl/>
        <w:numPr>
          <w:ilvl w:val="1"/>
          <w:numId w:val="1"/>
        </w:numPr>
        <w:spacing w:after="120"/>
        <w:rPr>
          <w:color w:val="000000" w:themeColor="text1"/>
        </w:rPr>
      </w:pPr>
      <w:r w:rsidRPr="00E5098C">
        <w:rPr>
          <w:color w:val="000000" w:themeColor="text1"/>
        </w:rPr>
        <w:t xml:space="preserve">The </w:t>
      </w:r>
      <w:r w:rsidR="006F77C0" w:rsidRPr="00E5098C">
        <w:rPr>
          <w:color w:val="000000" w:themeColor="text1"/>
        </w:rPr>
        <w:t xml:space="preserve">ESC considered </w:t>
      </w:r>
      <w:r w:rsidR="009B0158" w:rsidRPr="00E5098C">
        <w:rPr>
          <w:color w:val="000000" w:themeColor="text1"/>
        </w:rPr>
        <w:t>it</w:t>
      </w:r>
      <w:r w:rsidR="00020FED" w:rsidRPr="009B0158">
        <w:rPr>
          <w:color w:val="000000" w:themeColor="text1"/>
        </w:rPr>
        <w:t xml:space="preserve"> was </w:t>
      </w:r>
      <w:r>
        <w:rPr>
          <w:color w:val="000000" w:themeColor="text1"/>
        </w:rPr>
        <w:t xml:space="preserve">also </w:t>
      </w:r>
      <w:r w:rsidR="00020FED" w:rsidRPr="009B0158">
        <w:rPr>
          <w:color w:val="000000" w:themeColor="text1"/>
        </w:rPr>
        <w:t>unclear whether the proposed dose relativity of 5.7</w:t>
      </w:r>
      <w:r w:rsidR="00333E59">
        <w:rPr>
          <w:color w:val="000000" w:themeColor="text1"/>
        </w:rPr>
        <w:t xml:space="preserve"> </w:t>
      </w:r>
      <w:r w:rsidR="00020FED" w:rsidRPr="009B0158">
        <w:rPr>
          <w:color w:val="000000" w:themeColor="text1"/>
        </w:rPr>
        <w:t>mg of buprenorphine in Zubsolv being equivalent to 8</w:t>
      </w:r>
      <w:r w:rsidR="00333E59">
        <w:rPr>
          <w:color w:val="000000" w:themeColor="text1"/>
        </w:rPr>
        <w:t xml:space="preserve"> </w:t>
      </w:r>
      <w:r w:rsidR="00020FED" w:rsidRPr="009B0158">
        <w:rPr>
          <w:color w:val="000000" w:themeColor="text1"/>
        </w:rPr>
        <w:t>mg of buprenorphine in Suboxone film would be realised in clinical practice. The availability of additional strengths of Zubsolv on the PBS may mean that the dose can be fine-tuned more so than under trial conditions, where only the 5.7/1.4</w:t>
      </w:r>
      <w:r w:rsidR="00333E59">
        <w:rPr>
          <w:color w:val="000000" w:themeColor="text1"/>
        </w:rPr>
        <w:t xml:space="preserve"> </w:t>
      </w:r>
      <w:r w:rsidR="00886A08" w:rsidRPr="009B0158">
        <w:rPr>
          <w:color w:val="000000" w:themeColor="text1"/>
        </w:rPr>
        <w:t>mg</w:t>
      </w:r>
      <w:r w:rsidR="00020FED" w:rsidRPr="009B0158">
        <w:rPr>
          <w:color w:val="000000" w:themeColor="text1"/>
        </w:rPr>
        <w:t xml:space="preserve"> and 1.4/0.36</w:t>
      </w:r>
      <w:r w:rsidR="00333E59">
        <w:rPr>
          <w:color w:val="000000" w:themeColor="text1"/>
        </w:rPr>
        <w:t xml:space="preserve"> </w:t>
      </w:r>
      <w:r w:rsidR="00886A08" w:rsidRPr="009B0158">
        <w:rPr>
          <w:color w:val="000000" w:themeColor="text1"/>
        </w:rPr>
        <w:t>mg</w:t>
      </w:r>
      <w:r w:rsidR="00020FED" w:rsidRPr="009B0158">
        <w:rPr>
          <w:color w:val="000000" w:themeColor="text1"/>
        </w:rPr>
        <w:t xml:space="preserve"> strengths were available</w:t>
      </w:r>
      <w:r w:rsidR="00AB37F0" w:rsidRPr="009B0158">
        <w:rPr>
          <w:color w:val="000000" w:themeColor="text1"/>
        </w:rPr>
        <w:t xml:space="preserve"> in the trial</w:t>
      </w:r>
      <w:r w:rsidR="00020FED" w:rsidRPr="009B0158">
        <w:rPr>
          <w:color w:val="000000" w:themeColor="text1"/>
        </w:rPr>
        <w:t xml:space="preserve">. </w:t>
      </w:r>
      <w:r w:rsidRPr="00E5098C">
        <w:rPr>
          <w:color w:val="000000" w:themeColor="text1"/>
        </w:rPr>
        <w:t xml:space="preserve">The ESC considered that if all the Zubsolv strengths which are proposed in this submission had been used in the OX219-006 trial, different dose equivalence to Suboxone may have been reached. </w:t>
      </w:r>
      <w:r w:rsidR="00BB1F42" w:rsidRPr="009B0158">
        <w:rPr>
          <w:color w:val="000000" w:themeColor="text1"/>
        </w:rPr>
        <w:t>Furthermore, t</w:t>
      </w:r>
      <w:r w:rsidR="00020FED" w:rsidRPr="009B0158">
        <w:rPr>
          <w:color w:val="000000" w:themeColor="text1"/>
        </w:rPr>
        <w:t>he defined initiation dosing for Zubsolv may have been higher than that which would occur in practice, and knowledge of treatment allocation may have influenced the overall dose relativity reported from the trial.</w:t>
      </w:r>
      <w:r>
        <w:rPr>
          <w:color w:val="000000" w:themeColor="text1"/>
        </w:rPr>
        <w:t xml:space="preserve"> </w:t>
      </w:r>
    </w:p>
    <w:p w:rsidR="007E7B13" w:rsidRPr="006911FB" w:rsidRDefault="007E7B13" w:rsidP="00C83660">
      <w:pPr>
        <w:pStyle w:val="ListParagraph"/>
        <w:widowControl/>
        <w:numPr>
          <w:ilvl w:val="1"/>
          <w:numId w:val="1"/>
        </w:numPr>
        <w:spacing w:after="120"/>
      </w:pPr>
      <w:r w:rsidRPr="006911FB">
        <w:t>In relation to bioavailability,</w:t>
      </w:r>
      <w:r w:rsidR="00FC64AE">
        <w:t xml:space="preserve"> </w:t>
      </w:r>
      <w:r w:rsidRPr="006911FB">
        <w:t>the submission did not provide data to show that Zubsolv is bioequivalent to the same strength of Suboxone film. The submission provided data on the biopharmaceutical studies, which it stated established dose proportionality with Suboxone tablets. While the TGA clinical overview concluded that equivalent buprenorphine and naloxone exposure was achieved for the comparisons of Zubsolv and Suboxone tablets, the buprenorphine exposure provided by Zubsolv was numerically less than that provided by Suboxone tablets, with an AUC</w:t>
      </w:r>
      <w:r w:rsidRPr="006911FB">
        <w:rPr>
          <w:vertAlign w:val="subscript"/>
        </w:rPr>
        <w:t xml:space="preserve">0-72h </w:t>
      </w:r>
      <w:r w:rsidRPr="006911FB">
        <w:t xml:space="preserve">of approximately 88% for buprenorphine in Zubsolv compared to Suboxone tablets (i.e. 12% lower buprenorphine exposure).  </w:t>
      </w:r>
    </w:p>
    <w:p w:rsidR="007E7B13" w:rsidRPr="006911FB" w:rsidRDefault="007E7B13" w:rsidP="00C83660">
      <w:pPr>
        <w:pStyle w:val="ListParagraph"/>
        <w:widowControl/>
        <w:numPr>
          <w:ilvl w:val="1"/>
          <w:numId w:val="1"/>
        </w:numPr>
        <w:spacing w:after="120"/>
      </w:pPr>
      <w:r w:rsidRPr="006911FB">
        <w:t xml:space="preserve">The Suboxone film PI indicates that Suboxone film is not bioequivalent to Suboxone tablets (which are no longer PBS listed) with </w:t>
      </w:r>
      <w:r w:rsidR="00B0256E" w:rsidRPr="006911FB">
        <w:t>SL</w:t>
      </w:r>
      <w:r w:rsidRPr="006911FB">
        <w:t xml:space="preserve"> and buccal administration of the film resulting in 20% and 25% higher buprenorphine exposure respectively based on AUC</w:t>
      </w:r>
      <w:r w:rsidRPr="006911FB">
        <w:rPr>
          <w:vertAlign w:val="subscript"/>
        </w:rPr>
        <w:t>0</w:t>
      </w:r>
      <w:r w:rsidR="00910515">
        <w:rPr>
          <w:vertAlign w:val="subscript"/>
        </w:rPr>
        <w:noBreakHyphen/>
      </w:r>
      <w:r w:rsidRPr="006911FB">
        <w:rPr>
          <w:vertAlign w:val="subscript"/>
        </w:rPr>
        <w:t xml:space="preserve">last </w:t>
      </w:r>
      <w:r w:rsidRPr="006911FB">
        <w:t xml:space="preserve">compared to the equivalent dose given sublingually as Suboxone tablets. Given this, </w:t>
      </w:r>
      <w:r w:rsidR="00FC64AE">
        <w:t xml:space="preserve">the </w:t>
      </w:r>
      <w:r w:rsidR="00286C9B">
        <w:t xml:space="preserve">evaluation and the ESC </w:t>
      </w:r>
      <w:r w:rsidR="00FC64AE">
        <w:t xml:space="preserve">considered that </w:t>
      </w:r>
      <w:r w:rsidRPr="006911FB">
        <w:t>the proposed dose relativity nominated in the submission of 5.7</w:t>
      </w:r>
      <w:r w:rsidR="00333E59">
        <w:t xml:space="preserve"> </w:t>
      </w:r>
      <w:r w:rsidRPr="006911FB">
        <w:t>mg buprenorphine in Zubsolv equals 8</w:t>
      </w:r>
      <w:r w:rsidR="00333E59">
        <w:t xml:space="preserve"> </w:t>
      </w:r>
      <w:r w:rsidRPr="006911FB">
        <w:t xml:space="preserve">mg in Suboxone film </w:t>
      </w:r>
      <w:r w:rsidR="00286C9B">
        <w:t>wa</w:t>
      </w:r>
      <w:r w:rsidRPr="006911FB">
        <w:t>s not supported by bioavailability data.</w:t>
      </w:r>
    </w:p>
    <w:p w:rsidR="007E7B13" w:rsidRPr="006911FB" w:rsidRDefault="007E7B13" w:rsidP="00C83660">
      <w:pPr>
        <w:pStyle w:val="ListParagraph"/>
        <w:widowControl/>
        <w:numPr>
          <w:ilvl w:val="1"/>
          <w:numId w:val="1"/>
        </w:numPr>
        <w:spacing w:after="120"/>
      </w:pPr>
      <w:r w:rsidRPr="006911FB">
        <w:lastRenderedPageBreak/>
        <w:t xml:space="preserve">Based on the numerically lower bioavailability of buprenorphine in Zubsolv compared with Suboxone tablets, </w:t>
      </w:r>
      <w:r w:rsidR="00FC64AE">
        <w:t xml:space="preserve">the </w:t>
      </w:r>
      <w:r w:rsidR="00286C9B">
        <w:t xml:space="preserve">evaluation </w:t>
      </w:r>
      <w:r w:rsidR="00FC64AE">
        <w:t>concluded that</w:t>
      </w:r>
      <w:r w:rsidRPr="006911FB">
        <w:t xml:space="preserve"> buprenorphine bioavailability may be: 5.7</w:t>
      </w:r>
      <w:r w:rsidR="00333E59">
        <w:t xml:space="preserve"> </w:t>
      </w:r>
      <w:r w:rsidRPr="006911FB">
        <w:t>mg in Zubsolv &lt; 8</w:t>
      </w:r>
      <w:r w:rsidR="00333E59">
        <w:t xml:space="preserve"> </w:t>
      </w:r>
      <w:r w:rsidRPr="006911FB">
        <w:t>mg in Suboxone tablet &lt; 8 mg in Suboxone film. Alternatively, if the bioavailability of buprenorphine is accepted as being equivalent in Zubsolv and Suboxone tablets, a conclusion regarding buprenorphine bioavailability may be: 5.7</w:t>
      </w:r>
      <w:r w:rsidR="00333E59">
        <w:t xml:space="preserve"> </w:t>
      </w:r>
      <w:r w:rsidRPr="006911FB">
        <w:t>mg in Zubsolv ≡ 8</w:t>
      </w:r>
      <w:r w:rsidR="00333E59">
        <w:t xml:space="preserve"> </w:t>
      </w:r>
      <w:r w:rsidRPr="006911FB">
        <w:t>mg in Suboxone tablet &lt; 8</w:t>
      </w:r>
      <w:r w:rsidR="00333E59">
        <w:t xml:space="preserve"> </w:t>
      </w:r>
      <w:r w:rsidRPr="006911FB">
        <w:t>mg in Suboxone film.</w:t>
      </w:r>
    </w:p>
    <w:p w:rsidR="007E7B13" w:rsidRDefault="007E7B13" w:rsidP="00C83660">
      <w:pPr>
        <w:pStyle w:val="ListParagraph"/>
        <w:widowControl/>
        <w:numPr>
          <w:ilvl w:val="1"/>
          <w:numId w:val="1"/>
        </w:numPr>
        <w:spacing w:after="120"/>
      </w:pPr>
      <w:r w:rsidRPr="006911FB">
        <w:t>The bioavailability data also indicate</w:t>
      </w:r>
      <w:r w:rsidR="00A50285">
        <w:t>d</w:t>
      </w:r>
      <w:r w:rsidRPr="006911FB">
        <w:t xml:space="preserve"> that even if 5.7</w:t>
      </w:r>
      <w:r w:rsidR="00333E59">
        <w:t xml:space="preserve"> </w:t>
      </w:r>
      <w:r w:rsidRPr="006911FB">
        <w:t xml:space="preserve">mg buprenorphine in Zubsolv </w:t>
      </w:r>
      <w:r w:rsidR="00A50285">
        <w:t>was</w:t>
      </w:r>
      <w:r w:rsidRPr="006911FB">
        <w:t xml:space="preserve"> accepted to be equivalent to 8mg buprenorphine in Suboxone tablets, this relativity cannot be assumed at all other relative doses. For example, at one quarter this strength, 1.4</w:t>
      </w:r>
      <w:r w:rsidR="00333E59">
        <w:t xml:space="preserve"> </w:t>
      </w:r>
      <w:r w:rsidRPr="006911FB">
        <w:t>mg buprenorphine in Zubsolv was not shown to be of equivalent bioavailability to 2</w:t>
      </w:r>
      <w:r w:rsidR="00333E59">
        <w:t xml:space="preserve"> </w:t>
      </w:r>
      <w:r w:rsidRPr="006911FB">
        <w:t>mg buprenorphine in Suboxone tablets.</w:t>
      </w:r>
    </w:p>
    <w:p w:rsidR="00B60939" w:rsidRPr="006911FB" w:rsidRDefault="00B60939" w:rsidP="00C83660">
      <w:pPr>
        <w:pStyle w:val="Heading2"/>
        <w:widowControl/>
      </w:pPr>
      <w:bookmarkStart w:id="13" w:name="_Toc17412658"/>
      <w:r w:rsidRPr="006911FB">
        <w:t>Comparative harms</w:t>
      </w:r>
      <w:bookmarkEnd w:id="13"/>
    </w:p>
    <w:p w:rsidR="00B60939" w:rsidRPr="006911FB" w:rsidRDefault="00FB0FE5" w:rsidP="00C83660">
      <w:pPr>
        <w:pStyle w:val="ListParagraph"/>
        <w:widowControl/>
        <w:numPr>
          <w:ilvl w:val="1"/>
          <w:numId w:val="1"/>
        </w:numPr>
        <w:spacing w:after="120"/>
        <w:rPr>
          <w:color w:val="000000" w:themeColor="text1"/>
        </w:rPr>
      </w:pPr>
      <w:r w:rsidRPr="006911FB">
        <w:t>Table 7</w:t>
      </w:r>
      <w:r w:rsidR="00240221" w:rsidRPr="006911FB">
        <w:rPr>
          <w:color w:val="000000" w:themeColor="text1"/>
        </w:rPr>
        <w:t xml:space="preserve"> summarises the adverse events reported in Trial OX219-006.</w:t>
      </w:r>
    </w:p>
    <w:p w:rsidR="00B60939" w:rsidRPr="006911FB" w:rsidRDefault="00AB37F0" w:rsidP="00C83660">
      <w:pPr>
        <w:pStyle w:val="Caption"/>
        <w:keepNext/>
        <w:widowControl/>
        <w:spacing w:after="0"/>
        <w:rPr>
          <w:rStyle w:val="CommentReference"/>
          <w:b/>
          <w:color w:val="000000" w:themeColor="text1"/>
        </w:rPr>
      </w:pPr>
      <w:bookmarkStart w:id="14" w:name="_Ref17407674"/>
      <w:r w:rsidRPr="006911FB">
        <w:rPr>
          <w:rStyle w:val="CommentReference"/>
          <w:b/>
          <w:color w:val="000000" w:themeColor="text1"/>
        </w:rPr>
        <w:t xml:space="preserve">Table </w:t>
      </w:r>
      <w:r w:rsidR="00613A1E" w:rsidRPr="006911FB">
        <w:rPr>
          <w:rStyle w:val="CommentReference"/>
          <w:b/>
          <w:noProof/>
          <w:color w:val="000000" w:themeColor="text1"/>
        </w:rPr>
        <w:t>7</w:t>
      </w:r>
      <w:bookmarkEnd w:id="14"/>
      <w:r w:rsidRPr="006911FB">
        <w:rPr>
          <w:rStyle w:val="CommentReference"/>
          <w:b/>
          <w:color w:val="000000" w:themeColor="text1"/>
        </w:rPr>
        <w:t>:</w:t>
      </w:r>
      <w:r w:rsidRPr="006911FB">
        <w:rPr>
          <w:rStyle w:val="CommentReference"/>
          <w:color w:val="000000" w:themeColor="text1"/>
        </w:rPr>
        <w:t xml:space="preserve"> </w:t>
      </w:r>
      <w:r w:rsidR="005D26B4" w:rsidRPr="006911FB">
        <w:rPr>
          <w:rStyle w:val="CommentReference"/>
          <w:b/>
          <w:color w:val="000000" w:themeColor="text1"/>
        </w:rPr>
        <w:t xml:space="preserve">Summary of </w:t>
      </w:r>
      <w:r w:rsidR="00240221" w:rsidRPr="006911FB">
        <w:rPr>
          <w:rStyle w:val="CommentReference"/>
          <w:b/>
          <w:color w:val="000000" w:themeColor="text1"/>
        </w:rPr>
        <w:t>safety results in Trial OX219-006</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Summary of safety results in Trial OX219-006"/>
      </w:tblPr>
      <w:tblGrid>
        <w:gridCol w:w="2547"/>
        <w:gridCol w:w="992"/>
        <w:gridCol w:w="992"/>
        <w:gridCol w:w="993"/>
        <w:gridCol w:w="992"/>
        <w:gridCol w:w="1134"/>
        <w:gridCol w:w="1367"/>
      </w:tblGrid>
      <w:tr w:rsidR="00240221" w:rsidRPr="00FE3984" w:rsidTr="00F770D9">
        <w:trPr>
          <w:tblHeader/>
        </w:trPr>
        <w:tc>
          <w:tcPr>
            <w:tcW w:w="2547" w:type="dxa"/>
            <w:vMerge w:val="restart"/>
            <w:vAlign w:val="bottom"/>
          </w:tcPr>
          <w:p w:rsidR="00240221" w:rsidRPr="00FE3984" w:rsidRDefault="00240221" w:rsidP="00C83660">
            <w:pPr>
              <w:pStyle w:val="Tabletext"/>
              <w:keepNext/>
              <w:rPr>
                <w:b/>
              </w:rPr>
            </w:pPr>
            <w:r w:rsidRPr="00FE3984">
              <w:rPr>
                <w:b/>
              </w:rPr>
              <w:t>Endpoint</w:t>
            </w:r>
          </w:p>
        </w:tc>
        <w:tc>
          <w:tcPr>
            <w:tcW w:w="1984" w:type="dxa"/>
            <w:gridSpan w:val="2"/>
            <w:vAlign w:val="center"/>
          </w:tcPr>
          <w:p w:rsidR="00240221" w:rsidRPr="00FE3984" w:rsidRDefault="00240221" w:rsidP="00C83660">
            <w:pPr>
              <w:pStyle w:val="Tabletext"/>
              <w:keepNext/>
              <w:jc w:val="center"/>
              <w:rPr>
                <w:b/>
              </w:rPr>
            </w:pPr>
            <w:r w:rsidRPr="00FE3984">
              <w:rPr>
                <w:b/>
              </w:rPr>
              <w:t>Blinded phase Days 1-2</w:t>
            </w:r>
          </w:p>
        </w:tc>
        <w:tc>
          <w:tcPr>
            <w:tcW w:w="1985" w:type="dxa"/>
            <w:gridSpan w:val="2"/>
            <w:vAlign w:val="center"/>
          </w:tcPr>
          <w:p w:rsidR="00240221" w:rsidRPr="00FE3984" w:rsidRDefault="00240221" w:rsidP="00C83660">
            <w:pPr>
              <w:pStyle w:val="Tabletext"/>
              <w:keepNext/>
              <w:jc w:val="center"/>
              <w:rPr>
                <w:b/>
              </w:rPr>
            </w:pPr>
            <w:r w:rsidRPr="00FE3984">
              <w:rPr>
                <w:b/>
              </w:rPr>
              <w:t>Open-label phase up to Day 15</w:t>
            </w:r>
          </w:p>
        </w:tc>
        <w:tc>
          <w:tcPr>
            <w:tcW w:w="2501" w:type="dxa"/>
            <w:gridSpan w:val="2"/>
            <w:vAlign w:val="center"/>
          </w:tcPr>
          <w:p w:rsidR="00240221" w:rsidRPr="00FE3984" w:rsidRDefault="00240221" w:rsidP="00C83660">
            <w:pPr>
              <w:pStyle w:val="Tabletext"/>
              <w:keepNext/>
              <w:jc w:val="center"/>
              <w:rPr>
                <w:b/>
              </w:rPr>
            </w:pPr>
            <w:r w:rsidRPr="00FE3984">
              <w:rPr>
                <w:b/>
              </w:rPr>
              <w:t>Open-label phase by treatment taken at time of onset</w:t>
            </w:r>
          </w:p>
        </w:tc>
      </w:tr>
      <w:tr w:rsidR="00F770D9" w:rsidRPr="00FE3984" w:rsidTr="00F770D9">
        <w:trPr>
          <w:tblHeader/>
        </w:trPr>
        <w:tc>
          <w:tcPr>
            <w:tcW w:w="2547" w:type="dxa"/>
            <w:vMerge/>
            <w:vAlign w:val="center"/>
          </w:tcPr>
          <w:p w:rsidR="00240221" w:rsidRPr="00FE3984" w:rsidRDefault="00240221" w:rsidP="00C83660">
            <w:pPr>
              <w:pStyle w:val="Tabletext"/>
              <w:keepNext/>
              <w:rPr>
                <w:b/>
              </w:rPr>
            </w:pPr>
          </w:p>
        </w:tc>
        <w:tc>
          <w:tcPr>
            <w:tcW w:w="992" w:type="dxa"/>
            <w:vAlign w:val="center"/>
          </w:tcPr>
          <w:p w:rsidR="00240221" w:rsidRPr="00FE3984" w:rsidRDefault="00240221" w:rsidP="00C83660">
            <w:pPr>
              <w:pStyle w:val="Tabletext"/>
              <w:keepNext/>
              <w:jc w:val="center"/>
              <w:rPr>
                <w:b/>
              </w:rPr>
            </w:pPr>
            <w:r w:rsidRPr="00FE3984">
              <w:rPr>
                <w:b/>
              </w:rPr>
              <w:t>Zubsolv</w:t>
            </w:r>
          </w:p>
          <w:p w:rsidR="00240221" w:rsidRPr="00FE3984" w:rsidRDefault="00240221" w:rsidP="00C83660">
            <w:pPr>
              <w:pStyle w:val="Tabletext"/>
              <w:keepNext/>
              <w:jc w:val="center"/>
              <w:rPr>
                <w:b/>
              </w:rPr>
            </w:pPr>
            <w:r w:rsidRPr="00FE3984">
              <w:rPr>
                <w:b/>
              </w:rPr>
              <w:t>N=383</w:t>
            </w:r>
          </w:p>
        </w:tc>
        <w:tc>
          <w:tcPr>
            <w:tcW w:w="992" w:type="dxa"/>
            <w:vAlign w:val="center"/>
          </w:tcPr>
          <w:p w:rsidR="00240221" w:rsidRPr="00FE3984" w:rsidRDefault="00240221" w:rsidP="00C83660">
            <w:pPr>
              <w:pStyle w:val="Tabletext"/>
              <w:keepNext/>
              <w:jc w:val="center"/>
              <w:rPr>
                <w:b/>
              </w:rPr>
            </w:pPr>
            <w:r w:rsidRPr="00FE3984">
              <w:rPr>
                <w:b/>
              </w:rPr>
              <w:t>Generic BUP</w:t>
            </w:r>
          </w:p>
          <w:p w:rsidR="00240221" w:rsidRPr="00FE3984" w:rsidRDefault="00240221" w:rsidP="00C83660">
            <w:pPr>
              <w:pStyle w:val="Tabletext"/>
              <w:keepNext/>
              <w:jc w:val="center"/>
              <w:rPr>
                <w:b/>
              </w:rPr>
            </w:pPr>
            <w:r w:rsidRPr="00FE3984">
              <w:rPr>
                <w:b/>
              </w:rPr>
              <w:t>N=375</w:t>
            </w:r>
          </w:p>
        </w:tc>
        <w:tc>
          <w:tcPr>
            <w:tcW w:w="993" w:type="dxa"/>
            <w:vAlign w:val="center"/>
          </w:tcPr>
          <w:p w:rsidR="00240221" w:rsidRPr="00FE3984" w:rsidRDefault="00240221" w:rsidP="00C83660">
            <w:pPr>
              <w:pStyle w:val="Tabletext"/>
              <w:keepNext/>
              <w:jc w:val="center"/>
              <w:rPr>
                <w:b/>
              </w:rPr>
            </w:pPr>
            <w:r w:rsidRPr="00FE3984">
              <w:rPr>
                <w:b/>
              </w:rPr>
              <w:t>Zubsolv</w:t>
            </w:r>
          </w:p>
          <w:p w:rsidR="00240221" w:rsidRPr="00FE3984" w:rsidRDefault="00240221" w:rsidP="00C83660">
            <w:pPr>
              <w:pStyle w:val="Tabletext"/>
              <w:keepNext/>
              <w:jc w:val="center"/>
              <w:rPr>
                <w:b/>
              </w:rPr>
            </w:pPr>
            <w:r w:rsidRPr="00FE3984">
              <w:rPr>
                <w:b/>
              </w:rPr>
              <w:t>N=357</w:t>
            </w:r>
          </w:p>
        </w:tc>
        <w:tc>
          <w:tcPr>
            <w:tcW w:w="992" w:type="dxa"/>
            <w:vAlign w:val="center"/>
          </w:tcPr>
          <w:p w:rsidR="00240221" w:rsidRPr="00FE3984" w:rsidRDefault="00240221" w:rsidP="00C83660">
            <w:pPr>
              <w:pStyle w:val="Tabletext"/>
              <w:keepNext/>
              <w:jc w:val="center"/>
              <w:rPr>
                <w:b/>
              </w:rPr>
            </w:pPr>
            <w:r w:rsidRPr="00FE3984">
              <w:rPr>
                <w:b/>
              </w:rPr>
              <w:t>Suboxone film</w:t>
            </w:r>
          </w:p>
          <w:p w:rsidR="00240221" w:rsidRPr="00FE3984" w:rsidRDefault="00240221" w:rsidP="00C83660">
            <w:pPr>
              <w:pStyle w:val="Tabletext"/>
              <w:keepNext/>
              <w:jc w:val="center"/>
              <w:rPr>
                <w:b/>
              </w:rPr>
            </w:pPr>
            <w:r w:rsidRPr="00FE3984">
              <w:rPr>
                <w:b/>
              </w:rPr>
              <w:t>N=344</w:t>
            </w:r>
          </w:p>
        </w:tc>
        <w:tc>
          <w:tcPr>
            <w:tcW w:w="1134" w:type="dxa"/>
            <w:vAlign w:val="center"/>
          </w:tcPr>
          <w:p w:rsidR="009836F5" w:rsidRPr="00FE3984" w:rsidRDefault="00240221" w:rsidP="00C83660">
            <w:pPr>
              <w:pStyle w:val="Tabletext"/>
              <w:keepNext/>
              <w:jc w:val="center"/>
              <w:rPr>
                <w:b/>
              </w:rPr>
            </w:pPr>
            <w:r w:rsidRPr="00FE3984">
              <w:rPr>
                <w:b/>
              </w:rPr>
              <w:t xml:space="preserve">Zubsolv </w:t>
            </w:r>
          </w:p>
          <w:p w:rsidR="00240221" w:rsidRPr="00FE3984" w:rsidRDefault="00240221" w:rsidP="00C83660">
            <w:pPr>
              <w:pStyle w:val="Tabletext"/>
              <w:keepNext/>
              <w:jc w:val="center"/>
              <w:rPr>
                <w:b/>
              </w:rPr>
            </w:pPr>
            <w:r w:rsidRPr="00FE3984">
              <w:rPr>
                <w:b/>
              </w:rPr>
              <w:t>N=635</w:t>
            </w:r>
          </w:p>
        </w:tc>
        <w:tc>
          <w:tcPr>
            <w:tcW w:w="1367" w:type="dxa"/>
            <w:vAlign w:val="center"/>
          </w:tcPr>
          <w:p w:rsidR="00F770D9" w:rsidRPr="00FE3984" w:rsidRDefault="00240221" w:rsidP="00C83660">
            <w:pPr>
              <w:pStyle w:val="Tabletext"/>
              <w:keepNext/>
              <w:jc w:val="center"/>
              <w:rPr>
                <w:b/>
              </w:rPr>
            </w:pPr>
            <w:r w:rsidRPr="00FE3984">
              <w:rPr>
                <w:b/>
              </w:rPr>
              <w:t xml:space="preserve">Generic BUP/Suboxone </w:t>
            </w:r>
          </w:p>
          <w:p w:rsidR="00240221" w:rsidRPr="00FE3984" w:rsidRDefault="00F770D9" w:rsidP="00C83660">
            <w:pPr>
              <w:pStyle w:val="Tabletext"/>
              <w:keepNext/>
              <w:jc w:val="center"/>
              <w:rPr>
                <w:b/>
              </w:rPr>
            </w:pPr>
            <w:r w:rsidRPr="00FE3984">
              <w:rPr>
                <w:b/>
              </w:rPr>
              <w:t>f</w:t>
            </w:r>
            <w:r w:rsidR="00240221" w:rsidRPr="00FE3984">
              <w:rPr>
                <w:b/>
              </w:rPr>
              <w:t>ilm</w:t>
            </w:r>
            <w:r w:rsidRPr="00FE3984">
              <w:rPr>
                <w:b/>
              </w:rPr>
              <w:t xml:space="preserve"> </w:t>
            </w:r>
            <w:r w:rsidR="00240221" w:rsidRPr="00FE3984">
              <w:rPr>
                <w:b/>
              </w:rPr>
              <w:t>N=630</w:t>
            </w:r>
          </w:p>
        </w:tc>
      </w:tr>
      <w:tr w:rsidR="00F770D9" w:rsidRPr="00FE3984" w:rsidTr="00F770D9">
        <w:tc>
          <w:tcPr>
            <w:tcW w:w="2547" w:type="dxa"/>
            <w:shd w:val="clear" w:color="auto" w:fill="FFFFFF" w:themeFill="background1"/>
          </w:tcPr>
          <w:p w:rsidR="00240221" w:rsidRPr="00FE3984" w:rsidRDefault="00240221" w:rsidP="00C83660">
            <w:pPr>
              <w:pStyle w:val="Tabletext"/>
              <w:keepNext/>
            </w:pPr>
            <w:r w:rsidRPr="00FE3984">
              <w:t>Treatment-Emergent AEs</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r>
      <w:tr w:rsidR="00F770D9" w:rsidRPr="00FE3984" w:rsidTr="00F770D9">
        <w:tc>
          <w:tcPr>
            <w:tcW w:w="2547" w:type="dxa"/>
            <w:shd w:val="clear" w:color="auto" w:fill="FFFFFF" w:themeFill="background1"/>
          </w:tcPr>
          <w:p w:rsidR="00240221" w:rsidRPr="00FE3984" w:rsidRDefault="00240221" w:rsidP="00C83660">
            <w:pPr>
              <w:pStyle w:val="Tabletext"/>
              <w:keepNext/>
            </w:pPr>
            <w:r w:rsidRPr="00FE3984">
              <w:t>Treatment-Related AEs</w:t>
            </w:r>
          </w:p>
        </w:tc>
        <w:tc>
          <w:tcPr>
            <w:tcW w:w="992" w:type="dxa"/>
            <w:shd w:val="clear" w:color="auto" w:fill="FFFFFF" w:themeFill="background1"/>
            <w:vAlign w:val="center"/>
          </w:tcPr>
          <w:p w:rsidR="00240221" w:rsidRPr="00FE3984" w:rsidRDefault="00240221" w:rsidP="00C83660">
            <w:pPr>
              <w:pStyle w:val="Tabletext"/>
              <w:keepNext/>
              <w:jc w:val="center"/>
            </w:pPr>
            <w:r w:rsidRPr="00FE3984">
              <w:t>61 (15.9%)</w:t>
            </w:r>
          </w:p>
        </w:tc>
        <w:tc>
          <w:tcPr>
            <w:tcW w:w="992" w:type="dxa"/>
            <w:shd w:val="clear" w:color="auto" w:fill="FFFFFF" w:themeFill="background1"/>
            <w:vAlign w:val="center"/>
          </w:tcPr>
          <w:p w:rsidR="00240221" w:rsidRPr="00FE3984" w:rsidRDefault="00240221" w:rsidP="00C83660">
            <w:pPr>
              <w:pStyle w:val="Tabletext"/>
              <w:keepNext/>
              <w:jc w:val="center"/>
            </w:pPr>
            <w:r w:rsidRPr="00FE3984">
              <w:t>55 (14.7%)</w:t>
            </w:r>
          </w:p>
        </w:tc>
        <w:tc>
          <w:tcPr>
            <w:tcW w:w="993" w:type="dxa"/>
            <w:shd w:val="clear" w:color="auto" w:fill="FFFFFF" w:themeFill="background1"/>
            <w:vAlign w:val="center"/>
          </w:tcPr>
          <w:p w:rsidR="00240221" w:rsidRPr="00FE3984" w:rsidRDefault="00240221" w:rsidP="00C83660">
            <w:pPr>
              <w:pStyle w:val="Tabletext"/>
              <w:keepNext/>
              <w:jc w:val="center"/>
            </w:pPr>
            <w:r w:rsidRPr="00FE3984">
              <w:t>42 (11.8%)</w:t>
            </w:r>
          </w:p>
        </w:tc>
        <w:tc>
          <w:tcPr>
            <w:tcW w:w="992" w:type="dxa"/>
            <w:shd w:val="clear" w:color="auto" w:fill="FFFFFF" w:themeFill="background1"/>
            <w:vAlign w:val="center"/>
          </w:tcPr>
          <w:p w:rsidR="00240221" w:rsidRPr="00FE3984" w:rsidRDefault="00240221" w:rsidP="00C83660">
            <w:pPr>
              <w:pStyle w:val="Tabletext"/>
              <w:keepNext/>
              <w:jc w:val="center"/>
            </w:pPr>
            <w:r w:rsidRPr="00FE3984">
              <w:t>37 (10.8%)</w:t>
            </w:r>
          </w:p>
        </w:tc>
        <w:tc>
          <w:tcPr>
            <w:tcW w:w="1134" w:type="dxa"/>
            <w:shd w:val="clear" w:color="auto" w:fill="FFFFFF" w:themeFill="background1"/>
            <w:vAlign w:val="center"/>
          </w:tcPr>
          <w:p w:rsidR="00240221" w:rsidRPr="00FE3984" w:rsidRDefault="00240221" w:rsidP="00C83660">
            <w:pPr>
              <w:pStyle w:val="Tabletext"/>
              <w:keepNext/>
              <w:jc w:val="center"/>
            </w:pPr>
            <w:r w:rsidRPr="00FE3984">
              <w:t>53 (8.3%)</w:t>
            </w:r>
          </w:p>
        </w:tc>
        <w:tc>
          <w:tcPr>
            <w:tcW w:w="1367" w:type="dxa"/>
            <w:shd w:val="clear" w:color="auto" w:fill="FFFFFF" w:themeFill="background1"/>
            <w:vAlign w:val="center"/>
          </w:tcPr>
          <w:p w:rsidR="00240221" w:rsidRPr="00FE3984" w:rsidRDefault="00240221" w:rsidP="00C83660">
            <w:pPr>
              <w:pStyle w:val="Tabletext"/>
              <w:keepNext/>
              <w:jc w:val="center"/>
            </w:pPr>
            <w:r w:rsidRPr="00FE3984">
              <w:t>47 (7.5%)</w:t>
            </w:r>
          </w:p>
        </w:tc>
      </w:tr>
      <w:tr w:rsidR="00F770D9" w:rsidRPr="00FE3984" w:rsidTr="00F770D9">
        <w:tc>
          <w:tcPr>
            <w:tcW w:w="2547" w:type="dxa"/>
            <w:shd w:val="clear" w:color="auto" w:fill="FFFFFF" w:themeFill="background1"/>
          </w:tcPr>
          <w:p w:rsidR="00240221" w:rsidRPr="00FE3984" w:rsidRDefault="00240221" w:rsidP="00C83660">
            <w:pPr>
              <w:pStyle w:val="Tabletext"/>
              <w:keepNext/>
            </w:pPr>
            <w:r w:rsidRPr="00FE3984">
              <w:t>Severe AEs</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r>
      <w:tr w:rsidR="00F770D9" w:rsidRPr="00FE3984" w:rsidTr="00F770D9">
        <w:tc>
          <w:tcPr>
            <w:tcW w:w="2547" w:type="dxa"/>
            <w:shd w:val="clear" w:color="auto" w:fill="FFFFFF" w:themeFill="background1"/>
          </w:tcPr>
          <w:p w:rsidR="00240221" w:rsidRPr="00FE3984" w:rsidRDefault="00240221" w:rsidP="00C83660">
            <w:pPr>
              <w:pStyle w:val="Tabletext"/>
              <w:keepNext/>
            </w:pPr>
            <w:r w:rsidRPr="00FE3984">
              <w:t>Severe Treatment-Related AEs</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r>
      <w:tr w:rsidR="00F770D9" w:rsidRPr="00FE3984" w:rsidTr="00F770D9">
        <w:tc>
          <w:tcPr>
            <w:tcW w:w="2547" w:type="dxa"/>
            <w:shd w:val="clear" w:color="auto" w:fill="FFFFFF" w:themeFill="background1"/>
          </w:tcPr>
          <w:p w:rsidR="00240221" w:rsidRPr="00FE3984" w:rsidRDefault="00240221" w:rsidP="00C83660">
            <w:pPr>
              <w:pStyle w:val="Tabletext"/>
              <w:keepNext/>
            </w:pPr>
            <w:r w:rsidRPr="00FE3984">
              <w:t>Serious AEs</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r>
      <w:tr w:rsidR="00F770D9" w:rsidRPr="00FE3984" w:rsidTr="00F770D9">
        <w:tc>
          <w:tcPr>
            <w:tcW w:w="2547" w:type="dxa"/>
            <w:tcBorders>
              <w:bottom w:val="single" w:sz="4" w:space="0" w:color="auto"/>
            </w:tcBorders>
            <w:shd w:val="clear" w:color="auto" w:fill="FFFFFF" w:themeFill="background1"/>
          </w:tcPr>
          <w:p w:rsidR="00240221" w:rsidRPr="00FE3984" w:rsidRDefault="00240221" w:rsidP="00C83660">
            <w:pPr>
              <w:pStyle w:val="Tabletext"/>
              <w:keepNext/>
            </w:pPr>
            <w:r w:rsidRPr="00FE3984">
              <w:t>Serious Treatment-Related AEs</w:t>
            </w:r>
          </w:p>
        </w:tc>
        <w:tc>
          <w:tcPr>
            <w:tcW w:w="992"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r>
      <w:tr w:rsidR="00F770D9" w:rsidRPr="00FE3984" w:rsidTr="00F770D9">
        <w:tc>
          <w:tcPr>
            <w:tcW w:w="2547" w:type="dxa"/>
            <w:shd w:val="clear" w:color="auto" w:fill="FFFFFF" w:themeFill="background1"/>
          </w:tcPr>
          <w:p w:rsidR="00240221" w:rsidRPr="00FE3984" w:rsidRDefault="00240221" w:rsidP="00C83660">
            <w:pPr>
              <w:pStyle w:val="Tabletext"/>
              <w:keepNext/>
            </w:pPr>
            <w:r w:rsidRPr="00FE3984">
              <w:t>AEs leading to discontinuation</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tcBorders>
              <w:bottom w:val="single" w:sz="4" w:space="0" w:color="auto"/>
            </w:tcBorders>
            <w:shd w:val="clear" w:color="auto" w:fill="FFFFFF" w:themeFill="background1"/>
            <w:vAlign w:val="center"/>
          </w:tcPr>
          <w:p w:rsidR="00240221" w:rsidRPr="00562116" w:rsidRDefault="00562116" w:rsidP="00C83660">
            <w:pPr>
              <w:pStyle w:val="Tabletext"/>
              <w:keepNext/>
              <w:jc w:val="center"/>
              <w:rPr>
                <w:highlight w:val="black"/>
              </w:rPr>
            </w:pPr>
            <w:r>
              <w:rPr>
                <w:noProof/>
                <w:color w:val="000000"/>
                <w:highlight w:val="black"/>
              </w:rPr>
              <w:t>''' '''''''''''''''</w:t>
            </w:r>
          </w:p>
        </w:tc>
      </w:tr>
      <w:tr w:rsidR="00240221" w:rsidRPr="00FE3984" w:rsidTr="00D208E5">
        <w:tc>
          <w:tcPr>
            <w:tcW w:w="9017" w:type="dxa"/>
            <w:gridSpan w:val="7"/>
            <w:vAlign w:val="center"/>
          </w:tcPr>
          <w:p w:rsidR="00240221" w:rsidRPr="00FE3984" w:rsidRDefault="00240221" w:rsidP="00C83660">
            <w:pPr>
              <w:pStyle w:val="Tabletext"/>
              <w:keepNext/>
            </w:pPr>
            <w:r w:rsidRPr="00FE3984">
              <w:t>Treatment related AEs reported in 5% or more patients by overall system class</w:t>
            </w:r>
          </w:p>
        </w:tc>
      </w:tr>
      <w:tr w:rsidR="00F770D9" w:rsidRPr="00FE3984" w:rsidTr="00F770D9">
        <w:tc>
          <w:tcPr>
            <w:tcW w:w="2547" w:type="dxa"/>
          </w:tcPr>
          <w:p w:rsidR="00240221" w:rsidRPr="00FE3984" w:rsidRDefault="00240221" w:rsidP="00C83660">
            <w:pPr>
              <w:pStyle w:val="Tabletext"/>
              <w:keepNext/>
            </w:pPr>
            <w:r w:rsidRPr="00FE3984">
              <w:t>Gastrointestinal disorders</w:t>
            </w:r>
          </w:p>
        </w:tc>
        <w:tc>
          <w:tcPr>
            <w:tcW w:w="992"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vAlign w:val="center"/>
          </w:tcPr>
          <w:p w:rsidR="00240221" w:rsidRPr="00562116" w:rsidRDefault="00562116" w:rsidP="00C83660">
            <w:pPr>
              <w:pStyle w:val="Tabletext"/>
              <w:keepNext/>
              <w:jc w:val="center"/>
              <w:rPr>
                <w:highlight w:val="black"/>
              </w:rPr>
            </w:pPr>
            <w:r>
              <w:rPr>
                <w:noProof/>
                <w:color w:val="000000"/>
                <w:highlight w:val="black"/>
              </w:rPr>
              <w:t>'''''' ''''''''''''''''</w:t>
            </w:r>
          </w:p>
        </w:tc>
      </w:tr>
      <w:tr w:rsidR="00F770D9" w:rsidRPr="006911FB" w:rsidTr="00F770D9">
        <w:tc>
          <w:tcPr>
            <w:tcW w:w="2547" w:type="dxa"/>
          </w:tcPr>
          <w:p w:rsidR="00240221" w:rsidRPr="00FE3984" w:rsidRDefault="00240221" w:rsidP="00C83660">
            <w:pPr>
              <w:pStyle w:val="Tabletext"/>
              <w:keepNext/>
            </w:pPr>
            <w:r w:rsidRPr="00FE3984">
              <w:t>Nervous system disorders</w:t>
            </w:r>
          </w:p>
        </w:tc>
        <w:tc>
          <w:tcPr>
            <w:tcW w:w="992"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3"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992"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134" w:type="dxa"/>
            <w:vAlign w:val="center"/>
          </w:tcPr>
          <w:p w:rsidR="00240221" w:rsidRPr="00562116" w:rsidRDefault="00562116" w:rsidP="00C83660">
            <w:pPr>
              <w:pStyle w:val="Tabletext"/>
              <w:keepNext/>
              <w:jc w:val="center"/>
              <w:rPr>
                <w:highlight w:val="black"/>
              </w:rPr>
            </w:pPr>
            <w:r>
              <w:rPr>
                <w:noProof/>
                <w:color w:val="000000"/>
                <w:highlight w:val="black"/>
              </w:rPr>
              <w:t>'''''' ''''''''''''''''</w:t>
            </w:r>
          </w:p>
        </w:tc>
        <w:tc>
          <w:tcPr>
            <w:tcW w:w="1367" w:type="dxa"/>
            <w:vAlign w:val="center"/>
          </w:tcPr>
          <w:p w:rsidR="00240221" w:rsidRPr="00562116" w:rsidRDefault="00562116" w:rsidP="00C83660">
            <w:pPr>
              <w:pStyle w:val="Tabletext"/>
              <w:keepNext/>
              <w:jc w:val="center"/>
              <w:rPr>
                <w:highlight w:val="black"/>
              </w:rPr>
            </w:pPr>
            <w:r>
              <w:rPr>
                <w:noProof/>
                <w:color w:val="000000"/>
                <w:highlight w:val="black"/>
              </w:rPr>
              <w:t>''''''' ''''''''''''''''</w:t>
            </w:r>
          </w:p>
        </w:tc>
      </w:tr>
    </w:tbl>
    <w:p w:rsidR="00240221" w:rsidRPr="006911FB" w:rsidRDefault="00240221" w:rsidP="00C83660">
      <w:pPr>
        <w:pStyle w:val="TableFooter"/>
        <w:keepNext/>
        <w:widowControl/>
      </w:pPr>
      <w:r w:rsidRPr="006911FB">
        <w:t xml:space="preserve">BUP = buprenorphine; AE = adverse event; </w:t>
      </w:r>
      <w:r w:rsidRPr="006911FB">
        <w:rPr>
          <w:rFonts w:eastAsia="Calibri"/>
        </w:rPr>
        <w:t>N = total participants in group</w:t>
      </w:r>
      <w:r w:rsidRPr="006911FB">
        <w:t>.</w:t>
      </w:r>
    </w:p>
    <w:p w:rsidR="00240221" w:rsidRPr="006911FB" w:rsidRDefault="00240221" w:rsidP="00C83660">
      <w:pPr>
        <w:pStyle w:val="TableFooter"/>
        <w:widowControl/>
        <w:rPr>
          <w:sz w:val="20"/>
        </w:rPr>
      </w:pPr>
      <w:r w:rsidRPr="006911FB">
        <w:t>Source: Tables 2-41, 2-42 and 2-43, pp117-118 of the submission.</w:t>
      </w:r>
    </w:p>
    <w:p w:rsidR="005D26B4" w:rsidRPr="006911FB" w:rsidRDefault="005D26B4" w:rsidP="009A4F97">
      <w:pPr>
        <w:pStyle w:val="ListParagraph"/>
        <w:widowControl/>
        <w:spacing w:after="0"/>
        <w:ind w:left="0"/>
      </w:pPr>
    </w:p>
    <w:p w:rsidR="00B60939" w:rsidRPr="006911FB" w:rsidRDefault="00B60939" w:rsidP="00C83660">
      <w:pPr>
        <w:pStyle w:val="Heading2"/>
        <w:keepLines/>
        <w:widowControl/>
      </w:pPr>
      <w:bookmarkStart w:id="15" w:name="_Toc17412659"/>
      <w:r w:rsidRPr="006911FB">
        <w:lastRenderedPageBreak/>
        <w:t>Clinical claim</w:t>
      </w:r>
      <w:bookmarkEnd w:id="15"/>
    </w:p>
    <w:p w:rsidR="000E62C6" w:rsidRPr="006911FB" w:rsidRDefault="000E62C6" w:rsidP="00C83660">
      <w:pPr>
        <w:pStyle w:val="ListParagraph"/>
        <w:keepNext/>
        <w:keepLines/>
        <w:widowControl/>
        <w:numPr>
          <w:ilvl w:val="1"/>
          <w:numId w:val="1"/>
        </w:numPr>
        <w:spacing w:after="120"/>
      </w:pPr>
      <w:r w:rsidRPr="006911FB">
        <w:t xml:space="preserve">The submission described Zubsolv as non-inferior in terms of effectiveness and non-inferior in terms of safety compared with Suboxone </w:t>
      </w:r>
      <w:r w:rsidR="009A6732" w:rsidRPr="006911FB">
        <w:t>f</w:t>
      </w:r>
      <w:r w:rsidRPr="006911FB">
        <w:t xml:space="preserve">ilm in the treatment of opiate dependence. </w:t>
      </w:r>
    </w:p>
    <w:p w:rsidR="000E62C6" w:rsidRPr="006911FB" w:rsidRDefault="0027752A" w:rsidP="00C83660">
      <w:pPr>
        <w:pStyle w:val="ListParagraph"/>
        <w:keepNext/>
        <w:keepLines/>
        <w:widowControl/>
        <w:numPr>
          <w:ilvl w:val="1"/>
          <w:numId w:val="1"/>
        </w:numPr>
        <w:spacing w:after="120"/>
      </w:pPr>
      <w:r w:rsidRPr="00E5098C">
        <w:t xml:space="preserve">The ESC </w:t>
      </w:r>
      <w:r w:rsidR="00C20548" w:rsidRPr="00E5098C">
        <w:t xml:space="preserve">considered </w:t>
      </w:r>
      <w:r w:rsidR="00C20548">
        <w:t xml:space="preserve"> that w</w:t>
      </w:r>
      <w:r w:rsidR="007D4A03" w:rsidRPr="006911FB">
        <w:t xml:space="preserve">hile the results were within the pre-specified non-inferiority margin of 10% for retention in treatment, the </w:t>
      </w:r>
      <w:r w:rsidR="007A0671">
        <w:t>clinical claim of non-inferior comparative effectiveness</w:t>
      </w:r>
      <w:r w:rsidR="007D4A03" w:rsidRPr="006911FB">
        <w:t xml:space="preserve"> presented in the submission was not </w:t>
      </w:r>
      <w:r w:rsidR="009540EB" w:rsidRPr="00E5098C">
        <w:t>adequately</w:t>
      </w:r>
      <w:r w:rsidR="009540EB" w:rsidRPr="006911FB">
        <w:t xml:space="preserve"> </w:t>
      </w:r>
      <w:r w:rsidR="007D4A03" w:rsidRPr="006911FB">
        <w:t>supported by the</w:t>
      </w:r>
      <w:r w:rsidR="009540EB">
        <w:t xml:space="preserve"> </w:t>
      </w:r>
      <w:r w:rsidR="009540EB" w:rsidRPr="00E5098C">
        <w:t>results of</w:t>
      </w:r>
      <w:r w:rsidR="007D4A03" w:rsidRPr="00E5098C">
        <w:t xml:space="preserve"> </w:t>
      </w:r>
      <w:r w:rsidR="009540EB" w:rsidRPr="00E5098C">
        <w:t>Trial OX219-006</w:t>
      </w:r>
      <w:r w:rsidR="009540EB" w:rsidRPr="006911FB">
        <w:t xml:space="preserve"> </w:t>
      </w:r>
      <w:r w:rsidR="007D4A03" w:rsidRPr="006911FB">
        <w:t>for the following reasons:</w:t>
      </w:r>
    </w:p>
    <w:p w:rsidR="00F770D9" w:rsidRPr="006911FB" w:rsidRDefault="00F770D9" w:rsidP="00C83660">
      <w:pPr>
        <w:pStyle w:val="ListParagraph"/>
        <w:keepNext/>
        <w:keepLines/>
        <w:widowControl/>
        <w:numPr>
          <w:ilvl w:val="2"/>
          <w:numId w:val="1"/>
        </w:numPr>
        <w:spacing w:after="120"/>
        <w:ind w:left="1134" w:hanging="425"/>
      </w:pPr>
      <w:r w:rsidRPr="006911FB">
        <w:t>Retention rate</w:t>
      </w:r>
      <w:r w:rsidR="0027752A">
        <w:t xml:space="preserve"> at </w:t>
      </w:r>
      <w:r w:rsidR="00370A04">
        <w:t>D</w:t>
      </w:r>
      <w:r w:rsidR="0027752A">
        <w:t>ay</w:t>
      </w:r>
      <w:r w:rsidRPr="006911FB">
        <w:t xml:space="preserve"> 15 </w:t>
      </w:r>
      <w:r w:rsidR="0027752A">
        <w:t xml:space="preserve">was </w:t>
      </w:r>
      <w:r w:rsidR="00125638" w:rsidRPr="006911FB">
        <w:t xml:space="preserve">a </w:t>
      </w:r>
      <w:r w:rsidRPr="006911FB">
        <w:t>short time-frame for assessment given the long-term nature of treatment.</w:t>
      </w:r>
    </w:p>
    <w:p w:rsidR="000E62C6" w:rsidRPr="006911FB" w:rsidRDefault="007D4A03" w:rsidP="00C83660">
      <w:pPr>
        <w:pStyle w:val="ListParagraph"/>
        <w:keepNext/>
        <w:keepLines/>
        <w:widowControl/>
        <w:numPr>
          <w:ilvl w:val="2"/>
          <w:numId w:val="1"/>
        </w:numPr>
        <w:spacing w:after="120"/>
        <w:ind w:left="1134" w:hanging="425"/>
      </w:pPr>
      <w:r w:rsidRPr="006911FB">
        <w:t xml:space="preserve">There </w:t>
      </w:r>
      <w:r w:rsidR="000E62C6" w:rsidRPr="006911FB">
        <w:t xml:space="preserve">was a high risk of outcomes bias in </w:t>
      </w:r>
      <w:r w:rsidR="00125638" w:rsidRPr="006911FB">
        <w:t xml:space="preserve">Trial </w:t>
      </w:r>
      <w:r w:rsidR="000E62C6" w:rsidRPr="006911FB">
        <w:t xml:space="preserve">OX219-006, given the open-label nature of the trial at the Day 15 endpoint and given the subjective nature of the </w:t>
      </w:r>
      <w:r w:rsidR="00370A04">
        <w:t xml:space="preserve">outcome, </w:t>
      </w:r>
      <w:r w:rsidR="00370A04" w:rsidRPr="00E5098C">
        <w:t>which was not supported by objective measures of decreased drug use</w:t>
      </w:r>
      <w:r w:rsidR="005904EE">
        <w:t xml:space="preserve"> in the submission</w:t>
      </w:r>
      <w:r w:rsidR="000E62C6" w:rsidRPr="006911FB">
        <w:t>.</w:t>
      </w:r>
    </w:p>
    <w:p w:rsidR="000E62C6" w:rsidRPr="006911FB" w:rsidRDefault="000E62C6" w:rsidP="00C83660">
      <w:pPr>
        <w:pStyle w:val="ListParagraph"/>
        <w:keepNext/>
        <w:keepLines/>
        <w:widowControl/>
        <w:numPr>
          <w:ilvl w:val="2"/>
          <w:numId w:val="1"/>
        </w:numPr>
        <w:spacing w:after="120"/>
        <w:ind w:left="1134" w:hanging="425"/>
      </w:pPr>
      <w:r w:rsidRPr="006911FB">
        <w:t>The comparison at the Day 3 retention in treatment endpoint of OX219-006 was also subjective, and while Days 1 and 2 of the trial were blinded, the analysis involved patients initiated on Zubsolv compared to patients initiated on generic buprenorphine, rather than Suboxone Film. Zubsolv cannot be designat</w:t>
      </w:r>
      <w:r w:rsidR="00AB37F0" w:rsidRPr="006911FB">
        <w:t>ed as non-inferior to Suboxone f</w:t>
      </w:r>
      <w:r w:rsidRPr="006911FB">
        <w:t>ilm based on this comparison.</w:t>
      </w:r>
    </w:p>
    <w:p w:rsidR="00BC1CE8" w:rsidRDefault="000E62C6" w:rsidP="00C83660">
      <w:pPr>
        <w:pStyle w:val="ListParagraph"/>
        <w:keepNext/>
        <w:keepLines/>
        <w:widowControl/>
        <w:numPr>
          <w:ilvl w:val="2"/>
          <w:numId w:val="1"/>
        </w:numPr>
        <w:spacing w:after="120"/>
        <w:ind w:left="1134" w:hanging="425"/>
      </w:pPr>
      <w:r w:rsidRPr="006911FB">
        <w:t xml:space="preserve">Suboxone </w:t>
      </w:r>
      <w:r w:rsidR="009A6732" w:rsidRPr="006911FB">
        <w:t>f</w:t>
      </w:r>
      <w:r w:rsidRPr="006911FB">
        <w:t xml:space="preserve">ilm may also be administered buccally, and this route of administration was not tested in the trials. Therefore, any assertion regarding non-inferiority would not apply to the buccal route. </w:t>
      </w:r>
    </w:p>
    <w:p w:rsidR="00A063E3" w:rsidRDefault="000E62C6" w:rsidP="00C83660">
      <w:pPr>
        <w:pStyle w:val="ListParagraph"/>
        <w:widowControl/>
        <w:numPr>
          <w:ilvl w:val="1"/>
          <w:numId w:val="1"/>
        </w:numPr>
        <w:spacing w:after="120"/>
      </w:pPr>
      <w:r w:rsidRPr="006911FB">
        <w:t xml:space="preserve">The submission’s claim of non-inferior safety had the same evidentiary problems as the efficacy claim. However, the </w:t>
      </w:r>
      <w:r w:rsidR="008B1CA0">
        <w:t xml:space="preserve">evaluation noted that the </w:t>
      </w:r>
      <w:r w:rsidRPr="006911FB">
        <w:t>TGA clinical overview</w:t>
      </w:r>
      <w:r w:rsidR="00370A04">
        <w:t xml:space="preserve"> (</w:t>
      </w:r>
      <w:r w:rsidRPr="006911FB">
        <w:t>February 2018</w:t>
      </w:r>
      <w:r w:rsidR="00370A04">
        <w:t>)</w:t>
      </w:r>
      <w:r w:rsidRPr="006911FB">
        <w:t xml:space="preserve"> </w:t>
      </w:r>
      <w:r w:rsidR="00370A04">
        <w:t>stated</w:t>
      </w:r>
      <w:r w:rsidR="00370A04" w:rsidRPr="006911FB">
        <w:t xml:space="preserve"> </w:t>
      </w:r>
      <w:r w:rsidRPr="006911FB">
        <w:t xml:space="preserve">that the reported treatment-emergent adverse events with Zubsolv were known events consistent with the current prescribing information for the treatment of opioid dependence. </w:t>
      </w:r>
      <w:r w:rsidR="00A063E3" w:rsidRPr="00E5098C">
        <w:t xml:space="preserve">The ESC considered the claim </w:t>
      </w:r>
      <w:r w:rsidR="005135B9" w:rsidRPr="00E5098C">
        <w:t xml:space="preserve">that Zubsolv is </w:t>
      </w:r>
      <w:r w:rsidR="00A063E3" w:rsidRPr="00E5098C">
        <w:t xml:space="preserve">non-inferior </w:t>
      </w:r>
      <w:r w:rsidR="005135B9" w:rsidRPr="00E5098C">
        <w:t xml:space="preserve">in terms of </w:t>
      </w:r>
      <w:r w:rsidR="00A063E3" w:rsidRPr="00E5098C">
        <w:t xml:space="preserve">safety </w:t>
      </w:r>
      <w:r w:rsidR="005135B9" w:rsidRPr="00E5098C">
        <w:t xml:space="preserve">compared </w:t>
      </w:r>
      <w:r w:rsidR="00C20548" w:rsidRPr="00E5098C">
        <w:t>with</w:t>
      </w:r>
      <w:r w:rsidR="005135B9" w:rsidRPr="00E5098C">
        <w:t xml:space="preserve"> Suboxone </w:t>
      </w:r>
      <w:r w:rsidR="008B1CA0">
        <w:t>was likely to</w:t>
      </w:r>
      <w:r w:rsidR="008B1CA0" w:rsidRPr="00E5098C">
        <w:t xml:space="preserve"> </w:t>
      </w:r>
      <w:r w:rsidR="00A063E3" w:rsidRPr="00E5098C">
        <w:t>be reasonable.</w:t>
      </w:r>
    </w:p>
    <w:p w:rsidR="00106672" w:rsidRPr="00CA6654" w:rsidRDefault="00106672" w:rsidP="00C83660">
      <w:pPr>
        <w:pStyle w:val="ListParagraph"/>
        <w:widowControl/>
        <w:numPr>
          <w:ilvl w:val="1"/>
          <w:numId w:val="1"/>
        </w:numPr>
        <w:spacing w:after="120"/>
      </w:pPr>
      <w:r w:rsidRPr="00CA6654">
        <w:t>The PBAC considered that the claim of non-inferior comparative effectiveness was not adequately supported by the data.</w:t>
      </w:r>
    </w:p>
    <w:p w:rsidR="00106672" w:rsidRPr="00CA6654" w:rsidRDefault="00106672" w:rsidP="00C83660">
      <w:pPr>
        <w:pStyle w:val="ListParagraph"/>
        <w:widowControl/>
        <w:numPr>
          <w:ilvl w:val="1"/>
          <w:numId w:val="1"/>
        </w:numPr>
        <w:spacing w:after="120"/>
      </w:pPr>
      <w:r w:rsidRPr="00CA6654">
        <w:t xml:space="preserve">The PBAC considered that the claim of non-inferior comparative safety </w:t>
      </w:r>
      <w:r w:rsidR="003F1B84" w:rsidRPr="00CA6654">
        <w:t>compared with Su</w:t>
      </w:r>
      <w:r w:rsidR="005E5772" w:rsidRPr="00CA6654">
        <w:t xml:space="preserve">boxone film </w:t>
      </w:r>
      <w:r w:rsidRPr="00CA6654">
        <w:t>was reasonable.</w:t>
      </w:r>
    </w:p>
    <w:p w:rsidR="00B60939" w:rsidRPr="006911FB" w:rsidRDefault="00B60939" w:rsidP="00C83660">
      <w:pPr>
        <w:pStyle w:val="Heading2"/>
        <w:widowControl/>
      </w:pPr>
      <w:bookmarkStart w:id="16" w:name="_Toc17412660"/>
      <w:r w:rsidRPr="006911FB">
        <w:t>Economic analysis</w:t>
      </w:r>
      <w:bookmarkEnd w:id="16"/>
      <w:r w:rsidR="00491B3A" w:rsidRPr="006911FB">
        <w:t xml:space="preserve"> </w:t>
      </w:r>
    </w:p>
    <w:p w:rsidR="007D4A03" w:rsidRPr="006911FB" w:rsidRDefault="000E62C6" w:rsidP="00C83660">
      <w:pPr>
        <w:pStyle w:val="ListParagraph"/>
        <w:widowControl/>
        <w:numPr>
          <w:ilvl w:val="1"/>
          <w:numId w:val="1"/>
        </w:numPr>
        <w:spacing w:after="120"/>
      </w:pPr>
      <w:r w:rsidRPr="006911FB">
        <w:rPr>
          <w:rFonts w:cs="Calibri"/>
          <w:snapToGrid/>
          <w:szCs w:val="24"/>
          <w:lang w:val="en-US" w:eastAsia="en-AU"/>
        </w:rPr>
        <w:t xml:space="preserve">The submission </w:t>
      </w:r>
      <w:r w:rsidR="007D4A03" w:rsidRPr="006911FB">
        <w:rPr>
          <w:rFonts w:cs="Calibri"/>
          <w:snapToGrid/>
          <w:szCs w:val="24"/>
          <w:lang w:val="en-US" w:eastAsia="en-AU"/>
        </w:rPr>
        <w:t>presented</w:t>
      </w:r>
      <w:r w:rsidR="004A0D56" w:rsidRPr="006911FB">
        <w:rPr>
          <w:rFonts w:cs="Calibri"/>
          <w:snapToGrid/>
          <w:szCs w:val="24"/>
          <w:lang w:val="en-US" w:eastAsia="en-AU"/>
        </w:rPr>
        <w:t xml:space="preserve"> a cost-minimisation analysis, however </w:t>
      </w:r>
      <w:r w:rsidR="007D4A03" w:rsidRPr="006911FB">
        <w:rPr>
          <w:rFonts w:cs="Calibri"/>
          <w:snapToGrid/>
          <w:szCs w:val="24"/>
          <w:lang w:val="en-US" w:eastAsia="en-AU"/>
        </w:rPr>
        <w:t xml:space="preserve">this is only reasonable if the PBAC </w:t>
      </w:r>
      <w:r w:rsidR="00890B74">
        <w:rPr>
          <w:rFonts w:cs="Calibri"/>
          <w:snapToGrid/>
          <w:szCs w:val="24"/>
          <w:lang w:val="en-US" w:eastAsia="en-AU"/>
        </w:rPr>
        <w:t xml:space="preserve">were to </w:t>
      </w:r>
      <w:r w:rsidR="007D4A03" w:rsidRPr="006911FB">
        <w:rPr>
          <w:rFonts w:cs="Calibri"/>
          <w:snapToGrid/>
          <w:szCs w:val="24"/>
          <w:lang w:val="en-US" w:eastAsia="en-AU"/>
        </w:rPr>
        <w:t xml:space="preserve">accept the claim that Zubsolv has non-inferior effectiveness and safety compared </w:t>
      </w:r>
      <w:r w:rsidR="00BC6E60">
        <w:rPr>
          <w:rFonts w:cs="Calibri"/>
          <w:snapToGrid/>
          <w:szCs w:val="24"/>
          <w:lang w:val="en-US" w:eastAsia="en-AU"/>
        </w:rPr>
        <w:t>with</w:t>
      </w:r>
      <w:r w:rsidR="00BC6E60" w:rsidRPr="006911FB">
        <w:rPr>
          <w:rFonts w:cs="Calibri"/>
          <w:snapToGrid/>
          <w:szCs w:val="24"/>
          <w:lang w:val="en-US" w:eastAsia="en-AU"/>
        </w:rPr>
        <w:t xml:space="preserve"> </w:t>
      </w:r>
      <w:r w:rsidR="007D4A03" w:rsidRPr="006911FB">
        <w:rPr>
          <w:rFonts w:cs="Calibri"/>
          <w:snapToGrid/>
          <w:szCs w:val="24"/>
          <w:lang w:val="en-US" w:eastAsia="en-AU"/>
        </w:rPr>
        <w:t>Suboxone film</w:t>
      </w:r>
      <w:r w:rsidR="004A0D56" w:rsidRPr="006911FB">
        <w:rPr>
          <w:rFonts w:cs="Calibri"/>
          <w:snapToGrid/>
          <w:szCs w:val="24"/>
          <w:lang w:val="en-US" w:eastAsia="en-AU"/>
        </w:rPr>
        <w:t>.</w:t>
      </w:r>
      <w:r w:rsidRPr="006911FB">
        <w:rPr>
          <w:rFonts w:cs="Calibri"/>
          <w:snapToGrid/>
          <w:szCs w:val="24"/>
          <w:lang w:val="en-US" w:eastAsia="en-AU"/>
        </w:rPr>
        <w:t xml:space="preserve"> </w:t>
      </w:r>
    </w:p>
    <w:p w:rsidR="00A86E8B" w:rsidRPr="003328E1" w:rsidRDefault="00125638" w:rsidP="00C83660">
      <w:pPr>
        <w:pStyle w:val="ListParagraph"/>
        <w:widowControl/>
        <w:numPr>
          <w:ilvl w:val="1"/>
          <w:numId w:val="1"/>
        </w:numPr>
        <w:spacing w:after="120"/>
      </w:pPr>
      <w:r w:rsidRPr="006911FB">
        <w:rPr>
          <w:rFonts w:cs="Calibri"/>
          <w:snapToGrid/>
          <w:szCs w:val="24"/>
          <w:lang w:val="en-US" w:eastAsia="en-AU"/>
        </w:rPr>
        <w:lastRenderedPageBreak/>
        <w:t>T</w:t>
      </w:r>
      <w:r w:rsidR="000E62C6" w:rsidRPr="006911FB">
        <w:rPr>
          <w:rFonts w:cs="Calibri"/>
          <w:snapToGrid/>
          <w:szCs w:val="24"/>
          <w:lang w:val="en-US" w:eastAsia="en-AU"/>
        </w:rPr>
        <w:t xml:space="preserve">he </w:t>
      </w:r>
      <w:r w:rsidR="007D4A03" w:rsidRPr="006911FB">
        <w:rPr>
          <w:rFonts w:cs="Calibri"/>
          <w:snapToGrid/>
          <w:szCs w:val="24"/>
          <w:lang w:val="en-US" w:eastAsia="en-AU"/>
        </w:rPr>
        <w:t xml:space="preserve">submission estimated that the </w:t>
      </w:r>
      <w:r w:rsidR="00A86E8B" w:rsidRPr="006911FB">
        <w:t xml:space="preserve">equi-effective doses </w:t>
      </w:r>
      <w:r w:rsidR="000E62C6" w:rsidRPr="006911FB">
        <w:t>were Zubsolv 5.7</w:t>
      </w:r>
      <w:r w:rsidR="00333E59">
        <w:t xml:space="preserve"> </w:t>
      </w:r>
      <w:r w:rsidR="000E62C6" w:rsidRPr="006911FB">
        <w:t>mg buprenorphine is equal to 8</w:t>
      </w:r>
      <w:r w:rsidR="00333E59">
        <w:t xml:space="preserve"> </w:t>
      </w:r>
      <w:r w:rsidR="000E62C6" w:rsidRPr="006911FB">
        <w:t xml:space="preserve">mg buprenorphine in Suboxone </w:t>
      </w:r>
      <w:r w:rsidR="00020FED" w:rsidRPr="006911FB">
        <w:t>f</w:t>
      </w:r>
      <w:r w:rsidR="000E62C6" w:rsidRPr="006911FB">
        <w:t>ilm (administered sublingually)</w:t>
      </w:r>
      <w:r w:rsidR="00372793" w:rsidRPr="006911FB">
        <w:t>, with the cost-minimisation analysis including drug costs only</w:t>
      </w:r>
      <w:r w:rsidR="000E62C6" w:rsidRPr="006911FB">
        <w:t xml:space="preserve">. </w:t>
      </w:r>
      <w:r w:rsidR="009E465F" w:rsidRPr="006911FB">
        <w:t xml:space="preserve">As discussed above, this dose relativity </w:t>
      </w:r>
      <w:r w:rsidR="00672514" w:rsidRPr="006911FB">
        <w:t xml:space="preserve">was not considered to be supported by the bioavailability data presented and the claim relied on the results from Trial OX219-006. The dose relativity </w:t>
      </w:r>
      <w:r w:rsidRPr="006911FB">
        <w:t xml:space="preserve">was pre-assumed for dose conversion in Trial OX219-006 and the dosing titration schedule and the conversion of doses used in the trial may have influenced the mean doses that patients </w:t>
      </w:r>
      <w:r w:rsidRPr="003328E1">
        <w:t xml:space="preserve">were receiving. </w:t>
      </w:r>
    </w:p>
    <w:p w:rsidR="0050653F" w:rsidRPr="006911FB" w:rsidRDefault="009E465F" w:rsidP="00C83660">
      <w:pPr>
        <w:pStyle w:val="ListParagraph"/>
        <w:widowControl/>
        <w:numPr>
          <w:ilvl w:val="1"/>
          <w:numId w:val="1"/>
        </w:numPr>
        <w:spacing w:after="120"/>
      </w:pPr>
      <w:r w:rsidRPr="003328E1">
        <w:t xml:space="preserve">The </w:t>
      </w:r>
      <w:r w:rsidR="0050653F" w:rsidRPr="003328E1">
        <w:t xml:space="preserve">proposed pricing </w:t>
      </w:r>
      <w:r w:rsidR="006A1AC7" w:rsidRPr="003328E1">
        <w:t xml:space="preserve">for Zubsolv </w:t>
      </w:r>
      <w:r w:rsidR="0050653F" w:rsidRPr="003328E1">
        <w:t xml:space="preserve">was based on </w:t>
      </w:r>
      <w:r w:rsidR="00562116">
        <w:rPr>
          <w:noProof/>
          <w:color w:val="000000"/>
          <w:highlight w:val="black"/>
        </w:rPr>
        <w:t>'''''''''''''''''''</w:t>
      </w:r>
      <w:r w:rsidR="001D2703">
        <w:rPr>
          <w:noProof/>
          <w:color w:val="000000"/>
          <w:highlight w:val="black"/>
        </w:rPr>
        <w:t>''</w:t>
      </w:r>
      <w:r w:rsidR="0050653F" w:rsidRPr="003328E1">
        <w:t xml:space="preserve"> pricing of Zubsolv 5.7/1.4</w:t>
      </w:r>
      <w:r w:rsidR="00333E59" w:rsidRPr="003328E1">
        <w:t xml:space="preserve"> </w:t>
      </w:r>
      <w:r w:rsidR="0050653F" w:rsidRPr="003328E1">
        <w:t>mg to Suboxone film 8/2</w:t>
      </w:r>
      <w:r w:rsidR="00333E59" w:rsidRPr="003328E1">
        <w:t xml:space="preserve"> </w:t>
      </w:r>
      <w:r w:rsidR="0050653F" w:rsidRPr="003328E1">
        <w:t>mg and Zubsolv 1.4/0.36</w:t>
      </w:r>
      <w:r w:rsidR="00333E59" w:rsidRPr="003328E1">
        <w:t xml:space="preserve"> </w:t>
      </w:r>
      <w:r w:rsidR="00CC78F7" w:rsidRPr="003328E1">
        <w:t>mg</w:t>
      </w:r>
      <w:r w:rsidR="0050653F" w:rsidRPr="003328E1">
        <w:t xml:space="preserve"> to Suboxone film 2/0.5</w:t>
      </w:r>
      <w:r w:rsidR="00333E59" w:rsidRPr="003328E1">
        <w:t xml:space="preserve"> </w:t>
      </w:r>
      <w:r w:rsidR="0050653F" w:rsidRPr="003328E1">
        <w:t xml:space="preserve">mg. The other strengths of Zubsolv were priced </w:t>
      </w:r>
      <w:r w:rsidR="00CF66F5" w:rsidRPr="003328E1">
        <w:t xml:space="preserve">based on </w:t>
      </w:r>
      <w:r w:rsidR="00562116">
        <w:rPr>
          <w:noProof/>
          <w:color w:val="000000"/>
          <w:highlight w:val="black"/>
        </w:rPr>
        <w:t>''''''''''''''''''</w:t>
      </w:r>
      <w:r w:rsidR="00CF66F5" w:rsidRPr="003328E1">
        <w:t xml:space="preserve"> price per mg extrapolation, </w:t>
      </w:r>
      <w:r w:rsidR="0050653F" w:rsidRPr="003328E1">
        <w:t>such that the 11.4/2.9</w:t>
      </w:r>
      <w:r w:rsidR="00333E59" w:rsidRPr="003328E1">
        <w:t xml:space="preserve"> </w:t>
      </w:r>
      <w:r w:rsidR="0050653F" w:rsidRPr="003328E1">
        <w:t xml:space="preserve">mg strength is </w:t>
      </w:r>
      <w:r w:rsidR="00562116">
        <w:rPr>
          <w:noProof/>
          <w:color w:val="000000"/>
          <w:highlight w:val="black"/>
        </w:rPr>
        <w:t>''''''''</w:t>
      </w:r>
      <w:r w:rsidR="0050653F" w:rsidRPr="003328E1">
        <w:t xml:space="preserve"> the price of the 5.7/1.4</w:t>
      </w:r>
      <w:r w:rsidR="00333E59" w:rsidRPr="003328E1">
        <w:t xml:space="preserve"> </w:t>
      </w:r>
      <w:r w:rsidR="0050653F" w:rsidRPr="003328E1">
        <w:t>mg strength, and the 2.9/0.71</w:t>
      </w:r>
      <w:r w:rsidR="00333E59" w:rsidRPr="003328E1">
        <w:t xml:space="preserve"> </w:t>
      </w:r>
      <w:r w:rsidR="0050653F" w:rsidRPr="003328E1">
        <w:t xml:space="preserve">mg strength is </w:t>
      </w:r>
      <w:r w:rsidR="00562116">
        <w:rPr>
          <w:noProof/>
          <w:color w:val="000000"/>
          <w:highlight w:val="black"/>
        </w:rPr>
        <w:t>''''''</w:t>
      </w:r>
      <w:r w:rsidR="0050653F" w:rsidRPr="003328E1">
        <w:t xml:space="preserve"> the price of the 1.4/0.36</w:t>
      </w:r>
      <w:r w:rsidR="00333E59" w:rsidRPr="003328E1">
        <w:t xml:space="preserve"> </w:t>
      </w:r>
      <w:r w:rsidR="0050653F" w:rsidRPr="003328E1">
        <w:t>mg strength. The 0.7/0.18</w:t>
      </w:r>
      <w:r w:rsidR="00333E59" w:rsidRPr="003328E1">
        <w:t xml:space="preserve"> </w:t>
      </w:r>
      <w:r w:rsidR="0050653F" w:rsidRPr="003328E1">
        <w:t xml:space="preserve">mg strength is priced at </w:t>
      </w:r>
      <w:r w:rsidR="00562116">
        <w:rPr>
          <w:noProof/>
          <w:color w:val="000000"/>
          <w:highlight w:val="black"/>
        </w:rPr>
        <w:t>'''''</w:t>
      </w:r>
      <w:r w:rsidR="0050653F" w:rsidRPr="003328E1">
        <w:t>% of Zubsolv 1.4/0.36</w:t>
      </w:r>
      <w:r w:rsidR="00333E59" w:rsidRPr="003328E1">
        <w:t xml:space="preserve"> </w:t>
      </w:r>
      <w:r w:rsidR="0050653F" w:rsidRPr="003328E1">
        <w:t>mg and the 8.6/2.1</w:t>
      </w:r>
      <w:r w:rsidR="00333E59" w:rsidRPr="003328E1">
        <w:t xml:space="preserve"> </w:t>
      </w:r>
      <w:r w:rsidR="0050653F" w:rsidRPr="003328E1">
        <w:t xml:space="preserve">mg strength is priced </w:t>
      </w:r>
      <w:r w:rsidR="00562116">
        <w:rPr>
          <w:noProof/>
          <w:color w:val="000000"/>
          <w:highlight w:val="black"/>
        </w:rPr>
        <w:t>''''' '''''' ''''''''''''''''''</w:t>
      </w:r>
      <w:r w:rsidR="0050653F" w:rsidRPr="003328E1">
        <w:t xml:space="preserve"> of the Zubsolv 5.7/1.4</w:t>
      </w:r>
      <w:r w:rsidR="00333E59" w:rsidRPr="003328E1">
        <w:t xml:space="preserve"> </w:t>
      </w:r>
      <w:r w:rsidR="0050653F" w:rsidRPr="003328E1">
        <w:t>mg and 11.4/2.9</w:t>
      </w:r>
      <w:r w:rsidR="00333E59" w:rsidRPr="003328E1">
        <w:t xml:space="preserve"> </w:t>
      </w:r>
      <w:r w:rsidR="0050653F" w:rsidRPr="003328E1">
        <w:t>mg strengths</w:t>
      </w:r>
      <w:r w:rsidR="00E3509A" w:rsidRPr="003328E1">
        <w:t xml:space="preserve"> (</w:t>
      </w:r>
      <w:r w:rsidR="008B3467" w:rsidRPr="003328E1">
        <w:t xml:space="preserve">see </w:t>
      </w:r>
      <w:r w:rsidR="00722031" w:rsidRPr="003328E1">
        <w:t>Figure 1</w:t>
      </w:r>
      <w:r w:rsidR="00E3509A" w:rsidRPr="003328E1">
        <w:t>)</w:t>
      </w:r>
      <w:r w:rsidR="0050653F" w:rsidRPr="003328E1">
        <w:t xml:space="preserve">. </w:t>
      </w:r>
      <w:r w:rsidR="00B8598A" w:rsidRPr="003328E1">
        <w:t>The PBAC previously considered that it would be appropriate</w:t>
      </w:r>
      <w:r w:rsidR="00B8598A" w:rsidRPr="006911FB">
        <w:t xml:space="preserve"> for the price per mg of new strengths of Suboxone film to be linearly extrapolated from the prices of the currently listed strengths (Suboxone film November 2014 PSD, para 7.4).</w:t>
      </w:r>
    </w:p>
    <w:p w:rsidR="008B3467" w:rsidRPr="006911FB" w:rsidRDefault="008B3467" w:rsidP="00C83660">
      <w:pPr>
        <w:pStyle w:val="Caption"/>
        <w:keepNext/>
        <w:keepLines/>
        <w:widowControl/>
        <w:suppressLineNumbers/>
        <w:suppressAutoHyphens/>
        <w:spacing w:after="0"/>
        <w:rPr>
          <w:rFonts w:ascii="Arial Narrow" w:hAnsi="Arial Narrow"/>
          <w:color w:val="auto"/>
          <w:sz w:val="20"/>
        </w:rPr>
      </w:pPr>
      <w:bookmarkStart w:id="17" w:name="_Ref19017186"/>
      <w:r w:rsidRPr="006911FB">
        <w:rPr>
          <w:rFonts w:ascii="Arial Narrow" w:hAnsi="Arial Narrow"/>
          <w:color w:val="auto"/>
          <w:sz w:val="20"/>
        </w:rPr>
        <w:t xml:space="preserve">Figure </w:t>
      </w:r>
      <w:r w:rsidRPr="006911FB">
        <w:rPr>
          <w:rFonts w:ascii="Arial Narrow" w:hAnsi="Arial Narrow"/>
          <w:noProof/>
          <w:color w:val="auto"/>
          <w:sz w:val="20"/>
        </w:rPr>
        <w:t>1</w:t>
      </w:r>
      <w:bookmarkEnd w:id="17"/>
      <w:r w:rsidRPr="006911FB">
        <w:rPr>
          <w:rFonts w:ascii="Arial Narrow" w:hAnsi="Arial Narrow"/>
          <w:color w:val="auto"/>
          <w:sz w:val="20"/>
        </w:rPr>
        <w:t>: Zubsolv price derivation overview</w:t>
      </w:r>
    </w:p>
    <w:p w:rsidR="008B3467" w:rsidRPr="006911FB" w:rsidRDefault="006D0C74" w:rsidP="00C83660">
      <w:pPr>
        <w:pStyle w:val="BodyText"/>
        <w:keepNext/>
        <w:keepLines/>
        <w:widowControl/>
        <w:suppressLineNumbers/>
        <w:suppressAutoHyphens/>
      </w:pPr>
      <w:r>
        <w:rPr>
          <w:noProof/>
          <w:snapToGrid/>
          <w:lang w:eastAsia="en-AU"/>
        </w:rPr>
        <w:drawing>
          <wp:inline distT="0" distB="0" distL="0" distR="0">
            <wp:extent cx="5732145" cy="2538095"/>
            <wp:effectExtent l="0" t="0" r="1905" b="0"/>
            <wp:docPr id="1" name="Picture 1" title="Figure 1: Zubsolv price derivation overview"/>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2145" cy="2538095"/>
                    </a:xfrm>
                    <a:prstGeom prst="rect">
                      <a:avLst/>
                    </a:prstGeom>
                  </pic:spPr>
                </pic:pic>
              </a:graphicData>
            </a:graphic>
          </wp:inline>
        </w:drawing>
      </w:r>
    </w:p>
    <w:p w:rsidR="008B3467" w:rsidRPr="006911FB" w:rsidRDefault="008B3467" w:rsidP="00C83660">
      <w:pPr>
        <w:keepNext/>
        <w:keepLines/>
        <w:widowControl/>
        <w:suppressLineNumbers/>
        <w:suppressAutoHyphens/>
        <w:rPr>
          <w:rFonts w:ascii="Arial Narrow" w:hAnsi="Arial Narrow"/>
          <w:sz w:val="18"/>
        </w:rPr>
      </w:pPr>
      <w:r w:rsidRPr="006911FB">
        <w:rPr>
          <w:rFonts w:ascii="Arial Narrow" w:hAnsi="Arial Narrow"/>
          <w:sz w:val="18"/>
        </w:rPr>
        <w:t>Source: Figure 3-1, p144 of the submission</w:t>
      </w:r>
    </w:p>
    <w:p w:rsidR="008B3467" w:rsidRPr="006911FB" w:rsidRDefault="008B3467" w:rsidP="008B3467">
      <w:pPr>
        <w:widowControl/>
      </w:pPr>
    </w:p>
    <w:p w:rsidR="006D37FC" w:rsidRPr="006911FB" w:rsidRDefault="00F20115" w:rsidP="00C83660">
      <w:pPr>
        <w:pStyle w:val="ListParagraph"/>
        <w:widowControl/>
        <w:numPr>
          <w:ilvl w:val="1"/>
          <w:numId w:val="1"/>
        </w:numPr>
        <w:spacing w:after="120"/>
      </w:pPr>
      <w:r>
        <w:t xml:space="preserve">The </w:t>
      </w:r>
      <w:r w:rsidR="008B1CA0">
        <w:t>evaluation considered</w:t>
      </w:r>
      <w:r>
        <w:t xml:space="preserve"> that </w:t>
      </w:r>
      <w:r w:rsidR="00562116">
        <w:rPr>
          <w:noProof/>
          <w:color w:val="000000"/>
          <w:highlight w:val="black"/>
        </w:rPr>
        <w:t>'''''''''''''''''''''</w:t>
      </w:r>
      <w:r w:rsidR="006D37FC" w:rsidRPr="006911FB">
        <w:t xml:space="preserve"> pricing for the 1.4/0.36 mg formulation of Zubsolv to the 2/0.5 mg formulation of Sub</w:t>
      </w:r>
      <w:r w:rsidR="007A0671">
        <w:t>o</w:t>
      </w:r>
      <w:r w:rsidR="006D37FC" w:rsidRPr="006911FB">
        <w:t xml:space="preserve">xone film was (i) not supported by any </w:t>
      </w:r>
      <w:r w:rsidR="00AB37F0" w:rsidRPr="006911FB">
        <w:t xml:space="preserve">clinical </w:t>
      </w:r>
      <w:r w:rsidR="006D37FC" w:rsidRPr="006911FB">
        <w:t xml:space="preserve">evidence (other than when both doses were used as </w:t>
      </w:r>
      <w:r w:rsidR="00E66932">
        <w:t>‘</w:t>
      </w:r>
      <w:r w:rsidR="006D37FC" w:rsidRPr="006911FB">
        <w:t>top-ups</w:t>
      </w:r>
      <w:r w:rsidR="00E66932">
        <w:t>’</w:t>
      </w:r>
      <w:r w:rsidR="006D37FC" w:rsidRPr="006911FB">
        <w:t>; and (ii) the TGA clinical overview indicated that the lower Zubsolv strength 1.4/0.36</w:t>
      </w:r>
      <w:r w:rsidR="00333E59">
        <w:t xml:space="preserve"> </w:t>
      </w:r>
      <w:r w:rsidR="006D37FC" w:rsidRPr="006911FB">
        <w:t xml:space="preserve">mg does not provide </w:t>
      </w:r>
      <w:r w:rsidR="00562116">
        <w:rPr>
          <w:noProof/>
          <w:color w:val="000000"/>
          <w:highlight w:val="black"/>
        </w:rPr>
        <w:t>'''''''''''''''''''</w:t>
      </w:r>
      <w:r w:rsidR="006D37FC" w:rsidRPr="006911FB">
        <w:t xml:space="preserve"> exposure to Suboxone tablets 2/0.5</w:t>
      </w:r>
      <w:r w:rsidR="00333E59">
        <w:t xml:space="preserve"> </w:t>
      </w:r>
      <w:r w:rsidR="006D37FC" w:rsidRPr="006911FB">
        <w:t>mg, with geometric mean ratios indicating approximately 20% lower buprenorphine exposure and 35% lower naloxone exposure</w:t>
      </w:r>
      <w:r w:rsidR="00E66932">
        <w:t>’</w:t>
      </w:r>
      <w:r w:rsidR="006A1AC7" w:rsidRPr="006911FB">
        <w:t>.</w:t>
      </w:r>
    </w:p>
    <w:p w:rsidR="00C25D9C" w:rsidRPr="006911FB" w:rsidRDefault="00C25D9C" w:rsidP="00C83660">
      <w:pPr>
        <w:pStyle w:val="Heading2"/>
        <w:widowControl/>
      </w:pPr>
      <w:bookmarkStart w:id="18" w:name="_Toc17412661"/>
      <w:r w:rsidRPr="006911FB">
        <w:lastRenderedPageBreak/>
        <w:t>Drug cost/patient/</w:t>
      </w:r>
      <w:r w:rsidR="00D858B9" w:rsidRPr="006911FB">
        <w:t>2</w:t>
      </w:r>
      <w:r w:rsidR="00FE3E6A" w:rsidRPr="006911FB">
        <w:t>8</w:t>
      </w:r>
      <w:r w:rsidR="00D858B9" w:rsidRPr="006911FB">
        <w:t xml:space="preserve"> days</w:t>
      </w:r>
      <w:bookmarkEnd w:id="18"/>
      <w:r w:rsidR="009E21C9" w:rsidRPr="006911FB">
        <w:t xml:space="preserve"> </w:t>
      </w:r>
    </w:p>
    <w:p w:rsidR="009C6CA7" w:rsidRPr="006911FB" w:rsidRDefault="00927CBB" w:rsidP="00C83660">
      <w:pPr>
        <w:pStyle w:val="ListParagraph"/>
        <w:widowControl/>
        <w:numPr>
          <w:ilvl w:val="1"/>
          <w:numId w:val="1"/>
        </w:numPr>
        <w:spacing w:after="120"/>
      </w:pPr>
      <w:r>
        <w:rPr>
          <w:rFonts w:asciiTheme="minorHAnsi" w:hAnsiTheme="minorHAnsi" w:cstheme="minorHAnsi"/>
          <w:szCs w:val="24"/>
          <w:lang w:eastAsia="en-AU"/>
        </w:rPr>
        <w:t xml:space="preserve">The drug cost per patient for Zubsolv and Suboxone estimated in the submission are presented in Table 8. </w:t>
      </w:r>
      <w:r w:rsidR="00D858B9" w:rsidRPr="006911FB">
        <w:rPr>
          <w:rFonts w:asciiTheme="minorHAnsi" w:hAnsiTheme="minorHAnsi" w:cstheme="minorHAnsi"/>
          <w:szCs w:val="24"/>
          <w:lang w:eastAsia="en-AU"/>
        </w:rPr>
        <w:t>The submission estimated the drug cost for Zubsolv for 2</w:t>
      </w:r>
      <w:r w:rsidR="00FE3E6A" w:rsidRPr="006911FB">
        <w:rPr>
          <w:rFonts w:asciiTheme="minorHAnsi" w:hAnsiTheme="minorHAnsi" w:cstheme="minorHAnsi"/>
          <w:szCs w:val="24"/>
          <w:lang w:eastAsia="en-AU"/>
        </w:rPr>
        <w:t>8</w:t>
      </w:r>
      <w:r w:rsidR="00D858B9" w:rsidRPr="006911FB">
        <w:rPr>
          <w:rFonts w:asciiTheme="minorHAnsi" w:hAnsiTheme="minorHAnsi" w:cstheme="minorHAnsi"/>
          <w:szCs w:val="24"/>
          <w:lang w:eastAsia="en-AU"/>
        </w:rPr>
        <w:t xml:space="preserve"> days based on a</w:t>
      </w:r>
      <w:r w:rsidR="006A1AC7" w:rsidRPr="006911FB">
        <w:rPr>
          <w:rFonts w:asciiTheme="minorHAnsi" w:hAnsiTheme="minorHAnsi" w:cstheme="minorHAnsi"/>
          <w:szCs w:val="24"/>
          <w:lang w:eastAsia="en-AU"/>
        </w:rPr>
        <w:t>n average daily</w:t>
      </w:r>
      <w:r w:rsidR="00D858B9" w:rsidRPr="006911FB">
        <w:rPr>
          <w:rFonts w:asciiTheme="minorHAnsi" w:hAnsiTheme="minorHAnsi" w:cstheme="minorHAnsi"/>
          <w:szCs w:val="24"/>
          <w:lang w:eastAsia="en-AU"/>
        </w:rPr>
        <w:t xml:space="preserve"> dose of </w:t>
      </w:r>
      <w:r w:rsidR="00562116">
        <w:rPr>
          <w:rFonts w:asciiTheme="minorHAnsi" w:hAnsiTheme="minorHAnsi" w:cstheme="minorHAnsi"/>
          <w:noProof/>
          <w:color w:val="000000"/>
          <w:szCs w:val="24"/>
          <w:highlight w:val="black"/>
          <w:lang w:eastAsia="en-AU"/>
        </w:rPr>
        <w:t>''''''''''</w:t>
      </w:r>
      <w:r w:rsidR="00333E59">
        <w:rPr>
          <w:rFonts w:asciiTheme="minorHAnsi" w:hAnsiTheme="minorHAnsi" w:cstheme="minorHAnsi"/>
          <w:szCs w:val="24"/>
          <w:lang w:eastAsia="en-AU"/>
        </w:rPr>
        <w:t xml:space="preserve"> </w:t>
      </w:r>
      <w:r w:rsidR="00D858B9" w:rsidRPr="006911FB">
        <w:rPr>
          <w:rFonts w:asciiTheme="minorHAnsi" w:hAnsiTheme="minorHAnsi" w:cstheme="minorHAnsi"/>
          <w:szCs w:val="24"/>
          <w:lang w:eastAsia="en-AU"/>
        </w:rPr>
        <w:t>mg of buprenorphine equivalent</w:t>
      </w:r>
      <w:r w:rsidR="005C66AC" w:rsidRPr="006911FB">
        <w:rPr>
          <w:rFonts w:asciiTheme="minorHAnsi" w:hAnsiTheme="minorHAnsi" w:cstheme="minorHAnsi"/>
          <w:szCs w:val="24"/>
          <w:lang w:eastAsia="en-AU"/>
        </w:rPr>
        <w:t xml:space="preserve">. The dose distribution </w:t>
      </w:r>
      <w:r w:rsidR="006A1AC7" w:rsidRPr="006911FB">
        <w:rPr>
          <w:rFonts w:asciiTheme="minorHAnsi" w:hAnsiTheme="minorHAnsi" w:cstheme="minorHAnsi"/>
          <w:szCs w:val="24"/>
          <w:lang w:eastAsia="en-AU"/>
        </w:rPr>
        <w:t xml:space="preserve">used to calculate this average dose </w:t>
      </w:r>
      <w:r w:rsidR="005C66AC" w:rsidRPr="006911FB">
        <w:rPr>
          <w:rFonts w:asciiTheme="minorHAnsi" w:hAnsiTheme="minorHAnsi" w:cstheme="minorHAnsi"/>
          <w:szCs w:val="24"/>
          <w:lang w:eastAsia="en-AU"/>
        </w:rPr>
        <w:t>was based on patients</w:t>
      </w:r>
      <w:r w:rsidR="004F5274" w:rsidRPr="006911FB">
        <w:rPr>
          <w:rFonts w:asciiTheme="minorHAnsi" w:hAnsiTheme="minorHAnsi" w:cstheme="minorHAnsi"/>
          <w:szCs w:val="24"/>
          <w:lang w:eastAsia="en-AU"/>
        </w:rPr>
        <w:t>’</w:t>
      </w:r>
      <w:r w:rsidR="005C66AC" w:rsidRPr="006911FB">
        <w:rPr>
          <w:rFonts w:asciiTheme="minorHAnsi" w:hAnsiTheme="minorHAnsi" w:cstheme="minorHAnsi"/>
          <w:szCs w:val="24"/>
          <w:lang w:eastAsia="en-AU"/>
        </w:rPr>
        <w:t xml:space="preserve"> Suboxone </w:t>
      </w:r>
      <w:r w:rsidR="009A6732" w:rsidRPr="006911FB">
        <w:rPr>
          <w:rFonts w:asciiTheme="minorHAnsi" w:hAnsiTheme="minorHAnsi" w:cstheme="minorHAnsi"/>
          <w:szCs w:val="24"/>
          <w:lang w:eastAsia="en-AU"/>
        </w:rPr>
        <w:t>f</w:t>
      </w:r>
      <w:r w:rsidR="005C66AC" w:rsidRPr="006911FB">
        <w:rPr>
          <w:rFonts w:asciiTheme="minorHAnsi" w:hAnsiTheme="minorHAnsi" w:cstheme="minorHAnsi"/>
          <w:szCs w:val="24"/>
          <w:lang w:eastAsia="en-AU"/>
        </w:rPr>
        <w:t xml:space="preserve">ilm </w:t>
      </w:r>
      <w:r w:rsidR="004F5274" w:rsidRPr="006911FB">
        <w:rPr>
          <w:rFonts w:asciiTheme="minorHAnsi" w:hAnsiTheme="minorHAnsi" w:cstheme="minorHAnsi"/>
          <w:szCs w:val="24"/>
          <w:lang w:eastAsia="en-AU"/>
        </w:rPr>
        <w:t>doses on</w:t>
      </w:r>
      <w:r w:rsidR="005C66AC" w:rsidRPr="006911FB">
        <w:rPr>
          <w:rFonts w:asciiTheme="minorHAnsi" w:hAnsiTheme="minorHAnsi" w:cstheme="minorHAnsi"/>
          <w:szCs w:val="24"/>
          <w:lang w:eastAsia="en-AU"/>
        </w:rPr>
        <w:t xml:space="preserve"> Day 29</w:t>
      </w:r>
      <w:r w:rsidR="004F5274" w:rsidRPr="006911FB">
        <w:rPr>
          <w:rFonts w:asciiTheme="minorHAnsi" w:hAnsiTheme="minorHAnsi" w:cstheme="minorHAnsi"/>
          <w:szCs w:val="24"/>
          <w:lang w:eastAsia="en-AU"/>
        </w:rPr>
        <w:t xml:space="preserve"> in T</w:t>
      </w:r>
      <w:r w:rsidR="00A93D85" w:rsidRPr="006911FB">
        <w:rPr>
          <w:rFonts w:asciiTheme="minorHAnsi" w:hAnsiTheme="minorHAnsi" w:cstheme="minorHAnsi"/>
          <w:szCs w:val="24"/>
          <w:lang w:eastAsia="en-AU"/>
        </w:rPr>
        <w:t>rial OX219-006</w:t>
      </w:r>
      <w:r w:rsidR="005C66AC" w:rsidRPr="006911FB">
        <w:rPr>
          <w:rFonts w:asciiTheme="minorHAnsi" w:hAnsiTheme="minorHAnsi" w:cstheme="minorHAnsi"/>
          <w:szCs w:val="24"/>
          <w:lang w:eastAsia="en-AU"/>
        </w:rPr>
        <w:t xml:space="preserve">, with conversion of the doses to equivalent Zubsolv doses </w:t>
      </w:r>
      <w:r w:rsidR="006A1AC7" w:rsidRPr="006911FB">
        <w:rPr>
          <w:rFonts w:asciiTheme="minorHAnsi" w:hAnsiTheme="minorHAnsi" w:cstheme="minorHAnsi"/>
          <w:szCs w:val="24"/>
          <w:lang w:eastAsia="en-AU"/>
        </w:rPr>
        <w:t xml:space="preserve">being </w:t>
      </w:r>
      <w:r w:rsidR="005C66AC" w:rsidRPr="006911FB">
        <w:rPr>
          <w:rFonts w:asciiTheme="minorHAnsi" w:hAnsiTheme="minorHAnsi" w:cstheme="minorHAnsi"/>
          <w:szCs w:val="24"/>
          <w:lang w:eastAsia="en-AU"/>
        </w:rPr>
        <w:t>based on the dose relativity of 8</w:t>
      </w:r>
      <w:r w:rsidR="00333E59">
        <w:rPr>
          <w:rFonts w:asciiTheme="minorHAnsi" w:hAnsiTheme="minorHAnsi" w:cstheme="minorHAnsi"/>
          <w:szCs w:val="24"/>
          <w:lang w:eastAsia="en-AU"/>
        </w:rPr>
        <w:t xml:space="preserve"> </w:t>
      </w:r>
      <w:r w:rsidR="005C66AC" w:rsidRPr="006911FB">
        <w:rPr>
          <w:rFonts w:asciiTheme="minorHAnsi" w:hAnsiTheme="minorHAnsi" w:cstheme="minorHAnsi"/>
          <w:szCs w:val="24"/>
          <w:lang w:eastAsia="en-AU"/>
        </w:rPr>
        <w:t xml:space="preserve">mg buprenorphine in Suboxone </w:t>
      </w:r>
      <w:r w:rsidR="009A6732" w:rsidRPr="006911FB">
        <w:rPr>
          <w:rFonts w:asciiTheme="minorHAnsi" w:hAnsiTheme="minorHAnsi" w:cstheme="minorHAnsi"/>
          <w:szCs w:val="24"/>
          <w:lang w:eastAsia="en-AU"/>
        </w:rPr>
        <w:t>f</w:t>
      </w:r>
      <w:r w:rsidR="005C66AC" w:rsidRPr="006911FB">
        <w:rPr>
          <w:rFonts w:asciiTheme="minorHAnsi" w:hAnsiTheme="minorHAnsi" w:cstheme="minorHAnsi"/>
          <w:szCs w:val="24"/>
          <w:lang w:eastAsia="en-AU"/>
        </w:rPr>
        <w:t>ilm equals 5.7</w:t>
      </w:r>
      <w:r w:rsidR="00333E59">
        <w:rPr>
          <w:rFonts w:asciiTheme="minorHAnsi" w:hAnsiTheme="minorHAnsi" w:cstheme="minorHAnsi"/>
          <w:szCs w:val="24"/>
          <w:lang w:eastAsia="en-AU"/>
        </w:rPr>
        <w:t xml:space="preserve"> </w:t>
      </w:r>
      <w:r w:rsidR="005C66AC" w:rsidRPr="006911FB">
        <w:rPr>
          <w:rFonts w:asciiTheme="minorHAnsi" w:hAnsiTheme="minorHAnsi" w:cstheme="minorHAnsi"/>
          <w:szCs w:val="24"/>
          <w:lang w:eastAsia="en-AU"/>
        </w:rPr>
        <w:t>mg in Zubsolv</w:t>
      </w:r>
      <w:r w:rsidR="004F5274" w:rsidRPr="006911FB">
        <w:rPr>
          <w:rFonts w:asciiTheme="minorHAnsi" w:hAnsiTheme="minorHAnsi" w:cstheme="minorHAnsi"/>
          <w:szCs w:val="24"/>
          <w:lang w:eastAsia="en-AU"/>
        </w:rPr>
        <w:t>.</w:t>
      </w:r>
      <w:r w:rsidR="005C66AC" w:rsidRPr="006911FB">
        <w:rPr>
          <w:rFonts w:asciiTheme="minorHAnsi" w:hAnsiTheme="minorHAnsi" w:cstheme="minorHAnsi"/>
          <w:szCs w:val="24"/>
          <w:lang w:eastAsia="en-AU"/>
        </w:rPr>
        <w:t xml:space="preserve"> </w:t>
      </w:r>
      <w:r w:rsidR="00D858B9" w:rsidRPr="006911FB">
        <w:rPr>
          <w:rFonts w:asciiTheme="minorHAnsi" w:hAnsiTheme="minorHAnsi" w:cstheme="minorHAnsi"/>
          <w:szCs w:val="24"/>
          <w:lang w:eastAsia="en-AU"/>
        </w:rPr>
        <w:t>The estimate</w:t>
      </w:r>
      <w:r w:rsidR="005C66AC" w:rsidRPr="006911FB">
        <w:rPr>
          <w:rFonts w:asciiTheme="minorHAnsi" w:hAnsiTheme="minorHAnsi" w:cstheme="minorHAnsi"/>
          <w:szCs w:val="24"/>
          <w:lang w:eastAsia="en-AU"/>
        </w:rPr>
        <w:t>d cost of Zubsolv using this approach for 2</w:t>
      </w:r>
      <w:r w:rsidR="00FE3E6A" w:rsidRPr="006911FB">
        <w:rPr>
          <w:rFonts w:asciiTheme="minorHAnsi" w:hAnsiTheme="minorHAnsi" w:cstheme="minorHAnsi"/>
          <w:szCs w:val="24"/>
          <w:lang w:eastAsia="en-AU"/>
        </w:rPr>
        <w:t>8</w:t>
      </w:r>
      <w:r w:rsidR="005C66AC" w:rsidRPr="006911FB">
        <w:rPr>
          <w:rFonts w:asciiTheme="minorHAnsi" w:hAnsiTheme="minorHAnsi" w:cstheme="minorHAnsi"/>
          <w:szCs w:val="24"/>
          <w:lang w:eastAsia="en-AU"/>
        </w:rPr>
        <w:t xml:space="preserve"> days</w:t>
      </w:r>
      <w:r w:rsidR="00D858B9" w:rsidRPr="006911FB">
        <w:rPr>
          <w:rFonts w:asciiTheme="minorHAnsi" w:hAnsiTheme="minorHAnsi" w:cstheme="minorHAnsi"/>
          <w:szCs w:val="24"/>
          <w:lang w:eastAsia="en-AU"/>
        </w:rPr>
        <w:t xml:space="preserve"> was $</w:t>
      </w:r>
      <w:r w:rsidR="00562116">
        <w:rPr>
          <w:rFonts w:asciiTheme="minorHAnsi" w:hAnsiTheme="minorHAnsi" w:cstheme="minorHAnsi"/>
          <w:noProof/>
          <w:color w:val="000000"/>
          <w:szCs w:val="24"/>
          <w:highlight w:val="black"/>
          <w:lang w:eastAsia="en-AU"/>
        </w:rPr>
        <w:t>''''''''</w:t>
      </w:r>
      <w:r w:rsidR="004F5274" w:rsidRPr="006911FB">
        <w:rPr>
          <w:rFonts w:asciiTheme="minorHAnsi" w:hAnsiTheme="minorHAnsi" w:cstheme="minorHAnsi"/>
          <w:szCs w:val="24"/>
          <w:lang w:eastAsia="en-AU"/>
        </w:rPr>
        <w:t xml:space="preserve"> (weighted based on assumed use of the different formulations to make up the required doses)</w:t>
      </w:r>
      <w:r w:rsidR="00D858B9" w:rsidRPr="006911FB">
        <w:rPr>
          <w:rFonts w:asciiTheme="minorHAnsi" w:hAnsiTheme="minorHAnsi" w:cstheme="minorHAnsi"/>
          <w:szCs w:val="24"/>
          <w:lang w:eastAsia="en-AU"/>
        </w:rPr>
        <w:t>. This compared to $27</w:t>
      </w:r>
      <w:r w:rsidR="00A07B83">
        <w:rPr>
          <w:rFonts w:asciiTheme="minorHAnsi" w:hAnsiTheme="minorHAnsi" w:cstheme="minorHAnsi"/>
          <w:szCs w:val="24"/>
          <w:lang w:eastAsia="en-AU"/>
        </w:rPr>
        <w:t>3</w:t>
      </w:r>
      <w:r w:rsidR="00D858B9" w:rsidRPr="006911FB">
        <w:rPr>
          <w:rFonts w:asciiTheme="minorHAnsi" w:hAnsiTheme="minorHAnsi" w:cstheme="minorHAnsi"/>
          <w:szCs w:val="24"/>
          <w:lang w:eastAsia="en-AU"/>
        </w:rPr>
        <w:t xml:space="preserve"> for Suboxone </w:t>
      </w:r>
      <w:r w:rsidR="009A6732" w:rsidRPr="006911FB">
        <w:rPr>
          <w:rFonts w:asciiTheme="minorHAnsi" w:hAnsiTheme="minorHAnsi" w:cstheme="minorHAnsi"/>
          <w:szCs w:val="24"/>
          <w:lang w:eastAsia="en-AU"/>
        </w:rPr>
        <w:t>f</w:t>
      </w:r>
      <w:r w:rsidR="00D858B9" w:rsidRPr="006911FB">
        <w:rPr>
          <w:rFonts w:asciiTheme="minorHAnsi" w:hAnsiTheme="minorHAnsi" w:cstheme="minorHAnsi"/>
          <w:szCs w:val="24"/>
          <w:lang w:eastAsia="en-AU"/>
        </w:rPr>
        <w:t xml:space="preserve">ilm </w:t>
      </w:r>
      <w:r w:rsidR="005C66AC" w:rsidRPr="006911FB">
        <w:rPr>
          <w:rFonts w:asciiTheme="minorHAnsi" w:hAnsiTheme="minorHAnsi" w:cstheme="minorHAnsi"/>
          <w:szCs w:val="24"/>
          <w:lang w:eastAsia="en-AU"/>
        </w:rPr>
        <w:t>using the same dose distribution,</w:t>
      </w:r>
      <w:r w:rsidR="00D858B9" w:rsidRPr="006911FB">
        <w:rPr>
          <w:rFonts w:asciiTheme="minorHAnsi" w:hAnsiTheme="minorHAnsi" w:cstheme="minorHAnsi"/>
          <w:szCs w:val="24"/>
          <w:lang w:eastAsia="en-AU"/>
        </w:rPr>
        <w:t xml:space="preserve"> and based on an estimated average daily dose of 16.01</w:t>
      </w:r>
      <w:r w:rsidR="00333E59">
        <w:rPr>
          <w:rFonts w:asciiTheme="minorHAnsi" w:hAnsiTheme="minorHAnsi" w:cstheme="minorHAnsi"/>
          <w:szCs w:val="24"/>
          <w:lang w:eastAsia="en-AU"/>
        </w:rPr>
        <w:t xml:space="preserve"> </w:t>
      </w:r>
      <w:r w:rsidR="00D858B9" w:rsidRPr="006911FB">
        <w:rPr>
          <w:rFonts w:asciiTheme="minorHAnsi" w:hAnsiTheme="minorHAnsi" w:cstheme="minorHAnsi"/>
          <w:szCs w:val="24"/>
          <w:lang w:eastAsia="en-AU"/>
        </w:rPr>
        <w:t xml:space="preserve">mg of buprenorphine per day. </w:t>
      </w:r>
    </w:p>
    <w:p w:rsidR="009C6CA7" w:rsidRPr="006911FB" w:rsidRDefault="00613A1E" w:rsidP="00C83660">
      <w:pPr>
        <w:pStyle w:val="Caption"/>
        <w:keepNext/>
        <w:keepLines/>
        <w:suppressLineNumbers/>
        <w:suppressAutoHyphens/>
        <w:spacing w:after="0"/>
        <w:rPr>
          <w:rFonts w:ascii="Arial Narrow" w:hAnsi="Arial Narrow"/>
          <w:color w:val="auto"/>
          <w:sz w:val="20"/>
        </w:rPr>
      </w:pPr>
      <w:bookmarkStart w:id="19" w:name="_Ref19019041"/>
      <w:r w:rsidRPr="006911FB">
        <w:rPr>
          <w:rFonts w:ascii="Arial Narrow" w:hAnsi="Arial Narrow"/>
          <w:color w:val="auto"/>
          <w:sz w:val="20"/>
        </w:rPr>
        <w:t xml:space="preserve">Table </w:t>
      </w:r>
      <w:r w:rsidRPr="006911FB">
        <w:rPr>
          <w:rFonts w:ascii="Arial Narrow" w:hAnsi="Arial Narrow"/>
          <w:noProof/>
          <w:color w:val="auto"/>
          <w:sz w:val="20"/>
        </w:rPr>
        <w:t>8</w:t>
      </w:r>
      <w:bookmarkEnd w:id="19"/>
      <w:r w:rsidRPr="006911FB">
        <w:rPr>
          <w:rFonts w:ascii="Arial Narrow" w:hAnsi="Arial Narrow"/>
          <w:color w:val="auto"/>
          <w:sz w:val="20"/>
        </w:rPr>
        <w:t xml:space="preserve">: </w:t>
      </w:r>
      <w:r w:rsidR="009C6CA7" w:rsidRPr="006911FB">
        <w:rPr>
          <w:rFonts w:ascii="Arial Narrow" w:hAnsi="Arial Narrow"/>
          <w:color w:val="auto"/>
          <w:sz w:val="20"/>
        </w:rPr>
        <w:t xml:space="preserve">Drug cost per patient for </w:t>
      </w:r>
      <w:r w:rsidR="00DD73B6" w:rsidRPr="006911FB">
        <w:rPr>
          <w:rFonts w:ascii="Arial Narrow" w:hAnsi="Arial Narrow"/>
          <w:color w:val="auto"/>
          <w:sz w:val="20"/>
        </w:rPr>
        <w:t>Zubsolv</w:t>
      </w:r>
      <w:r w:rsidR="009C6CA7" w:rsidRPr="006911FB">
        <w:rPr>
          <w:rFonts w:ascii="Arial Narrow" w:hAnsi="Arial Narrow"/>
          <w:color w:val="auto"/>
          <w:sz w:val="20"/>
        </w:rPr>
        <w:t xml:space="preserve"> and </w:t>
      </w:r>
      <w:r w:rsidR="00DD73B6" w:rsidRPr="006911FB">
        <w:rPr>
          <w:rFonts w:ascii="Arial Narrow" w:hAnsi="Arial Narrow"/>
          <w:color w:val="auto"/>
          <w:sz w:val="20"/>
        </w:rPr>
        <w:t>Suboxone film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Drug cost per patient for Zubsolv and Suboxone film"/>
      </w:tblPr>
      <w:tblGrid>
        <w:gridCol w:w="2688"/>
        <w:gridCol w:w="1582"/>
        <w:gridCol w:w="1582"/>
        <w:gridCol w:w="1582"/>
        <w:gridCol w:w="1583"/>
      </w:tblGrid>
      <w:tr w:rsidR="000F4837" w:rsidRPr="000208D4" w:rsidTr="000F4837">
        <w:trPr>
          <w:jc w:val="center"/>
        </w:trPr>
        <w:tc>
          <w:tcPr>
            <w:tcW w:w="1491" w:type="pct"/>
            <w:shd w:val="clear" w:color="auto" w:fill="auto"/>
            <w:vAlign w:val="center"/>
          </w:tcPr>
          <w:p w:rsidR="000F4837" w:rsidRPr="006911FB" w:rsidRDefault="000F4837" w:rsidP="00C83660">
            <w:pPr>
              <w:keepNext/>
              <w:keepLines/>
              <w:widowControl/>
              <w:suppressLineNumbers/>
              <w:suppressAutoHyphens/>
              <w:jc w:val="left"/>
              <w:rPr>
                <w:rFonts w:ascii="Arial Narrow" w:hAnsi="Arial Narrow"/>
                <w:b/>
                <w:sz w:val="20"/>
                <w:lang w:val="en-US"/>
              </w:rPr>
            </w:pPr>
          </w:p>
        </w:tc>
        <w:tc>
          <w:tcPr>
            <w:tcW w:w="1754" w:type="pct"/>
            <w:gridSpan w:val="2"/>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b/>
                <w:sz w:val="20"/>
                <w:lang w:val="en-US"/>
              </w:rPr>
            </w:pPr>
            <w:r w:rsidRPr="000208D4">
              <w:rPr>
                <w:rFonts w:ascii="Arial Narrow" w:hAnsi="Arial Narrow"/>
                <w:b/>
                <w:sz w:val="20"/>
                <w:lang w:val="en-US"/>
              </w:rPr>
              <w:t>Zubsolv</w:t>
            </w:r>
          </w:p>
        </w:tc>
        <w:tc>
          <w:tcPr>
            <w:tcW w:w="1755" w:type="pct"/>
            <w:gridSpan w:val="2"/>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b/>
                <w:sz w:val="20"/>
                <w:lang w:val="en-US"/>
              </w:rPr>
            </w:pPr>
            <w:r w:rsidRPr="000208D4">
              <w:rPr>
                <w:rFonts w:ascii="Arial Narrow" w:hAnsi="Arial Narrow"/>
                <w:b/>
                <w:sz w:val="20"/>
                <w:lang w:val="en-US"/>
              </w:rPr>
              <w:t>Suboxone film</w:t>
            </w:r>
          </w:p>
        </w:tc>
      </w:tr>
      <w:tr w:rsidR="000F4837" w:rsidRPr="000208D4" w:rsidTr="000F4837">
        <w:trPr>
          <w:jc w:val="center"/>
        </w:trPr>
        <w:tc>
          <w:tcPr>
            <w:tcW w:w="1491" w:type="pct"/>
            <w:shd w:val="clear" w:color="auto" w:fill="auto"/>
            <w:vAlign w:val="center"/>
          </w:tcPr>
          <w:p w:rsidR="000F4837" w:rsidRPr="000208D4" w:rsidRDefault="000F4837" w:rsidP="00C83660">
            <w:pPr>
              <w:keepNext/>
              <w:keepLines/>
              <w:widowControl/>
              <w:suppressLineNumbers/>
              <w:suppressAutoHyphens/>
              <w:jc w:val="left"/>
              <w:rPr>
                <w:rFonts w:ascii="Arial Narrow" w:hAnsi="Arial Narrow"/>
                <w:b/>
                <w:sz w:val="20"/>
                <w:lang w:val="en-US"/>
              </w:rPr>
            </w:pPr>
          </w:p>
        </w:tc>
        <w:tc>
          <w:tcPr>
            <w:tcW w:w="877" w:type="pct"/>
            <w:shd w:val="clear" w:color="auto" w:fill="auto"/>
            <w:vAlign w:val="center"/>
          </w:tcPr>
          <w:p w:rsidR="000F4837" w:rsidRPr="000208D4" w:rsidRDefault="00DD73B6" w:rsidP="00C83660">
            <w:pPr>
              <w:keepNext/>
              <w:keepLines/>
              <w:widowControl/>
              <w:suppressLineNumbers/>
              <w:suppressAutoHyphens/>
              <w:jc w:val="center"/>
              <w:rPr>
                <w:rFonts w:ascii="Arial Narrow" w:hAnsi="Arial Narrow"/>
                <w:b/>
                <w:sz w:val="20"/>
                <w:lang w:val="en-US"/>
              </w:rPr>
            </w:pPr>
            <w:r w:rsidRPr="000208D4">
              <w:rPr>
                <w:rFonts w:ascii="Arial Narrow" w:hAnsi="Arial Narrow"/>
                <w:b/>
                <w:sz w:val="20"/>
                <w:lang w:val="en-US"/>
              </w:rPr>
              <w:t>Trial (Day 29)</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b/>
                <w:sz w:val="20"/>
                <w:lang w:val="en-US"/>
              </w:rPr>
            </w:pPr>
            <w:r w:rsidRPr="000208D4">
              <w:rPr>
                <w:rFonts w:ascii="Arial Narrow" w:hAnsi="Arial Narrow"/>
                <w:b/>
                <w:sz w:val="20"/>
                <w:lang w:val="en-US"/>
              </w:rPr>
              <w:t>Financial estimates</w:t>
            </w:r>
          </w:p>
        </w:tc>
        <w:tc>
          <w:tcPr>
            <w:tcW w:w="877" w:type="pct"/>
            <w:shd w:val="clear" w:color="auto" w:fill="auto"/>
            <w:vAlign w:val="center"/>
          </w:tcPr>
          <w:p w:rsidR="000F4837" w:rsidRPr="000208D4" w:rsidRDefault="00DD73B6" w:rsidP="00C83660">
            <w:pPr>
              <w:keepNext/>
              <w:keepLines/>
              <w:widowControl/>
              <w:suppressLineNumbers/>
              <w:suppressAutoHyphens/>
              <w:jc w:val="center"/>
              <w:rPr>
                <w:rFonts w:ascii="Arial Narrow" w:hAnsi="Arial Narrow"/>
                <w:b/>
                <w:sz w:val="20"/>
                <w:lang w:val="en-US"/>
              </w:rPr>
            </w:pPr>
            <w:r w:rsidRPr="000208D4">
              <w:rPr>
                <w:rFonts w:ascii="Arial Narrow" w:hAnsi="Arial Narrow"/>
                <w:b/>
                <w:sz w:val="20"/>
                <w:lang w:val="en-US"/>
              </w:rPr>
              <w:t>Trial (Day 29)</w:t>
            </w:r>
          </w:p>
        </w:tc>
        <w:tc>
          <w:tcPr>
            <w:tcW w:w="878" w:type="pct"/>
          </w:tcPr>
          <w:p w:rsidR="000F4837" w:rsidRPr="000208D4" w:rsidRDefault="000F4837" w:rsidP="00C83660">
            <w:pPr>
              <w:keepNext/>
              <w:keepLines/>
              <w:widowControl/>
              <w:suppressLineNumbers/>
              <w:suppressAutoHyphens/>
              <w:jc w:val="center"/>
              <w:rPr>
                <w:rFonts w:ascii="Arial Narrow" w:hAnsi="Arial Narrow"/>
                <w:b/>
                <w:sz w:val="20"/>
                <w:lang w:val="en-US"/>
              </w:rPr>
            </w:pPr>
            <w:r w:rsidRPr="000208D4">
              <w:rPr>
                <w:rFonts w:ascii="Arial Narrow" w:hAnsi="Arial Narrow"/>
                <w:b/>
                <w:sz w:val="20"/>
                <w:lang w:val="en-US"/>
              </w:rPr>
              <w:t>Financial estimates</w:t>
            </w:r>
          </w:p>
        </w:tc>
      </w:tr>
      <w:tr w:rsidR="000F4837" w:rsidRPr="000208D4" w:rsidTr="000F4837">
        <w:trPr>
          <w:jc w:val="center"/>
        </w:trPr>
        <w:tc>
          <w:tcPr>
            <w:tcW w:w="1491" w:type="pct"/>
            <w:shd w:val="clear" w:color="auto" w:fill="auto"/>
            <w:vAlign w:val="center"/>
          </w:tcPr>
          <w:p w:rsidR="000F4837" w:rsidRPr="000208D4" w:rsidRDefault="000F4837" w:rsidP="00C83660">
            <w:pPr>
              <w:keepNext/>
              <w:keepLines/>
              <w:widowControl/>
              <w:suppressLineNumbers/>
              <w:suppressAutoHyphens/>
              <w:jc w:val="left"/>
              <w:rPr>
                <w:rFonts w:ascii="Arial Narrow" w:hAnsi="Arial Narrow"/>
                <w:sz w:val="20"/>
                <w:lang w:val="en-US"/>
              </w:rPr>
            </w:pPr>
            <w:r w:rsidRPr="000208D4">
              <w:rPr>
                <w:rFonts w:ascii="Arial Narrow" w:hAnsi="Arial Narrow"/>
                <w:sz w:val="20"/>
                <w:lang w:val="en-US"/>
              </w:rPr>
              <w:t>Mean dose buprenorphine</w:t>
            </w:r>
          </w:p>
        </w:tc>
        <w:tc>
          <w:tcPr>
            <w:tcW w:w="877" w:type="pct"/>
            <w:shd w:val="clear" w:color="auto" w:fill="auto"/>
            <w:vAlign w:val="center"/>
          </w:tcPr>
          <w:p w:rsidR="000F4837" w:rsidRPr="000208D4" w:rsidRDefault="00562116" w:rsidP="00C83660">
            <w:pPr>
              <w:keepNext/>
              <w:keepLines/>
              <w:widowControl/>
              <w:suppressLineNumbers/>
              <w:suppressAutoHyphens/>
              <w:jc w:val="center"/>
              <w:rPr>
                <w:rFonts w:ascii="Arial Narrow" w:hAnsi="Arial Narrow"/>
                <w:sz w:val="20"/>
                <w:lang w:val="en-US"/>
              </w:rPr>
            </w:pPr>
            <w:r>
              <w:rPr>
                <w:rFonts w:ascii="Arial Narrow" w:hAnsi="Arial Narrow"/>
                <w:noProof/>
                <w:color w:val="000000"/>
                <w:sz w:val="20"/>
                <w:highlight w:val="black"/>
                <w:lang w:val="en-US"/>
              </w:rPr>
              <w:t>''''''''''''''</w:t>
            </w:r>
            <w:r w:rsidR="000F4837" w:rsidRPr="000208D4">
              <w:rPr>
                <w:rFonts w:ascii="Arial Narrow" w:hAnsi="Arial Narrow"/>
                <w:sz w:val="20"/>
                <w:lang w:val="en-US"/>
              </w:rPr>
              <w:t>mg</w:t>
            </w:r>
          </w:p>
        </w:tc>
        <w:tc>
          <w:tcPr>
            <w:tcW w:w="877" w:type="pct"/>
            <w:shd w:val="clear" w:color="auto" w:fill="auto"/>
            <w:vAlign w:val="center"/>
          </w:tcPr>
          <w:p w:rsidR="000F4837" w:rsidRPr="000208D4" w:rsidRDefault="00562116" w:rsidP="00C83660">
            <w:pPr>
              <w:keepNext/>
              <w:keepLines/>
              <w:widowControl/>
              <w:suppressLineNumbers/>
              <w:suppressAutoHyphens/>
              <w:jc w:val="center"/>
              <w:rPr>
                <w:rFonts w:ascii="Arial Narrow" w:hAnsi="Arial Narrow"/>
                <w:sz w:val="20"/>
                <w:lang w:val="en-US"/>
              </w:rPr>
            </w:pPr>
            <w:r>
              <w:rPr>
                <w:rFonts w:ascii="Arial Narrow" w:hAnsi="Arial Narrow"/>
                <w:noProof/>
                <w:color w:val="000000"/>
                <w:sz w:val="20"/>
                <w:highlight w:val="black"/>
                <w:lang w:val="en-US"/>
              </w:rPr>
              <w:t>'''''''''''''</w:t>
            </w:r>
            <w:r w:rsidR="000F4837" w:rsidRPr="000208D4">
              <w:rPr>
                <w:rFonts w:ascii="Arial Narrow" w:hAnsi="Arial Narrow"/>
                <w:sz w:val="20"/>
                <w:lang w:val="en-US"/>
              </w:rPr>
              <w:t>mg</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sz w:val="20"/>
                <w:lang w:val="en-US"/>
              </w:rPr>
            </w:pPr>
            <w:r w:rsidRPr="000208D4">
              <w:rPr>
                <w:rFonts w:ascii="Arial Narrow" w:hAnsi="Arial Narrow"/>
                <w:sz w:val="20"/>
                <w:lang w:val="en-US"/>
              </w:rPr>
              <w:t>16.01mg</w:t>
            </w:r>
          </w:p>
        </w:tc>
        <w:tc>
          <w:tcPr>
            <w:tcW w:w="878" w:type="pct"/>
          </w:tcPr>
          <w:p w:rsidR="000F4837" w:rsidRPr="000208D4" w:rsidRDefault="00613A1E" w:rsidP="00C83660">
            <w:pPr>
              <w:keepNext/>
              <w:keepLines/>
              <w:widowControl/>
              <w:suppressLineNumbers/>
              <w:suppressAutoHyphens/>
              <w:jc w:val="center"/>
              <w:rPr>
                <w:rFonts w:ascii="Arial Narrow" w:hAnsi="Arial Narrow"/>
                <w:sz w:val="20"/>
                <w:lang w:val="en-US"/>
              </w:rPr>
            </w:pPr>
            <w:r w:rsidRPr="000208D4">
              <w:rPr>
                <w:rFonts w:ascii="Arial Narrow" w:hAnsi="Arial Narrow"/>
                <w:sz w:val="20"/>
                <w:lang w:val="en-US"/>
              </w:rPr>
              <w:t>16.01mg</w:t>
            </w:r>
          </w:p>
        </w:tc>
      </w:tr>
      <w:tr w:rsidR="000F4837" w:rsidRPr="000208D4" w:rsidTr="000F4837">
        <w:trPr>
          <w:jc w:val="center"/>
        </w:trPr>
        <w:tc>
          <w:tcPr>
            <w:tcW w:w="1491" w:type="pct"/>
            <w:shd w:val="clear" w:color="auto" w:fill="auto"/>
            <w:vAlign w:val="center"/>
          </w:tcPr>
          <w:p w:rsidR="000F4837" w:rsidRPr="000208D4" w:rsidRDefault="000F4837" w:rsidP="00C83660">
            <w:pPr>
              <w:keepNext/>
              <w:keepLines/>
              <w:widowControl/>
              <w:suppressLineNumbers/>
              <w:suppressAutoHyphens/>
              <w:jc w:val="left"/>
              <w:rPr>
                <w:rFonts w:ascii="Arial Narrow" w:hAnsi="Arial Narrow"/>
                <w:sz w:val="20"/>
                <w:lang w:val="en-US"/>
              </w:rPr>
            </w:pPr>
            <w:r w:rsidRPr="000208D4">
              <w:rPr>
                <w:rFonts w:ascii="Arial Narrow" w:hAnsi="Arial Narrow"/>
                <w:sz w:val="20"/>
                <w:lang w:val="en-US"/>
              </w:rPr>
              <w:t>Cost/patient/month</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sz w:val="20"/>
                <w:lang w:val="en-US"/>
              </w:rPr>
            </w:pPr>
            <w:r w:rsidRPr="000208D4">
              <w:rPr>
                <w:rFonts w:ascii="Arial Narrow" w:hAnsi="Arial Narrow"/>
                <w:sz w:val="20"/>
                <w:lang w:val="en-US"/>
              </w:rPr>
              <w:t>$</w:t>
            </w:r>
            <w:r w:rsidR="00562116">
              <w:rPr>
                <w:rFonts w:ascii="Arial Narrow" w:hAnsi="Arial Narrow"/>
                <w:noProof/>
                <w:color w:val="000000"/>
                <w:sz w:val="20"/>
                <w:highlight w:val="black"/>
                <w:lang w:val="en-US"/>
              </w:rPr>
              <w:t>''''''''''</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sz w:val="20"/>
                <w:vertAlign w:val="superscript"/>
                <w:lang w:val="en-US"/>
              </w:rPr>
            </w:pPr>
            <w:r w:rsidRPr="000208D4">
              <w:rPr>
                <w:rFonts w:ascii="Arial Narrow" w:hAnsi="Arial Narrow"/>
                <w:sz w:val="20"/>
                <w:lang w:val="en-US"/>
              </w:rPr>
              <w:t>$</w:t>
            </w:r>
            <w:r w:rsidR="00562116">
              <w:rPr>
                <w:rFonts w:ascii="Arial Narrow" w:hAnsi="Arial Narrow"/>
                <w:noProof/>
                <w:color w:val="000000"/>
                <w:sz w:val="20"/>
                <w:highlight w:val="black"/>
                <w:lang w:val="en-US"/>
              </w:rPr>
              <w:t>''''''''' ''' '''''''''''</w:t>
            </w:r>
            <w:r w:rsidR="00613A1E" w:rsidRPr="000208D4">
              <w:rPr>
                <w:rFonts w:ascii="Arial Narrow" w:hAnsi="Arial Narrow"/>
                <w:sz w:val="20"/>
                <w:vertAlign w:val="superscript"/>
                <w:lang w:val="en-US"/>
              </w:rPr>
              <w:t>b</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sz w:val="20"/>
                <w:lang w:val="en-US"/>
              </w:rPr>
            </w:pPr>
            <w:r w:rsidRPr="000208D4">
              <w:rPr>
                <w:rFonts w:ascii="Arial Narrow" w:hAnsi="Arial Narrow"/>
                <w:sz w:val="20"/>
                <w:lang w:val="en-US"/>
              </w:rPr>
              <w:t>$27</w:t>
            </w:r>
            <w:r w:rsidR="00A07B83" w:rsidRPr="000208D4">
              <w:rPr>
                <w:rFonts w:ascii="Arial Narrow" w:hAnsi="Arial Narrow"/>
                <w:sz w:val="20"/>
                <w:lang w:val="en-US"/>
              </w:rPr>
              <w:t>3</w:t>
            </w:r>
          </w:p>
        </w:tc>
        <w:tc>
          <w:tcPr>
            <w:tcW w:w="878" w:type="pct"/>
          </w:tcPr>
          <w:p w:rsidR="000F4837" w:rsidRPr="000208D4" w:rsidRDefault="00613A1E" w:rsidP="00C83660">
            <w:pPr>
              <w:keepNext/>
              <w:keepLines/>
              <w:widowControl/>
              <w:suppressLineNumbers/>
              <w:suppressAutoHyphens/>
              <w:jc w:val="center"/>
              <w:rPr>
                <w:rFonts w:ascii="Arial Narrow" w:hAnsi="Arial Narrow"/>
                <w:sz w:val="20"/>
                <w:vertAlign w:val="superscript"/>
                <w:lang w:val="en-US"/>
              </w:rPr>
            </w:pPr>
            <w:r w:rsidRPr="000208D4">
              <w:rPr>
                <w:rFonts w:ascii="Arial Narrow" w:hAnsi="Arial Narrow"/>
                <w:sz w:val="20"/>
                <w:lang w:val="en-US"/>
              </w:rPr>
              <w:t xml:space="preserve">$179 </w:t>
            </w:r>
            <w:r w:rsidR="00370A04" w:rsidRPr="000208D4">
              <w:rPr>
                <w:rFonts w:ascii="Arial Narrow" w:hAnsi="Arial Narrow"/>
                <w:sz w:val="20"/>
                <w:lang w:val="en-US"/>
              </w:rPr>
              <w:t>–</w:t>
            </w:r>
            <w:r w:rsidRPr="000208D4">
              <w:rPr>
                <w:rFonts w:ascii="Arial Narrow" w:hAnsi="Arial Narrow"/>
                <w:sz w:val="20"/>
                <w:lang w:val="en-US"/>
              </w:rPr>
              <w:t xml:space="preserve"> $184</w:t>
            </w:r>
            <w:r w:rsidRPr="000208D4">
              <w:rPr>
                <w:rFonts w:ascii="Arial Narrow" w:hAnsi="Arial Narrow"/>
                <w:sz w:val="20"/>
                <w:vertAlign w:val="superscript"/>
                <w:lang w:val="en-US"/>
              </w:rPr>
              <w:t>b</w:t>
            </w:r>
          </w:p>
        </w:tc>
      </w:tr>
      <w:tr w:rsidR="000F4837" w:rsidRPr="006911FB" w:rsidTr="000F4837">
        <w:trPr>
          <w:jc w:val="center"/>
        </w:trPr>
        <w:tc>
          <w:tcPr>
            <w:tcW w:w="1491" w:type="pct"/>
            <w:shd w:val="clear" w:color="auto" w:fill="auto"/>
            <w:vAlign w:val="center"/>
          </w:tcPr>
          <w:p w:rsidR="000F4837" w:rsidRPr="000208D4" w:rsidRDefault="000F4837" w:rsidP="00C83660">
            <w:pPr>
              <w:keepNext/>
              <w:keepLines/>
              <w:widowControl/>
              <w:suppressLineNumbers/>
              <w:suppressAutoHyphens/>
              <w:jc w:val="left"/>
              <w:rPr>
                <w:rFonts w:ascii="Arial Narrow" w:hAnsi="Arial Narrow"/>
                <w:sz w:val="20"/>
                <w:lang w:val="en-US"/>
              </w:rPr>
            </w:pPr>
            <w:r w:rsidRPr="000208D4">
              <w:rPr>
                <w:rFonts w:ascii="Arial Narrow" w:hAnsi="Arial Narrow"/>
                <w:sz w:val="20"/>
                <w:lang w:val="en-US"/>
              </w:rPr>
              <w:t xml:space="preserve">Cost/patient/year </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sz w:val="20"/>
                <w:vertAlign w:val="superscript"/>
                <w:lang w:val="en-US"/>
              </w:rPr>
            </w:pPr>
            <w:r w:rsidRPr="000208D4">
              <w:rPr>
                <w:rFonts w:ascii="Arial Narrow" w:hAnsi="Arial Narrow"/>
                <w:sz w:val="20"/>
                <w:lang w:val="en-US"/>
              </w:rPr>
              <w:t>$</w:t>
            </w:r>
            <w:r w:rsidR="00562116">
              <w:rPr>
                <w:rFonts w:ascii="Arial Narrow" w:hAnsi="Arial Narrow"/>
                <w:noProof/>
                <w:color w:val="000000"/>
                <w:sz w:val="20"/>
                <w:highlight w:val="black"/>
                <w:lang w:val="en-US"/>
              </w:rPr>
              <w:t>''''''''''''</w:t>
            </w:r>
            <w:r w:rsidRPr="000208D4">
              <w:rPr>
                <w:rFonts w:ascii="Arial Narrow" w:hAnsi="Arial Narrow"/>
                <w:sz w:val="20"/>
                <w:vertAlign w:val="superscript"/>
                <w:lang w:val="en-US"/>
              </w:rPr>
              <w:t>a</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sz w:val="20"/>
                <w:vertAlign w:val="superscript"/>
                <w:lang w:val="en-US"/>
              </w:rPr>
            </w:pPr>
            <w:r w:rsidRPr="000208D4">
              <w:rPr>
                <w:rFonts w:ascii="Arial Narrow" w:hAnsi="Arial Narrow"/>
                <w:sz w:val="20"/>
                <w:lang w:val="en-US"/>
              </w:rPr>
              <w:t>$</w:t>
            </w:r>
            <w:r w:rsidR="00562116">
              <w:rPr>
                <w:rFonts w:ascii="Arial Narrow" w:hAnsi="Arial Narrow"/>
                <w:noProof/>
                <w:color w:val="000000"/>
                <w:sz w:val="20"/>
                <w:highlight w:val="black"/>
                <w:lang w:val="en-US"/>
              </w:rPr>
              <w:t>''''''''''''''' ''' '''''''''''''''''</w:t>
            </w:r>
            <w:r w:rsidRPr="000208D4">
              <w:rPr>
                <w:rFonts w:ascii="Arial Narrow" w:hAnsi="Arial Narrow"/>
                <w:sz w:val="20"/>
                <w:vertAlign w:val="superscript"/>
                <w:lang w:val="en-US"/>
              </w:rPr>
              <w:t>c</w:t>
            </w:r>
          </w:p>
        </w:tc>
        <w:tc>
          <w:tcPr>
            <w:tcW w:w="877" w:type="pct"/>
            <w:shd w:val="clear" w:color="auto" w:fill="auto"/>
            <w:vAlign w:val="center"/>
          </w:tcPr>
          <w:p w:rsidR="000F4837" w:rsidRPr="000208D4" w:rsidRDefault="000F4837" w:rsidP="00C83660">
            <w:pPr>
              <w:keepNext/>
              <w:keepLines/>
              <w:widowControl/>
              <w:suppressLineNumbers/>
              <w:suppressAutoHyphens/>
              <w:jc w:val="center"/>
              <w:rPr>
                <w:rFonts w:ascii="Arial Narrow" w:hAnsi="Arial Narrow"/>
                <w:sz w:val="20"/>
                <w:vertAlign w:val="superscript"/>
                <w:lang w:val="en-US"/>
              </w:rPr>
            </w:pPr>
            <w:r w:rsidRPr="000208D4">
              <w:rPr>
                <w:rFonts w:ascii="Arial Narrow" w:hAnsi="Arial Narrow"/>
                <w:sz w:val="20"/>
                <w:lang w:val="en-US"/>
              </w:rPr>
              <w:t>$3,553</w:t>
            </w:r>
            <w:r w:rsidRPr="000208D4">
              <w:rPr>
                <w:rFonts w:ascii="Arial Narrow" w:hAnsi="Arial Narrow"/>
                <w:sz w:val="20"/>
                <w:vertAlign w:val="superscript"/>
                <w:lang w:val="en-US"/>
              </w:rPr>
              <w:t>a</w:t>
            </w:r>
          </w:p>
        </w:tc>
        <w:tc>
          <w:tcPr>
            <w:tcW w:w="878" w:type="pct"/>
          </w:tcPr>
          <w:p w:rsidR="000F4837" w:rsidRPr="006911FB" w:rsidRDefault="00613A1E" w:rsidP="00C83660">
            <w:pPr>
              <w:keepNext/>
              <w:keepLines/>
              <w:widowControl/>
              <w:suppressLineNumbers/>
              <w:suppressAutoHyphens/>
              <w:jc w:val="center"/>
              <w:rPr>
                <w:rFonts w:ascii="Arial Narrow" w:hAnsi="Arial Narrow"/>
                <w:sz w:val="20"/>
                <w:vertAlign w:val="superscript"/>
                <w:lang w:val="en-US"/>
              </w:rPr>
            </w:pPr>
            <w:r w:rsidRPr="000208D4">
              <w:rPr>
                <w:rFonts w:ascii="Arial Narrow" w:hAnsi="Arial Narrow"/>
                <w:sz w:val="20"/>
                <w:lang w:val="en-US"/>
              </w:rPr>
              <w:t xml:space="preserve">$2,145 </w:t>
            </w:r>
            <w:r w:rsidR="00370A04" w:rsidRPr="000208D4">
              <w:rPr>
                <w:rFonts w:ascii="Arial Narrow" w:hAnsi="Arial Narrow"/>
                <w:sz w:val="20"/>
                <w:lang w:val="en-US"/>
              </w:rPr>
              <w:t>–</w:t>
            </w:r>
            <w:r w:rsidRPr="000208D4">
              <w:rPr>
                <w:rFonts w:ascii="Arial Narrow" w:hAnsi="Arial Narrow"/>
                <w:sz w:val="20"/>
                <w:lang w:val="en-US"/>
              </w:rPr>
              <w:t xml:space="preserve"> $2,203</w:t>
            </w:r>
            <w:r w:rsidRPr="000208D4">
              <w:rPr>
                <w:rFonts w:ascii="Arial Narrow" w:hAnsi="Arial Narrow"/>
                <w:sz w:val="20"/>
                <w:vertAlign w:val="superscript"/>
                <w:lang w:val="en-US"/>
              </w:rPr>
              <w:t>c</w:t>
            </w:r>
          </w:p>
        </w:tc>
      </w:tr>
    </w:tbl>
    <w:p w:rsidR="009C6CA7" w:rsidRPr="006911FB" w:rsidRDefault="009C6CA7" w:rsidP="00C83660">
      <w:pPr>
        <w:keepNext/>
        <w:keepLines/>
        <w:suppressLineNumbers/>
        <w:suppressAutoHyphens/>
        <w:rPr>
          <w:rFonts w:ascii="Arial Narrow" w:hAnsi="Arial Narrow"/>
          <w:sz w:val="18"/>
        </w:rPr>
      </w:pPr>
      <w:r w:rsidRPr="006911FB">
        <w:rPr>
          <w:rFonts w:ascii="Arial Narrow" w:hAnsi="Arial Narrow"/>
          <w:sz w:val="18"/>
        </w:rPr>
        <w:t xml:space="preserve">Source: </w:t>
      </w:r>
      <w:r w:rsidR="000F4837" w:rsidRPr="006911FB">
        <w:rPr>
          <w:rFonts w:ascii="Arial Narrow" w:hAnsi="Arial Narrow"/>
          <w:sz w:val="18"/>
        </w:rPr>
        <w:t>compiled during the evaluation</w:t>
      </w:r>
    </w:p>
    <w:p w:rsidR="000F4837" w:rsidRPr="006911FB" w:rsidRDefault="000F4837" w:rsidP="00C83660">
      <w:pPr>
        <w:keepLines/>
        <w:suppressLineNumbers/>
        <w:tabs>
          <w:tab w:val="left" w:pos="284"/>
        </w:tabs>
        <w:suppressAutoHyphens/>
        <w:rPr>
          <w:rFonts w:ascii="Arial Narrow" w:hAnsi="Arial Narrow"/>
          <w:sz w:val="18"/>
        </w:rPr>
      </w:pPr>
      <w:r w:rsidRPr="006911FB">
        <w:rPr>
          <w:rFonts w:ascii="Arial Narrow" w:hAnsi="Arial Narrow"/>
          <w:sz w:val="18"/>
          <w:vertAlign w:val="superscript"/>
        </w:rPr>
        <w:t>a</w:t>
      </w:r>
      <w:r w:rsidRPr="006911FB">
        <w:rPr>
          <w:rFonts w:ascii="Arial Narrow" w:hAnsi="Arial Narrow"/>
          <w:sz w:val="18"/>
        </w:rPr>
        <w:tab/>
        <w:t>estimated as cost/month * 365/28</w:t>
      </w:r>
    </w:p>
    <w:p w:rsidR="000F4837" w:rsidRPr="006911FB" w:rsidRDefault="000F4837" w:rsidP="00C83660">
      <w:pPr>
        <w:keepLines/>
        <w:suppressLineNumbers/>
        <w:tabs>
          <w:tab w:val="left" w:pos="284"/>
        </w:tabs>
        <w:suppressAutoHyphens/>
        <w:rPr>
          <w:rFonts w:ascii="Arial Narrow" w:hAnsi="Arial Narrow"/>
          <w:sz w:val="18"/>
        </w:rPr>
      </w:pPr>
      <w:r w:rsidRPr="006911FB">
        <w:rPr>
          <w:rFonts w:ascii="Arial Narrow" w:hAnsi="Arial Narrow"/>
          <w:sz w:val="18"/>
          <w:vertAlign w:val="superscript"/>
        </w:rPr>
        <w:t>b</w:t>
      </w:r>
      <w:r w:rsidRPr="006911FB">
        <w:rPr>
          <w:rFonts w:ascii="Arial Narrow" w:hAnsi="Arial Narrow"/>
          <w:sz w:val="18"/>
          <w:vertAlign w:val="superscript"/>
        </w:rPr>
        <w:tab/>
      </w:r>
      <w:r w:rsidRPr="006911FB">
        <w:rPr>
          <w:rFonts w:ascii="Arial Narrow" w:hAnsi="Arial Narrow"/>
          <w:sz w:val="18"/>
        </w:rPr>
        <w:t>estimated as cost/patient/year /12</w:t>
      </w:r>
    </w:p>
    <w:p w:rsidR="000F4837" w:rsidRPr="006911FB" w:rsidRDefault="000F4837" w:rsidP="00C83660">
      <w:pPr>
        <w:keepLines/>
        <w:suppressLineNumbers/>
        <w:tabs>
          <w:tab w:val="left" w:pos="284"/>
        </w:tabs>
        <w:suppressAutoHyphens/>
        <w:spacing w:after="160"/>
        <w:rPr>
          <w:rFonts w:ascii="Arial Narrow" w:hAnsi="Arial Narrow"/>
          <w:sz w:val="18"/>
        </w:rPr>
      </w:pPr>
      <w:r w:rsidRPr="006911FB">
        <w:rPr>
          <w:rFonts w:ascii="Arial Narrow" w:hAnsi="Arial Narrow"/>
          <w:sz w:val="18"/>
          <w:vertAlign w:val="superscript"/>
        </w:rPr>
        <w:t>c</w:t>
      </w:r>
      <w:r w:rsidRPr="006911FB">
        <w:rPr>
          <w:rFonts w:ascii="Arial Narrow" w:hAnsi="Arial Narrow"/>
          <w:sz w:val="18"/>
          <w:vertAlign w:val="superscript"/>
        </w:rPr>
        <w:tab/>
      </w:r>
      <w:r w:rsidRPr="006911FB">
        <w:rPr>
          <w:rFonts w:ascii="Arial Narrow" w:hAnsi="Arial Narrow"/>
          <w:sz w:val="18"/>
        </w:rPr>
        <w:t>estimated as PBS/RPBS cost per year/number of patients (</w:t>
      </w:r>
      <w:r w:rsidRPr="00927CBB">
        <w:rPr>
          <w:rFonts w:ascii="Arial Narrow" w:hAnsi="Arial Narrow"/>
          <w:sz w:val="18"/>
          <w:szCs w:val="18"/>
        </w:rPr>
        <w:t xml:space="preserve">see </w:t>
      </w:r>
      <w:r w:rsidR="0087379C" w:rsidRPr="00927CBB">
        <w:rPr>
          <w:rFonts w:ascii="Arial Narrow" w:hAnsi="Arial Narrow"/>
          <w:sz w:val="18"/>
          <w:szCs w:val="18"/>
        </w:rPr>
        <w:t xml:space="preserve">Table </w:t>
      </w:r>
      <w:r w:rsidR="0087379C" w:rsidRPr="00927CBB">
        <w:rPr>
          <w:rFonts w:ascii="Arial Narrow" w:hAnsi="Arial Narrow"/>
          <w:noProof/>
          <w:sz w:val="18"/>
          <w:szCs w:val="18"/>
        </w:rPr>
        <w:t>9</w:t>
      </w:r>
      <w:r w:rsidRPr="00927CBB">
        <w:rPr>
          <w:rFonts w:ascii="Arial Narrow" w:hAnsi="Arial Narrow"/>
          <w:sz w:val="18"/>
          <w:szCs w:val="18"/>
        </w:rPr>
        <w:t>)</w:t>
      </w:r>
    </w:p>
    <w:p w:rsidR="00B60939" w:rsidRPr="006911FB" w:rsidRDefault="00B60939" w:rsidP="00C83660">
      <w:pPr>
        <w:pStyle w:val="Heading2"/>
        <w:widowControl/>
      </w:pPr>
      <w:bookmarkStart w:id="20" w:name="_Toc17412662"/>
      <w:r w:rsidRPr="006911FB">
        <w:t>Estimated PBS usage &amp; financial implications</w:t>
      </w:r>
      <w:bookmarkEnd w:id="20"/>
    </w:p>
    <w:p w:rsidR="0072416F" w:rsidRPr="00E5098C" w:rsidRDefault="00C25D9C" w:rsidP="00C83660">
      <w:pPr>
        <w:pStyle w:val="ListParagraph"/>
        <w:widowControl/>
        <w:numPr>
          <w:ilvl w:val="1"/>
          <w:numId w:val="1"/>
        </w:numPr>
        <w:spacing w:after="120"/>
        <w:rPr>
          <w:color w:val="000000" w:themeColor="text1"/>
        </w:rPr>
      </w:pPr>
      <w:r w:rsidRPr="006911FB">
        <w:t xml:space="preserve">This submission </w:t>
      </w:r>
      <w:r w:rsidR="00B201A4" w:rsidRPr="006911FB">
        <w:t>wa</w:t>
      </w:r>
      <w:r w:rsidRPr="006911FB">
        <w:t>s not considered by DUSC</w:t>
      </w:r>
      <w:r w:rsidR="004F5274" w:rsidRPr="006911FB">
        <w:t xml:space="preserve">. </w:t>
      </w:r>
      <w:r w:rsidR="00E72E30" w:rsidRPr="006911FB">
        <w:t>The submission used a market share approach</w:t>
      </w:r>
      <w:r w:rsidR="00613113">
        <w:t>,</w:t>
      </w:r>
      <w:r w:rsidR="00E72E30" w:rsidRPr="006911FB">
        <w:t xml:space="preserve"> with an epidemiological approach also used to verify patient numbers. Uptake was assumed </w:t>
      </w:r>
      <w:r w:rsidR="00613113">
        <w:t>based on</w:t>
      </w:r>
      <w:r w:rsidR="00613113" w:rsidRPr="006911FB">
        <w:t xml:space="preserve"> </w:t>
      </w:r>
      <w:r w:rsidR="00E72E30" w:rsidRPr="006911FB">
        <w:t>sponsor projections based on estimated patient numbers derived from extrapolated curves of IMS-iQvia historical A</w:t>
      </w:r>
      <w:r w:rsidR="00323BCB" w:rsidRPr="006911FB">
        <w:t>ustralian Pharmaceutical Industries (A</w:t>
      </w:r>
      <w:r w:rsidR="00E72E30" w:rsidRPr="006911FB">
        <w:t>PI</w:t>
      </w:r>
      <w:r w:rsidR="00323BCB" w:rsidRPr="006911FB">
        <w:t>)</w:t>
      </w:r>
      <w:r w:rsidR="00E72E30" w:rsidRPr="006911FB">
        <w:t xml:space="preserve"> and </w:t>
      </w:r>
      <w:r w:rsidR="00323BCB" w:rsidRPr="006911FB">
        <w:t>Australian Hospital Industries (</w:t>
      </w:r>
      <w:r w:rsidR="00E72E30" w:rsidRPr="006911FB">
        <w:t>AHI</w:t>
      </w:r>
      <w:r w:rsidR="00323BCB" w:rsidRPr="006911FB">
        <w:t>)</w:t>
      </w:r>
      <w:r w:rsidR="00E72E30" w:rsidRPr="006911FB">
        <w:t xml:space="preserve"> data on buprenorphine/naloxone sales. </w:t>
      </w:r>
      <w:r w:rsidR="004061D9" w:rsidRPr="00E5098C">
        <w:t>The ESC considered that converting IMS-iQvia sales volumes to predict patient numbers was problematic</w:t>
      </w:r>
      <w:r w:rsidR="007078DF" w:rsidRPr="00E5098C">
        <w:t xml:space="preserve"> and the assumption of linear market growth was </w:t>
      </w:r>
      <w:r w:rsidR="00663DCE" w:rsidRPr="00E5098C">
        <w:t>unsubstantiated</w:t>
      </w:r>
      <w:r w:rsidR="004061D9" w:rsidRPr="00E5098C">
        <w:t>.</w:t>
      </w:r>
    </w:p>
    <w:p w:rsidR="007A3DB0" w:rsidRPr="006911FB" w:rsidRDefault="007A3DB0" w:rsidP="00C83660">
      <w:pPr>
        <w:pStyle w:val="ListParagraph"/>
        <w:widowControl/>
        <w:numPr>
          <w:ilvl w:val="1"/>
          <w:numId w:val="1"/>
        </w:numPr>
        <w:spacing w:after="120"/>
      </w:pPr>
      <w:r w:rsidRPr="006911FB">
        <w:t xml:space="preserve">The submission based </w:t>
      </w:r>
      <w:r w:rsidR="00613113">
        <w:t>its</w:t>
      </w:r>
      <w:r w:rsidR="00613113" w:rsidRPr="006911FB">
        <w:t xml:space="preserve"> </w:t>
      </w:r>
      <w:r w:rsidRPr="006911FB">
        <w:t xml:space="preserve">analyses </w:t>
      </w:r>
      <w:r w:rsidR="00510C1C" w:rsidRPr="006911FB">
        <w:t>on</w:t>
      </w:r>
      <w:r w:rsidRPr="006911FB">
        <w:t xml:space="preserve"> estimating the total mg buprenorphine administered via Suboxone film that would be replaced by Zubsolv using a ratio of 8:5.7 and estimating how the doses wou</w:t>
      </w:r>
      <w:r w:rsidR="00510C1C" w:rsidRPr="006911FB">
        <w:t>ld be achieved based on the vary</w:t>
      </w:r>
      <w:r w:rsidRPr="006911FB">
        <w:t>ing formulations. The submission also estimated that patients would require 1.75 Zubsolv tablets/</w:t>
      </w:r>
      <w:r w:rsidRPr="007078DF">
        <w:t>day versus 2.43 Suboxone films/day based on Day</w:t>
      </w:r>
      <w:r w:rsidR="00F76478" w:rsidRPr="007078DF">
        <w:t xml:space="preserve"> </w:t>
      </w:r>
      <w:r w:rsidRPr="007078DF">
        <w:t xml:space="preserve">29 dosing in Trial </w:t>
      </w:r>
      <w:r w:rsidR="00DC4DAC" w:rsidRPr="007078DF">
        <w:t>O</w:t>
      </w:r>
      <w:r w:rsidRPr="007078DF">
        <w:t>X219</w:t>
      </w:r>
      <w:r w:rsidR="006411EB" w:rsidRPr="007078DF">
        <w:noBreakHyphen/>
      </w:r>
      <w:r w:rsidRPr="007078DF">
        <w:t xml:space="preserve">006. </w:t>
      </w:r>
      <w:r w:rsidR="007078DF" w:rsidRPr="00E5098C">
        <w:t xml:space="preserve">The ESC considered relative market share was difficult to predict as there would not only be initiators, but also patients switching treatments, and the impact of the recent listing of buprenorphine modified release injection had not been considered in the estimates. However, the ESC considered that market growth as a result of listing Zubsolv would be unlikely. </w:t>
      </w:r>
      <w:r w:rsidR="00DD73B6" w:rsidRPr="007078DF">
        <w:t>The</w:t>
      </w:r>
      <w:r w:rsidR="00DD73B6" w:rsidRPr="006911FB">
        <w:t xml:space="preserve"> </w:t>
      </w:r>
      <w:r w:rsidR="003B1A65" w:rsidRPr="006911FB">
        <w:t xml:space="preserve">submission’s </w:t>
      </w:r>
      <w:r w:rsidR="00DD73B6" w:rsidRPr="006911FB">
        <w:t xml:space="preserve">estimated use and financial implications of listing Zubsolv are presented in Table 9. </w:t>
      </w:r>
    </w:p>
    <w:p w:rsidR="009C6CA7" w:rsidRPr="006911FB" w:rsidRDefault="00613A1E" w:rsidP="00C83660">
      <w:pPr>
        <w:pStyle w:val="Caption"/>
        <w:keepNext/>
        <w:keepLines/>
        <w:widowControl/>
        <w:spacing w:after="0"/>
        <w:rPr>
          <w:rFonts w:ascii="Arial Narrow" w:hAnsi="Arial Narrow"/>
          <w:b w:val="0"/>
          <w:color w:val="auto"/>
          <w:sz w:val="20"/>
          <w:szCs w:val="20"/>
        </w:rPr>
      </w:pPr>
      <w:bookmarkStart w:id="21" w:name="_Ref19019764"/>
      <w:r w:rsidRPr="006911FB">
        <w:rPr>
          <w:rFonts w:ascii="Arial Narrow" w:hAnsi="Arial Narrow"/>
          <w:color w:val="auto"/>
          <w:sz w:val="20"/>
          <w:szCs w:val="20"/>
        </w:rPr>
        <w:lastRenderedPageBreak/>
        <w:t xml:space="preserve">Table </w:t>
      </w:r>
      <w:r w:rsidRPr="006911FB">
        <w:rPr>
          <w:rFonts w:ascii="Arial Narrow" w:hAnsi="Arial Narrow"/>
          <w:noProof/>
          <w:color w:val="auto"/>
          <w:sz w:val="20"/>
          <w:szCs w:val="20"/>
        </w:rPr>
        <w:t>9</w:t>
      </w:r>
      <w:bookmarkEnd w:id="21"/>
      <w:r w:rsidRPr="006911FB">
        <w:rPr>
          <w:rFonts w:ascii="Arial Narrow" w:hAnsi="Arial Narrow"/>
          <w:color w:val="auto"/>
          <w:sz w:val="20"/>
          <w:szCs w:val="20"/>
        </w:rPr>
        <w:t>:</w:t>
      </w:r>
      <w:r w:rsidR="009C6CA7" w:rsidRPr="006911FB">
        <w:rPr>
          <w:rStyle w:val="CommentReference"/>
          <w:b/>
          <w:color w:val="auto"/>
          <w:szCs w:val="20"/>
        </w:rPr>
        <w:t xml:space="preserve">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Estimated use and financial implications"/>
      </w:tblPr>
      <w:tblGrid>
        <w:gridCol w:w="2000"/>
        <w:gridCol w:w="1156"/>
        <w:gridCol w:w="1157"/>
        <w:gridCol w:w="1157"/>
        <w:gridCol w:w="1157"/>
        <w:gridCol w:w="1157"/>
        <w:gridCol w:w="1155"/>
      </w:tblGrid>
      <w:tr w:rsidR="009C6CA7" w:rsidRPr="006911FB" w:rsidTr="00613A1E">
        <w:trPr>
          <w:tblHeader/>
        </w:trPr>
        <w:tc>
          <w:tcPr>
            <w:tcW w:w="1119" w:type="pct"/>
            <w:shd w:val="clear" w:color="auto" w:fill="auto"/>
            <w:vAlign w:val="center"/>
          </w:tcPr>
          <w:p w:rsidR="009C6CA7" w:rsidRPr="006911FB" w:rsidRDefault="009C6CA7" w:rsidP="00C83660">
            <w:pPr>
              <w:pStyle w:val="Tabletext"/>
              <w:keepNext/>
              <w:keepLines/>
            </w:pPr>
          </w:p>
        </w:tc>
        <w:tc>
          <w:tcPr>
            <w:tcW w:w="647" w:type="pct"/>
            <w:shd w:val="clear" w:color="auto" w:fill="auto"/>
            <w:vAlign w:val="center"/>
          </w:tcPr>
          <w:p w:rsidR="009C6CA7" w:rsidRPr="006911FB" w:rsidRDefault="009C6CA7" w:rsidP="00C83660">
            <w:pPr>
              <w:pStyle w:val="Tabletext"/>
              <w:keepNext/>
              <w:keepLines/>
              <w:jc w:val="center"/>
              <w:rPr>
                <w:b/>
              </w:rPr>
            </w:pPr>
            <w:r w:rsidRPr="006911FB">
              <w:rPr>
                <w:b/>
              </w:rPr>
              <w:t>Year 1</w:t>
            </w:r>
          </w:p>
        </w:tc>
        <w:tc>
          <w:tcPr>
            <w:tcW w:w="647" w:type="pct"/>
            <w:shd w:val="clear" w:color="auto" w:fill="auto"/>
            <w:vAlign w:val="center"/>
          </w:tcPr>
          <w:p w:rsidR="009C6CA7" w:rsidRPr="006911FB" w:rsidRDefault="009C6CA7" w:rsidP="00C83660">
            <w:pPr>
              <w:pStyle w:val="Tabletext"/>
              <w:keepNext/>
              <w:keepLines/>
              <w:jc w:val="center"/>
              <w:rPr>
                <w:b/>
              </w:rPr>
            </w:pPr>
            <w:r w:rsidRPr="006911FB">
              <w:rPr>
                <w:b/>
              </w:rPr>
              <w:t>Year 2</w:t>
            </w:r>
          </w:p>
        </w:tc>
        <w:tc>
          <w:tcPr>
            <w:tcW w:w="647" w:type="pct"/>
            <w:shd w:val="clear" w:color="auto" w:fill="auto"/>
            <w:vAlign w:val="center"/>
          </w:tcPr>
          <w:p w:rsidR="009C6CA7" w:rsidRPr="006911FB" w:rsidRDefault="009C6CA7" w:rsidP="00C83660">
            <w:pPr>
              <w:pStyle w:val="Tabletext"/>
              <w:keepNext/>
              <w:keepLines/>
              <w:jc w:val="center"/>
              <w:rPr>
                <w:b/>
              </w:rPr>
            </w:pPr>
            <w:r w:rsidRPr="006911FB">
              <w:rPr>
                <w:b/>
              </w:rPr>
              <w:t>Year 3</w:t>
            </w:r>
          </w:p>
        </w:tc>
        <w:tc>
          <w:tcPr>
            <w:tcW w:w="647" w:type="pct"/>
            <w:shd w:val="clear" w:color="auto" w:fill="auto"/>
            <w:vAlign w:val="center"/>
          </w:tcPr>
          <w:p w:rsidR="009C6CA7" w:rsidRPr="006911FB" w:rsidRDefault="009C6CA7" w:rsidP="00C83660">
            <w:pPr>
              <w:pStyle w:val="Tabletext"/>
              <w:keepNext/>
              <w:keepLines/>
              <w:jc w:val="center"/>
              <w:rPr>
                <w:b/>
              </w:rPr>
            </w:pPr>
            <w:r w:rsidRPr="006911FB">
              <w:rPr>
                <w:b/>
              </w:rPr>
              <w:t>Year 4</w:t>
            </w:r>
          </w:p>
        </w:tc>
        <w:tc>
          <w:tcPr>
            <w:tcW w:w="647" w:type="pct"/>
            <w:shd w:val="clear" w:color="auto" w:fill="auto"/>
            <w:vAlign w:val="center"/>
          </w:tcPr>
          <w:p w:rsidR="009C6CA7" w:rsidRPr="006911FB" w:rsidRDefault="009C6CA7" w:rsidP="00C83660">
            <w:pPr>
              <w:pStyle w:val="Tabletext"/>
              <w:keepNext/>
              <w:keepLines/>
              <w:jc w:val="center"/>
              <w:rPr>
                <w:b/>
              </w:rPr>
            </w:pPr>
            <w:r w:rsidRPr="006911FB">
              <w:rPr>
                <w:b/>
              </w:rPr>
              <w:t>Year 5</w:t>
            </w:r>
          </w:p>
        </w:tc>
        <w:tc>
          <w:tcPr>
            <w:tcW w:w="646" w:type="pct"/>
          </w:tcPr>
          <w:p w:rsidR="009C6CA7" w:rsidRPr="006911FB" w:rsidRDefault="009C6CA7" w:rsidP="00C83660">
            <w:pPr>
              <w:pStyle w:val="Tabletext"/>
              <w:keepNext/>
              <w:keepLines/>
              <w:jc w:val="center"/>
              <w:rPr>
                <w:b/>
              </w:rPr>
            </w:pPr>
            <w:r w:rsidRPr="006911FB">
              <w:rPr>
                <w:b/>
              </w:rPr>
              <w:t>Year 6</w:t>
            </w:r>
          </w:p>
        </w:tc>
      </w:tr>
      <w:tr w:rsidR="009C6CA7" w:rsidRPr="006911FB" w:rsidTr="009F18E3">
        <w:tc>
          <w:tcPr>
            <w:tcW w:w="5000" w:type="pct"/>
            <w:gridSpan w:val="7"/>
            <w:shd w:val="clear" w:color="auto" w:fill="auto"/>
            <w:vAlign w:val="center"/>
          </w:tcPr>
          <w:p w:rsidR="009C6CA7" w:rsidRPr="006911FB" w:rsidRDefault="009C6CA7" w:rsidP="00C83660">
            <w:pPr>
              <w:pStyle w:val="Tabletext"/>
              <w:keepNext/>
              <w:keepLines/>
              <w:rPr>
                <w:b/>
                <w:bCs/>
                <w:color w:val="000000"/>
              </w:rPr>
            </w:pPr>
            <w:r w:rsidRPr="006911FB">
              <w:rPr>
                <w:b/>
                <w:bCs/>
                <w:color w:val="000000"/>
              </w:rPr>
              <w:t>Estimated extent of use</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rFonts w:ascii="Times" w:hAnsi="Times"/>
              </w:rPr>
            </w:pPr>
            <w:r w:rsidRPr="006911FB">
              <w:t>Number of patients treated</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szCs w:val="20"/>
                <w:highlight w:val="black"/>
              </w:rPr>
              <w:t xml:space="preserve">''''''''''''' </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szCs w:val="20"/>
                <w:highlight w:val="black"/>
              </w:rPr>
              <w:t xml:space="preserve">''''''''''''''' </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szCs w:val="20"/>
                <w:highlight w:val="black"/>
              </w:rPr>
              <w:t xml:space="preserve">'''''''''''' </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szCs w:val="20"/>
                <w:highlight w:val="black"/>
              </w:rPr>
              <w:t xml:space="preserve">'''''''''''' </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szCs w:val="20"/>
                <w:highlight w:val="black"/>
              </w:rPr>
              <w:t xml:space="preserve">''''''''''''' </w:t>
            </w:r>
          </w:p>
        </w:tc>
        <w:tc>
          <w:tcPr>
            <w:tcW w:w="646" w:type="pct"/>
            <w:vAlign w:val="center"/>
          </w:tcPr>
          <w:p w:rsidR="00613A1E" w:rsidRPr="00562116" w:rsidRDefault="00562116" w:rsidP="00C83660">
            <w:pPr>
              <w:pStyle w:val="Tabletext"/>
              <w:keepNext/>
              <w:keepLines/>
              <w:jc w:val="center"/>
              <w:rPr>
                <w:bCs/>
                <w:color w:val="000000"/>
                <w:highlight w:val="black"/>
              </w:rPr>
            </w:pPr>
            <w:r>
              <w:rPr>
                <w:noProof/>
                <w:color w:val="000000"/>
                <w:szCs w:val="20"/>
                <w:highlight w:val="black"/>
              </w:rPr>
              <w:t xml:space="preserve">'''''''''''' </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rFonts w:ascii="Times" w:hAnsi="Times"/>
              </w:rPr>
            </w:pPr>
            <w:r w:rsidRPr="006911FB">
              <w:t>Number of scripts dispensed</w:t>
            </w:r>
            <w:r w:rsidRPr="006911FB">
              <w:rPr>
                <w:vertAlign w:val="superscript"/>
              </w:rPr>
              <w:t>a</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6" w:type="pct"/>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r>
      <w:tr w:rsidR="00613A1E" w:rsidRPr="006911FB" w:rsidTr="009F18E3">
        <w:tc>
          <w:tcPr>
            <w:tcW w:w="5000" w:type="pct"/>
            <w:gridSpan w:val="7"/>
            <w:shd w:val="clear" w:color="auto" w:fill="auto"/>
            <w:vAlign w:val="center"/>
          </w:tcPr>
          <w:p w:rsidR="00613A1E" w:rsidRPr="006911FB" w:rsidRDefault="00613A1E" w:rsidP="00C83660">
            <w:pPr>
              <w:pStyle w:val="Tabletext"/>
              <w:keepNext/>
              <w:keepLines/>
              <w:rPr>
                <w:b/>
                <w:bCs/>
                <w:color w:val="000000"/>
              </w:rPr>
            </w:pPr>
            <w:r w:rsidRPr="006911FB">
              <w:rPr>
                <w:b/>
                <w:bCs/>
                <w:color w:val="000000"/>
              </w:rPr>
              <w:t>Estimated financial implications of Zubsolv</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rFonts w:ascii="Times" w:hAnsi="Times"/>
              </w:rPr>
            </w:pPr>
            <w:r w:rsidRPr="006911FB">
              <w:rPr>
                <w:sz w:val="19"/>
                <w:szCs w:val="19"/>
              </w:rPr>
              <w:t>Cost to PBS/RPBS</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6" w:type="pct"/>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sz w:val="19"/>
                <w:szCs w:val="19"/>
              </w:rPr>
            </w:pPr>
            <w:r w:rsidRPr="006911FB">
              <w:rPr>
                <w:sz w:val="19"/>
                <w:szCs w:val="19"/>
              </w:rPr>
              <w:t>Copayments</w:t>
            </w:r>
          </w:p>
        </w:tc>
        <w:tc>
          <w:tcPr>
            <w:tcW w:w="647" w:type="pct"/>
            <w:shd w:val="clear" w:color="auto" w:fill="auto"/>
            <w:vAlign w:val="center"/>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6" w:type="pct"/>
          </w:tcPr>
          <w:p w:rsidR="00613A1E" w:rsidRPr="006911FB" w:rsidRDefault="00613A1E" w:rsidP="00C83660">
            <w:pPr>
              <w:pStyle w:val="Tabletext"/>
              <w:keepNext/>
              <w:keepLines/>
              <w:jc w:val="center"/>
              <w:rPr>
                <w:bCs/>
                <w:color w:val="000000"/>
              </w:rPr>
            </w:pPr>
            <w:r w:rsidRPr="006911FB">
              <w:rPr>
                <w:bCs/>
                <w:color w:val="000000"/>
              </w:rPr>
              <w:t>$0</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sz w:val="19"/>
                <w:szCs w:val="19"/>
              </w:rPr>
            </w:pPr>
            <w:r w:rsidRPr="006911FB">
              <w:rPr>
                <w:sz w:val="19"/>
                <w:szCs w:val="19"/>
              </w:rPr>
              <w:t>Cost to PBS/RPBS less copayments</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c>
          <w:tcPr>
            <w:tcW w:w="646" w:type="pct"/>
            <w:vAlign w:val="center"/>
          </w:tcPr>
          <w:p w:rsidR="00613A1E" w:rsidRPr="00562116" w:rsidRDefault="00613A1E" w:rsidP="00C83660">
            <w:pPr>
              <w:pStyle w:val="Tabletext"/>
              <w:keepNext/>
              <w:keepLines/>
              <w:jc w:val="center"/>
              <w:rPr>
                <w:bCs/>
                <w:color w:val="000000"/>
              </w:rPr>
            </w:pPr>
            <w:r w:rsidRPr="003328E1">
              <w:rPr>
                <w:rFonts w:cs="Arial"/>
                <w:bCs/>
                <w:szCs w:val="20"/>
              </w:rPr>
              <w:t>$</w:t>
            </w:r>
            <w:r w:rsidR="00562116">
              <w:rPr>
                <w:rFonts w:cs="Arial"/>
                <w:bCs/>
                <w:noProof/>
                <w:color w:val="000000"/>
                <w:szCs w:val="20"/>
                <w:highlight w:val="black"/>
              </w:rPr>
              <w:t>''''''''''''''''''''''''''''</w:t>
            </w:r>
          </w:p>
        </w:tc>
      </w:tr>
      <w:tr w:rsidR="00613A1E" w:rsidRPr="006911FB" w:rsidTr="009F18E3">
        <w:tc>
          <w:tcPr>
            <w:tcW w:w="5000" w:type="pct"/>
            <w:gridSpan w:val="7"/>
            <w:shd w:val="clear" w:color="auto" w:fill="auto"/>
            <w:vAlign w:val="center"/>
          </w:tcPr>
          <w:p w:rsidR="00613A1E" w:rsidRPr="006911FB" w:rsidRDefault="00613A1E" w:rsidP="00C83660">
            <w:pPr>
              <w:pStyle w:val="Tabletext"/>
              <w:keepNext/>
              <w:keepLines/>
              <w:rPr>
                <w:bCs/>
                <w:color w:val="000000"/>
              </w:rPr>
            </w:pPr>
            <w:r w:rsidRPr="006911FB">
              <w:rPr>
                <w:b/>
                <w:bCs/>
                <w:color w:val="000000"/>
              </w:rPr>
              <w:t>Estimated financial implications for Sub</w:t>
            </w:r>
            <w:r w:rsidR="0087379C" w:rsidRPr="006911FB">
              <w:rPr>
                <w:b/>
                <w:bCs/>
                <w:color w:val="000000"/>
              </w:rPr>
              <w:t>o</w:t>
            </w:r>
            <w:r w:rsidRPr="006911FB">
              <w:rPr>
                <w:b/>
                <w:bCs/>
                <w:color w:val="000000"/>
              </w:rPr>
              <w:t>xone film</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sz w:val="19"/>
                <w:szCs w:val="19"/>
              </w:rPr>
            </w:pPr>
            <w:r w:rsidRPr="006911FB">
              <w:t>Number of scripts dispensed</w:t>
            </w:r>
            <w:r w:rsidRPr="006911FB">
              <w:rPr>
                <w:vertAlign w:val="superscript"/>
              </w:rPr>
              <w:t>b</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c>
          <w:tcPr>
            <w:tcW w:w="646" w:type="pct"/>
            <w:vAlign w:val="center"/>
          </w:tcPr>
          <w:p w:rsidR="00613A1E" w:rsidRPr="00562116" w:rsidRDefault="00562116" w:rsidP="00C83660">
            <w:pPr>
              <w:pStyle w:val="Tabletext"/>
              <w:keepNext/>
              <w:keepLines/>
              <w:jc w:val="center"/>
              <w:rPr>
                <w:bCs/>
                <w:color w:val="000000"/>
                <w:highlight w:val="black"/>
              </w:rPr>
            </w:pPr>
            <w:r>
              <w:rPr>
                <w:noProof/>
                <w:color w:val="000000"/>
                <w:highlight w:val="black"/>
              </w:rPr>
              <w:t>'''''''''''''''''''''</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sz w:val="19"/>
                <w:szCs w:val="19"/>
              </w:rPr>
            </w:pPr>
            <w:r w:rsidRPr="006911FB">
              <w:rPr>
                <w:sz w:val="19"/>
                <w:szCs w:val="19"/>
              </w:rPr>
              <w:t>Cost to PBS/RPBS</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6" w:type="pct"/>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r>
      <w:tr w:rsidR="00613A1E" w:rsidRPr="006911FB" w:rsidTr="00613A1E">
        <w:tc>
          <w:tcPr>
            <w:tcW w:w="1119" w:type="pct"/>
            <w:shd w:val="clear" w:color="auto" w:fill="auto"/>
            <w:vAlign w:val="center"/>
          </w:tcPr>
          <w:p w:rsidR="00613A1E" w:rsidRPr="006911FB" w:rsidRDefault="00613A1E" w:rsidP="00C83660">
            <w:pPr>
              <w:pStyle w:val="Tabletext"/>
              <w:keepNext/>
              <w:keepLines/>
              <w:rPr>
                <w:sz w:val="19"/>
                <w:szCs w:val="19"/>
              </w:rPr>
            </w:pPr>
            <w:r w:rsidRPr="006911FB">
              <w:rPr>
                <w:sz w:val="19"/>
                <w:szCs w:val="19"/>
              </w:rPr>
              <w:t>Copayments</w:t>
            </w:r>
          </w:p>
        </w:tc>
        <w:tc>
          <w:tcPr>
            <w:tcW w:w="647" w:type="pct"/>
            <w:shd w:val="clear" w:color="auto" w:fill="auto"/>
            <w:vAlign w:val="center"/>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7" w:type="pct"/>
            <w:shd w:val="clear" w:color="auto" w:fill="auto"/>
          </w:tcPr>
          <w:p w:rsidR="00613A1E" w:rsidRPr="006911FB" w:rsidRDefault="00613A1E" w:rsidP="00C83660">
            <w:pPr>
              <w:pStyle w:val="Tabletext"/>
              <w:keepNext/>
              <w:keepLines/>
              <w:jc w:val="center"/>
              <w:rPr>
                <w:bCs/>
                <w:color w:val="000000"/>
              </w:rPr>
            </w:pPr>
            <w:r w:rsidRPr="006911FB">
              <w:rPr>
                <w:bCs/>
                <w:color w:val="000000"/>
              </w:rPr>
              <w:t>$0</w:t>
            </w:r>
          </w:p>
        </w:tc>
        <w:tc>
          <w:tcPr>
            <w:tcW w:w="646" w:type="pct"/>
          </w:tcPr>
          <w:p w:rsidR="00613A1E" w:rsidRPr="006911FB" w:rsidRDefault="00613A1E" w:rsidP="00C83660">
            <w:pPr>
              <w:pStyle w:val="Tabletext"/>
              <w:keepNext/>
              <w:keepLines/>
              <w:jc w:val="center"/>
              <w:rPr>
                <w:bCs/>
                <w:color w:val="000000"/>
              </w:rPr>
            </w:pPr>
            <w:r w:rsidRPr="006911FB">
              <w:rPr>
                <w:bCs/>
                <w:color w:val="000000"/>
              </w:rPr>
              <w:t>$0</w:t>
            </w:r>
          </w:p>
        </w:tc>
      </w:tr>
      <w:tr w:rsidR="00613A1E" w:rsidRPr="00A4215C" w:rsidTr="00613A1E">
        <w:tc>
          <w:tcPr>
            <w:tcW w:w="1119" w:type="pct"/>
            <w:shd w:val="clear" w:color="auto" w:fill="auto"/>
            <w:vAlign w:val="center"/>
          </w:tcPr>
          <w:p w:rsidR="00613A1E" w:rsidRPr="006911FB" w:rsidRDefault="00613A1E" w:rsidP="00C83660">
            <w:pPr>
              <w:pStyle w:val="Tabletext"/>
              <w:keepNext/>
              <w:keepLines/>
              <w:rPr>
                <w:sz w:val="19"/>
                <w:szCs w:val="19"/>
              </w:rPr>
            </w:pPr>
            <w:r w:rsidRPr="006911FB">
              <w:rPr>
                <w:sz w:val="19"/>
                <w:szCs w:val="19"/>
              </w:rPr>
              <w:t>Cost to PBS/RPBS less copayments</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7" w:type="pct"/>
            <w:shd w:val="clear" w:color="auto" w:fill="auto"/>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c>
          <w:tcPr>
            <w:tcW w:w="646" w:type="pct"/>
            <w:vAlign w:val="center"/>
          </w:tcPr>
          <w:p w:rsidR="00613A1E" w:rsidRPr="00562116" w:rsidRDefault="00613A1E" w:rsidP="00C83660">
            <w:pPr>
              <w:pStyle w:val="Tabletext"/>
              <w:keepNext/>
              <w:keepLines/>
              <w:jc w:val="center"/>
              <w:rPr>
                <w:bCs/>
                <w:color w:val="000000"/>
              </w:rPr>
            </w:pPr>
            <w:r w:rsidRPr="003328E1">
              <w:rPr>
                <w:bCs/>
                <w:color w:val="000000"/>
                <w:szCs w:val="20"/>
              </w:rPr>
              <w:t>$</w:t>
            </w:r>
            <w:r w:rsidR="00562116">
              <w:rPr>
                <w:bCs/>
                <w:noProof/>
                <w:color w:val="000000"/>
                <w:szCs w:val="20"/>
                <w:highlight w:val="black"/>
              </w:rPr>
              <w:t>'''''''''''''''''''''''''</w:t>
            </w:r>
          </w:p>
        </w:tc>
      </w:tr>
      <w:tr w:rsidR="00613A1E" w:rsidRPr="006911FB" w:rsidTr="009F18E3">
        <w:tc>
          <w:tcPr>
            <w:tcW w:w="5000" w:type="pct"/>
            <w:gridSpan w:val="7"/>
            <w:shd w:val="clear" w:color="auto" w:fill="auto"/>
            <w:vAlign w:val="center"/>
          </w:tcPr>
          <w:p w:rsidR="00613A1E" w:rsidRPr="006911FB" w:rsidRDefault="00613A1E" w:rsidP="00C83660">
            <w:pPr>
              <w:pStyle w:val="Tabletext"/>
              <w:keepNext/>
              <w:keepLines/>
              <w:rPr>
                <w:b/>
                <w:bCs/>
                <w:color w:val="000000"/>
              </w:rPr>
            </w:pPr>
            <w:r w:rsidRPr="006911FB">
              <w:rPr>
                <w:b/>
                <w:bCs/>
                <w:color w:val="000000"/>
              </w:rPr>
              <w:t>Net financial implications</w:t>
            </w:r>
            <w:r w:rsidRPr="006911FB">
              <w:rPr>
                <w:b/>
                <w:bCs/>
                <w:color w:val="4BACC6" w:themeColor="accent5"/>
              </w:rPr>
              <w:t xml:space="preserve"> </w:t>
            </w:r>
          </w:p>
        </w:tc>
      </w:tr>
      <w:tr w:rsidR="0087379C" w:rsidRPr="006911FB" w:rsidTr="0087379C">
        <w:tc>
          <w:tcPr>
            <w:tcW w:w="1119" w:type="pct"/>
            <w:shd w:val="clear" w:color="auto" w:fill="auto"/>
            <w:vAlign w:val="center"/>
          </w:tcPr>
          <w:p w:rsidR="0087379C" w:rsidRPr="006911FB" w:rsidRDefault="0087379C" w:rsidP="00C83660">
            <w:pPr>
              <w:pStyle w:val="Tabletext"/>
              <w:keepNext/>
              <w:keepLines/>
              <w:rPr>
                <w:sz w:val="19"/>
                <w:szCs w:val="19"/>
              </w:rPr>
            </w:pPr>
            <w:r w:rsidRPr="006911FB">
              <w:rPr>
                <w:sz w:val="19"/>
                <w:szCs w:val="19"/>
              </w:rPr>
              <w:t>Net cost to PBS/RPBS</w:t>
            </w:r>
          </w:p>
        </w:tc>
        <w:tc>
          <w:tcPr>
            <w:tcW w:w="647" w:type="pct"/>
            <w:shd w:val="clear" w:color="auto" w:fill="auto"/>
            <w:vAlign w:val="center"/>
          </w:tcPr>
          <w:p w:rsidR="0087379C" w:rsidRPr="00562116" w:rsidRDefault="0087379C" w:rsidP="00C83660">
            <w:pPr>
              <w:pStyle w:val="Tabletext"/>
              <w:keepNext/>
              <w:keepLines/>
              <w:jc w:val="center"/>
              <w:rPr>
                <w:bCs/>
                <w:color w:val="000000"/>
              </w:rPr>
            </w:pPr>
            <w:r w:rsidRPr="003328E1">
              <w:rPr>
                <w:b/>
                <w:bCs/>
                <w:szCs w:val="20"/>
              </w:rPr>
              <w:t>-$</w:t>
            </w:r>
            <w:r w:rsidR="00562116">
              <w:rPr>
                <w:b/>
                <w:bCs/>
                <w:noProof/>
                <w:color w:val="000000"/>
                <w:szCs w:val="20"/>
                <w:highlight w:val="black"/>
              </w:rPr>
              <w:t>'''''''''''''''</w:t>
            </w:r>
          </w:p>
        </w:tc>
        <w:tc>
          <w:tcPr>
            <w:tcW w:w="647" w:type="pct"/>
            <w:shd w:val="clear" w:color="auto" w:fill="auto"/>
            <w:vAlign w:val="center"/>
          </w:tcPr>
          <w:p w:rsidR="0087379C" w:rsidRPr="00562116" w:rsidRDefault="0087379C" w:rsidP="00C83660">
            <w:pPr>
              <w:pStyle w:val="Tabletext"/>
              <w:keepNext/>
              <w:keepLines/>
              <w:jc w:val="center"/>
              <w:rPr>
                <w:bCs/>
                <w:color w:val="000000"/>
              </w:rPr>
            </w:pPr>
            <w:r w:rsidRPr="003328E1">
              <w:rPr>
                <w:b/>
                <w:bCs/>
                <w:szCs w:val="20"/>
              </w:rPr>
              <w:t>-$</w:t>
            </w:r>
            <w:r w:rsidR="00562116">
              <w:rPr>
                <w:b/>
                <w:bCs/>
                <w:noProof/>
                <w:color w:val="000000"/>
                <w:szCs w:val="20"/>
                <w:highlight w:val="black"/>
              </w:rPr>
              <w:t>'''''''''''''''</w:t>
            </w:r>
          </w:p>
        </w:tc>
        <w:tc>
          <w:tcPr>
            <w:tcW w:w="647" w:type="pct"/>
            <w:shd w:val="clear" w:color="auto" w:fill="auto"/>
            <w:vAlign w:val="center"/>
          </w:tcPr>
          <w:p w:rsidR="0087379C" w:rsidRPr="00562116" w:rsidRDefault="0087379C" w:rsidP="00C83660">
            <w:pPr>
              <w:pStyle w:val="Tabletext"/>
              <w:keepNext/>
              <w:keepLines/>
              <w:jc w:val="center"/>
              <w:rPr>
                <w:bCs/>
                <w:color w:val="000000"/>
              </w:rPr>
            </w:pPr>
            <w:r w:rsidRPr="003328E1">
              <w:rPr>
                <w:b/>
                <w:bCs/>
                <w:szCs w:val="20"/>
              </w:rPr>
              <w:t>-$</w:t>
            </w:r>
            <w:r w:rsidR="00562116">
              <w:rPr>
                <w:b/>
                <w:bCs/>
                <w:noProof/>
                <w:color w:val="000000"/>
                <w:szCs w:val="20"/>
                <w:highlight w:val="black"/>
              </w:rPr>
              <w:t>''''''''''''''''''</w:t>
            </w:r>
          </w:p>
        </w:tc>
        <w:tc>
          <w:tcPr>
            <w:tcW w:w="647" w:type="pct"/>
            <w:shd w:val="clear" w:color="auto" w:fill="auto"/>
            <w:vAlign w:val="center"/>
          </w:tcPr>
          <w:p w:rsidR="0087379C" w:rsidRPr="00562116" w:rsidRDefault="0087379C" w:rsidP="00C83660">
            <w:pPr>
              <w:pStyle w:val="Tabletext"/>
              <w:keepNext/>
              <w:keepLines/>
              <w:jc w:val="center"/>
              <w:rPr>
                <w:bCs/>
                <w:color w:val="000000"/>
              </w:rPr>
            </w:pPr>
            <w:r w:rsidRPr="003328E1">
              <w:rPr>
                <w:b/>
                <w:bCs/>
                <w:szCs w:val="20"/>
              </w:rPr>
              <w:t>-$</w:t>
            </w:r>
            <w:r w:rsidR="00562116">
              <w:rPr>
                <w:b/>
                <w:bCs/>
                <w:noProof/>
                <w:color w:val="000000"/>
                <w:szCs w:val="20"/>
                <w:highlight w:val="black"/>
              </w:rPr>
              <w:t>'''''''''''''''''''''</w:t>
            </w:r>
          </w:p>
        </w:tc>
        <w:tc>
          <w:tcPr>
            <w:tcW w:w="647" w:type="pct"/>
            <w:shd w:val="clear" w:color="auto" w:fill="auto"/>
            <w:vAlign w:val="center"/>
          </w:tcPr>
          <w:p w:rsidR="0087379C" w:rsidRPr="00562116" w:rsidRDefault="0087379C" w:rsidP="00C83660">
            <w:pPr>
              <w:pStyle w:val="Tabletext"/>
              <w:keepNext/>
              <w:keepLines/>
              <w:jc w:val="center"/>
              <w:rPr>
                <w:bCs/>
                <w:color w:val="000000"/>
              </w:rPr>
            </w:pPr>
            <w:r w:rsidRPr="003328E1">
              <w:rPr>
                <w:b/>
                <w:bCs/>
                <w:szCs w:val="20"/>
              </w:rPr>
              <w:t>-$</w:t>
            </w:r>
            <w:r w:rsidR="00562116">
              <w:rPr>
                <w:b/>
                <w:bCs/>
                <w:noProof/>
                <w:color w:val="000000"/>
                <w:szCs w:val="20"/>
                <w:highlight w:val="black"/>
              </w:rPr>
              <w:t>''''''''''''''''''</w:t>
            </w:r>
          </w:p>
        </w:tc>
        <w:tc>
          <w:tcPr>
            <w:tcW w:w="646" w:type="pct"/>
            <w:vAlign w:val="center"/>
          </w:tcPr>
          <w:p w:rsidR="0087379C" w:rsidRPr="00562116" w:rsidRDefault="0087379C" w:rsidP="00C83660">
            <w:pPr>
              <w:pStyle w:val="Tabletext"/>
              <w:keepNext/>
              <w:keepLines/>
              <w:jc w:val="center"/>
              <w:rPr>
                <w:bCs/>
                <w:color w:val="000000"/>
              </w:rPr>
            </w:pPr>
            <w:r w:rsidRPr="003328E1">
              <w:rPr>
                <w:b/>
                <w:bCs/>
                <w:szCs w:val="20"/>
              </w:rPr>
              <w:t>-$</w:t>
            </w:r>
            <w:r w:rsidR="00562116">
              <w:rPr>
                <w:b/>
                <w:bCs/>
                <w:noProof/>
                <w:color w:val="000000"/>
                <w:szCs w:val="20"/>
                <w:highlight w:val="black"/>
              </w:rPr>
              <w:t>''''''''''''''''''''</w:t>
            </w:r>
          </w:p>
        </w:tc>
      </w:tr>
    </w:tbl>
    <w:p w:rsidR="009C6CA7" w:rsidRPr="006911FB" w:rsidRDefault="009C6CA7" w:rsidP="00C83660">
      <w:pPr>
        <w:keepNext/>
        <w:keepLines/>
        <w:widowControl/>
        <w:tabs>
          <w:tab w:val="left" w:pos="284"/>
        </w:tabs>
        <w:rPr>
          <w:rFonts w:ascii="Arial Narrow" w:hAnsi="Arial Narrow"/>
          <w:sz w:val="18"/>
        </w:rPr>
      </w:pPr>
      <w:r w:rsidRPr="006911FB">
        <w:rPr>
          <w:rFonts w:ascii="Arial Narrow" w:hAnsi="Arial Narrow"/>
          <w:sz w:val="18"/>
          <w:vertAlign w:val="superscript"/>
        </w:rPr>
        <w:t>a</w:t>
      </w:r>
      <w:r w:rsidRPr="006911FB">
        <w:rPr>
          <w:rFonts w:ascii="Arial Narrow" w:hAnsi="Arial Narrow"/>
          <w:sz w:val="18"/>
        </w:rPr>
        <w:tab/>
        <w:t xml:space="preserve">Assuming </w:t>
      </w:r>
      <w:r w:rsidR="00613A1E" w:rsidRPr="006911FB">
        <w:rPr>
          <w:rFonts w:ascii="Arial Narrow" w:hAnsi="Arial Narrow"/>
          <w:sz w:val="18"/>
        </w:rPr>
        <w:t>approximately 14 scripts</w:t>
      </w:r>
      <w:r w:rsidRPr="006911FB">
        <w:rPr>
          <w:rFonts w:ascii="Arial Narrow" w:hAnsi="Arial Narrow"/>
          <w:sz w:val="18"/>
        </w:rPr>
        <w:t xml:space="preserve"> per year</w:t>
      </w:r>
      <w:r w:rsidR="00613A1E" w:rsidRPr="006911FB">
        <w:rPr>
          <w:rFonts w:ascii="Arial Narrow" w:hAnsi="Arial Narrow"/>
          <w:sz w:val="18"/>
        </w:rPr>
        <w:t xml:space="preserve"> as estimated by the submission</w:t>
      </w:r>
    </w:p>
    <w:p w:rsidR="00613A1E" w:rsidRPr="006911FB" w:rsidRDefault="00613A1E" w:rsidP="00C83660">
      <w:pPr>
        <w:keepNext/>
        <w:keepLines/>
        <w:widowControl/>
        <w:tabs>
          <w:tab w:val="left" w:pos="284"/>
        </w:tabs>
        <w:rPr>
          <w:rFonts w:ascii="Arial Narrow" w:hAnsi="Arial Narrow"/>
          <w:sz w:val="18"/>
        </w:rPr>
      </w:pPr>
      <w:r w:rsidRPr="006911FB">
        <w:rPr>
          <w:rFonts w:ascii="Arial Narrow" w:hAnsi="Arial Narrow"/>
          <w:sz w:val="18"/>
          <w:vertAlign w:val="superscript"/>
        </w:rPr>
        <w:t>b</w:t>
      </w:r>
      <w:r w:rsidRPr="006911FB">
        <w:rPr>
          <w:rFonts w:ascii="Arial Narrow" w:hAnsi="Arial Narrow"/>
          <w:sz w:val="18"/>
        </w:rPr>
        <w:tab/>
        <w:t>Assuming approximately 19 scripts per year as estimated by the submission</w:t>
      </w:r>
    </w:p>
    <w:p w:rsidR="009C6CA7" w:rsidRDefault="009C6CA7" w:rsidP="00C83660">
      <w:pPr>
        <w:keepNext/>
        <w:keepLines/>
        <w:widowControl/>
        <w:tabs>
          <w:tab w:val="left" w:pos="284"/>
        </w:tabs>
        <w:rPr>
          <w:rFonts w:ascii="Arial Narrow" w:hAnsi="Arial Narrow"/>
          <w:sz w:val="18"/>
          <w:szCs w:val="18"/>
        </w:rPr>
      </w:pPr>
      <w:r w:rsidRPr="006911FB">
        <w:rPr>
          <w:rFonts w:ascii="Arial Narrow" w:hAnsi="Arial Narrow"/>
          <w:sz w:val="18"/>
        </w:rPr>
        <w:t xml:space="preserve">Source: </w:t>
      </w:r>
      <w:r w:rsidR="0087379C" w:rsidRPr="006911FB">
        <w:rPr>
          <w:rFonts w:ascii="Arial Narrow" w:hAnsi="Arial Narrow"/>
          <w:sz w:val="18"/>
          <w:szCs w:val="18"/>
        </w:rPr>
        <w:t>Section 4 Workbook provided with the submission; 4a worksheet, Summary worksheet</w:t>
      </w:r>
    </w:p>
    <w:p w:rsidR="00A4215C" w:rsidRDefault="00A4215C" w:rsidP="00C83660">
      <w:pPr>
        <w:keepNext/>
        <w:keepLines/>
        <w:widowControl/>
        <w:tabs>
          <w:tab w:val="left" w:pos="284"/>
        </w:tabs>
        <w:rPr>
          <w:rFonts w:ascii="Arial Narrow" w:hAnsi="Arial Narrow"/>
          <w:sz w:val="18"/>
          <w:szCs w:val="18"/>
        </w:rPr>
      </w:pPr>
    </w:p>
    <w:p w:rsidR="00A4215C" w:rsidRPr="00A4215C" w:rsidRDefault="00A4215C" w:rsidP="00A4215C">
      <w:pPr>
        <w:rPr>
          <w:rFonts w:asciiTheme="minorHAnsi" w:hAnsiTheme="minorHAnsi"/>
          <w:szCs w:val="24"/>
        </w:rPr>
      </w:pPr>
      <w:r w:rsidRPr="00A4215C">
        <w:rPr>
          <w:rFonts w:asciiTheme="minorHAnsi" w:hAnsiTheme="minorHAnsi"/>
          <w:szCs w:val="24"/>
        </w:rPr>
        <w:t>The redacted tabl</w:t>
      </w:r>
      <w:r>
        <w:rPr>
          <w:rFonts w:asciiTheme="minorHAnsi" w:hAnsiTheme="minorHAnsi"/>
          <w:szCs w:val="24"/>
        </w:rPr>
        <w:t>e shows that at Year 6</w:t>
      </w:r>
      <w:r w:rsidRPr="00A4215C">
        <w:rPr>
          <w:rFonts w:asciiTheme="minorHAnsi" w:hAnsiTheme="minorHAnsi"/>
          <w:szCs w:val="24"/>
        </w:rPr>
        <w:t xml:space="preserve">, the estimated number of patients was </w:t>
      </w:r>
      <w:r>
        <w:rPr>
          <w:rFonts w:asciiTheme="minorHAnsi" w:hAnsiTheme="minorHAnsi"/>
          <w:szCs w:val="24"/>
        </w:rPr>
        <w:t xml:space="preserve">less than 10,000 </w:t>
      </w:r>
      <w:r w:rsidRPr="00A4215C">
        <w:rPr>
          <w:rFonts w:asciiTheme="minorHAnsi" w:hAnsiTheme="minorHAnsi"/>
          <w:szCs w:val="24"/>
        </w:rPr>
        <w:t xml:space="preserve">and </w:t>
      </w:r>
      <w:r w:rsidR="003328E1">
        <w:rPr>
          <w:rFonts w:asciiTheme="minorHAnsi" w:hAnsiTheme="minorHAnsi"/>
          <w:szCs w:val="24"/>
        </w:rPr>
        <w:t>a</w:t>
      </w:r>
      <w:r w:rsidRPr="00A4215C">
        <w:rPr>
          <w:rFonts w:asciiTheme="minorHAnsi" w:hAnsiTheme="minorHAnsi"/>
          <w:szCs w:val="24"/>
        </w:rPr>
        <w:t xml:space="preserve"> net </w:t>
      </w:r>
      <w:r>
        <w:rPr>
          <w:rFonts w:asciiTheme="minorHAnsi" w:hAnsiTheme="minorHAnsi"/>
          <w:szCs w:val="24"/>
        </w:rPr>
        <w:t>sav</w:t>
      </w:r>
      <w:r w:rsidR="003328E1">
        <w:rPr>
          <w:rFonts w:asciiTheme="minorHAnsi" w:hAnsiTheme="minorHAnsi"/>
          <w:szCs w:val="24"/>
        </w:rPr>
        <w:t>ing</w:t>
      </w:r>
      <w:r w:rsidRPr="00A4215C">
        <w:rPr>
          <w:rFonts w:asciiTheme="minorHAnsi" w:hAnsiTheme="minorHAnsi"/>
          <w:szCs w:val="24"/>
        </w:rPr>
        <w:t xml:space="preserve"> to the PBS</w:t>
      </w:r>
      <w:r w:rsidR="003328E1">
        <w:rPr>
          <w:rFonts w:asciiTheme="minorHAnsi" w:hAnsiTheme="minorHAnsi"/>
          <w:szCs w:val="24"/>
        </w:rPr>
        <w:t>/RPBS</w:t>
      </w:r>
      <w:r w:rsidRPr="00A4215C">
        <w:rPr>
          <w:rFonts w:asciiTheme="minorHAnsi" w:hAnsiTheme="minorHAnsi"/>
          <w:szCs w:val="24"/>
        </w:rPr>
        <w:t xml:space="preserve"> would be</w:t>
      </w:r>
      <w:r>
        <w:rPr>
          <w:rFonts w:asciiTheme="minorHAnsi" w:hAnsiTheme="minorHAnsi"/>
          <w:szCs w:val="24"/>
        </w:rPr>
        <w:t xml:space="preserve"> less than $10 million.</w:t>
      </w:r>
    </w:p>
    <w:p w:rsidR="0087379C" w:rsidRPr="006911FB" w:rsidRDefault="0087379C" w:rsidP="0087379C">
      <w:pPr>
        <w:tabs>
          <w:tab w:val="left" w:pos="284"/>
        </w:tabs>
      </w:pPr>
    </w:p>
    <w:p w:rsidR="00DD73B6" w:rsidRPr="006911FB" w:rsidRDefault="00DD73B6" w:rsidP="00C83660">
      <w:pPr>
        <w:pStyle w:val="ListParagraph"/>
        <w:widowControl/>
        <w:numPr>
          <w:ilvl w:val="1"/>
          <w:numId w:val="1"/>
        </w:numPr>
        <w:spacing w:after="120"/>
      </w:pPr>
      <w:r w:rsidRPr="006911FB">
        <w:t xml:space="preserve">In converting total mg buprenorphine administered via Suboxone film that would be replaced by Zubsolv, the average number of scripts per patient in Year 1 were underestimated for the proposed </w:t>
      </w:r>
      <w:r w:rsidR="00A4215C">
        <w:t>less than 10,000</w:t>
      </w:r>
      <w:r w:rsidRPr="006911FB">
        <w:t xml:space="preserve"> patients assumed to be treated (13.8 Zubsolv and 19.1 Suboxone</w:t>
      </w:r>
      <w:r w:rsidR="004061D9">
        <w:t xml:space="preserve"> </w:t>
      </w:r>
      <w:r w:rsidRPr="006911FB">
        <w:t>film scripts, where this would be expected to be 22.8 (1.75/month) and 31.6 (2.43/month) scripts annually</w:t>
      </w:r>
      <w:r w:rsidR="00D20D49">
        <w:t>, respectively</w:t>
      </w:r>
      <w:r w:rsidRPr="006911FB">
        <w:t>) assuming 100% adherence. Perfect adherence was considered unlikely, but script numbers per patient were still underestimated when assuming 61% would remain on therapy for 12 months and the remainder for 3 months (an assumption made by the submission on estimating patient numbers from Suboxone film units sold). Thus, the estimates provided in the submission were considered to be unreliable.</w:t>
      </w:r>
    </w:p>
    <w:p w:rsidR="00C25D9C" w:rsidRPr="006911FB" w:rsidRDefault="006D37FC" w:rsidP="00C83660">
      <w:pPr>
        <w:pStyle w:val="ListParagraph"/>
        <w:widowControl/>
        <w:numPr>
          <w:ilvl w:val="1"/>
          <w:numId w:val="1"/>
        </w:numPr>
        <w:spacing w:after="120"/>
      </w:pPr>
      <w:r w:rsidRPr="006911FB">
        <w:t>Based on the proposed prices, the submission estimated net savings to the Government</w:t>
      </w:r>
      <w:r w:rsidR="007A3DB0" w:rsidRPr="006911FB">
        <w:t xml:space="preserve">. All costs and potential cost savings were based on </w:t>
      </w:r>
      <w:r w:rsidR="00510C1C" w:rsidRPr="006911FB">
        <w:t xml:space="preserve">(i) </w:t>
      </w:r>
      <w:r w:rsidR="00743BBA" w:rsidRPr="006911FB">
        <w:t xml:space="preserve">assumed </w:t>
      </w:r>
      <w:r w:rsidR="007A3DB0" w:rsidRPr="006911FB">
        <w:t xml:space="preserve">non-inferiority </w:t>
      </w:r>
      <w:r w:rsidR="00510C1C" w:rsidRPr="006911FB">
        <w:t xml:space="preserve">of Zubsolv versus Suboxone film; (ii) </w:t>
      </w:r>
      <w:r w:rsidR="00743BBA" w:rsidRPr="006911FB">
        <w:t xml:space="preserve">assumed </w:t>
      </w:r>
      <w:r w:rsidR="007A3DB0" w:rsidRPr="006911FB">
        <w:t>dose relativity of buprenorphine of 5.7</w:t>
      </w:r>
      <w:r w:rsidR="00333E59">
        <w:t xml:space="preserve"> </w:t>
      </w:r>
      <w:r w:rsidR="007A3DB0" w:rsidRPr="006911FB">
        <w:t>mg in Zubsolv versus 8</w:t>
      </w:r>
      <w:r w:rsidR="00333E59">
        <w:t xml:space="preserve"> </w:t>
      </w:r>
      <w:r w:rsidR="007A3DB0" w:rsidRPr="006911FB">
        <w:t>mg in Suboxone film</w:t>
      </w:r>
      <w:r w:rsidR="00510C1C" w:rsidRPr="006911FB">
        <w:t xml:space="preserve"> and (iii) </w:t>
      </w:r>
      <w:r w:rsidR="00663DCE" w:rsidRPr="00E5098C">
        <w:t>that the doses observed in Trial OX219-006, with two available strengths of Zubsolv, would occur in clinical practice with six available strengths</w:t>
      </w:r>
      <w:r w:rsidR="007A3DB0" w:rsidRPr="00E5098C">
        <w:t xml:space="preserve">. </w:t>
      </w:r>
      <w:r w:rsidR="00AD3CCD" w:rsidRPr="00E5098C">
        <w:t>The ESC considered that</w:t>
      </w:r>
      <w:r w:rsidR="00AD3CCD">
        <w:t xml:space="preserve"> e</w:t>
      </w:r>
      <w:r w:rsidR="007A3DB0" w:rsidRPr="006911FB">
        <w:t xml:space="preserve">ach of these issues are unresolved. The savings were also dependent on the assumption that the majority of patients </w:t>
      </w:r>
      <w:r w:rsidR="008F637D" w:rsidRPr="006911FB">
        <w:t xml:space="preserve">would </w:t>
      </w:r>
      <w:r w:rsidR="007A3DB0" w:rsidRPr="006911FB">
        <w:t>be treated with the 11.4/2.9</w:t>
      </w:r>
      <w:r w:rsidR="00333E59">
        <w:t xml:space="preserve"> </w:t>
      </w:r>
      <w:r w:rsidR="00046DD1" w:rsidRPr="006911FB">
        <w:t>mg</w:t>
      </w:r>
      <w:r w:rsidR="007A3DB0" w:rsidRPr="006911FB">
        <w:t xml:space="preserve"> formulation of Zubsolv (only </w:t>
      </w:r>
      <w:r w:rsidR="0087379C" w:rsidRPr="006911FB">
        <w:t>this and the 8.6/2.1</w:t>
      </w:r>
      <w:r w:rsidR="00333E59">
        <w:t xml:space="preserve"> </w:t>
      </w:r>
      <w:r w:rsidR="0087379C" w:rsidRPr="006911FB">
        <w:t xml:space="preserve">mg </w:t>
      </w:r>
      <w:r w:rsidR="007A3DB0" w:rsidRPr="006911FB">
        <w:t>formulation offer a relative reduced price compared with Suboxone film).</w:t>
      </w:r>
    </w:p>
    <w:p w:rsidR="00576972" w:rsidRPr="00890B74" w:rsidRDefault="00510C1C" w:rsidP="00C83660">
      <w:pPr>
        <w:pStyle w:val="ListParagraph"/>
        <w:widowControl/>
        <w:numPr>
          <w:ilvl w:val="1"/>
          <w:numId w:val="1"/>
        </w:numPr>
        <w:spacing w:after="120"/>
        <w:rPr>
          <w:color w:val="000000" w:themeColor="text1"/>
        </w:rPr>
      </w:pPr>
      <w:r w:rsidRPr="006911FB">
        <w:lastRenderedPageBreak/>
        <w:t xml:space="preserve">Sensitivity analysis conducted during the evaluation, assuming 20% additional Zubsolv would be required to get equivalent dosing to Suboxone film (based on the dose relativity discussed </w:t>
      </w:r>
      <w:r w:rsidR="00722031" w:rsidRPr="006911FB">
        <w:t>above</w:t>
      </w:r>
      <w:r w:rsidRPr="006911FB">
        <w:t>), resulted in a net cost to the PBS each year.</w:t>
      </w:r>
      <w:r w:rsidR="00AD3CCD">
        <w:t xml:space="preserve"> </w:t>
      </w:r>
      <w:r w:rsidR="00AD3CCD" w:rsidRPr="00E5098C">
        <w:t>The PSCR argued that at worst the 20% reduced bioavailability only applies to the lowest strengths and t</w:t>
      </w:r>
      <w:r w:rsidR="00F40377" w:rsidRPr="00E5098C">
        <w:t>herefore a net cost to the PBS wa</w:t>
      </w:r>
      <w:r w:rsidR="00AD3CCD" w:rsidRPr="00E5098C">
        <w:t>s not a plausible outcome.</w:t>
      </w:r>
      <w:r w:rsidR="004061D9" w:rsidRPr="00E5098C">
        <w:t xml:space="preserve"> The ESC agreed with the PSCR that this assumption should only be applied to the three lowest doses </w:t>
      </w:r>
      <w:r w:rsidR="0048039D" w:rsidRPr="00E5098C">
        <w:t>but noted that the predicted cost saving relies on relatively more of the higher strengths being prescribed.</w:t>
      </w:r>
    </w:p>
    <w:p w:rsidR="00576972" w:rsidRPr="006911FB" w:rsidRDefault="00576972" w:rsidP="00C83660">
      <w:pPr>
        <w:pStyle w:val="Heading2"/>
        <w:widowControl/>
      </w:pPr>
      <w:bookmarkStart w:id="22" w:name="_Toc17412663"/>
      <w:bookmarkStart w:id="23" w:name="_GoBack"/>
      <w:bookmarkEnd w:id="23"/>
      <w:r w:rsidRPr="006911FB">
        <w:t>Quality Use of Medicines</w:t>
      </w:r>
      <w:bookmarkEnd w:id="22"/>
    </w:p>
    <w:p w:rsidR="003E0BFB" w:rsidRDefault="00E72E30" w:rsidP="00C83660">
      <w:pPr>
        <w:pStyle w:val="ListParagraph"/>
        <w:widowControl/>
        <w:numPr>
          <w:ilvl w:val="1"/>
          <w:numId w:val="1"/>
        </w:numPr>
        <w:spacing w:after="120"/>
      </w:pPr>
      <w:r w:rsidRPr="006911FB">
        <w:t xml:space="preserve">The submission considered that Zubsolv would offer patients an alternate product that might suit them better than Suboxone film, leading to better treatment retention. </w:t>
      </w:r>
      <w:r w:rsidR="0043509F" w:rsidRPr="00E5098C">
        <w:t xml:space="preserve">The submission claimed that the six different strengths of Zubsolv (compared with currently listed two strengths of Suboxone film) provides better scope for titration which would reduce administration times and dosing error, and that the lowest strength would lead to improved cessation of OST for patients. The ESC considered this to be unsubstantiated, particularly since the key clinical trial trials only utilised two strengths of Zubsolv. </w:t>
      </w:r>
      <w:r w:rsidRPr="006911FB">
        <w:t>More rapid dissolution</w:t>
      </w:r>
      <w:r w:rsidR="0043509F">
        <w:t xml:space="preserve"> of Zubsolv, compared with Suboxone film</w:t>
      </w:r>
      <w:r w:rsidRPr="006911FB">
        <w:t xml:space="preserve"> could result in reduced supervision burden</w:t>
      </w:r>
      <w:r w:rsidR="0092450A">
        <w:t>.</w:t>
      </w:r>
    </w:p>
    <w:p w:rsidR="00E72E30" w:rsidRDefault="00B41778" w:rsidP="00C83660">
      <w:pPr>
        <w:pStyle w:val="ListParagraph"/>
        <w:widowControl/>
        <w:numPr>
          <w:ilvl w:val="1"/>
          <w:numId w:val="1"/>
        </w:numPr>
        <w:spacing w:after="120"/>
      </w:pPr>
      <w:r w:rsidRPr="006911FB">
        <w:t xml:space="preserve">The evaluation </w:t>
      </w:r>
      <w:r w:rsidR="00B62770" w:rsidRPr="00E5098C">
        <w:t>and the ESC</w:t>
      </w:r>
      <w:r w:rsidR="00B62770">
        <w:t xml:space="preserve"> </w:t>
      </w:r>
      <w:r w:rsidR="00E72E30" w:rsidRPr="006911FB">
        <w:t xml:space="preserve">noted that the buccal formulation of Suboxone </w:t>
      </w:r>
      <w:r w:rsidR="009A6732" w:rsidRPr="006911FB">
        <w:t>f</w:t>
      </w:r>
      <w:r w:rsidR="00E72E30" w:rsidRPr="006911FB">
        <w:t xml:space="preserve">ilm </w:t>
      </w:r>
      <w:r w:rsidR="00B62770" w:rsidRPr="00E5098C">
        <w:t xml:space="preserve">(compared with the tablet formulation of </w:t>
      </w:r>
      <w:r w:rsidR="00550D55">
        <w:t>Z</w:t>
      </w:r>
      <w:r w:rsidR="00B62770" w:rsidRPr="00E5098C">
        <w:t>ubsolv which could be crushed)</w:t>
      </w:r>
      <w:r w:rsidR="00B62770">
        <w:t xml:space="preserve"> </w:t>
      </w:r>
      <w:r w:rsidR="00E72E30" w:rsidRPr="006911FB">
        <w:t>can help reduce the possibility of misuse and diversion if dosing is supervised (due to the formation of a gel in the mouth that can be difficult to remove).</w:t>
      </w:r>
      <w:r w:rsidR="00496EA4">
        <w:t xml:space="preserve"> </w:t>
      </w:r>
    </w:p>
    <w:p w:rsidR="00F4004E" w:rsidRPr="00E5098C" w:rsidRDefault="00F4004E" w:rsidP="00C83660">
      <w:pPr>
        <w:pStyle w:val="ListParagraph"/>
        <w:widowControl/>
        <w:numPr>
          <w:ilvl w:val="1"/>
          <w:numId w:val="1"/>
        </w:numPr>
        <w:spacing w:after="120"/>
      </w:pPr>
      <w:r w:rsidRPr="006911FB">
        <w:t>In terms of quality use of medicine harms, the submission noted that there is the possibility of confusion to occur with two types of buprenorphine/naloxone formulations on the market, especially since they are not interchangeable at a patient level. The submission highlighted that the Sponsor is committed to provide ongoing education for Zubsolv</w:t>
      </w:r>
      <w:r w:rsidR="006D299B">
        <w:t xml:space="preserve"> </w:t>
      </w:r>
      <w:r w:rsidR="006D299B" w:rsidRPr="00E5098C">
        <w:t>and the PSCR stated that switching is discouraged in the PI</w:t>
      </w:r>
      <w:r w:rsidRPr="006911FB">
        <w:t>.</w:t>
      </w:r>
      <w:r w:rsidR="00C05177">
        <w:t xml:space="preserve"> </w:t>
      </w:r>
      <w:r w:rsidR="00C05177" w:rsidRPr="00E5098C">
        <w:t xml:space="preserve">The ESC considered that the submission did not provide sufficient details about these education activities. </w:t>
      </w:r>
      <w:r w:rsidRPr="006911FB">
        <w:t xml:space="preserve">The </w:t>
      </w:r>
      <w:r w:rsidR="006D299B" w:rsidRPr="00E5098C">
        <w:t>ESC considered that the</w:t>
      </w:r>
      <w:r w:rsidR="006D299B">
        <w:t xml:space="preserve"> </w:t>
      </w:r>
      <w:r w:rsidRPr="006911FB">
        <w:t xml:space="preserve">possibility of confusion </w:t>
      </w:r>
      <w:r w:rsidR="004F62F3">
        <w:t>leading to</w:t>
      </w:r>
      <w:r w:rsidR="004F62F3" w:rsidRPr="006911FB">
        <w:t xml:space="preserve"> </w:t>
      </w:r>
      <w:r w:rsidRPr="006911FB">
        <w:t xml:space="preserve">incorrect </w:t>
      </w:r>
      <w:r w:rsidR="004F62F3" w:rsidRPr="004F62F3">
        <w:t>dosing of patients</w:t>
      </w:r>
      <w:r w:rsidR="004F62F3">
        <w:t xml:space="preserve"> </w:t>
      </w:r>
      <w:r w:rsidRPr="006911FB">
        <w:t>is a significant quality use of medicines issue</w:t>
      </w:r>
      <w:r w:rsidR="006D299B">
        <w:t xml:space="preserve">, </w:t>
      </w:r>
      <w:r w:rsidR="006D299B" w:rsidRPr="00E5098C">
        <w:t xml:space="preserve">particularly given the </w:t>
      </w:r>
      <w:r w:rsidR="00F55904" w:rsidRPr="00E5098C">
        <w:t xml:space="preserve">number of different strengths of Zubsolv (with the strengths presented with </w:t>
      </w:r>
      <w:r w:rsidR="00C05177" w:rsidRPr="00E5098C">
        <w:t xml:space="preserve">up to </w:t>
      </w:r>
      <w:r w:rsidR="00F55904" w:rsidRPr="00E5098C">
        <w:t>two decimal places)</w:t>
      </w:r>
      <w:r w:rsidRPr="006911FB">
        <w:t>.</w:t>
      </w:r>
      <w:r w:rsidR="00F55904" w:rsidRPr="00E5098C">
        <w:t xml:space="preserve"> The </w:t>
      </w:r>
      <w:r w:rsidR="006C6285">
        <w:t>ESC</w:t>
      </w:r>
      <w:r w:rsidR="006C6285" w:rsidRPr="00E5098C">
        <w:t xml:space="preserve"> </w:t>
      </w:r>
      <w:r w:rsidR="00F55904" w:rsidRPr="00E5098C">
        <w:t>considered that listing Zubsolv would require updates to clinical guidelines and education for prescribers which may not be justified without a compelling clinical need for an additional form of buprenorphine/naloxone.</w:t>
      </w:r>
    </w:p>
    <w:p w:rsidR="000312BF" w:rsidRPr="000312BF" w:rsidRDefault="000312BF" w:rsidP="00C83660">
      <w:pPr>
        <w:widowControl/>
        <w:spacing w:after="120"/>
        <w:ind w:left="709"/>
        <w:contextualSpacing/>
        <w:rPr>
          <w:rFonts w:asciiTheme="minorHAnsi" w:hAnsiTheme="minorHAnsi" w:cs="Times New Roman"/>
          <w:i/>
          <w:snapToGrid/>
          <w:szCs w:val="24"/>
          <w:lang w:eastAsia="en-AU"/>
        </w:rPr>
      </w:pPr>
      <w:r w:rsidRPr="000312BF">
        <w:rPr>
          <w:rFonts w:asciiTheme="minorHAnsi" w:hAnsiTheme="minorHAnsi" w:cs="Times New Roman"/>
          <w:i/>
          <w:snapToGrid/>
          <w:szCs w:val="24"/>
          <w:lang w:eastAsia="en-AU"/>
        </w:rPr>
        <w:t>For more detail on PBAC’s view, see section 7 PBAC outcome.</w:t>
      </w:r>
    </w:p>
    <w:p w:rsidR="008C7878" w:rsidRPr="00D52702" w:rsidRDefault="008C7878" w:rsidP="00C83660">
      <w:pPr>
        <w:pStyle w:val="PBACHeading1"/>
        <w:spacing w:before="0"/>
      </w:pPr>
      <w:r w:rsidRPr="00D52702">
        <w:t>PBAC Outcome</w:t>
      </w:r>
    </w:p>
    <w:p w:rsidR="00654E92" w:rsidRDefault="008C7878" w:rsidP="00C83660">
      <w:pPr>
        <w:numPr>
          <w:ilvl w:val="1"/>
          <w:numId w:val="1"/>
        </w:numPr>
        <w:spacing w:after="120"/>
        <w:rPr>
          <w:rFonts w:asciiTheme="minorHAnsi" w:hAnsiTheme="minorHAnsi"/>
          <w:bCs/>
          <w:lang w:val="en-GB"/>
        </w:rPr>
      </w:pPr>
      <w:r w:rsidRPr="0044401F">
        <w:rPr>
          <w:rFonts w:asciiTheme="minorHAnsi" w:hAnsiTheme="minorHAnsi"/>
          <w:bCs/>
          <w:lang w:val="en-GB"/>
        </w:rPr>
        <w:t xml:space="preserve">The </w:t>
      </w:r>
      <w:r w:rsidRPr="008746E9">
        <w:rPr>
          <w:rFonts w:asciiTheme="minorHAnsi" w:hAnsiTheme="minorHAnsi"/>
          <w:bCs/>
          <w:lang w:val="en-GB"/>
        </w:rPr>
        <w:t>PBAC did not recommend</w:t>
      </w:r>
      <w:r w:rsidR="00B2542E">
        <w:rPr>
          <w:rFonts w:asciiTheme="minorHAnsi" w:hAnsiTheme="minorHAnsi"/>
          <w:bCs/>
          <w:lang w:val="en-GB"/>
        </w:rPr>
        <w:t xml:space="preserve"> the listing of buprenorphine with naloxone sublingual tablets</w:t>
      </w:r>
      <w:r w:rsidR="00654E92">
        <w:rPr>
          <w:rFonts w:asciiTheme="minorHAnsi" w:hAnsiTheme="minorHAnsi"/>
          <w:bCs/>
          <w:lang w:val="en-GB"/>
        </w:rPr>
        <w:t xml:space="preserve"> (Zubs</w:t>
      </w:r>
      <w:r w:rsidR="00B2542E">
        <w:rPr>
          <w:rFonts w:asciiTheme="minorHAnsi" w:hAnsiTheme="minorHAnsi"/>
          <w:bCs/>
          <w:lang w:val="en-GB"/>
        </w:rPr>
        <w:t xml:space="preserve">olv®) for the treatment of </w:t>
      </w:r>
      <w:r w:rsidR="00D404D7">
        <w:rPr>
          <w:rFonts w:asciiTheme="minorHAnsi" w:hAnsiTheme="minorHAnsi"/>
          <w:bCs/>
          <w:lang w:val="en-GB"/>
        </w:rPr>
        <w:t>patients with opioid dependence</w:t>
      </w:r>
      <w:r w:rsidR="00F20115">
        <w:rPr>
          <w:rFonts w:asciiTheme="minorHAnsi" w:hAnsiTheme="minorHAnsi"/>
          <w:bCs/>
          <w:lang w:val="en-GB"/>
        </w:rPr>
        <w:t xml:space="preserve"> on </w:t>
      </w:r>
      <w:r w:rsidR="00E52A4E">
        <w:rPr>
          <w:rFonts w:asciiTheme="minorHAnsi" w:hAnsiTheme="minorHAnsi"/>
          <w:bCs/>
          <w:lang w:val="en-GB"/>
        </w:rPr>
        <w:t xml:space="preserve">the basis </w:t>
      </w:r>
      <w:r w:rsidR="001450F3">
        <w:rPr>
          <w:rFonts w:asciiTheme="minorHAnsi" w:hAnsiTheme="minorHAnsi"/>
          <w:bCs/>
          <w:lang w:val="en-GB"/>
        </w:rPr>
        <w:t>that the</w:t>
      </w:r>
      <w:r w:rsidR="00005184">
        <w:rPr>
          <w:rFonts w:asciiTheme="minorHAnsi" w:hAnsiTheme="minorHAnsi"/>
          <w:bCs/>
          <w:lang w:val="en-GB"/>
        </w:rPr>
        <w:t xml:space="preserve"> clinical need</w:t>
      </w:r>
      <w:r w:rsidR="001450F3">
        <w:rPr>
          <w:rFonts w:asciiTheme="minorHAnsi" w:hAnsiTheme="minorHAnsi"/>
          <w:bCs/>
          <w:lang w:val="en-GB"/>
        </w:rPr>
        <w:t xml:space="preserve"> for Zubsolv </w:t>
      </w:r>
      <w:r w:rsidR="00550D55">
        <w:rPr>
          <w:rFonts w:asciiTheme="minorHAnsi" w:hAnsiTheme="minorHAnsi"/>
          <w:bCs/>
          <w:lang w:val="en-GB"/>
        </w:rPr>
        <w:t>was unclear</w:t>
      </w:r>
      <w:r w:rsidR="00C51D84">
        <w:rPr>
          <w:rFonts w:asciiTheme="minorHAnsi" w:hAnsiTheme="minorHAnsi"/>
          <w:bCs/>
          <w:lang w:val="en-GB"/>
        </w:rPr>
        <w:t xml:space="preserve">, </w:t>
      </w:r>
      <w:r w:rsidR="001450F3">
        <w:rPr>
          <w:rFonts w:asciiTheme="minorHAnsi" w:hAnsiTheme="minorHAnsi"/>
          <w:bCs/>
          <w:lang w:val="en-GB"/>
        </w:rPr>
        <w:t xml:space="preserve">non-inferior clinical effectiveness of </w:t>
      </w:r>
      <w:r w:rsidR="001450F3">
        <w:rPr>
          <w:rFonts w:asciiTheme="minorHAnsi" w:hAnsiTheme="minorHAnsi"/>
          <w:bCs/>
          <w:lang w:val="en-GB"/>
        </w:rPr>
        <w:lastRenderedPageBreak/>
        <w:t xml:space="preserve">Zubsolv to the nominated comparator </w:t>
      </w:r>
      <w:r w:rsidR="00AE62F0">
        <w:rPr>
          <w:rFonts w:asciiTheme="minorHAnsi" w:hAnsiTheme="minorHAnsi"/>
          <w:bCs/>
          <w:lang w:val="en-GB"/>
        </w:rPr>
        <w:t>(Suboxone film)</w:t>
      </w:r>
      <w:r w:rsidR="001450F3">
        <w:rPr>
          <w:rFonts w:asciiTheme="minorHAnsi" w:hAnsiTheme="minorHAnsi"/>
          <w:bCs/>
          <w:lang w:val="en-GB"/>
        </w:rPr>
        <w:t xml:space="preserve"> was not demonstrated</w:t>
      </w:r>
      <w:r w:rsidR="00C51D84">
        <w:rPr>
          <w:rFonts w:asciiTheme="minorHAnsi" w:hAnsiTheme="minorHAnsi"/>
          <w:bCs/>
          <w:lang w:val="en-GB"/>
        </w:rPr>
        <w:t xml:space="preserve"> and the equi-effective doses were uncertain</w:t>
      </w:r>
      <w:r w:rsidR="00550D55">
        <w:rPr>
          <w:rFonts w:asciiTheme="minorHAnsi" w:hAnsiTheme="minorHAnsi"/>
          <w:bCs/>
          <w:lang w:val="en-GB"/>
        </w:rPr>
        <w:t>.</w:t>
      </w:r>
      <w:r w:rsidR="001450F3">
        <w:rPr>
          <w:rFonts w:asciiTheme="minorHAnsi" w:hAnsiTheme="minorHAnsi"/>
          <w:bCs/>
          <w:lang w:val="en-GB"/>
        </w:rPr>
        <w:t xml:space="preserve"> </w:t>
      </w:r>
      <w:r w:rsidR="00550D55">
        <w:rPr>
          <w:rFonts w:asciiTheme="minorHAnsi" w:hAnsiTheme="minorHAnsi"/>
          <w:bCs/>
          <w:lang w:val="en-GB"/>
        </w:rPr>
        <w:t xml:space="preserve">The PBAC further considered there were significant </w:t>
      </w:r>
      <w:r w:rsidR="00CA6654">
        <w:rPr>
          <w:rFonts w:asciiTheme="minorHAnsi" w:hAnsiTheme="minorHAnsi"/>
          <w:bCs/>
          <w:lang w:val="en-GB"/>
        </w:rPr>
        <w:t>quality use of medicines</w:t>
      </w:r>
      <w:r w:rsidR="00550D55">
        <w:rPr>
          <w:rFonts w:asciiTheme="minorHAnsi" w:hAnsiTheme="minorHAnsi"/>
          <w:bCs/>
          <w:lang w:val="en-GB"/>
        </w:rPr>
        <w:t xml:space="preserve"> concerns </w:t>
      </w:r>
      <w:r w:rsidR="00550D55" w:rsidRPr="009337CC">
        <w:rPr>
          <w:rFonts w:asciiTheme="minorHAnsi" w:hAnsiTheme="minorHAnsi"/>
          <w:bCs/>
          <w:lang w:val="en-GB"/>
        </w:rPr>
        <w:t xml:space="preserve">relating to dose titration issues should patients switch therapies, as well as </w:t>
      </w:r>
      <w:r w:rsidR="00CE0F6C" w:rsidRPr="00CE0F6C">
        <w:rPr>
          <w:rFonts w:asciiTheme="minorHAnsi" w:hAnsiTheme="minorHAnsi"/>
          <w:bCs/>
          <w:lang w:val="en-GB"/>
        </w:rPr>
        <w:t xml:space="preserve">prescriber confusion regarding strengths </w:t>
      </w:r>
      <w:r w:rsidR="004F62F3">
        <w:rPr>
          <w:rFonts w:asciiTheme="minorHAnsi" w:hAnsiTheme="minorHAnsi"/>
          <w:bCs/>
          <w:lang w:val="en-GB"/>
        </w:rPr>
        <w:t xml:space="preserve">leading to </w:t>
      </w:r>
      <w:r w:rsidR="00550D55" w:rsidRPr="009337CC">
        <w:rPr>
          <w:rFonts w:asciiTheme="minorHAnsi" w:hAnsiTheme="minorHAnsi"/>
          <w:bCs/>
          <w:lang w:val="en-GB"/>
        </w:rPr>
        <w:t xml:space="preserve">incorrect </w:t>
      </w:r>
      <w:r w:rsidR="004F62F3" w:rsidRPr="004F62F3">
        <w:rPr>
          <w:rFonts w:asciiTheme="minorHAnsi" w:hAnsiTheme="minorHAnsi"/>
          <w:bCs/>
          <w:lang w:val="en-GB"/>
        </w:rPr>
        <w:t>dosing of patients</w:t>
      </w:r>
      <w:r w:rsidR="001450F3">
        <w:rPr>
          <w:rFonts w:asciiTheme="minorHAnsi" w:hAnsiTheme="minorHAnsi"/>
          <w:bCs/>
          <w:lang w:val="en-GB"/>
        </w:rPr>
        <w:t>.</w:t>
      </w:r>
    </w:p>
    <w:p w:rsidR="005A1510" w:rsidRDefault="005A1510" w:rsidP="00C83660">
      <w:pPr>
        <w:numPr>
          <w:ilvl w:val="1"/>
          <w:numId w:val="1"/>
        </w:numPr>
        <w:spacing w:after="120"/>
        <w:rPr>
          <w:rFonts w:asciiTheme="minorHAnsi" w:hAnsiTheme="minorHAnsi"/>
          <w:bCs/>
          <w:lang w:val="en-GB"/>
        </w:rPr>
      </w:pPr>
      <w:r>
        <w:rPr>
          <w:rFonts w:asciiTheme="minorHAnsi" w:hAnsiTheme="minorHAnsi"/>
          <w:bCs/>
          <w:lang w:val="en-GB"/>
        </w:rPr>
        <w:t>The PBAC considered that</w:t>
      </w:r>
      <w:r w:rsidR="00C51D84">
        <w:rPr>
          <w:rFonts w:asciiTheme="minorHAnsi" w:hAnsiTheme="minorHAnsi"/>
          <w:bCs/>
          <w:lang w:val="en-GB"/>
        </w:rPr>
        <w:t xml:space="preserve"> the </w:t>
      </w:r>
      <w:r>
        <w:rPr>
          <w:rFonts w:asciiTheme="minorHAnsi" w:hAnsiTheme="minorHAnsi"/>
          <w:bCs/>
          <w:lang w:val="en-GB"/>
        </w:rPr>
        <w:t>clinical need for Zubsolv</w:t>
      </w:r>
      <w:r w:rsidR="00C51D84">
        <w:rPr>
          <w:rFonts w:asciiTheme="minorHAnsi" w:hAnsiTheme="minorHAnsi"/>
          <w:bCs/>
          <w:lang w:val="en-GB"/>
        </w:rPr>
        <w:t xml:space="preserve"> was low</w:t>
      </w:r>
      <w:r w:rsidR="00C81630">
        <w:rPr>
          <w:rFonts w:asciiTheme="minorHAnsi" w:hAnsiTheme="minorHAnsi"/>
          <w:bCs/>
          <w:lang w:val="en-GB"/>
        </w:rPr>
        <w:t xml:space="preserve"> </w:t>
      </w:r>
      <w:r>
        <w:rPr>
          <w:rFonts w:asciiTheme="minorHAnsi" w:hAnsiTheme="minorHAnsi"/>
          <w:bCs/>
          <w:lang w:val="en-GB"/>
        </w:rPr>
        <w:t xml:space="preserve">given the availability of other strengths of buprenorphine with naloxone on the PBS, and the recent PBS listing of </w:t>
      </w:r>
      <w:r w:rsidRPr="00463DE4">
        <w:rPr>
          <w:rFonts w:asciiTheme="minorHAnsi" w:hAnsiTheme="minorHAnsi"/>
          <w:bCs/>
          <w:iCs/>
        </w:rPr>
        <w:t>buprenorphine modified release injection</w:t>
      </w:r>
      <w:r>
        <w:rPr>
          <w:rFonts w:asciiTheme="minorHAnsi" w:hAnsiTheme="minorHAnsi"/>
          <w:bCs/>
          <w:iCs/>
        </w:rPr>
        <w:t>, which a proportion of patients are likely to transition to following stabilisation on daily buprenorphine with naloxone</w:t>
      </w:r>
      <w:r>
        <w:rPr>
          <w:rFonts w:asciiTheme="minorHAnsi" w:hAnsiTheme="minorHAnsi"/>
          <w:bCs/>
          <w:lang w:val="en-GB"/>
        </w:rPr>
        <w:t>.</w:t>
      </w:r>
    </w:p>
    <w:p w:rsidR="00F96E9A" w:rsidRDefault="00654E92" w:rsidP="00C83660">
      <w:pPr>
        <w:numPr>
          <w:ilvl w:val="1"/>
          <w:numId w:val="1"/>
        </w:numPr>
        <w:spacing w:after="120"/>
        <w:rPr>
          <w:rFonts w:asciiTheme="minorHAnsi" w:hAnsiTheme="minorHAnsi"/>
          <w:bCs/>
          <w:lang w:val="en-GB"/>
        </w:rPr>
      </w:pPr>
      <w:r>
        <w:rPr>
          <w:rFonts w:asciiTheme="minorHAnsi" w:hAnsiTheme="minorHAnsi"/>
          <w:bCs/>
          <w:lang w:val="en-GB"/>
        </w:rPr>
        <w:t xml:space="preserve">The PBAC considered the nominated </w:t>
      </w:r>
      <w:r w:rsidR="00535461">
        <w:rPr>
          <w:rFonts w:asciiTheme="minorHAnsi" w:hAnsiTheme="minorHAnsi"/>
          <w:bCs/>
          <w:lang w:val="en-GB"/>
        </w:rPr>
        <w:t xml:space="preserve">main </w:t>
      </w:r>
      <w:r>
        <w:rPr>
          <w:rFonts w:asciiTheme="minorHAnsi" w:hAnsiTheme="minorHAnsi"/>
          <w:bCs/>
          <w:lang w:val="en-GB"/>
        </w:rPr>
        <w:t>comparator, buprenorphine/naloxone film (Suboxone film) was appropriate</w:t>
      </w:r>
      <w:r w:rsidR="003270A7">
        <w:rPr>
          <w:rFonts w:asciiTheme="minorHAnsi" w:hAnsiTheme="minorHAnsi"/>
          <w:bCs/>
          <w:lang w:val="en-GB"/>
        </w:rPr>
        <w:t xml:space="preserve"> as both drugs have the same comparator and patient population. However, it </w:t>
      </w:r>
      <w:r w:rsidR="00AE62F0">
        <w:rPr>
          <w:rFonts w:asciiTheme="minorHAnsi" w:hAnsiTheme="minorHAnsi"/>
          <w:bCs/>
          <w:lang w:val="en-GB"/>
        </w:rPr>
        <w:t xml:space="preserve">also </w:t>
      </w:r>
      <w:r w:rsidR="001C29A4">
        <w:rPr>
          <w:rFonts w:asciiTheme="minorHAnsi" w:hAnsiTheme="minorHAnsi"/>
          <w:bCs/>
          <w:lang w:val="en-GB"/>
        </w:rPr>
        <w:t>considered</w:t>
      </w:r>
      <w:r w:rsidR="00F25393">
        <w:rPr>
          <w:rFonts w:asciiTheme="minorHAnsi" w:hAnsiTheme="minorHAnsi"/>
          <w:bCs/>
          <w:lang w:val="en-GB"/>
        </w:rPr>
        <w:t xml:space="preserve"> methadone,</w:t>
      </w:r>
      <w:r w:rsidR="001C29A4">
        <w:rPr>
          <w:rFonts w:asciiTheme="minorHAnsi" w:hAnsiTheme="minorHAnsi"/>
          <w:bCs/>
          <w:lang w:val="en-GB"/>
        </w:rPr>
        <w:t xml:space="preserve"> </w:t>
      </w:r>
      <w:r w:rsidR="00094D56">
        <w:rPr>
          <w:rFonts w:asciiTheme="minorHAnsi" w:hAnsiTheme="minorHAnsi"/>
          <w:bCs/>
          <w:lang w:val="en-GB"/>
        </w:rPr>
        <w:t>buprenorphine (</w:t>
      </w:r>
      <w:r w:rsidR="00535461">
        <w:rPr>
          <w:rFonts w:asciiTheme="minorHAnsi" w:hAnsiTheme="minorHAnsi"/>
          <w:bCs/>
          <w:lang w:val="en-GB"/>
        </w:rPr>
        <w:t>S</w:t>
      </w:r>
      <w:r w:rsidR="001C29A4">
        <w:rPr>
          <w:rFonts w:asciiTheme="minorHAnsi" w:hAnsiTheme="minorHAnsi"/>
          <w:bCs/>
          <w:lang w:val="en-GB"/>
        </w:rPr>
        <w:t>ubutex</w:t>
      </w:r>
      <w:r w:rsidR="00094D56">
        <w:rPr>
          <w:rFonts w:asciiTheme="minorHAnsi" w:hAnsiTheme="minorHAnsi"/>
          <w:bCs/>
          <w:lang w:val="en-GB"/>
        </w:rPr>
        <w:t>)</w:t>
      </w:r>
      <w:r w:rsidR="00F25393">
        <w:rPr>
          <w:rFonts w:asciiTheme="minorHAnsi" w:hAnsiTheme="minorHAnsi"/>
          <w:bCs/>
          <w:lang w:val="en-GB"/>
        </w:rPr>
        <w:t xml:space="preserve"> and the individual components </w:t>
      </w:r>
      <w:r w:rsidR="00F25393">
        <w:rPr>
          <w:rFonts w:cs="Calibri"/>
          <w:snapToGrid/>
          <w:szCs w:val="24"/>
          <w:lang w:val="en-US" w:eastAsia="en-AU"/>
        </w:rPr>
        <w:t>(</w:t>
      </w:r>
      <w:r w:rsidR="00F25393" w:rsidRPr="006911FB">
        <w:rPr>
          <w:rFonts w:cs="Calibri"/>
          <w:snapToGrid/>
          <w:szCs w:val="24"/>
          <w:lang w:val="en-US" w:eastAsia="en-AU"/>
        </w:rPr>
        <w:t xml:space="preserve">buprenorphine </w:t>
      </w:r>
      <w:r w:rsidR="00F25393">
        <w:rPr>
          <w:rFonts w:cs="Calibri"/>
          <w:snapToGrid/>
          <w:szCs w:val="24"/>
          <w:lang w:val="en-US" w:eastAsia="en-AU"/>
        </w:rPr>
        <w:t>and</w:t>
      </w:r>
      <w:r w:rsidR="00F25393" w:rsidRPr="006911FB">
        <w:rPr>
          <w:rFonts w:cs="Calibri"/>
          <w:snapToGrid/>
          <w:szCs w:val="24"/>
          <w:lang w:val="en-US" w:eastAsia="en-AU"/>
        </w:rPr>
        <w:t xml:space="preserve"> naloxone)</w:t>
      </w:r>
      <w:r w:rsidR="001C29A4">
        <w:rPr>
          <w:rFonts w:asciiTheme="minorHAnsi" w:hAnsiTheme="minorHAnsi"/>
          <w:bCs/>
          <w:lang w:val="en-GB"/>
        </w:rPr>
        <w:t xml:space="preserve"> </w:t>
      </w:r>
      <w:r w:rsidR="009E3A9F">
        <w:rPr>
          <w:rFonts w:asciiTheme="minorHAnsi" w:hAnsiTheme="minorHAnsi"/>
          <w:bCs/>
          <w:lang w:val="en-GB"/>
        </w:rPr>
        <w:t xml:space="preserve">were </w:t>
      </w:r>
      <w:r w:rsidR="00C81630">
        <w:rPr>
          <w:rFonts w:asciiTheme="minorHAnsi" w:hAnsiTheme="minorHAnsi"/>
          <w:bCs/>
          <w:lang w:val="en-GB"/>
        </w:rPr>
        <w:t xml:space="preserve">also </w:t>
      </w:r>
      <w:r w:rsidR="001C29A4">
        <w:rPr>
          <w:rFonts w:asciiTheme="minorHAnsi" w:hAnsiTheme="minorHAnsi"/>
          <w:bCs/>
          <w:lang w:val="en-GB"/>
        </w:rPr>
        <w:t>comparator</w:t>
      </w:r>
      <w:r w:rsidR="009E3A9F">
        <w:rPr>
          <w:rFonts w:asciiTheme="minorHAnsi" w:hAnsiTheme="minorHAnsi"/>
          <w:bCs/>
          <w:lang w:val="en-GB"/>
        </w:rPr>
        <w:t>s</w:t>
      </w:r>
      <w:r>
        <w:rPr>
          <w:rFonts w:asciiTheme="minorHAnsi" w:hAnsiTheme="minorHAnsi"/>
          <w:bCs/>
          <w:lang w:val="en-GB"/>
        </w:rPr>
        <w:t>.</w:t>
      </w:r>
      <w:r w:rsidR="00AE62F0">
        <w:rPr>
          <w:rFonts w:asciiTheme="minorHAnsi" w:hAnsiTheme="minorHAnsi"/>
          <w:bCs/>
          <w:lang w:val="en-GB"/>
        </w:rPr>
        <w:t xml:space="preserve"> </w:t>
      </w:r>
      <w:r w:rsidR="00BD1211">
        <w:rPr>
          <w:rFonts w:cs="Calibri"/>
          <w:snapToGrid/>
          <w:szCs w:val="24"/>
          <w:lang w:val="en-US" w:eastAsia="en-AU"/>
        </w:rPr>
        <w:t>The cost of m</w:t>
      </w:r>
      <w:r w:rsidR="009E3A9F" w:rsidRPr="006911FB">
        <w:rPr>
          <w:rFonts w:cs="Calibri"/>
          <w:snapToGrid/>
          <w:szCs w:val="24"/>
          <w:lang w:val="en-US" w:eastAsia="en-AU"/>
        </w:rPr>
        <w:t xml:space="preserve">ethadone, buprenorphine, </w:t>
      </w:r>
      <w:r w:rsidR="00BD1211">
        <w:rPr>
          <w:rFonts w:cs="Calibri"/>
          <w:snapToGrid/>
          <w:szCs w:val="24"/>
          <w:lang w:val="en-US" w:eastAsia="en-AU"/>
        </w:rPr>
        <w:t xml:space="preserve">and the combined cost of </w:t>
      </w:r>
      <w:r w:rsidR="009E3A9F">
        <w:rPr>
          <w:rFonts w:cs="Calibri"/>
          <w:snapToGrid/>
          <w:szCs w:val="24"/>
          <w:lang w:val="en-US" w:eastAsia="en-AU"/>
        </w:rPr>
        <w:t>the individual components (</w:t>
      </w:r>
      <w:r w:rsidR="009E3A9F" w:rsidRPr="006911FB">
        <w:rPr>
          <w:rFonts w:cs="Calibri"/>
          <w:snapToGrid/>
          <w:szCs w:val="24"/>
          <w:lang w:val="en-US" w:eastAsia="en-AU"/>
        </w:rPr>
        <w:t xml:space="preserve">buprenorphine </w:t>
      </w:r>
      <w:r w:rsidR="009E3A9F">
        <w:rPr>
          <w:rFonts w:cs="Calibri"/>
          <w:snapToGrid/>
          <w:szCs w:val="24"/>
          <w:lang w:val="en-US" w:eastAsia="en-AU"/>
        </w:rPr>
        <w:t>and</w:t>
      </w:r>
      <w:r w:rsidR="009E3A9F" w:rsidRPr="006911FB">
        <w:rPr>
          <w:rFonts w:cs="Calibri"/>
          <w:snapToGrid/>
          <w:szCs w:val="24"/>
          <w:lang w:val="en-US" w:eastAsia="en-AU"/>
        </w:rPr>
        <w:t xml:space="preserve"> naloxone) are</w:t>
      </w:r>
      <w:r w:rsidR="00BD1211">
        <w:rPr>
          <w:rFonts w:cs="Calibri"/>
          <w:snapToGrid/>
          <w:szCs w:val="24"/>
          <w:lang w:val="en-US" w:eastAsia="en-AU"/>
        </w:rPr>
        <w:t xml:space="preserve"> all</w:t>
      </w:r>
      <w:r w:rsidR="009E3A9F" w:rsidRPr="006911FB">
        <w:rPr>
          <w:rFonts w:cs="Calibri"/>
          <w:snapToGrid/>
          <w:szCs w:val="24"/>
          <w:lang w:val="en-US" w:eastAsia="en-AU"/>
        </w:rPr>
        <w:t xml:space="preserve"> less costly than the requested price for Zubsolv.</w:t>
      </w:r>
    </w:p>
    <w:p w:rsidR="004E0197" w:rsidRDefault="004E0197" w:rsidP="00C83660">
      <w:pPr>
        <w:numPr>
          <w:ilvl w:val="1"/>
          <w:numId w:val="1"/>
        </w:numPr>
        <w:spacing w:after="120"/>
        <w:rPr>
          <w:rFonts w:asciiTheme="minorHAnsi" w:hAnsiTheme="minorHAnsi"/>
          <w:bCs/>
          <w:lang w:val="en-GB"/>
        </w:rPr>
      </w:pPr>
      <w:r>
        <w:rPr>
          <w:rFonts w:asciiTheme="minorHAnsi" w:hAnsiTheme="minorHAnsi"/>
          <w:bCs/>
          <w:lang w:val="en-GB"/>
        </w:rPr>
        <w:t>The PBAC considered the data presented did not adequately establish non-inferiority between Zubsolv and Suboxone film</w:t>
      </w:r>
      <w:r w:rsidR="00463DE4">
        <w:rPr>
          <w:rFonts w:asciiTheme="minorHAnsi" w:hAnsiTheme="minorHAnsi"/>
          <w:bCs/>
          <w:lang w:val="en-GB"/>
        </w:rPr>
        <w:t>. I</w:t>
      </w:r>
      <w:r w:rsidR="00601A91">
        <w:rPr>
          <w:rFonts w:asciiTheme="minorHAnsi" w:hAnsiTheme="minorHAnsi"/>
          <w:bCs/>
          <w:lang w:val="en-GB"/>
        </w:rPr>
        <w:t xml:space="preserve">n this regard, the PBAC noted that </w:t>
      </w:r>
      <w:r w:rsidR="00463DE4">
        <w:rPr>
          <w:rFonts w:asciiTheme="minorHAnsi" w:hAnsiTheme="minorHAnsi"/>
          <w:bCs/>
          <w:lang w:val="en-GB"/>
        </w:rPr>
        <w:t xml:space="preserve">the </w:t>
      </w:r>
      <w:r>
        <w:rPr>
          <w:rFonts w:asciiTheme="minorHAnsi" w:hAnsiTheme="minorHAnsi"/>
          <w:bCs/>
          <w:lang w:val="en-GB"/>
        </w:rPr>
        <w:t xml:space="preserve">duration of the key trial (OX219-006) </w:t>
      </w:r>
      <w:r w:rsidR="00463DE4">
        <w:rPr>
          <w:rFonts w:asciiTheme="minorHAnsi" w:hAnsiTheme="minorHAnsi"/>
          <w:bCs/>
          <w:lang w:val="en-GB"/>
        </w:rPr>
        <w:t xml:space="preserve">to be too short </w:t>
      </w:r>
      <w:r w:rsidR="00CE022E">
        <w:rPr>
          <w:rFonts w:asciiTheme="minorHAnsi" w:hAnsiTheme="minorHAnsi"/>
          <w:bCs/>
          <w:lang w:val="en-GB"/>
        </w:rPr>
        <w:t xml:space="preserve">to support the primary outcome of </w:t>
      </w:r>
      <w:r w:rsidR="00632326">
        <w:rPr>
          <w:rFonts w:asciiTheme="minorHAnsi" w:hAnsiTheme="minorHAnsi"/>
          <w:bCs/>
          <w:lang w:val="en-GB"/>
        </w:rPr>
        <w:t>treatment</w:t>
      </w:r>
      <w:r w:rsidR="00CE022E">
        <w:rPr>
          <w:rFonts w:asciiTheme="minorHAnsi" w:hAnsiTheme="minorHAnsi"/>
          <w:bCs/>
          <w:lang w:val="en-GB"/>
        </w:rPr>
        <w:t xml:space="preserve"> retention</w:t>
      </w:r>
      <w:r w:rsidR="00601A91">
        <w:rPr>
          <w:rFonts w:asciiTheme="minorHAnsi" w:hAnsiTheme="minorHAnsi"/>
          <w:bCs/>
          <w:lang w:val="en-GB"/>
        </w:rPr>
        <w:t xml:space="preserve"> and</w:t>
      </w:r>
      <w:r w:rsidR="00B25DA1">
        <w:rPr>
          <w:rFonts w:asciiTheme="minorHAnsi" w:hAnsiTheme="minorHAnsi"/>
          <w:bCs/>
          <w:lang w:val="en-GB"/>
        </w:rPr>
        <w:t xml:space="preserve"> the</w:t>
      </w:r>
      <w:r w:rsidR="00CE022E">
        <w:rPr>
          <w:rFonts w:asciiTheme="minorHAnsi" w:hAnsiTheme="minorHAnsi"/>
          <w:bCs/>
          <w:lang w:val="en-GB"/>
        </w:rPr>
        <w:t xml:space="preserve"> </w:t>
      </w:r>
      <w:r>
        <w:rPr>
          <w:rFonts w:asciiTheme="minorHAnsi" w:hAnsiTheme="minorHAnsi"/>
          <w:bCs/>
          <w:lang w:val="en-GB"/>
        </w:rPr>
        <w:t>risk of bias</w:t>
      </w:r>
      <w:r w:rsidR="00CE022E">
        <w:rPr>
          <w:rFonts w:asciiTheme="minorHAnsi" w:hAnsiTheme="minorHAnsi"/>
          <w:bCs/>
          <w:lang w:val="en-GB"/>
        </w:rPr>
        <w:t xml:space="preserve"> of th</w:t>
      </w:r>
      <w:r w:rsidR="00601A91">
        <w:rPr>
          <w:rFonts w:asciiTheme="minorHAnsi" w:hAnsiTheme="minorHAnsi"/>
          <w:bCs/>
          <w:lang w:val="en-GB"/>
        </w:rPr>
        <w:t>e open label</w:t>
      </w:r>
      <w:r w:rsidR="00CE022E">
        <w:rPr>
          <w:rFonts w:asciiTheme="minorHAnsi" w:hAnsiTheme="minorHAnsi"/>
          <w:bCs/>
          <w:lang w:val="en-GB"/>
        </w:rPr>
        <w:t xml:space="preserve"> trial</w:t>
      </w:r>
      <w:r>
        <w:rPr>
          <w:rFonts w:asciiTheme="minorHAnsi" w:hAnsiTheme="minorHAnsi"/>
          <w:bCs/>
          <w:lang w:val="en-GB"/>
        </w:rPr>
        <w:t xml:space="preserve"> </w:t>
      </w:r>
      <w:r w:rsidR="00601A91">
        <w:rPr>
          <w:rFonts w:asciiTheme="minorHAnsi" w:hAnsiTheme="minorHAnsi"/>
          <w:bCs/>
          <w:lang w:val="en-GB"/>
        </w:rPr>
        <w:t xml:space="preserve">was </w:t>
      </w:r>
      <w:r w:rsidR="00CE022E">
        <w:rPr>
          <w:rFonts w:asciiTheme="minorHAnsi" w:hAnsiTheme="minorHAnsi"/>
          <w:bCs/>
          <w:lang w:val="en-GB"/>
        </w:rPr>
        <w:t>high.</w:t>
      </w:r>
      <w:r w:rsidR="00E97496">
        <w:rPr>
          <w:rFonts w:asciiTheme="minorHAnsi" w:hAnsiTheme="minorHAnsi"/>
          <w:bCs/>
          <w:lang w:val="en-GB"/>
        </w:rPr>
        <w:t xml:space="preserve"> The PBAC noted the supplementary data provided in the pre-PBAC response provided an objective measure of the impact of Zubsolv and Suboxone on changes in illicit drug use via the </w:t>
      </w:r>
      <w:r w:rsidR="00BD1211">
        <w:rPr>
          <w:rFonts w:asciiTheme="minorHAnsi" w:hAnsiTheme="minorHAnsi"/>
          <w:bCs/>
          <w:lang w:val="en-GB"/>
        </w:rPr>
        <w:t>UDS</w:t>
      </w:r>
      <w:r w:rsidR="00E33157">
        <w:rPr>
          <w:rFonts w:asciiTheme="minorHAnsi" w:hAnsiTheme="minorHAnsi"/>
          <w:bCs/>
          <w:lang w:val="en-GB"/>
        </w:rPr>
        <w:t xml:space="preserve"> on Day 3 and Day 15, but these data were not </w:t>
      </w:r>
      <w:r w:rsidR="00BD1211">
        <w:rPr>
          <w:rFonts w:asciiTheme="minorHAnsi" w:hAnsiTheme="minorHAnsi"/>
          <w:bCs/>
          <w:lang w:val="en-GB"/>
        </w:rPr>
        <w:t xml:space="preserve">considered during </w:t>
      </w:r>
      <w:r w:rsidR="00E33157">
        <w:rPr>
          <w:rFonts w:asciiTheme="minorHAnsi" w:hAnsiTheme="minorHAnsi"/>
          <w:bCs/>
          <w:lang w:val="en-GB"/>
        </w:rPr>
        <w:t>the evaluation</w:t>
      </w:r>
      <w:r w:rsidR="00E97496">
        <w:rPr>
          <w:rFonts w:asciiTheme="minorHAnsi" w:hAnsiTheme="minorHAnsi"/>
          <w:bCs/>
          <w:lang w:val="en-GB"/>
        </w:rPr>
        <w:t>.</w:t>
      </w:r>
      <w:r w:rsidR="00CE022E">
        <w:rPr>
          <w:rFonts w:asciiTheme="minorHAnsi" w:hAnsiTheme="minorHAnsi"/>
          <w:bCs/>
          <w:lang w:val="en-GB"/>
        </w:rPr>
        <w:t xml:space="preserve"> </w:t>
      </w:r>
      <w:r>
        <w:rPr>
          <w:rFonts w:asciiTheme="minorHAnsi" w:hAnsiTheme="minorHAnsi"/>
          <w:bCs/>
          <w:lang w:val="en-GB"/>
        </w:rPr>
        <w:t xml:space="preserve">The PBAC </w:t>
      </w:r>
      <w:r w:rsidR="00655188">
        <w:rPr>
          <w:rFonts w:asciiTheme="minorHAnsi" w:hAnsiTheme="minorHAnsi"/>
          <w:bCs/>
          <w:lang w:val="en-GB"/>
        </w:rPr>
        <w:t>considered that</w:t>
      </w:r>
      <w:r>
        <w:rPr>
          <w:rFonts w:asciiTheme="minorHAnsi" w:hAnsiTheme="minorHAnsi"/>
          <w:bCs/>
          <w:lang w:val="en-GB"/>
        </w:rPr>
        <w:t xml:space="preserve">, while retention </w:t>
      </w:r>
      <w:r w:rsidR="00601A91">
        <w:rPr>
          <w:rFonts w:asciiTheme="minorHAnsi" w:hAnsiTheme="minorHAnsi"/>
          <w:bCs/>
          <w:lang w:val="en-GB"/>
        </w:rPr>
        <w:t xml:space="preserve">in treatment </w:t>
      </w:r>
      <w:r>
        <w:rPr>
          <w:rFonts w:asciiTheme="minorHAnsi" w:hAnsiTheme="minorHAnsi"/>
          <w:bCs/>
          <w:lang w:val="en-GB"/>
        </w:rPr>
        <w:t xml:space="preserve">was an important outcome, </w:t>
      </w:r>
      <w:r w:rsidR="00655188">
        <w:rPr>
          <w:rFonts w:asciiTheme="minorHAnsi" w:hAnsiTheme="minorHAnsi"/>
          <w:bCs/>
          <w:lang w:val="en-GB"/>
        </w:rPr>
        <w:t xml:space="preserve">the </w:t>
      </w:r>
      <w:r>
        <w:rPr>
          <w:rFonts w:asciiTheme="minorHAnsi" w:hAnsiTheme="minorHAnsi"/>
          <w:bCs/>
          <w:lang w:val="en-GB"/>
        </w:rPr>
        <w:t>clinical evidence from a long</w:t>
      </w:r>
      <w:r w:rsidR="00601A91">
        <w:rPr>
          <w:rFonts w:asciiTheme="minorHAnsi" w:hAnsiTheme="minorHAnsi"/>
          <w:bCs/>
          <w:lang w:val="en-GB"/>
        </w:rPr>
        <w:t>er</w:t>
      </w:r>
      <w:r>
        <w:rPr>
          <w:rFonts w:asciiTheme="minorHAnsi" w:hAnsiTheme="minorHAnsi"/>
          <w:bCs/>
          <w:lang w:val="en-GB"/>
        </w:rPr>
        <w:t xml:space="preserve"> trial supported by objective measures of decreased drug use would have provided greater </w:t>
      </w:r>
      <w:r w:rsidR="00601A91">
        <w:rPr>
          <w:rFonts w:asciiTheme="minorHAnsi" w:hAnsiTheme="minorHAnsi"/>
          <w:bCs/>
          <w:lang w:val="en-GB"/>
        </w:rPr>
        <w:t>support to the clinical claim for Zubsolv</w:t>
      </w:r>
      <w:r>
        <w:rPr>
          <w:rFonts w:asciiTheme="minorHAnsi" w:hAnsiTheme="minorHAnsi"/>
          <w:bCs/>
          <w:lang w:val="en-GB"/>
        </w:rPr>
        <w:t xml:space="preserve">. </w:t>
      </w:r>
    </w:p>
    <w:p w:rsidR="00134EB9" w:rsidRDefault="00B25DA1" w:rsidP="00C83660">
      <w:pPr>
        <w:numPr>
          <w:ilvl w:val="1"/>
          <w:numId w:val="1"/>
        </w:numPr>
        <w:spacing w:after="120"/>
        <w:rPr>
          <w:rFonts w:asciiTheme="minorHAnsi" w:hAnsiTheme="minorHAnsi"/>
          <w:bCs/>
          <w:lang w:val="en-GB"/>
        </w:rPr>
      </w:pPr>
      <w:r w:rsidRPr="009B7ECE">
        <w:rPr>
          <w:rFonts w:asciiTheme="minorHAnsi" w:hAnsiTheme="minorHAnsi"/>
          <w:bCs/>
          <w:lang w:val="en-GB"/>
        </w:rPr>
        <w:t xml:space="preserve">The PBAC noted </w:t>
      </w:r>
      <w:r w:rsidR="005F5417" w:rsidRPr="009B7ECE">
        <w:rPr>
          <w:rFonts w:asciiTheme="minorHAnsi" w:hAnsiTheme="minorHAnsi"/>
          <w:bCs/>
          <w:lang w:val="en-GB"/>
        </w:rPr>
        <w:t xml:space="preserve">the </w:t>
      </w:r>
      <w:r w:rsidR="00993490" w:rsidRPr="009B7ECE">
        <w:rPr>
          <w:rFonts w:asciiTheme="minorHAnsi" w:hAnsiTheme="minorHAnsi"/>
          <w:bCs/>
          <w:lang w:val="en-GB"/>
        </w:rPr>
        <w:t xml:space="preserve">bioavailability comparison presented in the </w:t>
      </w:r>
      <w:r w:rsidRPr="009B7ECE">
        <w:rPr>
          <w:rFonts w:asciiTheme="minorHAnsi" w:hAnsiTheme="minorHAnsi"/>
          <w:bCs/>
          <w:lang w:val="en-GB"/>
        </w:rPr>
        <w:t xml:space="preserve">TGA clinical overview </w:t>
      </w:r>
      <w:r w:rsidR="00993490" w:rsidRPr="009B7ECE">
        <w:rPr>
          <w:rFonts w:asciiTheme="minorHAnsi" w:hAnsiTheme="minorHAnsi"/>
          <w:bCs/>
          <w:lang w:val="en-GB"/>
        </w:rPr>
        <w:t>and the product information (PI) for Zubsolv only included tablet form of Suboxone</w:t>
      </w:r>
      <w:r w:rsidR="00F658A5">
        <w:rPr>
          <w:rFonts w:asciiTheme="minorHAnsi" w:hAnsiTheme="minorHAnsi"/>
          <w:bCs/>
          <w:lang w:val="en-GB"/>
        </w:rPr>
        <w:t>,</w:t>
      </w:r>
      <w:r w:rsidR="00690F6E">
        <w:rPr>
          <w:rFonts w:asciiTheme="minorHAnsi" w:hAnsiTheme="minorHAnsi"/>
          <w:bCs/>
          <w:lang w:val="en-GB"/>
        </w:rPr>
        <w:t xml:space="preserve"> which is </w:t>
      </w:r>
      <w:r w:rsidR="00993490" w:rsidRPr="009B7ECE">
        <w:rPr>
          <w:rFonts w:asciiTheme="minorHAnsi" w:hAnsiTheme="minorHAnsi"/>
          <w:bCs/>
          <w:lang w:val="en-GB"/>
        </w:rPr>
        <w:t>no longer PBS listed</w:t>
      </w:r>
      <w:r w:rsidR="0076294A">
        <w:rPr>
          <w:rFonts w:asciiTheme="minorHAnsi" w:hAnsiTheme="minorHAnsi"/>
          <w:bCs/>
          <w:lang w:val="en-GB"/>
        </w:rPr>
        <w:t>. It also noted t</w:t>
      </w:r>
      <w:r w:rsidR="00993490" w:rsidRPr="009B7ECE">
        <w:rPr>
          <w:rFonts w:asciiTheme="minorHAnsi" w:hAnsiTheme="minorHAnsi"/>
          <w:bCs/>
          <w:lang w:val="en-GB"/>
        </w:rPr>
        <w:t xml:space="preserve">he </w:t>
      </w:r>
      <w:r w:rsidR="0076294A">
        <w:rPr>
          <w:rFonts w:asciiTheme="minorHAnsi" w:hAnsiTheme="minorHAnsi"/>
          <w:bCs/>
          <w:lang w:val="en-GB"/>
        </w:rPr>
        <w:t xml:space="preserve">Suboxone </w:t>
      </w:r>
      <w:r w:rsidR="00993490" w:rsidRPr="009B7ECE">
        <w:rPr>
          <w:rFonts w:asciiTheme="minorHAnsi" w:hAnsiTheme="minorHAnsi"/>
          <w:bCs/>
          <w:lang w:val="en-GB"/>
        </w:rPr>
        <w:t xml:space="preserve">PI states the film and tablet forms are not bioequivalent </w:t>
      </w:r>
      <w:r w:rsidR="009B7ECE" w:rsidRPr="009B7ECE">
        <w:rPr>
          <w:rFonts w:asciiTheme="minorHAnsi" w:hAnsiTheme="minorHAnsi"/>
          <w:bCs/>
          <w:lang w:val="en-GB"/>
        </w:rPr>
        <w:t>(</w:t>
      </w:r>
      <w:r w:rsidR="005F5417" w:rsidRPr="009B7ECE">
        <w:rPr>
          <w:rFonts w:asciiTheme="minorHAnsi" w:hAnsiTheme="minorHAnsi"/>
          <w:bCs/>
          <w:lang w:val="en-GB"/>
        </w:rPr>
        <w:t xml:space="preserve">buprenorphine exposure of the film </w:t>
      </w:r>
      <w:r w:rsidR="00993490" w:rsidRPr="009B7ECE">
        <w:rPr>
          <w:rFonts w:asciiTheme="minorHAnsi" w:hAnsiTheme="minorHAnsi"/>
          <w:bCs/>
          <w:lang w:val="en-GB"/>
        </w:rPr>
        <w:t xml:space="preserve">is </w:t>
      </w:r>
      <w:r w:rsidR="005F5417" w:rsidRPr="009B7ECE">
        <w:rPr>
          <w:rFonts w:asciiTheme="minorHAnsi" w:hAnsiTheme="minorHAnsi"/>
          <w:bCs/>
          <w:lang w:val="en-GB"/>
        </w:rPr>
        <w:t xml:space="preserve">20% to 25% higher </w:t>
      </w:r>
      <w:r w:rsidR="00993490" w:rsidRPr="009B7ECE">
        <w:rPr>
          <w:rFonts w:asciiTheme="minorHAnsi" w:hAnsiTheme="minorHAnsi"/>
          <w:bCs/>
          <w:lang w:val="en-GB"/>
        </w:rPr>
        <w:t xml:space="preserve">compared to </w:t>
      </w:r>
      <w:r w:rsidR="005F5417" w:rsidRPr="009B7ECE">
        <w:rPr>
          <w:rFonts w:asciiTheme="minorHAnsi" w:hAnsiTheme="minorHAnsi"/>
          <w:bCs/>
          <w:lang w:val="en-GB"/>
        </w:rPr>
        <w:t>the tablets</w:t>
      </w:r>
      <w:r w:rsidR="009B7ECE" w:rsidRPr="009B7ECE">
        <w:rPr>
          <w:rFonts w:asciiTheme="minorHAnsi" w:hAnsiTheme="minorHAnsi"/>
          <w:bCs/>
          <w:lang w:val="en-GB"/>
        </w:rPr>
        <w:t>)</w:t>
      </w:r>
      <w:r w:rsidR="005F5417" w:rsidRPr="009B7ECE">
        <w:rPr>
          <w:rFonts w:asciiTheme="minorHAnsi" w:hAnsiTheme="minorHAnsi"/>
          <w:bCs/>
          <w:lang w:val="en-GB"/>
        </w:rPr>
        <w:t xml:space="preserve">. </w:t>
      </w:r>
      <w:r w:rsidR="009B7ECE" w:rsidRPr="009B7ECE">
        <w:rPr>
          <w:rFonts w:asciiTheme="minorHAnsi" w:hAnsiTheme="minorHAnsi"/>
          <w:bCs/>
          <w:lang w:val="en-GB"/>
        </w:rPr>
        <w:t xml:space="preserve">Additionally, </w:t>
      </w:r>
      <w:r w:rsidR="0076294A">
        <w:rPr>
          <w:rFonts w:asciiTheme="minorHAnsi" w:hAnsiTheme="minorHAnsi"/>
          <w:bCs/>
          <w:lang w:val="en-GB"/>
        </w:rPr>
        <w:t xml:space="preserve">it noted </w:t>
      </w:r>
      <w:r w:rsidR="009B7ECE" w:rsidRPr="009B7ECE">
        <w:rPr>
          <w:rFonts w:asciiTheme="minorHAnsi" w:hAnsiTheme="minorHAnsi"/>
          <w:bCs/>
          <w:lang w:val="en-GB"/>
        </w:rPr>
        <w:t>the TGA clinical overview indicated buprenorphine exposure of Zubsolv was around 12% lower compared to Suboxone tablets. Based on this, the PBAC considered the proposed dose relativity of the submission was unsupported by bioavailability dat</w:t>
      </w:r>
      <w:r w:rsidR="009B7ECE">
        <w:rPr>
          <w:rFonts w:asciiTheme="minorHAnsi" w:hAnsiTheme="minorHAnsi"/>
          <w:bCs/>
          <w:lang w:val="en-GB"/>
        </w:rPr>
        <w:t>a</w:t>
      </w:r>
      <w:r w:rsidR="00134EB9">
        <w:rPr>
          <w:rFonts w:asciiTheme="minorHAnsi" w:hAnsiTheme="minorHAnsi"/>
          <w:bCs/>
          <w:lang w:val="en-GB"/>
        </w:rPr>
        <w:t>,</w:t>
      </w:r>
      <w:r w:rsidR="009B7ECE">
        <w:rPr>
          <w:rFonts w:asciiTheme="minorHAnsi" w:hAnsiTheme="minorHAnsi"/>
          <w:bCs/>
          <w:lang w:val="en-GB"/>
        </w:rPr>
        <w:t xml:space="preserve"> </w:t>
      </w:r>
      <w:r w:rsidR="00134EB9">
        <w:rPr>
          <w:rFonts w:asciiTheme="minorHAnsi" w:hAnsiTheme="minorHAnsi"/>
          <w:bCs/>
          <w:lang w:val="en-GB"/>
        </w:rPr>
        <w:t>as 5.7</w:t>
      </w:r>
      <w:r w:rsidR="00333E59">
        <w:rPr>
          <w:rFonts w:asciiTheme="minorHAnsi" w:hAnsiTheme="minorHAnsi"/>
          <w:bCs/>
          <w:lang w:val="en-GB"/>
        </w:rPr>
        <w:t xml:space="preserve"> </w:t>
      </w:r>
      <w:r w:rsidR="00134EB9">
        <w:rPr>
          <w:rFonts w:asciiTheme="minorHAnsi" w:hAnsiTheme="minorHAnsi"/>
          <w:bCs/>
          <w:lang w:val="en-GB"/>
        </w:rPr>
        <w:t>mg in Zubsolv was likely to be equi-effective to less than 8</w:t>
      </w:r>
      <w:r w:rsidR="00333E59">
        <w:rPr>
          <w:rFonts w:asciiTheme="minorHAnsi" w:hAnsiTheme="minorHAnsi"/>
          <w:bCs/>
          <w:lang w:val="en-GB"/>
        </w:rPr>
        <w:t xml:space="preserve"> </w:t>
      </w:r>
      <w:r w:rsidR="00134EB9">
        <w:rPr>
          <w:rFonts w:asciiTheme="minorHAnsi" w:hAnsiTheme="minorHAnsi"/>
          <w:bCs/>
          <w:lang w:val="en-GB"/>
        </w:rPr>
        <w:t xml:space="preserve">mg Suboxone tablet, and therefore to significantly less than </w:t>
      </w:r>
      <w:r w:rsidR="009B7ECE" w:rsidRPr="009B7ECE">
        <w:rPr>
          <w:rFonts w:asciiTheme="minorHAnsi" w:hAnsiTheme="minorHAnsi"/>
          <w:bCs/>
          <w:lang w:val="en-GB"/>
        </w:rPr>
        <w:t xml:space="preserve">8 mg Suboxone film. </w:t>
      </w:r>
    </w:p>
    <w:p w:rsidR="00C93301" w:rsidRDefault="00FC64AE" w:rsidP="00C83660">
      <w:pPr>
        <w:numPr>
          <w:ilvl w:val="1"/>
          <w:numId w:val="1"/>
        </w:numPr>
        <w:spacing w:after="120"/>
        <w:rPr>
          <w:rFonts w:asciiTheme="minorHAnsi" w:hAnsiTheme="minorHAnsi"/>
          <w:bCs/>
          <w:lang w:val="en-GB"/>
        </w:rPr>
      </w:pPr>
      <w:r>
        <w:rPr>
          <w:rFonts w:asciiTheme="minorHAnsi" w:hAnsiTheme="minorHAnsi"/>
          <w:bCs/>
          <w:lang w:val="en-GB"/>
        </w:rPr>
        <w:t>The PBAC noted</w:t>
      </w:r>
      <w:r w:rsidR="00655188">
        <w:rPr>
          <w:rFonts w:asciiTheme="minorHAnsi" w:hAnsiTheme="minorHAnsi"/>
          <w:bCs/>
          <w:lang w:val="en-GB"/>
        </w:rPr>
        <w:t xml:space="preserve"> that the </w:t>
      </w:r>
      <w:r w:rsidR="00B25DA1">
        <w:rPr>
          <w:rFonts w:asciiTheme="minorHAnsi" w:hAnsiTheme="minorHAnsi"/>
          <w:bCs/>
          <w:lang w:val="en-GB"/>
        </w:rPr>
        <w:t>key</w:t>
      </w:r>
      <w:r w:rsidR="00655188">
        <w:rPr>
          <w:rFonts w:asciiTheme="minorHAnsi" w:hAnsiTheme="minorHAnsi"/>
          <w:bCs/>
          <w:lang w:val="en-GB"/>
        </w:rPr>
        <w:t xml:space="preserve"> trial</w:t>
      </w:r>
      <w:r w:rsidR="007D310C">
        <w:rPr>
          <w:rFonts w:asciiTheme="minorHAnsi" w:hAnsiTheme="minorHAnsi"/>
          <w:bCs/>
          <w:lang w:val="en-GB"/>
        </w:rPr>
        <w:t>,</w:t>
      </w:r>
      <w:r w:rsidR="00655188">
        <w:rPr>
          <w:rFonts w:asciiTheme="minorHAnsi" w:hAnsiTheme="minorHAnsi"/>
          <w:bCs/>
          <w:lang w:val="en-GB"/>
        </w:rPr>
        <w:t xml:space="preserve"> OX219-006</w:t>
      </w:r>
      <w:r w:rsidR="007D310C">
        <w:rPr>
          <w:rFonts w:asciiTheme="minorHAnsi" w:hAnsiTheme="minorHAnsi"/>
          <w:bCs/>
          <w:lang w:val="en-GB"/>
        </w:rPr>
        <w:t>,</w:t>
      </w:r>
      <w:r w:rsidR="00655188">
        <w:rPr>
          <w:rFonts w:asciiTheme="minorHAnsi" w:hAnsiTheme="minorHAnsi"/>
          <w:bCs/>
          <w:lang w:val="en-GB"/>
        </w:rPr>
        <w:t xml:space="preserve"> only </w:t>
      </w:r>
      <w:r w:rsidR="007D310C">
        <w:rPr>
          <w:rFonts w:asciiTheme="minorHAnsi" w:hAnsiTheme="minorHAnsi"/>
          <w:bCs/>
          <w:lang w:val="en-GB"/>
        </w:rPr>
        <w:t>utilised</w:t>
      </w:r>
      <w:r w:rsidR="00655188">
        <w:rPr>
          <w:rFonts w:asciiTheme="minorHAnsi" w:hAnsiTheme="minorHAnsi"/>
          <w:bCs/>
          <w:lang w:val="en-GB"/>
        </w:rPr>
        <w:t xml:space="preserve"> two of the proposed six doses of Zubsolv</w:t>
      </w:r>
      <w:r w:rsidR="00A62E90">
        <w:rPr>
          <w:rFonts w:asciiTheme="minorHAnsi" w:hAnsiTheme="minorHAnsi"/>
          <w:bCs/>
          <w:lang w:val="en-GB"/>
        </w:rPr>
        <w:t>, however the</w:t>
      </w:r>
      <w:r w:rsidR="00A62E90" w:rsidRPr="00A62E90">
        <w:rPr>
          <w:rFonts w:asciiTheme="minorHAnsi" w:hAnsiTheme="minorHAnsi"/>
          <w:bCs/>
          <w:lang w:val="en-GB"/>
        </w:rPr>
        <w:t xml:space="preserve"> PI of Zubsolv indicated that dose equivalence to Suboxone tablet changed across doses.</w:t>
      </w:r>
      <w:r w:rsidR="00655188">
        <w:rPr>
          <w:rFonts w:asciiTheme="minorHAnsi" w:hAnsiTheme="minorHAnsi"/>
          <w:bCs/>
          <w:lang w:val="en-GB"/>
        </w:rPr>
        <w:t xml:space="preserve"> </w:t>
      </w:r>
      <w:r w:rsidR="00C93301">
        <w:rPr>
          <w:rFonts w:asciiTheme="minorHAnsi" w:hAnsiTheme="minorHAnsi"/>
          <w:bCs/>
          <w:lang w:val="en-GB"/>
        </w:rPr>
        <w:t>T</w:t>
      </w:r>
      <w:r w:rsidR="00C93301">
        <w:t xml:space="preserve">he PBAC considered </w:t>
      </w:r>
      <w:r w:rsidR="00C93301" w:rsidRPr="006911FB">
        <w:t>that even if 5.7</w:t>
      </w:r>
      <w:r w:rsidR="00333E59">
        <w:t xml:space="preserve"> </w:t>
      </w:r>
      <w:r w:rsidR="00C93301" w:rsidRPr="006911FB">
        <w:t xml:space="preserve">mg </w:t>
      </w:r>
      <w:r w:rsidR="00C93301" w:rsidRPr="006911FB">
        <w:lastRenderedPageBreak/>
        <w:t xml:space="preserve">buprenorphine in Zubsolv </w:t>
      </w:r>
      <w:r w:rsidR="00C93301">
        <w:t>was</w:t>
      </w:r>
      <w:r w:rsidR="00C93301" w:rsidRPr="006911FB">
        <w:t xml:space="preserve"> accepted to be equivalent to 8</w:t>
      </w:r>
      <w:r w:rsidR="00333E59">
        <w:t xml:space="preserve"> </w:t>
      </w:r>
      <w:r w:rsidR="00C93301" w:rsidRPr="006911FB">
        <w:t>mg buprenorphine in Suboxone tablets, this relativity c</w:t>
      </w:r>
      <w:r w:rsidR="00A62E90">
        <w:t xml:space="preserve">ould </w:t>
      </w:r>
      <w:r w:rsidR="00C93301" w:rsidRPr="006911FB">
        <w:t xml:space="preserve">not be assumed at </w:t>
      </w:r>
      <w:r w:rsidR="00A62E90">
        <w:t>across all</w:t>
      </w:r>
      <w:r w:rsidR="00C93301" w:rsidRPr="006911FB">
        <w:t xml:space="preserve"> doses</w:t>
      </w:r>
      <w:r w:rsidR="00C93301">
        <w:t xml:space="preserve">. Both of the </w:t>
      </w:r>
      <w:r w:rsidR="00C93301">
        <w:rPr>
          <w:rFonts w:asciiTheme="minorHAnsi" w:hAnsiTheme="minorHAnsi"/>
          <w:bCs/>
          <w:lang w:val="en-GB"/>
        </w:rPr>
        <w:t>PBAC and the ESC</w:t>
      </w:r>
      <w:r w:rsidR="00C93301" w:rsidRPr="00C93301">
        <w:rPr>
          <w:rFonts w:asciiTheme="minorHAnsi" w:hAnsiTheme="minorHAnsi"/>
          <w:bCs/>
          <w:lang w:val="en-GB"/>
        </w:rPr>
        <w:t xml:space="preserve"> considered that </w:t>
      </w:r>
      <w:r w:rsidR="00A62E90" w:rsidRPr="00A62E90">
        <w:rPr>
          <w:rFonts w:asciiTheme="minorHAnsi" w:hAnsiTheme="minorHAnsi"/>
          <w:bCs/>
          <w:lang w:val="en-GB"/>
        </w:rPr>
        <w:t xml:space="preserve">pre-assumed dose relativity (5.7:8 or 1:1.4) prior to trial commencement may have </w:t>
      </w:r>
      <w:r w:rsidR="00A62E90">
        <w:rPr>
          <w:rFonts w:asciiTheme="minorHAnsi" w:hAnsiTheme="minorHAnsi"/>
          <w:bCs/>
          <w:lang w:val="en-GB"/>
        </w:rPr>
        <w:t xml:space="preserve">also </w:t>
      </w:r>
      <w:r w:rsidR="00A62E90" w:rsidRPr="00A62E90">
        <w:rPr>
          <w:rFonts w:asciiTheme="minorHAnsi" w:hAnsiTheme="minorHAnsi"/>
          <w:bCs/>
          <w:lang w:val="en-GB"/>
        </w:rPr>
        <w:t>influenced the doses patients were taking</w:t>
      </w:r>
      <w:r w:rsidR="00A62E90">
        <w:rPr>
          <w:rFonts w:asciiTheme="minorHAnsi" w:hAnsiTheme="minorHAnsi"/>
          <w:bCs/>
          <w:lang w:val="en-GB"/>
        </w:rPr>
        <w:t>,</w:t>
      </w:r>
      <w:r w:rsidR="00A62E90" w:rsidRPr="00A62E90">
        <w:rPr>
          <w:rFonts w:asciiTheme="minorHAnsi" w:hAnsiTheme="minorHAnsi"/>
          <w:bCs/>
          <w:lang w:val="en-GB"/>
        </w:rPr>
        <w:t xml:space="preserve"> </w:t>
      </w:r>
      <w:r w:rsidR="00A62E90">
        <w:rPr>
          <w:rFonts w:asciiTheme="minorHAnsi" w:hAnsiTheme="minorHAnsi"/>
          <w:bCs/>
          <w:lang w:val="en-GB"/>
        </w:rPr>
        <w:t xml:space="preserve">and </w:t>
      </w:r>
      <w:r w:rsidR="00C93301" w:rsidRPr="00C93301">
        <w:rPr>
          <w:rFonts w:asciiTheme="minorHAnsi" w:hAnsiTheme="minorHAnsi"/>
          <w:bCs/>
          <w:lang w:val="en-GB"/>
        </w:rPr>
        <w:t>if all the Zubsolv strengths which are proposed in this submission had been used in the OX219-006 Trial, different dose equivalence to Suboxone may have been reached.</w:t>
      </w:r>
    </w:p>
    <w:p w:rsidR="00DE793B" w:rsidRPr="00DE793B" w:rsidRDefault="00DE793B" w:rsidP="00C83660">
      <w:pPr>
        <w:numPr>
          <w:ilvl w:val="1"/>
          <w:numId w:val="1"/>
        </w:numPr>
        <w:spacing w:after="120"/>
        <w:rPr>
          <w:rFonts w:asciiTheme="minorHAnsi" w:hAnsiTheme="minorHAnsi"/>
          <w:bCs/>
          <w:lang w:val="en-GB"/>
        </w:rPr>
      </w:pPr>
      <w:r>
        <w:rPr>
          <w:rFonts w:asciiTheme="minorHAnsi" w:hAnsiTheme="minorHAnsi"/>
          <w:bCs/>
          <w:lang w:val="en-GB"/>
        </w:rPr>
        <w:t xml:space="preserve">Overall, the PBAC considered the dose equivalence between Zubsolv and the comparator to be uncertain based on the available </w:t>
      </w:r>
      <w:r w:rsidR="00AA23E6">
        <w:rPr>
          <w:rFonts w:asciiTheme="minorHAnsi" w:hAnsiTheme="minorHAnsi"/>
          <w:bCs/>
          <w:lang w:val="en-GB"/>
        </w:rPr>
        <w:t>bioavailability</w:t>
      </w:r>
      <w:r>
        <w:rPr>
          <w:rFonts w:asciiTheme="minorHAnsi" w:hAnsiTheme="minorHAnsi"/>
          <w:bCs/>
          <w:lang w:val="en-GB"/>
        </w:rPr>
        <w:t xml:space="preserve"> data to Suboxone tablet, a lack of direct bioavailability evidence between Zubsolv and Suboxone film, and issues with dosing methodology used in the key study.</w:t>
      </w:r>
    </w:p>
    <w:p w:rsidR="009F2B5C" w:rsidRDefault="009F2B5C" w:rsidP="00C83660">
      <w:pPr>
        <w:numPr>
          <w:ilvl w:val="1"/>
          <w:numId w:val="1"/>
        </w:numPr>
        <w:spacing w:after="120"/>
        <w:rPr>
          <w:rFonts w:asciiTheme="minorHAnsi" w:hAnsiTheme="minorHAnsi"/>
          <w:bCs/>
          <w:lang w:val="en-GB"/>
        </w:rPr>
      </w:pPr>
      <w:r w:rsidRPr="009F2B5C">
        <w:rPr>
          <w:rFonts w:asciiTheme="minorHAnsi" w:hAnsiTheme="minorHAnsi"/>
          <w:bCs/>
          <w:lang w:val="en-GB"/>
        </w:rPr>
        <w:t>The</w:t>
      </w:r>
      <w:r>
        <w:rPr>
          <w:rFonts w:asciiTheme="minorHAnsi" w:hAnsiTheme="minorHAnsi"/>
          <w:bCs/>
          <w:lang w:val="en-GB"/>
        </w:rPr>
        <w:t xml:space="preserve"> PBAC</w:t>
      </w:r>
      <w:r w:rsidR="003B087D">
        <w:rPr>
          <w:rFonts w:asciiTheme="minorHAnsi" w:hAnsiTheme="minorHAnsi"/>
          <w:bCs/>
          <w:lang w:val="en-GB"/>
        </w:rPr>
        <w:t xml:space="preserve"> considered that the cost savings </w:t>
      </w:r>
      <w:r w:rsidR="00DE793B">
        <w:rPr>
          <w:rFonts w:asciiTheme="minorHAnsi" w:hAnsiTheme="minorHAnsi"/>
          <w:bCs/>
          <w:lang w:val="en-GB"/>
        </w:rPr>
        <w:t xml:space="preserve">estimated by the submission were not likely to </w:t>
      </w:r>
      <w:r w:rsidR="003B087D">
        <w:rPr>
          <w:rFonts w:asciiTheme="minorHAnsi" w:hAnsiTheme="minorHAnsi"/>
          <w:bCs/>
          <w:lang w:val="en-GB"/>
        </w:rPr>
        <w:t>be realised because</w:t>
      </w:r>
      <w:r>
        <w:rPr>
          <w:rFonts w:asciiTheme="minorHAnsi" w:hAnsiTheme="minorHAnsi"/>
          <w:bCs/>
          <w:lang w:val="en-GB"/>
        </w:rPr>
        <w:t xml:space="preserve"> </w:t>
      </w:r>
      <w:r w:rsidR="003B087D">
        <w:rPr>
          <w:rFonts w:asciiTheme="minorHAnsi" w:hAnsiTheme="minorHAnsi"/>
          <w:bCs/>
          <w:lang w:val="en-GB"/>
        </w:rPr>
        <w:t xml:space="preserve">(i) the claim of non-inferiority </w:t>
      </w:r>
      <w:r w:rsidR="0070301D">
        <w:rPr>
          <w:rFonts w:asciiTheme="minorHAnsi" w:hAnsiTheme="minorHAnsi"/>
          <w:bCs/>
          <w:lang w:val="en-GB"/>
        </w:rPr>
        <w:t>of Zubsolv versus Suboxone film was not adequately supported by the data; (ii) buprenorphine of 5.7</w:t>
      </w:r>
      <w:r w:rsidR="00333E59">
        <w:rPr>
          <w:rFonts w:asciiTheme="minorHAnsi" w:hAnsiTheme="minorHAnsi"/>
          <w:bCs/>
          <w:lang w:val="en-GB"/>
        </w:rPr>
        <w:t xml:space="preserve"> </w:t>
      </w:r>
      <w:r w:rsidR="0070301D">
        <w:rPr>
          <w:rFonts w:asciiTheme="minorHAnsi" w:hAnsiTheme="minorHAnsi"/>
          <w:bCs/>
          <w:lang w:val="en-GB"/>
        </w:rPr>
        <w:t xml:space="preserve">mg in Zubsolv </w:t>
      </w:r>
      <w:r w:rsidR="00690F6E">
        <w:rPr>
          <w:rFonts w:asciiTheme="minorHAnsi" w:hAnsiTheme="minorHAnsi"/>
          <w:bCs/>
          <w:lang w:val="en-GB"/>
        </w:rPr>
        <w:t xml:space="preserve"> is likely to be equi-effective to less than </w:t>
      </w:r>
      <w:r w:rsidR="0070301D">
        <w:rPr>
          <w:rFonts w:asciiTheme="minorHAnsi" w:hAnsiTheme="minorHAnsi"/>
          <w:bCs/>
          <w:lang w:val="en-GB"/>
        </w:rPr>
        <w:t>8</w:t>
      </w:r>
      <w:r w:rsidR="00333E59">
        <w:rPr>
          <w:rFonts w:asciiTheme="minorHAnsi" w:hAnsiTheme="minorHAnsi"/>
          <w:bCs/>
          <w:lang w:val="en-GB"/>
        </w:rPr>
        <w:t xml:space="preserve"> </w:t>
      </w:r>
      <w:r w:rsidR="0070301D">
        <w:rPr>
          <w:rFonts w:asciiTheme="minorHAnsi" w:hAnsiTheme="minorHAnsi"/>
          <w:bCs/>
          <w:lang w:val="en-GB"/>
        </w:rPr>
        <w:t>mg</w:t>
      </w:r>
      <w:r w:rsidR="00690F6E">
        <w:rPr>
          <w:rFonts w:asciiTheme="minorHAnsi" w:hAnsiTheme="minorHAnsi"/>
          <w:bCs/>
          <w:lang w:val="en-GB"/>
        </w:rPr>
        <w:t xml:space="preserve"> buprenorphine</w:t>
      </w:r>
      <w:r w:rsidR="0070301D">
        <w:rPr>
          <w:rFonts w:asciiTheme="minorHAnsi" w:hAnsiTheme="minorHAnsi"/>
          <w:bCs/>
          <w:lang w:val="en-GB"/>
        </w:rPr>
        <w:t xml:space="preserve"> in Suboxone film; and (iii) the majority of patients would be treated with six available strengths</w:t>
      </w:r>
      <w:r w:rsidR="00A06863">
        <w:rPr>
          <w:rFonts w:asciiTheme="minorHAnsi" w:hAnsiTheme="minorHAnsi"/>
          <w:bCs/>
          <w:lang w:val="en-GB"/>
        </w:rPr>
        <w:t xml:space="preserve"> in clinical practice</w:t>
      </w:r>
      <w:r w:rsidR="0070301D">
        <w:rPr>
          <w:rFonts w:asciiTheme="minorHAnsi" w:hAnsiTheme="minorHAnsi"/>
          <w:bCs/>
          <w:lang w:val="en-GB"/>
        </w:rPr>
        <w:t>, but only the 11.4/2.9</w:t>
      </w:r>
      <w:r w:rsidR="00333E59">
        <w:rPr>
          <w:rFonts w:asciiTheme="minorHAnsi" w:hAnsiTheme="minorHAnsi"/>
          <w:bCs/>
          <w:lang w:val="en-GB"/>
        </w:rPr>
        <w:t xml:space="preserve"> </w:t>
      </w:r>
      <w:r w:rsidR="0070301D">
        <w:rPr>
          <w:rFonts w:asciiTheme="minorHAnsi" w:hAnsiTheme="minorHAnsi"/>
          <w:bCs/>
          <w:lang w:val="en-GB"/>
        </w:rPr>
        <w:t>mg and the 8.6/2.1</w:t>
      </w:r>
      <w:r w:rsidR="00333E59">
        <w:rPr>
          <w:rFonts w:asciiTheme="minorHAnsi" w:hAnsiTheme="minorHAnsi"/>
          <w:bCs/>
          <w:lang w:val="en-GB"/>
        </w:rPr>
        <w:t xml:space="preserve"> </w:t>
      </w:r>
      <w:r w:rsidR="0070301D">
        <w:rPr>
          <w:rFonts w:asciiTheme="minorHAnsi" w:hAnsiTheme="minorHAnsi"/>
          <w:bCs/>
          <w:lang w:val="en-GB"/>
        </w:rPr>
        <w:t xml:space="preserve">mg formulations of Zubsolv offer </w:t>
      </w:r>
      <w:r w:rsidR="00A06863">
        <w:rPr>
          <w:rFonts w:asciiTheme="minorHAnsi" w:hAnsiTheme="minorHAnsi"/>
          <w:bCs/>
          <w:lang w:val="en-GB"/>
        </w:rPr>
        <w:t xml:space="preserve">a </w:t>
      </w:r>
      <w:r w:rsidR="00562116">
        <w:rPr>
          <w:rFonts w:asciiTheme="minorHAnsi" w:hAnsiTheme="minorHAnsi"/>
          <w:bCs/>
          <w:noProof/>
          <w:color w:val="000000"/>
          <w:highlight w:val="black"/>
          <w:lang w:val="en-GB"/>
        </w:rPr>
        <w:t xml:space="preserve">''''''''''' </w:t>
      </w:r>
      <w:r w:rsidR="0070301D">
        <w:rPr>
          <w:rFonts w:asciiTheme="minorHAnsi" w:hAnsiTheme="minorHAnsi"/>
          <w:bCs/>
          <w:lang w:val="en-GB"/>
        </w:rPr>
        <w:t xml:space="preserve">price compared with Suboxone film. </w:t>
      </w:r>
    </w:p>
    <w:p w:rsidR="00EE736E" w:rsidRPr="009F2B5C" w:rsidRDefault="00EE736E" w:rsidP="00C83660">
      <w:pPr>
        <w:numPr>
          <w:ilvl w:val="1"/>
          <w:numId w:val="1"/>
        </w:numPr>
        <w:spacing w:after="120"/>
        <w:rPr>
          <w:rFonts w:asciiTheme="minorHAnsi" w:hAnsiTheme="minorHAnsi"/>
          <w:bCs/>
          <w:lang w:val="en-GB"/>
        </w:rPr>
      </w:pPr>
      <w:r>
        <w:rPr>
          <w:rFonts w:asciiTheme="minorHAnsi" w:hAnsiTheme="minorHAnsi"/>
          <w:bCs/>
          <w:lang w:val="en-GB"/>
        </w:rPr>
        <w:t xml:space="preserve">The PBAC recalled </w:t>
      </w:r>
      <w:r w:rsidRPr="00EE736E">
        <w:rPr>
          <w:rFonts w:asciiTheme="minorHAnsi" w:hAnsiTheme="minorHAnsi"/>
          <w:bCs/>
          <w:lang w:val="en-GB"/>
        </w:rPr>
        <w:t xml:space="preserve">at its November 2014 meeting </w:t>
      </w:r>
      <w:r>
        <w:rPr>
          <w:rFonts w:asciiTheme="minorHAnsi" w:hAnsiTheme="minorHAnsi"/>
          <w:bCs/>
          <w:lang w:val="en-GB"/>
        </w:rPr>
        <w:t>it considered that it was appropriate for price-per-mg of Suboxone film to be linearly extrapolated from currently listed strengths</w:t>
      </w:r>
      <w:r w:rsidR="00336EFC">
        <w:rPr>
          <w:rFonts w:asciiTheme="minorHAnsi" w:hAnsiTheme="minorHAnsi"/>
          <w:bCs/>
          <w:lang w:val="en-GB"/>
        </w:rPr>
        <w:t xml:space="preserve"> (paragraph 7.4, Suboxone Public Summary Document, November 2014 PBAC meeting)</w:t>
      </w:r>
      <w:r w:rsidR="00DE793B">
        <w:rPr>
          <w:rFonts w:asciiTheme="minorHAnsi" w:hAnsiTheme="minorHAnsi"/>
          <w:bCs/>
          <w:lang w:val="en-GB"/>
        </w:rPr>
        <w:t xml:space="preserve">. The PBAC </w:t>
      </w:r>
      <w:r>
        <w:rPr>
          <w:rFonts w:asciiTheme="minorHAnsi" w:hAnsiTheme="minorHAnsi"/>
          <w:bCs/>
          <w:lang w:val="en-GB"/>
        </w:rPr>
        <w:t xml:space="preserve">considered </w:t>
      </w:r>
      <w:r w:rsidR="00A06863">
        <w:rPr>
          <w:rFonts w:asciiTheme="minorHAnsi" w:hAnsiTheme="minorHAnsi"/>
          <w:bCs/>
          <w:lang w:val="en-GB"/>
        </w:rPr>
        <w:t xml:space="preserve">that the submission did not adequately justify the proposed </w:t>
      </w:r>
      <w:r w:rsidR="00562116">
        <w:rPr>
          <w:rFonts w:asciiTheme="minorHAnsi" w:hAnsiTheme="minorHAnsi"/>
          <w:bCs/>
          <w:noProof/>
          <w:color w:val="000000"/>
          <w:highlight w:val="black"/>
          <w:lang w:val="en-GB"/>
        </w:rPr>
        <w:t>'''''''''''''''''''''</w:t>
      </w:r>
      <w:r w:rsidR="00A06863">
        <w:rPr>
          <w:rFonts w:asciiTheme="minorHAnsi" w:hAnsiTheme="minorHAnsi"/>
          <w:bCs/>
          <w:lang w:val="en-GB"/>
        </w:rPr>
        <w:t xml:space="preserve"> pricing structure for Zubsolv.</w:t>
      </w:r>
      <w:r>
        <w:rPr>
          <w:rFonts w:asciiTheme="minorHAnsi" w:hAnsiTheme="minorHAnsi"/>
          <w:bCs/>
          <w:lang w:val="en-GB"/>
        </w:rPr>
        <w:t xml:space="preserve"> </w:t>
      </w:r>
    </w:p>
    <w:p w:rsidR="007F01DB" w:rsidRPr="007F01DB" w:rsidRDefault="009337CC" w:rsidP="00C83660">
      <w:pPr>
        <w:numPr>
          <w:ilvl w:val="1"/>
          <w:numId w:val="1"/>
        </w:numPr>
        <w:spacing w:after="120"/>
      </w:pPr>
      <w:r w:rsidRPr="009337CC">
        <w:rPr>
          <w:rFonts w:asciiTheme="minorHAnsi" w:hAnsiTheme="minorHAnsi"/>
          <w:bCs/>
          <w:lang w:val="en-GB"/>
        </w:rPr>
        <w:t xml:space="preserve">The </w:t>
      </w:r>
      <w:r>
        <w:rPr>
          <w:rFonts w:asciiTheme="minorHAnsi" w:hAnsiTheme="minorHAnsi"/>
          <w:bCs/>
          <w:lang w:val="en-GB"/>
        </w:rPr>
        <w:t xml:space="preserve">PBAC noted that the Sponsor committed to provide ongoing education for Zubsolv, however the </w:t>
      </w:r>
      <w:r w:rsidR="002833D8">
        <w:rPr>
          <w:rFonts w:asciiTheme="minorHAnsi" w:hAnsiTheme="minorHAnsi"/>
          <w:bCs/>
          <w:lang w:val="en-GB"/>
        </w:rPr>
        <w:t xml:space="preserve">PBAC considered that the </w:t>
      </w:r>
      <w:r>
        <w:rPr>
          <w:rFonts w:asciiTheme="minorHAnsi" w:hAnsiTheme="minorHAnsi"/>
          <w:bCs/>
          <w:lang w:val="en-GB"/>
        </w:rPr>
        <w:t xml:space="preserve">submission did not provide sufficient details about these education activities. The PBAC </w:t>
      </w:r>
      <w:r w:rsidRPr="009337CC">
        <w:rPr>
          <w:rFonts w:asciiTheme="minorHAnsi" w:hAnsiTheme="minorHAnsi"/>
          <w:bCs/>
          <w:lang w:val="en-GB"/>
        </w:rPr>
        <w:t xml:space="preserve">considered that listing of the new form and strengths of the drug, </w:t>
      </w:r>
      <w:r w:rsidR="00D22383">
        <w:rPr>
          <w:rFonts w:asciiTheme="minorHAnsi" w:hAnsiTheme="minorHAnsi"/>
          <w:bCs/>
          <w:lang w:val="en-GB"/>
        </w:rPr>
        <w:t xml:space="preserve">unclear dose equivalence </w:t>
      </w:r>
      <w:r w:rsidR="002833D8">
        <w:rPr>
          <w:rFonts w:asciiTheme="minorHAnsi" w:hAnsiTheme="minorHAnsi"/>
          <w:bCs/>
          <w:lang w:val="en-GB"/>
        </w:rPr>
        <w:t>and the differences in bioavailability between Zubsolv and Suboxone film</w:t>
      </w:r>
      <w:r w:rsidR="00D22383">
        <w:rPr>
          <w:rFonts w:asciiTheme="minorHAnsi" w:hAnsiTheme="minorHAnsi"/>
          <w:bCs/>
          <w:lang w:val="en-GB"/>
        </w:rPr>
        <w:t xml:space="preserve"> </w:t>
      </w:r>
      <w:r w:rsidRPr="009337CC">
        <w:rPr>
          <w:rFonts w:asciiTheme="minorHAnsi" w:hAnsiTheme="minorHAnsi"/>
          <w:bCs/>
          <w:lang w:val="en-GB"/>
        </w:rPr>
        <w:t xml:space="preserve">would have significant quality use of medicines implications relating to dose titration issues should patients switch therapies, as well as </w:t>
      </w:r>
      <w:r w:rsidR="00CE0F6C" w:rsidRPr="00CE0F6C">
        <w:rPr>
          <w:rFonts w:asciiTheme="minorHAnsi" w:hAnsiTheme="minorHAnsi"/>
          <w:bCs/>
          <w:lang w:val="en-GB"/>
        </w:rPr>
        <w:t>prescriber confusion regarding strengths</w:t>
      </w:r>
      <w:r w:rsidRPr="009337CC">
        <w:rPr>
          <w:rFonts w:asciiTheme="minorHAnsi" w:hAnsiTheme="minorHAnsi"/>
          <w:bCs/>
          <w:lang w:val="en-GB"/>
        </w:rPr>
        <w:t xml:space="preserve"> </w:t>
      </w:r>
      <w:r w:rsidR="00CE0F6C">
        <w:rPr>
          <w:rFonts w:asciiTheme="minorHAnsi" w:hAnsiTheme="minorHAnsi"/>
          <w:bCs/>
          <w:lang w:val="en-GB"/>
        </w:rPr>
        <w:t>leading to</w:t>
      </w:r>
      <w:r w:rsidR="00CE0F6C" w:rsidRPr="009337CC">
        <w:rPr>
          <w:rFonts w:asciiTheme="minorHAnsi" w:hAnsiTheme="minorHAnsi"/>
          <w:bCs/>
          <w:lang w:val="en-GB"/>
        </w:rPr>
        <w:t xml:space="preserve"> </w:t>
      </w:r>
      <w:r w:rsidRPr="009337CC">
        <w:rPr>
          <w:rFonts w:asciiTheme="minorHAnsi" w:hAnsiTheme="minorHAnsi"/>
          <w:bCs/>
          <w:lang w:val="en-GB"/>
        </w:rPr>
        <w:t xml:space="preserve">incorrect </w:t>
      </w:r>
      <w:r w:rsidR="00D22383">
        <w:rPr>
          <w:rFonts w:asciiTheme="minorHAnsi" w:hAnsiTheme="minorHAnsi"/>
          <w:bCs/>
          <w:lang w:val="en-GB"/>
        </w:rPr>
        <w:t>dosing of patients</w:t>
      </w:r>
      <w:r w:rsidRPr="009337CC">
        <w:rPr>
          <w:rFonts w:asciiTheme="minorHAnsi" w:hAnsiTheme="minorHAnsi"/>
          <w:bCs/>
          <w:lang w:val="en-GB"/>
        </w:rPr>
        <w:t>.</w:t>
      </w:r>
      <w:r w:rsidR="007F01DB">
        <w:rPr>
          <w:rFonts w:asciiTheme="minorHAnsi" w:hAnsiTheme="minorHAnsi"/>
          <w:bCs/>
          <w:lang w:val="en-GB"/>
        </w:rPr>
        <w:t xml:space="preserve"> I</w:t>
      </w:r>
      <w:r w:rsidR="00E937C0">
        <w:rPr>
          <w:rFonts w:asciiTheme="minorHAnsi" w:hAnsiTheme="minorHAnsi"/>
          <w:bCs/>
          <w:lang w:val="en-GB"/>
        </w:rPr>
        <w:t>t also noted</w:t>
      </w:r>
      <w:r w:rsidR="004F62F3">
        <w:rPr>
          <w:rFonts w:asciiTheme="minorHAnsi" w:hAnsiTheme="minorHAnsi"/>
          <w:bCs/>
          <w:lang w:val="en-GB"/>
        </w:rPr>
        <w:t xml:space="preserve"> Zubsolv </w:t>
      </w:r>
      <w:r w:rsidR="00E937C0">
        <w:rPr>
          <w:rFonts w:asciiTheme="minorHAnsi" w:hAnsiTheme="minorHAnsi"/>
          <w:bCs/>
          <w:lang w:val="en-GB"/>
        </w:rPr>
        <w:t xml:space="preserve">potentially had a higher abuse potential </w:t>
      </w:r>
      <w:r w:rsidR="004F62F3">
        <w:rPr>
          <w:rFonts w:asciiTheme="minorHAnsi" w:hAnsiTheme="minorHAnsi"/>
          <w:bCs/>
          <w:lang w:val="en-GB"/>
        </w:rPr>
        <w:t>than Suboxone film</w:t>
      </w:r>
      <w:r w:rsidR="00520462">
        <w:rPr>
          <w:rFonts w:asciiTheme="minorHAnsi" w:hAnsiTheme="minorHAnsi"/>
          <w:bCs/>
          <w:lang w:val="en-GB"/>
        </w:rPr>
        <w:t xml:space="preserve">, which it considered a further QUM issue to be addressed. </w:t>
      </w:r>
    </w:p>
    <w:p w:rsidR="00FC64AE" w:rsidRPr="00C93301" w:rsidRDefault="009337CC" w:rsidP="00C83660">
      <w:pPr>
        <w:numPr>
          <w:ilvl w:val="1"/>
          <w:numId w:val="1"/>
        </w:numPr>
        <w:spacing w:after="120"/>
        <w:rPr>
          <w:rFonts w:asciiTheme="minorHAnsi" w:hAnsiTheme="minorHAnsi"/>
          <w:bCs/>
          <w:lang w:val="en-GB"/>
        </w:rPr>
      </w:pPr>
      <w:r w:rsidRPr="009337CC">
        <w:rPr>
          <w:rFonts w:asciiTheme="minorHAnsi" w:hAnsiTheme="minorHAnsi"/>
          <w:bCs/>
          <w:lang w:val="en-GB"/>
        </w:rPr>
        <w:t xml:space="preserve">The </w:t>
      </w:r>
      <w:r w:rsidR="001E1198">
        <w:rPr>
          <w:rFonts w:asciiTheme="minorHAnsi" w:hAnsiTheme="minorHAnsi"/>
          <w:bCs/>
          <w:lang w:val="en-GB"/>
        </w:rPr>
        <w:t>PBAC</w:t>
      </w:r>
      <w:r w:rsidRPr="009337CC">
        <w:rPr>
          <w:rFonts w:asciiTheme="minorHAnsi" w:hAnsiTheme="minorHAnsi"/>
          <w:bCs/>
          <w:lang w:val="en-GB"/>
        </w:rPr>
        <w:t xml:space="preserve"> </w:t>
      </w:r>
      <w:r w:rsidR="00474198">
        <w:rPr>
          <w:rFonts w:asciiTheme="minorHAnsi" w:hAnsiTheme="minorHAnsi"/>
          <w:bCs/>
          <w:lang w:val="en-GB"/>
        </w:rPr>
        <w:t>noted</w:t>
      </w:r>
      <w:r w:rsidR="00474198" w:rsidRPr="009337CC">
        <w:rPr>
          <w:rFonts w:asciiTheme="minorHAnsi" w:hAnsiTheme="minorHAnsi"/>
          <w:bCs/>
          <w:lang w:val="en-GB"/>
        </w:rPr>
        <w:t xml:space="preserve"> </w:t>
      </w:r>
      <w:r w:rsidRPr="009337CC">
        <w:rPr>
          <w:rFonts w:asciiTheme="minorHAnsi" w:hAnsiTheme="minorHAnsi"/>
          <w:bCs/>
          <w:lang w:val="en-GB"/>
        </w:rPr>
        <w:t>that listing Zubsolv would require updates to clinical guidelines and education for prescribers</w:t>
      </w:r>
      <w:r w:rsidR="00474198">
        <w:rPr>
          <w:rFonts w:asciiTheme="minorHAnsi" w:hAnsiTheme="minorHAnsi"/>
          <w:bCs/>
          <w:lang w:val="en-GB"/>
        </w:rPr>
        <w:t xml:space="preserve"> and considered that</w:t>
      </w:r>
      <w:r w:rsidRPr="009337CC">
        <w:rPr>
          <w:rFonts w:asciiTheme="minorHAnsi" w:hAnsiTheme="minorHAnsi"/>
          <w:bCs/>
          <w:lang w:val="en-GB"/>
        </w:rPr>
        <w:t xml:space="preserve"> </w:t>
      </w:r>
      <w:r w:rsidR="00474198">
        <w:rPr>
          <w:rFonts w:asciiTheme="minorHAnsi" w:hAnsiTheme="minorHAnsi"/>
          <w:bCs/>
          <w:lang w:val="en-GB"/>
        </w:rPr>
        <w:t>l</w:t>
      </w:r>
      <w:r w:rsidRPr="009337CC">
        <w:rPr>
          <w:rFonts w:asciiTheme="minorHAnsi" w:hAnsiTheme="minorHAnsi"/>
          <w:bCs/>
          <w:lang w:val="en-GB"/>
        </w:rPr>
        <w:t>isting on the PBS may therefore not be sufficiently justified without a compelling clinical need for an additional form of buprenorphine/naloxone.</w:t>
      </w:r>
    </w:p>
    <w:p w:rsidR="005A4E51" w:rsidRDefault="008677F4" w:rsidP="00C83660">
      <w:pPr>
        <w:numPr>
          <w:ilvl w:val="1"/>
          <w:numId w:val="1"/>
        </w:numPr>
        <w:spacing w:after="120"/>
        <w:rPr>
          <w:rFonts w:asciiTheme="minorHAnsi" w:hAnsiTheme="minorHAnsi"/>
          <w:bCs/>
          <w:lang w:val="en-GB"/>
        </w:rPr>
      </w:pPr>
      <w:r>
        <w:rPr>
          <w:rFonts w:asciiTheme="minorHAnsi" w:hAnsiTheme="minorHAnsi"/>
          <w:bCs/>
          <w:lang w:val="en-GB"/>
        </w:rPr>
        <w:t xml:space="preserve">The PBAC advised that any resubmission for buprenorphine with naloxone (Zubsolv) </w:t>
      </w:r>
      <w:r w:rsidR="000A01D0">
        <w:rPr>
          <w:rFonts w:asciiTheme="minorHAnsi" w:hAnsiTheme="minorHAnsi"/>
          <w:bCs/>
          <w:lang w:val="en-GB"/>
        </w:rPr>
        <w:t>should consider the following</w:t>
      </w:r>
      <w:r w:rsidR="005A4E51">
        <w:rPr>
          <w:rFonts w:asciiTheme="minorHAnsi" w:hAnsiTheme="minorHAnsi"/>
          <w:bCs/>
          <w:lang w:val="en-GB"/>
        </w:rPr>
        <w:t>:</w:t>
      </w:r>
    </w:p>
    <w:p w:rsidR="008677F4" w:rsidRPr="00AF13C9" w:rsidRDefault="008677F4" w:rsidP="00C83660">
      <w:pPr>
        <w:numPr>
          <w:ilvl w:val="2"/>
          <w:numId w:val="16"/>
        </w:numPr>
        <w:spacing w:after="120"/>
        <w:ind w:left="1560"/>
        <w:rPr>
          <w:rFonts w:asciiTheme="minorHAnsi" w:hAnsiTheme="minorHAnsi"/>
          <w:bCs/>
          <w:lang w:val="en-GB"/>
        </w:rPr>
      </w:pPr>
      <w:r w:rsidRPr="00AF13C9">
        <w:rPr>
          <w:rFonts w:asciiTheme="minorHAnsi" w:hAnsiTheme="minorHAnsi"/>
          <w:bCs/>
          <w:lang w:val="en-GB"/>
        </w:rPr>
        <w:t>Address the uncertainty with the claim of non-inferior comparative effectiveness</w:t>
      </w:r>
      <w:r w:rsidR="003D3B9F">
        <w:rPr>
          <w:rFonts w:asciiTheme="minorHAnsi" w:hAnsiTheme="minorHAnsi"/>
          <w:bCs/>
          <w:lang w:val="en-GB"/>
        </w:rPr>
        <w:t xml:space="preserve"> discussed in paragraph 7.4</w:t>
      </w:r>
      <w:r w:rsidR="000A01D0">
        <w:rPr>
          <w:rFonts w:asciiTheme="minorHAnsi" w:hAnsiTheme="minorHAnsi"/>
          <w:bCs/>
          <w:lang w:val="en-GB"/>
        </w:rPr>
        <w:t xml:space="preserve">, such as with supportive objective </w:t>
      </w:r>
      <w:r w:rsidR="000A01D0">
        <w:rPr>
          <w:rFonts w:asciiTheme="minorHAnsi" w:hAnsiTheme="minorHAnsi"/>
          <w:bCs/>
          <w:lang w:val="en-GB"/>
        </w:rPr>
        <w:lastRenderedPageBreak/>
        <w:t xml:space="preserve">measures of decreased drug use </w:t>
      </w:r>
      <w:r w:rsidR="00AF13C9">
        <w:rPr>
          <w:rFonts w:asciiTheme="minorHAnsi" w:hAnsiTheme="minorHAnsi"/>
          <w:bCs/>
          <w:lang w:val="en-GB"/>
        </w:rPr>
        <w:t>; and</w:t>
      </w:r>
    </w:p>
    <w:p w:rsidR="00690F6E" w:rsidRDefault="006C2C9E" w:rsidP="002C481A">
      <w:pPr>
        <w:numPr>
          <w:ilvl w:val="2"/>
          <w:numId w:val="16"/>
        </w:numPr>
        <w:spacing w:after="120"/>
        <w:ind w:left="1560"/>
        <w:rPr>
          <w:rFonts w:asciiTheme="minorHAnsi" w:hAnsiTheme="minorHAnsi"/>
          <w:bCs/>
          <w:lang w:val="en-GB"/>
        </w:rPr>
      </w:pPr>
      <w:r>
        <w:rPr>
          <w:rFonts w:asciiTheme="minorHAnsi" w:hAnsiTheme="minorHAnsi"/>
          <w:bCs/>
          <w:lang w:val="en-GB"/>
        </w:rPr>
        <w:t xml:space="preserve">Address the uncertainty regarding the </w:t>
      </w:r>
      <w:r w:rsidR="00CA6654">
        <w:rPr>
          <w:rFonts w:asciiTheme="minorHAnsi" w:hAnsiTheme="minorHAnsi"/>
          <w:bCs/>
          <w:lang w:val="en-GB"/>
        </w:rPr>
        <w:t xml:space="preserve">dose equivalence to the comparator. </w:t>
      </w:r>
    </w:p>
    <w:p w:rsidR="003D3B9F" w:rsidRPr="00690F6E" w:rsidRDefault="00F658A5" w:rsidP="002C481A">
      <w:pPr>
        <w:numPr>
          <w:ilvl w:val="2"/>
          <w:numId w:val="16"/>
        </w:numPr>
        <w:spacing w:after="120"/>
        <w:ind w:left="1560"/>
        <w:rPr>
          <w:rFonts w:asciiTheme="minorHAnsi" w:hAnsiTheme="minorHAnsi"/>
          <w:bCs/>
          <w:lang w:val="en-GB"/>
        </w:rPr>
      </w:pPr>
      <w:r>
        <w:rPr>
          <w:rFonts w:asciiTheme="minorHAnsi" w:hAnsiTheme="minorHAnsi"/>
          <w:bCs/>
          <w:lang w:val="en-GB"/>
        </w:rPr>
        <w:t xml:space="preserve">Demonstrate a </w:t>
      </w:r>
      <w:r w:rsidR="00DE793B">
        <w:rPr>
          <w:rFonts w:asciiTheme="minorHAnsi" w:hAnsiTheme="minorHAnsi"/>
          <w:bCs/>
          <w:lang w:val="en-GB"/>
        </w:rPr>
        <w:t xml:space="preserve">compelling </w:t>
      </w:r>
      <w:r>
        <w:rPr>
          <w:rFonts w:asciiTheme="minorHAnsi" w:hAnsiTheme="minorHAnsi"/>
          <w:bCs/>
          <w:lang w:val="en-GB"/>
        </w:rPr>
        <w:t>clinical need</w:t>
      </w:r>
      <w:r w:rsidR="00DE793B">
        <w:rPr>
          <w:rFonts w:asciiTheme="minorHAnsi" w:hAnsiTheme="minorHAnsi"/>
          <w:bCs/>
          <w:lang w:val="en-GB"/>
        </w:rPr>
        <w:t xml:space="preserve"> for another form of buprenorphine/naloxone</w:t>
      </w:r>
      <w:r w:rsidR="006A4C13">
        <w:rPr>
          <w:rFonts w:asciiTheme="minorHAnsi" w:hAnsiTheme="minorHAnsi"/>
          <w:bCs/>
          <w:lang w:val="en-GB"/>
        </w:rPr>
        <w:t xml:space="preserve">, </w:t>
      </w:r>
      <w:r w:rsidR="00DE793B">
        <w:rPr>
          <w:rFonts w:asciiTheme="minorHAnsi" w:hAnsiTheme="minorHAnsi"/>
          <w:bCs/>
          <w:lang w:val="en-GB"/>
        </w:rPr>
        <w:t xml:space="preserve">in the context of the </w:t>
      </w:r>
      <w:r w:rsidR="00B83090">
        <w:rPr>
          <w:rFonts w:asciiTheme="minorHAnsi" w:hAnsiTheme="minorHAnsi"/>
          <w:bCs/>
          <w:lang w:val="en-GB"/>
        </w:rPr>
        <w:t>significant updates to clinical guidance</w:t>
      </w:r>
      <w:r w:rsidR="006A4C13">
        <w:rPr>
          <w:rFonts w:asciiTheme="minorHAnsi" w:hAnsiTheme="minorHAnsi"/>
          <w:bCs/>
          <w:lang w:val="en-GB"/>
        </w:rPr>
        <w:t xml:space="preserve"> </w:t>
      </w:r>
      <w:r w:rsidR="00B83090">
        <w:rPr>
          <w:rFonts w:asciiTheme="minorHAnsi" w:hAnsiTheme="minorHAnsi"/>
          <w:bCs/>
          <w:lang w:val="en-GB"/>
        </w:rPr>
        <w:t>and educat</w:t>
      </w:r>
      <w:r w:rsidR="006A4C13">
        <w:rPr>
          <w:rFonts w:asciiTheme="minorHAnsi" w:hAnsiTheme="minorHAnsi"/>
          <w:bCs/>
          <w:lang w:val="en-GB"/>
        </w:rPr>
        <w:t xml:space="preserve">ion of </w:t>
      </w:r>
      <w:r w:rsidR="00B83090">
        <w:rPr>
          <w:rFonts w:asciiTheme="minorHAnsi" w:hAnsiTheme="minorHAnsi"/>
          <w:bCs/>
          <w:lang w:val="en-GB"/>
        </w:rPr>
        <w:t>prescribers</w:t>
      </w:r>
      <w:r w:rsidR="006A4C13">
        <w:rPr>
          <w:rFonts w:asciiTheme="minorHAnsi" w:hAnsiTheme="minorHAnsi"/>
          <w:bCs/>
          <w:lang w:val="en-GB"/>
        </w:rPr>
        <w:t xml:space="preserve"> </w:t>
      </w:r>
      <w:r w:rsidR="00DE793B">
        <w:rPr>
          <w:rFonts w:asciiTheme="minorHAnsi" w:hAnsiTheme="minorHAnsi"/>
          <w:bCs/>
          <w:lang w:val="en-GB"/>
        </w:rPr>
        <w:t xml:space="preserve">that would </w:t>
      </w:r>
      <w:r w:rsidR="006A4C13">
        <w:rPr>
          <w:rFonts w:asciiTheme="minorHAnsi" w:hAnsiTheme="minorHAnsi"/>
          <w:bCs/>
          <w:lang w:val="en-GB"/>
        </w:rPr>
        <w:t xml:space="preserve">be required </w:t>
      </w:r>
      <w:r w:rsidR="00B83090">
        <w:rPr>
          <w:rFonts w:asciiTheme="minorHAnsi" w:hAnsiTheme="minorHAnsi"/>
          <w:bCs/>
          <w:lang w:val="en-GB"/>
        </w:rPr>
        <w:t xml:space="preserve">to mitigate </w:t>
      </w:r>
      <w:r w:rsidR="006A4C13">
        <w:rPr>
          <w:rFonts w:asciiTheme="minorHAnsi" w:hAnsiTheme="minorHAnsi"/>
          <w:bCs/>
          <w:lang w:val="en-GB"/>
        </w:rPr>
        <w:t xml:space="preserve">the </w:t>
      </w:r>
      <w:r w:rsidR="00D22383">
        <w:rPr>
          <w:rFonts w:asciiTheme="minorHAnsi" w:hAnsiTheme="minorHAnsi"/>
          <w:bCs/>
          <w:lang w:val="en-GB"/>
        </w:rPr>
        <w:t xml:space="preserve">potential </w:t>
      </w:r>
      <w:r w:rsidR="006A4C13">
        <w:rPr>
          <w:rFonts w:asciiTheme="minorHAnsi" w:hAnsiTheme="minorHAnsi"/>
          <w:bCs/>
          <w:lang w:val="en-GB"/>
        </w:rPr>
        <w:t xml:space="preserve">quality use of medicines issues </w:t>
      </w:r>
      <w:r w:rsidR="00D22383">
        <w:rPr>
          <w:rFonts w:asciiTheme="minorHAnsi" w:hAnsiTheme="minorHAnsi"/>
          <w:bCs/>
          <w:lang w:val="en-GB"/>
        </w:rPr>
        <w:t>(as identified in paragraph 7.10)</w:t>
      </w:r>
      <w:r w:rsidR="00B83090">
        <w:rPr>
          <w:rFonts w:asciiTheme="minorHAnsi" w:hAnsiTheme="minorHAnsi"/>
          <w:bCs/>
          <w:lang w:val="en-GB"/>
        </w:rPr>
        <w:t>.</w:t>
      </w:r>
    </w:p>
    <w:p w:rsidR="000335CC" w:rsidRDefault="008677F4" w:rsidP="00C83660">
      <w:pPr>
        <w:numPr>
          <w:ilvl w:val="1"/>
          <w:numId w:val="1"/>
        </w:numPr>
        <w:spacing w:after="120"/>
        <w:rPr>
          <w:rFonts w:asciiTheme="minorHAnsi" w:hAnsiTheme="minorHAnsi"/>
          <w:bCs/>
          <w:lang w:val="en-GB"/>
        </w:rPr>
      </w:pPr>
      <w:r>
        <w:rPr>
          <w:rFonts w:asciiTheme="minorHAnsi" w:hAnsiTheme="minorHAnsi"/>
          <w:bCs/>
          <w:lang w:val="en-GB"/>
        </w:rPr>
        <w:t xml:space="preserve">The PBAC noted that this submission is eligible for an Independent Review. </w:t>
      </w:r>
    </w:p>
    <w:p w:rsidR="008C7878" w:rsidRPr="00525B39" w:rsidRDefault="008C7878" w:rsidP="006D21CD">
      <w:pPr>
        <w:rPr>
          <w:rFonts w:asciiTheme="minorHAnsi" w:hAnsiTheme="minorHAnsi"/>
          <w:b/>
          <w:bCs/>
          <w:lang w:val="en-GB"/>
        </w:rPr>
      </w:pPr>
      <w:r w:rsidRPr="00525B39">
        <w:rPr>
          <w:rFonts w:asciiTheme="minorHAnsi" w:hAnsiTheme="minorHAnsi"/>
          <w:b/>
          <w:bCs/>
          <w:lang w:val="en-GB"/>
        </w:rPr>
        <w:t>Outcome:</w:t>
      </w:r>
    </w:p>
    <w:p w:rsidR="000A7D07" w:rsidRDefault="003E62EF" w:rsidP="006D21CD">
      <w:pPr>
        <w:rPr>
          <w:rFonts w:asciiTheme="minorHAnsi" w:hAnsiTheme="minorHAnsi"/>
          <w:bCs/>
          <w:lang w:val="en-GB"/>
        </w:rPr>
      </w:pPr>
      <w:r>
        <w:rPr>
          <w:rFonts w:asciiTheme="minorHAnsi" w:hAnsiTheme="minorHAnsi"/>
          <w:bCs/>
          <w:lang w:val="en-GB"/>
        </w:rPr>
        <w:t>Rejected</w:t>
      </w:r>
    </w:p>
    <w:p w:rsidR="000A7D07" w:rsidRDefault="000A7D07" w:rsidP="000A7D07">
      <w:pPr>
        <w:pStyle w:val="2Sections"/>
        <w:numPr>
          <w:ilvl w:val="0"/>
          <w:numId w:val="1"/>
        </w:numPr>
        <w:ind w:left="720"/>
        <w:rPr>
          <w:rFonts w:cstheme="minorHAnsi"/>
        </w:rPr>
      </w:pPr>
      <w:r>
        <w:t xml:space="preserve">Context for Decision </w:t>
      </w:r>
    </w:p>
    <w:p w:rsidR="000A7D07" w:rsidRDefault="004763C5" w:rsidP="000A7D07">
      <w:r w:rsidRPr="004763C5">
        <w:rPr>
          <w:rFonts w:asciiTheme="minorHAnsi" w:hAnsi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A7D07" w:rsidRPr="00D53BD3" w:rsidRDefault="000A7D07" w:rsidP="000A7D07">
      <w:pPr>
        <w:pStyle w:val="2Sections"/>
        <w:numPr>
          <w:ilvl w:val="0"/>
          <w:numId w:val="1"/>
        </w:numPr>
        <w:ind w:left="720"/>
      </w:pPr>
      <w:r w:rsidRPr="00D53BD3">
        <w:t>Sponsor’s Comment</w:t>
      </w:r>
    </w:p>
    <w:p w:rsidR="005D5673" w:rsidRPr="00A1495C" w:rsidRDefault="006625B3" w:rsidP="00B5551B">
      <w:pPr>
        <w:spacing w:after="120" w:line="276" w:lineRule="auto"/>
        <w:rPr>
          <w:rFonts w:eastAsiaTheme="minorHAnsi"/>
          <w:lang w:val="en-GB"/>
        </w:rPr>
      </w:pPr>
      <w:r w:rsidRPr="003E1218">
        <w:rPr>
          <w:rFonts w:eastAsiaTheme="minorHAnsi"/>
          <w:lang w:val="en-GB"/>
        </w:rPr>
        <w:t>The Sponsor looks forward to continuing to work with the PBAC and the Department to make Zubsolv available for Australian patients in the near future.</w:t>
      </w:r>
      <w:r w:rsidR="00A1495C" w:rsidRPr="00A1495C">
        <w:rPr>
          <w:rFonts w:eastAsiaTheme="minorHAnsi"/>
          <w:lang w:val="en-GB"/>
        </w:rPr>
        <w:t xml:space="preserve"> For clarification, the Sponsor notes that mention in paragraph 6.8 regarding the dose conversion for patients on Suboxone film who were converted to Zubsolv at Day 15 in Trial OX219-006 occurred according to a fixed conversion factor (5.7 to 8mg) on the basis of the corresponding dose strengths of Zubsolv and Suboxone Film, and using the Table 4 conversions</w:t>
      </w:r>
      <w:r w:rsidR="00A1495C">
        <w:rPr>
          <w:rFonts w:eastAsiaTheme="minorHAnsi"/>
          <w:lang w:val="en-GB"/>
        </w:rPr>
        <w:t>.</w:t>
      </w:r>
    </w:p>
    <w:sectPr w:rsidR="005D5673" w:rsidRPr="00A1495C" w:rsidSect="0082087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03" w:rsidRDefault="001D2703" w:rsidP="00124A51">
      <w:r>
        <w:separator/>
      </w:r>
    </w:p>
    <w:p w:rsidR="001D2703" w:rsidRDefault="001D2703"/>
  </w:endnote>
  <w:endnote w:type="continuationSeparator" w:id="0">
    <w:p w:rsidR="001D2703" w:rsidRDefault="001D2703" w:rsidP="00124A51">
      <w:r>
        <w:continuationSeparator/>
      </w:r>
    </w:p>
    <w:p w:rsidR="001D2703" w:rsidRDefault="001D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74" w:rsidRDefault="006D0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07191"/>
      <w:docPartObj>
        <w:docPartGallery w:val="Page Numbers (Bottom of Page)"/>
        <w:docPartUnique/>
      </w:docPartObj>
    </w:sdtPr>
    <w:sdtEndPr>
      <w:rPr>
        <w:b/>
        <w:noProof/>
      </w:rPr>
    </w:sdtEndPr>
    <w:sdtContent>
      <w:p w:rsidR="005F4B2A" w:rsidRDefault="005F4B2A">
        <w:pPr>
          <w:pStyle w:val="Footer"/>
          <w:jc w:val="center"/>
        </w:pPr>
      </w:p>
      <w:p w:rsidR="005F4B2A" w:rsidRPr="000312BF" w:rsidRDefault="005F4B2A">
        <w:pPr>
          <w:pStyle w:val="Footer"/>
          <w:jc w:val="center"/>
          <w:rPr>
            <w:b/>
          </w:rPr>
        </w:pPr>
        <w:r w:rsidRPr="000312BF">
          <w:rPr>
            <w:b/>
          </w:rPr>
          <w:fldChar w:fldCharType="begin"/>
        </w:r>
        <w:r w:rsidRPr="000312BF">
          <w:rPr>
            <w:b/>
          </w:rPr>
          <w:instrText xml:space="preserve"> PAGE   \* MERGEFORMAT </w:instrText>
        </w:r>
        <w:r w:rsidRPr="000312BF">
          <w:rPr>
            <w:b/>
          </w:rPr>
          <w:fldChar w:fldCharType="separate"/>
        </w:r>
        <w:r w:rsidR="001D2703">
          <w:rPr>
            <w:b/>
            <w:noProof/>
          </w:rPr>
          <w:t>14</w:t>
        </w:r>
        <w:r w:rsidRPr="000312BF">
          <w:rPr>
            <w:b/>
            <w:noProof/>
          </w:rPr>
          <w:fldChar w:fldCharType="end"/>
        </w:r>
      </w:p>
    </w:sdtContent>
  </w:sdt>
  <w:p w:rsidR="005F4B2A" w:rsidRDefault="005F4B2A" w:rsidP="006911FB">
    <w:pPr>
      <w:ind w:left="709"/>
      <w:contextualSpacing/>
      <w:jc w:val="center"/>
      <w:rPr>
        <w:rFonts w:eastAsia="Calibri"/>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74" w:rsidRDefault="006D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03" w:rsidRDefault="001D2703" w:rsidP="00124A51">
      <w:r>
        <w:separator/>
      </w:r>
    </w:p>
    <w:p w:rsidR="001D2703" w:rsidRDefault="001D2703"/>
  </w:footnote>
  <w:footnote w:type="continuationSeparator" w:id="0">
    <w:p w:rsidR="001D2703" w:rsidRDefault="001D2703" w:rsidP="00124A51">
      <w:r>
        <w:continuationSeparator/>
      </w:r>
    </w:p>
    <w:p w:rsidR="001D2703" w:rsidRDefault="001D2703"/>
  </w:footnote>
  <w:footnote w:id="1">
    <w:p w:rsidR="005F4B2A" w:rsidRDefault="005F4B2A">
      <w:pPr>
        <w:pStyle w:val="FootnoteText"/>
      </w:pPr>
      <w:r>
        <w:rPr>
          <w:rStyle w:val="FootnoteReference"/>
        </w:rPr>
        <w:footnoteRef/>
      </w:r>
      <w:r>
        <w:t xml:space="preserve"> </w:t>
      </w:r>
      <w:r w:rsidRPr="005B7EF3">
        <w:rPr>
          <w:i/>
        </w:rPr>
        <w:t>NSW Clinical Guidelines: Treatment of Opioid Dependence</w:t>
      </w:r>
      <w:r>
        <w:t xml:space="preserve">, published 30 July 2018, </w:t>
      </w:r>
      <w:hyperlink r:id="rId1" w:history="1">
        <w:r w:rsidRPr="009E665E">
          <w:rPr>
            <w:rStyle w:val="Hyperlink"/>
          </w:rPr>
          <w:t>https://www1.health.nsw.gov.au/pds/ActivePDSDocuments/GL2018_019.pdf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74" w:rsidRDefault="006D0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2A" w:rsidRPr="000312BF" w:rsidRDefault="005F4B2A" w:rsidP="000312BF">
    <w:pPr>
      <w:tabs>
        <w:tab w:val="left" w:pos="142"/>
        <w:tab w:val="right" w:pos="9027"/>
      </w:tabs>
      <w:jc w:val="center"/>
      <w:rPr>
        <w:i/>
        <w:szCs w:val="24"/>
      </w:rPr>
    </w:pPr>
    <w:r>
      <w:rPr>
        <w:i/>
        <w:szCs w:val="24"/>
      </w:rPr>
      <w:t>Public Summary Document</w:t>
    </w:r>
    <w:r w:rsidRPr="000312BF">
      <w:rPr>
        <w:i/>
        <w:szCs w:val="24"/>
      </w:rPr>
      <w:t xml:space="preserve"> – November 2019 PBAC Meeting</w:t>
    </w:r>
  </w:p>
  <w:p w:rsidR="005F4B2A" w:rsidRDefault="005F4B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74" w:rsidRDefault="006D0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56A2C"/>
    <w:multiLevelType w:val="hybridMultilevel"/>
    <w:tmpl w:val="C48C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A0DF8"/>
    <w:multiLevelType w:val="hybridMultilevel"/>
    <w:tmpl w:val="073AC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2346A1E">
      <w:numFmt w:val="bullet"/>
      <w:lvlText w:val="-"/>
      <w:lvlJc w:val="left"/>
      <w:pPr>
        <w:ind w:left="2880" w:hanging="360"/>
      </w:pPr>
      <w:rPr>
        <w:rFonts w:ascii="Times New Roman" w:eastAsiaTheme="minorHAnsi"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D98C6002"/>
    <w:lvl w:ilvl="0" w:tplc="E1B6BF4A">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32B46"/>
    <w:multiLevelType w:val="hybridMultilevel"/>
    <w:tmpl w:val="BCCC66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F18FB"/>
    <w:multiLevelType w:val="multilevel"/>
    <w:tmpl w:val="36269ED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892192"/>
    <w:multiLevelType w:val="hybridMultilevel"/>
    <w:tmpl w:val="4252A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FE16AD"/>
    <w:multiLevelType w:val="hybridMultilevel"/>
    <w:tmpl w:val="1FE62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8444F"/>
    <w:multiLevelType w:val="hybridMultilevel"/>
    <w:tmpl w:val="06180F64"/>
    <w:lvl w:ilvl="0" w:tplc="64D82BEA">
      <w:start w:val="1"/>
      <w:numFmt w:val="bullet"/>
      <w:lvlText w:val=""/>
      <w:lvlJc w:val="left"/>
      <w:pPr>
        <w:ind w:left="720" w:hanging="360"/>
      </w:pPr>
      <w:rPr>
        <w:rFonts w:ascii="Symbol" w:hAnsi="Symbol" w:hint="default"/>
        <w:color w:val="auto"/>
      </w:rPr>
    </w:lvl>
    <w:lvl w:ilvl="1" w:tplc="BC966812">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996BF6"/>
    <w:multiLevelType w:val="multilevel"/>
    <w:tmpl w:val="33EC31BC"/>
    <w:lvl w:ilvl="0">
      <w:start w:val="1"/>
      <w:numFmt w:val="decimal"/>
      <w:lvlText w:val="%1"/>
      <w:lvlJc w:val="left"/>
      <w:pPr>
        <w:ind w:left="5115"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8D734A"/>
    <w:multiLevelType w:val="hybridMultilevel"/>
    <w:tmpl w:val="7E90C892"/>
    <w:lvl w:ilvl="0" w:tplc="17603AD4">
      <w:start w:val="1"/>
      <w:numFmt w:val="bullet"/>
      <w:lvlText w:val="•"/>
      <w:lvlJc w:val="left"/>
      <w:pPr>
        <w:tabs>
          <w:tab w:val="num" w:pos="720"/>
        </w:tabs>
        <w:ind w:left="720" w:hanging="360"/>
      </w:pPr>
      <w:rPr>
        <w:rFonts w:ascii="Arial" w:hAnsi="Arial" w:hint="default"/>
      </w:rPr>
    </w:lvl>
    <w:lvl w:ilvl="1" w:tplc="5A0C1A8C">
      <w:start w:val="306"/>
      <w:numFmt w:val="bullet"/>
      <w:lvlText w:val="–"/>
      <w:lvlJc w:val="left"/>
      <w:pPr>
        <w:tabs>
          <w:tab w:val="num" w:pos="1440"/>
        </w:tabs>
        <w:ind w:left="1440" w:hanging="360"/>
      </w:pPr>
      <w:rPr>
        <w:rFonts w:ascii="Arial" w:hAnsi="Arial" w:hint="default"/>
      </w:rPr>
    </w:lvl>
    <w:lvl w:ilvl="2" w:tplc="CE56538E" w:tentative="1">
      <w:start w:val="1"/>
      <w:numFmt w:val="bullet"/>
      <w:lvlText w:val="•"/>
      <w:lvlJc w:val="left"/>
      <w:pPr>
        <w:tabs>
          <w:tab w:val="num" w:pos="2160"/>
        </w:tabs>
        <w:ind w:left="2160" w:hanging="360"/>
      </w:pPr>
      <w:rPr>
        <w:rFonts w:ascii="Arial" w:hAnsi="Arial" w:hint="default"/>
      </w:rPr>
    </w:lvl>
    <w:lvl w:ilvl="3" w:tplc="CB9E0D88" w:tentative="1">
      <w:start w:val="1"/>
      <w:numFmt w:val="bullet"/>
      <w:lvlText w:val="•"/>
      <w:lvlJc w:val="left"/>
      <w:pPr>
        <w:tabs>
          <w:tab w:val="num" w:pos="2880"/>
        </w:tabs>
        <w:ind w:left="2880" w:hanging="360"/>
      </w:pPr>
      <w:rPr>
        <w:rFonts w:ascii="Arial" w:hAnsi="Arial" w:hint="default"/>
      </w:rPr>
    </w:lvl>
    <w:lvl w:ilvl="4" w:tplc="5F802BDC" w:tentative="1">
      <w:start w:val="1"/>
      <w:numFmt w:val="bullet"/>
      <w:lvlText w:val="•"/>
      <w:lvlJc w:val="left"/>
      <w:pPr>
        <w:tabs>
          <w:tab w:val="num" w:pos="3600"/>
        </w:tabs>
        <w:ind w:left="3600" w:hanging="360"/>
      </w:pPr>
      <w:rPr>
        <w:rFonts w:ascii="Arial" w:hAnsi="Arial" w:hint="default"/>
      </w:rPr>
    </w:lvl>
    <w:lvl w:ilvl="5" w:tplc="E18684DE" w:tentative="1">
      <w:start w:val="1"/>
      <w:numFmt w:val="bullet"/>
      <w:lvlText w:val="•"/>
      <w:lvlJc w:val="left"/>
      <w:pPr>
        <w:tabs>
          <w:tab w:val="num" w:pos="4320"/>
        </w:tabs>
        <w:ind w:left="4320" w:hanging="360"/>
      </w:pPr>
      <w:rPr>
        <w:rFonts w:ascii="Arial" w:hAnsi="Arial" w:hint="default"/>
      </w:rPr>
    </w:lvl>
    <w:lvl w:ilvl="6" w:tplc="B4BAE360" w:tentative="1">
      <w:start w:val="1"/>
      <w:numFmt w:val="bullet"/>
      <w:lvlText w:val="•"/>
      <w:lvlJc w:val="left"/>
      <w:pPr>
        <w:tabs>
          <w:tab w:val="num" w:pos="5040"/>
        </w:tabs>
        <w:ind w:left="5040" w:hanging="360"/>
      </w:pPr>
      <w:rPr>
        <w:rFonts w:ascii="Arial" w:hAnsi="Arial" w:hint="default"/>
      </w:rPr>
    </w:lvl>
    <w:lvl w:ilvl="7" w:tplc="6F7A2790" w:tentative="1">
      <w:start w:val="1"/>
      <w:numFmt w:val="bullet"/>
      <w:lvlText w:val="•"/>
      <w:lvlJc w:val="left"/>
      <w:pPr>
        <w:tabs>
          <w:tab w:val="num" w:pos="5760"/>
        </w:tabs>
        <w:ind w:left="5760" w:hanging="360"/>
      </w:pPr>
      <w:rPr>
        <w:rFonts w:ascii="Arial" w:hAnsi="Arial" w:hint="default"/>
      </w:rPr>
    </w:lvl>
    <w:lvl w:ilvl="8" w:tplc="241A68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4D033C"/>
    <w:multiLevelType w:val="multilevel"/>
    <w:tmpl w:val="503A1F30"/>
    <w:lvl w:ilvl="0">
      <w:start w:val="1"/>
      <w:numFmt w:val="decimal"/>
      <w:pStyle w:val="PBACHeading1"/>
      <w:lvlText w:val="%1"/>
      <w:lvlJc w:val="left"/>
      <w:pPr>
        <w:ind w:left="5824"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10"/>
  </w:num>
  <w:num w:numId="4">
    <w:abstractNumId w:val="5"/>
  </w:num>
  <w:num w:numId="5">
    <w:abstractNumId w:val="14"/>
  </w:num>
  <w:num w:numId="6">
    <w:abstractNumId w:val="11"/>
  </w:num>
  <w:num w:numId="7">
    <w:abstractNumId w:val="1"/>
  </w:num>
  <w:num w:numId="8">
    <w:abstractNumId w:val="12"/>
  </w:num>
  <w:num w:numId="9">
    <w:abstractNumId w:val="2"/>
  </w:num>
  <w:num w:numId="10">
    <w:abstractNumId w:val="0"/>
  </w:num>
  <w:num w:numId="11">
    <w:abstractNumId w:val="6"/>
  </w:num>
  <w:num w:numId="12">
    <w:abstractNumId w:val="7"/>
  </w:num>
  <w:num w:numId="13">
    <w:abstractNumId w:val="4"/>
  </w:num>
  <w:num w:numId="14">
    <w:abstractNumId w:val="8"/>
  </w:num>
  <w:num w:numId="15">
    <w:abstractNumId w:val="16"/>
  </w:num>
  <w:num w:numId="16">
    <w:abstractNumId w:val="15"/>
  </w:num>
  <w:num w:numId="17">
    <w:abstractNumId w:val="13"/>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B11"/>
    <w:rsid w:val="00002BED"/>
    <w:rsid w:val="00002DD9"/>
    <w:rsid w:val="00003493"/>
    <w:rsid w:val="00003499"/>
    <w:rsid w:val="000034EB"/>
    <w:rsid w:val="000039B7"/>
    <w:rsid w:val="00005184"/>
    <w:rsid w:val="00007842"/>
    <w:rsid w:val="00012CBC"/>
    <w:rsid w:val="00013247"/>
    <w:rsid w:val="00013B33"/>
    <w:rsid w:val="00015886"/>
    <w:rsid w:val="000162EF"/>
    <w:rsid w:val="00016845"/>
    <w:rsid w:val="00016A16"/>
    <w:rsid w:val="000172F2"/>
    <w:rsid w:val="00017A03"/>
    <w:rsid w:val="000208D4"/>
    <w:rsid w:val="00020A69"/>
    <w:rsid w:val="00020FED"/>
    <w:rsid w:val="00021AF9"/>
    <w:rsid w:val="0002225F"/>
    <w:rsid w:val="00022D6B"/>
    <w:rsid w:val="00022ECC"/>
    <w:rsid w:val="00023359"/>
    <w:rsid w:val="00023763"/>
    <w:rsid w:val="00024613"/>
    <w:rsid w:val="000259B8"/>
    <w:rsid w:val="00026865"/>
    <w:rsid w:val="00027EC4"/>
    <w:rsid w:val="000312BF"/>
    <w:rsid w:val="00031A76"/>
    <w:rsid w:val="000335CC"/>
    <w:rsid w:val="00033863"/>
    <w:rsid w:val="00035BB1"/>
    <w:rsid w:val="00035DC0"/>
    <w:rsid w:val="00036129"/>
    <w:rsid w:val="00036829"/>
    <w:rsid w:val="00040895"/>
    <w:rsid w:val="00041306"/>
    <w:rsid w:val="000427D2"/>
    <w:rsid w:val="0004298B"/>
    <w:rsid w:val="00043BFE"/>
    <w:rsid w:val="00043C37"/>
    <w:rsid w:val="000445F7"/>
    <w:rsid w:val="00044F56"/>
    <w:rsid w:val="00045017"/>
    <w:rsid w:val="00045291"/>
    <w:rsid w:val="00045A2B"/>
    <w:rsid w:val="0004698F"/>
    <w:rsid w:val="00046DD1"/>
    <w:rsid w:val="0005050E"/>
    <w:rsid w:val="000539D0"/>
    <w:rsid w:val="0005405D"/>
    <w:rsid w:val="00054621"/>
    <w:rsid w:val="000546D7"/>
    <w:rsid w:val="000559A0"/>
    <w:rsid w:val="0006097A"/>
    <w:rsid w:val="00062572"/>
    <w:rsid w:val="00066360"/>
    <w:rsid w:val="00066D04"/>
    <w:rsid w:val="00071248"/>
    <w:rsid w:val="000712BE"/>
    <w:rsid w:val="00071EA7"/>
    <w:rsid w:val="000720B9"/>
    <w:rsid w:val="000725B4"/>
    <w:rsid w:val="000737F7"/>
    <w:rsid w:val="00074856"/>
    <w:rsid w:val="0007672F"/>
    <w:rsid w:val="00076DB2"/>
    <w:rsid w:val="000774F0"/>
    <w:rsid w:val="00077DD9"/>
    <w:rsid w:val="00080909"/>
    <w:rsid w:val="000812CA"/>
    <w:rsid w:val="000813A5"/>
    <w:rsid w:val="0008258D"/>
    <w:rsid w:val="0008280E"/>
    <w:rsid w:val="00082CCA"/>
    <w:rsid w:val="00083E99"/>
    <w:rsid w:val="0008541C"/>
    <w:rsid w:val="000856C5"/>
    <w:rsid w:val="0008598F"/>
    <w:rsid w:val="00086A24"/>
    <w:rsid w:val="00086FB2"/>
    <w:rsid w:val="00087B09"/>
    <w:rsid w:val="00090C7E"/>
    <w:rsid w:val="00090FAE"/>
    <w:rsid w:val="000917BA"/>
    <w:rsid w:val="00092324"/>
    <w:rsid w:val="00092600"/>
    <w:rsid w:val="0009262B"/>
    <w:rsid w:val="00093310"/>
    <w:rsid w:val="00093399"/>
    <w:rsid w:val="0009445C"/>
    <w:rsid w:val="00094D56"/>
    <w:rsid w:val="00094E27"/>
    <w:rsid w:val="00095FE5"/>
    <w:rsid w:val="00096284"/>
    <w:rsid w:val="00096637"/>
    <w:rsid w:val="0009696E"/>
    <w:rsid w:val="000A01D0"/>
    <w:rsid w:val="000A18A3"/>
    <w:rsid w:val="000A448F"/>
    <w:rsid w:val="000A48E3"/>
    <w:rsid w:val="000A6E8C"/>
    <w:rsid w:val="000A7670"/>
    <w:rsid w:val="000A7D07"/>
    <w:rsid w:val="000A7D08"/>
    <w:rsid w:val="000A7EA1"/>
    <w:rsid w:val="000B0670"/>
    <w:rsid w:val="000B0E75"/>
    <w:rsid w:val="000B37F5"/>
    <w:rsid w:val="000B4312"/>
    <w:rsid w:val="000B60C6"/>
    <w:rsid w:val="000B6378"/>
    <w:rsid w:val="000B6912"/>
    <w:rsid w:val="000B6CAC"/>
    <w:rsid w:val="000B7612"/>
    <w:rsid w:val="000C0F09"/>
    <w:rsid w:val="000C3CF3"/>
    <w:rsid w:val="000C3DF9"/>
    <w:rsid w:val="000C6713"/>
    <w:rsid w:val="000C75F9"/>
    <w:rsid w:val="000D1BFC"/>
    <w:rsid w:val="000D20B5"/>
    <w:rsid w:val="000D281A"/>
    <w:rsid w:val="000D326A"/>
    <w:rsid w:val="000D3790"/>
    <w:rsid w:val="000D454F"/>
    <w:rsid w:val="000D51FB"/>
    <w:rsid w:val="000D5D2B"/>
    <w:rsid w:val="000E135D"/>
    <w:rsid w:val="000E1387"/>
    <w:rsid w:val="000E62C6"/>
    <w:rsid w:val="000E6492"/>
    <w:rsid w:val="000E6AB8"/>
    <w:rsid w:val="000F00BA"/>
    <w:rsid w:val="000F0B7D"/>
    <w:rsid w:val="000F2F92"/>
    <w:rsid w:val="000F316A"/>
    <w:rsid w:val="000F3C74"/>
    <w:rsid w:val="000F4837"/>
    <w:rsid w:val="000F4BB8"/>
    <w:rsid w:val="000F5962"/>
    <w:rsid w:val="000F7127"/>
    <w:rsid w:val="000F7F13"/>
    <w:rsid w:val="00100F8A"/>
    <w:rsid w:val="001014EC"/>
    <w:rsid w:val="00104BA5"/>
    <w:rsid w:val="00105AE2"/>
    <w:rsid w:val="0010634C"/>
    <w:rsid w:val="00106672"/>
    <w:rsid w:val="00106B80"/>
    <w:rsid w:val="00106CEC"/>
    <w:rsid w:val="00106E5E"/>
    <w:rsid w:val="0011032E"/>
    <w:rsid w:val="00111568"/>
    <w:rsid w:val="0011202E"/>
    <w:rsid w:val="0011348B"/>
    <w:rsid w:val="0011383A"/>
    <w:rsid w:val="00113904"/>
    <w:rsid w:val="00113F29"/>
    <w:rsid w:val="00114791"/>
    <w:rsid w:val="00115982"/>
    <w:rsid w:val="0011614C"/>
    <w:rsid w:val="00116C53"/>
    <w:rsid w:val="00117492"/>
    <w:rsid w:val="00117669"/>
    <w:rsid w:val="00121799"/>
    <w:rsid w:val="001222FC"/>
    <w:rsid w:val="0012416B"/>
    <w:rsid w:val="0012486B"/>
    <w:rsid w:val="00124A51"/>
    <w:rsid w:val="00124C30"/>
    <w:rsid w:val="00125069"/>
    <w:rsid w:val="00125638"/>
    <w:rsid w:val="00126621"/>
    <w:rsid w:val="00126956"/>
    <w:rsid w:val="00126B37"/>
    <w:rsid w:val="00127326"/>
    <w:rsid w:val="00127341"/>
    <w:rsid w:val="001301E9"/>
    <w:rsid w:val="00131D82"/>
    <w:rsid w:val="00133D36"/>
    <w:rsid w:val="001348AD"/>
    <w:rsid w:val="00134EB9"/>
    <w:rsid w:val="001350AA"/>
    <w:rsid w:val="001372C1"/>
    <w:rsid w:val="00137645"/>
    <w:rsid w:val="0014015A"/>
    <w:rsid w:val="001401C5"/>
    <w:rsid w:val="00140E99"/>
    <w:rsid w:val="001431F9"/>
    <w:rsid w:val="001450F3"/>
    <w:rsid w:val="00145540"/>
    <w:rsid w:val="001456B0"/>
    <w:rsid w:val="00150B94"/>
    <w:rsid w:val="001515EA"/>
    <w:rsid w:val="00153DFE"/>
    <w:rsid w:val="001557CE"/>
    <w:rsid w:val="00157130"/>
    <w:rsid w:val="001576B1"/>
    <w:rsid w:val="00160A4C"/>
    <w:rsid w:val="00162913"/>
    <w:rsid w:val="00163EFF"/>
    <w:rsid w:val="00164967"/>
    <w:rsid w:val="001661FB"/>
    <w:rsid w:val="0016777A"/>
    <w:rsid w:val="001715A7"/>
    <w:rsid w:val="001716FC"/>
    <w:rsid w:val="00171EE7"/>
    <w:rsid w:val="00173565"/>
    <w:rsid w:val="00173B07"/>
    <w:rsid w:val="00174E96"/>
    <w:rsid w:val="0017657B"/>
    <w:rsid w:val="001772A4"/>
    <w:rsid w:val="00180572"/>
    <w:rsid w:val="00181D9C"/>
    <w:rsid w:val="001822F9"/>
    <w:rsid w:val="00183B5B"/>
    <w:rsid w:val="0018572E"/>
    <w:rsid w:val="00185F83"/>
    <w:rsid w:val="0018752F"/>
    <w:rsid w:val="00191970"/>
    <w:rsid w:val="00192C32"/>
    <w:rsid w:val="00193B0C"/>
    <w:rsid w:val="00194D8F"/>
    <w:rsid w:val="00195222"/>
    <w:rsid w:val="00195E47"/>
    <w:rsid w:val="001975D8"/>
    <w:rsid w:val="0019776A"/>
    <w:rsid w:val="001A0631"/>
    <w:rsid w:val="001A1ABF"/>
    <w:rsid w:val="001A246E"/>
    <w:rsid w:val="001A2B86"/>
    <w:rsid w:val="001A3236"/>
    <w:rsid w:val="001A43FA"/>
    <w:rsid w:val="001A4CE3"/>
    <w:rsid w:val="001A4FE2"/>
    <w:rsid w:val="001A59FB"/>
    <w:rsid w:val="001A6354"/>
    <w:rsid w:val="001A774B"/>
    <w:rsid w:val="001A7AE8"/>
    <w:rsid w:val="001A7AFC"/>
    <w:rsid w:val="001A7FB1"/>
    <w:rsid w:val="001B0015"/>
    <w:rsid w:val="001B02D0"/>
    <w:rsid w:val="001B0546"/>
    <w:rsid w:val="001B1D7E"/>
    <w:rsid w:val="001B1F84"/>
    <w:rsid w:val="001B204E"/>
    <w:rsid w:val="001B3443"/>
    <w:rsid w:val="001B4D20"/>
    <w:rsid w:val="001B5BFE"/>
    <w:rsid w:val="001B6A5A"/>
    <w:rsid w:val="001B7473"/>
    <w:rsid w:val="001B776D"/>
    <w:rsid w:val="001B7855"/>
    <w:rsid w:val="001C170E"/>
    <w:rsid w:val="001C1874"/>
    <w:rsid w:val="001C29A4"/>
    <w:rsid w:val="001C29FB"/>
    <w:rsid w:val="001C2A7E"/>
    <w:rsid w:val="001C2A9B"/>
    <w:rsid w:val="001C4299"/>
    <w:rsid w:val="001C4EB9"/>
    <w:rsid w:val="001C5E10"/>
    <w:rsid w:val="001C5F94"/>
    <w:rsid w:val="001C668D"/>
    <w:rsid w:val="001C6E66"/>
    <w:rsid w:val="001D0E54"/>
    <w:rsid w:val="001D2703"/>
    <w:rsid w:val="001D73C1"/>
    <w:rsid w:val="001E0A89"/>
    <w:rsid w:val="001E0A8E"/>
    <w:rsid w:val="001E0F57"/>
    <w:rsid w:val="001E1198"/>
    <w:rsid w:val="001E238E"/>
    <w:rsid w:val="001E2464"/>
    <w:rsid w:val="001E2483"/>
    <w:rsid w:val="001E2486"/>
    <w:rsid w:val="001E24B0"/>
    <w:rsid w:val="001E2920"/>
    <w:rsid w:val="001E2B1E"/>
    <w:rsid w:val="001E30D4"/>
    <w:rsid w:val="001E3AA6"/>
    <w:rsid w:val="001E4CE7"/>
    <w:rsid w:val="001E4EFD"/>
    <w:rsid w:val="001E52EB"/>
    <w:rsid w:val="001E553C"/>
    <w:rsid w:val="001E61D2"/>
    <w:rsid w:val="001E6A48"/>
    <w:rsid w:val="001E740C"/>
    <w:rsid w:val="001E7D34"/>
    <w:rsid w:val="001F1235"/>
    <w:rsid w:val="001F1CB3"/>
    <w:rsid w:val="001F38B5"/>
    <w:rsid w:val="001F46C4"/>
    <w:rsid w:val="001F7361"/>
    <w:rsid w:val="002011B0"/>
    <w:rsid w:val="0020181F"/>
    <w:rsid w:val="00201A18"/>
    <w:rsid w:val="00203181"/>
    <w:rsid w:val="00203783"/>
    <w:rsid w:val="0020385F"/>
    <w:rsid w:val="00203A87"/>
    <w:rsid w:val="00204A57"/>
    <w:rsid w:val="00204BF6"/>
    <w:rsid w:val="00204ED9"/>
    <w:rsid w:val="002056A5"/>
    <w:rsid w:val="00206549"/>
    <w:rsid w:val="00207021"/>
    <w:rsid w:val="0020732F"/>
    <w:rsid w:val="00207D00"/>
    <w:rsid w:val="002105C1"/>
    <w:rsid w:val="00212617"/>
    <w:rsid w:val="00212BA0"/>
    <w:rsid w:val="002148FC"/>
    <w:rsid w:val="00215680"/>
    <w:rsid w:val="002171AE"/>
    <w:rsid w:val="00217BE9"/>
    <w:rsid w:val="00220670"/>
    <w:rsid w:val="00220BB1"/>
    <w:rsid w:val="00223B49"/>
    <w:rsid w:val="00224DD4"/>
    <w:rsid w:val="00225F33"/>
    <w:rsid w:val="002274AC"/>
    <w:rsid w:val="00227FDC"/>
    <w:rsid w:val="002309CC"/>
    <w:rsid w:val="0023209F"/>
    <w:rsid w:val="002336D9"/>
    <w:rsid w:val="00234518"/>
    <w:rsid w:val="0023457E"/>
    <w:rsid w:val="002347C0"/>
    <w:rsid w:val="0023629D"/>
    <w:rsid w:val="00236440"/>
    <w:rsid w:val="00237032"/>
    <w:rsid w:val="00237255"/>
    <w:rsid w:val="00237363"/>
    <w:rsid w:val="0023757F"/>
    <w:rsid w:val="002401CC"/>
    <w:rsid w:val="00240221"/>
    <w:rsid w:val="00241775"/>
    <w:rsid w:val="002424AF"/>
    <w:rsid w:val="002439DC"/>
    <w:rsid w:val="00243ABE"/>
    <w:rsid w:val="0024479D"/>
    <w:rsid w:val="00244DC8"/>
    <w:rsid w:val="002458BA"/>
    <w:rsid w:val="0024636C"/>
    <w:rsid w:val="002467E5"/>
    <w:rsid w:val="00246BA1"/>
    <w:rsid w:val="00247925"/>
    <w:rsid w:val="0024796F"/>
    <w:rsid w:val="00247E27"/>
    <w:rsid w:val="0025375E"/>
    <w:rsid w:val="00253A4A"/>
    <w:rsid w:val="00253D36"/>
    <w:rsid w:val="00254DCF"/>
    <w:rsid w:val="00254F1D"/>
    <w:rsid w:val="0025534B"/>
    <w:rsid w:val="00255756"/>
    <w:rsid w:val="00255BB7"/>
    <w:rsid w:val="00257174"/>
    <w:rsid w:val="00257541"/>
    <w:rsid w:val="002577EA"/>
    <w:rsid w:val="002626AE"/>
    <w:rsid w:val="00262A1A"/>
    <w:rsid w:val="00262A87"/>
    <w:rsid w:val="00262E1B"/>
    <w:rsid w:val="00263C72"/>
    <w:rsid w:val="00264D26"/>
    <w:rsid w:val="00265678"/>
    <w:rsid w:val="00267642"/>
    <w:rsid w:val="00267AEA"/>
    <w:rsid w:val="002700E6"/>
    <w:rsid w:val="002705D5"/>
    <w:rsid w:val="002728BC"/>
    <w:rsid w:val="0027294B"/>
    <w:rsid w:val="002733F1"/>
    <w:rsid w:val="00273772"/>
    <w:rsid w:val="00275C5A"/>
    <w:rsid w:val="00276C56"/>
    <w:rsid w:val="00276DAA"/>
    <w:rsid w:val="00277269"/>
    <w:rsid w:val="0027752A"/>
    <w:rsid w:val="00281014"/>
    <w:rsid w:val="002833AD"/>
    <w:rsid w:val="002833D8"/>
    <w:rsid w:val="00283A7B"/>
    <w:rsid w:val="00283C5F"/>
    <w:rsid w:val="002854D5"/>
    <w:rsid w:val="00286A22"/>
    <w:rsid w:val="00286C9B"/>
    <w:rsid w:val="00287367"/>
    <w:rsid w:val="002878B5"/>
    <w:rsid w:val="00287FC8"/>
    <w:rsid w:val="00297D03"/>
    <w:rsid w:val="002A0247"/>
    <w:rsid w:val="002A05AA"/>
    <w:rsid w:val="002A14AB"/>
    <w:rsid w:val="002A2F50"/>
    <w:rsid w:val="002A32B0"/>
    <w:rsid w:val="002A626F"/>
    <w:rsid w:val="002B09A4"/>
    <w:rsid w:val="002B1015"/>
    <w:rsid w:val="002B1C1F"/>
    <w:rsid w:val="002B2318"/>
    <w:rsid w:val="002B254D"/>
    <w:rsid w:val="002B40B2"/>
    <w:rsid w:val="002B432F"/>
    <w:rsid w:val="002B4BAF"/>
    <w:rsid w:val="002B58FA"/>
    <w:rsid w:val="002B5DA2"/>
    <w:rsid w:val="002B62B3"/>
    <w:rsid w:val="002B6754"/>
    <w:rsid w:val="002B6CCE"/>
    <w:rsid w:val="002B738C"/>
    <w:rsid w:val="002B790F"/>
    <w:rsid w:val="002C0D69"/>
    <w:rsid w:val="002C1D59"/>
    <w:rsid w:val="002C1FCD"/>
    <w:rsid w:val="002C2510"/>
    <w:rsid w:val="002C2775"/>
    <w:rsid w:val="002C27C1"/>
    <w:rsid w:val="002C2A91"/>
    <w:rsid w:val="002C3A2A"/>
    <w:rsid w:val="002C3A88"/>
    <w:rsid w:val="002C481A"/>
    <w:rsid w:val="002C492B"/>
    <w:rsid w:val="002C5099"/>
    <w:rsid w:val="002C5889"/>
    <w:rsid w:val="002C71CE"/>
    <w:rsid w:val="002C76EB"/>
    <w:rsid w:val="002D0615"/>
    <w:rsid w:val="002D2E08"/>
    <w:rsid w:val="002D577C"/>
    <w:rsid w:val="002D6AA2"/>
    <w:rsid w:val="002E0557"/>
    <w:rsid w:val="002E15B9"/>
    <w:rsid w:val="002E2082"/>
    <w:rsid w:val="002E2158"/>
    <w:rsid w:val="002E2A26"/>
    <w:rsid w:val="002E3EA6"/>
    <w:rsid w:val="002E70CE"/>
    <w:rsid w:val="002E7722"/>
    <w:rsid w:val="002E79D8"/>
    <w:rsid w:val="002F045E"/>
    <w:rsid w:val="002F07BA"/>
    <w:rsid w:val="002F0DA9"/>
    <w:rsid w:val="002F5CDE"/>
    <w:rsid w:val="002F62E3"/>
    <w:rsid w:val="002F643C"/>
    <w:rsid w:val="002F71C0"/>
    <w:rsid w:val="00301017"/>
    <w:rsid w:val="0030155F"/>
    <w:rsid w:val="0030191A"/>
    <w:rsid w:val="0030409B"/>
    <w:rsid w:val="00305138"/>
    <w:rsid w:val="0030587B"/>
    <w:rsid w:val="003061EE"/>
    <w:rsid w:val="00306D98"/>
    <w:rsid w:val="003072A7"/>
    <w:rsid w:val="0030786C"/>
    <w:rsid w:val="00307F69"/>
    <w:rsid w:val="003101A4"/>
    <w:rsid w:val="0031031A"/>
    <w:rsid w:val="00310981"/>
    <w:rsid w:val="00312860"/>
    <w:rsid w:val="00312F4F"/>
    <w:rsid w:val="00313BD0"/>
    <w:rsid w:val="00315498"/>
    <w:rsid w:val="00315F0F"/>
    <w:rsid w:val="00317C36"/>
    <w:rsid w:val="00321F90"/>
    <w:rsid w:val="00322107"/>
    <w:rsid w:val="00322846"/>
    <w:rsid w:val="00323BCB"/>
    <w:rsid w:val="00324410"/>
    <w:rsid w:val="0032475C"/>
    <w:rsid w:val="00326DA7"/>
    <w:rsid w:val="003270A7"/>
    <w:rsid w:val="003270E4"/>
    <w:rsid w:val="00327499"/>
    <w:rsid w:val="00330F5C"/>
    <w:rsid w:val="00330FD9"/>
    <w:rsid w:val="003328E1"/>
    <w:rsid w:val="00333510"/>
    <w:rsid w:val="0033381F"/>
    <w:rsid w:val="00333E59"/>
    <w:rsid w:val="00334586"/>
    <w:rsid w:val="00335A1D"/>
    <w:rsid w:val="003366C9"/>
    <w:rsid w:val="00336EFC"/>
    <w:rsid w:val="003371B0"/>
    <w:rsid w:val="00337D60"/>
    <w:rsid w:val="0034074E"/>
    <w:rsid w:val="00340DF1"/>
    <w:rsid w:val="00341741"/>
    <w:rsid w:val="00341F3F"/>
    <w:rsid w:val="0034261B"/>
    <w:rsid w:val="00342BB0"/>
    <w:rsid w:val="003433A7"/>
    <w:rsid w:val="00343A43"/>
    <w:rsid w:val="0034586E"/>
    <w:rsid w:val="0034610E"/>
    <w:rsid w:val="003470B4"/>
    <w:rsid w:val="00347A0F"/>
    <w:rsid w:val="00347EC9"/>
    <w:rsid w:val="003508C6"/>
    <w:rsid w:val="003517F9"/>
    <w:rsid w:val="00353173"/>
    <w:rsid w:val="0035620E"/>
    <w:rsid w:val="00356E7C"/>
    <w:rsid w:val="00357B36"/>
    <w:rsid w:val="00360E7C"/>
    <w:rsid w:val="00361C02"/>
    <w:rsid w:val="003624C4"/>
    <w:rsid w:val="00363718"/>
    <w:rsid w:val="0036421D"/>
    <w:rsid w:val="00364AE9"/>
    <w:rsid w:val="003654AC"/>
    <w:rsid w:val="003659F3"/>
    <w:rsid w:val="00370A04"/>
    <w:rsid w:val="003710CF"/>
    <w:rsid w:val="00372793"/>
    <w:rsid w:val="0037358A"/>
    <w:rsid w:val="00373AAD"/>
    <w:rsid w:val="0037451B"/>
    <w:rsid w:val="00374E5C"/>
    <w:rsid w:val="003750F6"/>
    <w:rsid w:val="003760FC"/>
    <w:rsid w:val="00377E36"/>
    <w:rsid w:val="00381A6E"/>
    <w:rsid w:val="00383320"/>
    <w:rsid w:val="0038365C"/>
    <w:rsid w:val="0038369B"/>
    <w:rsid w:val="00383B78"/>
    <w:rsid w:val="00383DE1"/>
    <w:rsid w:val="0038495F"/>
    <w:rsid w:val="00385509"/>
    <w:rsid w:val="00385A9D"/>
    <w:rsid w:val="003902B1"/>
    <w:rsid w:val="0039651F"/>
    <w:rsid w:val="003967E3"/>
    <w:rsid w:val="00396896"/>
    <w:rsid w:val="00396FD0"/>
    <w:rsid w:val="00397215"/>
    <w:rsid w:val="003A1A7A"/>
    <w:rsid w:val="003A2392"/>
    <w:rsid w:val="003A2831"/>
    <w:rsid w:val="003A3911"/>
    <w:rsid w:val="003A3ED1"/>
    <w:rsid w:val="003A482B"/>
    <w:rsid w:val="003A50FE"/>
    <w:rsid w:val="003A6F5A"/>
    <w:rsid w:val="003B0738"/>
    <w:rsid w:val="003B087D"/>
    <w:rsid w:val="003B1A65"/>
    <w:rsid w:val="003B4781"/>
    <w:rsid w:val="003B52B8"/>
    <w:rsid w:val="003B595E"/>
    <w:rsid w:val="003B5B61"/>
    <w:rsid w:val="003B650A"/>
    <w:rsid w:val="003B6E0D"/>
    <w:rsid w:val="003B7687"/>
    <w:rsid w:val="003C1654"/>
    <w:rsid w:val="003C25F8"/>
    <w:rsid w:val="003C7D19"/>
    <w:rsid w:val="003D04A6"/>
    <w:rsid w:val="003D1828"/>
    <w:rsid w:val="003D1DE4"/>
    <w:rsid w:val="003D2126"/>
    <w:rsid w:val="003D2422"/>
    <w:rsid w:val="003D39A1"/>
    <w:rsid w:val="003D3B9F"/>
    <w:rsid w:val="003D3DC6"/>
    <w:rsid w:val="003D3FBF"/>
    <w:rsid w:val="003D4A30"/>
    <w:rsid w:val="003D4CDC"/>
    <w:rsid w:val="003D4FC1"/>
    <w:rsid w:val="003D6907"/>
    <w:rsid w:val="003D6BAB"/>
    <w:rsid w:val="003D7831"/>
    <w:rsid w:val="003D79BB"/>
    <w:rsid w:val="003D7C98"/>
    <w:rsid w:val="003E0543"/>
    <w:rsid w:val="003E0BFB"/>
    <w:rsid w:val="003E1218"/>
    <w:rsid w:val="003E54A8"/>
    <w:rsid w:val="003E62EF"/>
    <w:rsid w:val="003E6A69"/>
    <w:rsid w:val="003F0B2D"/>
    <w:rsid w:val="003F1B84"/>
    <w:rsid w:val="003F1EE2"/>
    <w:rsid w:val="003F2054"/>
    <w:rsid w:val="003F4156"/>
    <w:rsid w:val="003F4641"/>
    <w:rsid w:val="003F4C90"/>
    <w:rsid w:val="003F59BB"/>
    <w:rsid w:val="003F623E"/>
    <w:rsid w:val="003F6F00"/>
    <w:rsid w:val="00400570"/>
    <w:rsid w:val="00400B29"/>
    <w:rsid w:val="004012F0"/>
    <w:rsid w:val="00401E3B"/>
    <w:rsid w:val="004022C8"/>
    <w:rsid w:val="0040471C"/>
    <w:rsid w:val="0040504B"/>
    <w:rsid w:val="004061D9"/>
    <w:rsid w:val="00410708"/>
    <w:rsid w:val="00410EC7"/>
    <w:rsid w:val="0041181E"/>
    <w:rsid w:val="00411B39"/>
    <w:rsid w:val="00411E4C"/>
    <w:rsid w:val="00412A42"/>
    <w:rsid w:val="00413A1E"/>
    <w:rsid w:val="00414476"/>
    <w:rsid w:val="004149B4"/>
    <w:rsid w:val="00414C2E"/>
    <w:rsid w:val="004151CF"/>
    <w:rsid w:val="00415918"/>
    <w:rsid w:val="00416364"/>
    <w:rsid w:val="004204E3"/>
    <w:rsid w:val="00420AA6"/>
    <w:rsid w:val="00420B9F"/>
    <w:rsid w:val="00422260"/>
    <w:rsid w:val="004229E3"/>
    <w:rsid w:val="0042413F"/>
    <w:rsid w:val="00425AD9"/>
    <w:rsid w:val="00426441"/>
    <w:rsid w:val="004270B5"/>
    <w:rsid w:val="00430712"/>
    <w:rsid w:val="0043094D"/>
    <w:rsid w:val="00431541"/>
    <w:rsid w:val="004319F8"/>
    <w:rsid w:val="00431E55"/>
    <w:rsid w:val="004321F6"/>
    <w:rsid w:val="0043279B"/>
    <w:rsid w:val="00432BB9"/>
    <w:rsid w:val="00433044"/>
    <w:rsid w:val="0043336A"/>
    <w:rsid w:val="0043353E"/>
    <w:rsid w:val="0043509F"/>
    <w:rsid w:val="0043712C"/>
    <w:rsid w:val="004375B9"/>
    <w:rsid w:val="004376A4"/>
    <w:rsid w:val="00440F74"/>
    <w:rsid w:val="00441AF4"/>
    <w:rsid w:val="004428D0"/>
    <w:rsid w:val="00443F9D"/>
    <w:rsid w:val="004443A7"/>
    <w:rsid w:val="0044442C"/>
    <w:rsid w:val="00445941"/>
    <w:rsid w:val="00446477"/>
    <w:rsid w:val="004464EB"/>
    <w:rsid w:val="00447D26"/>
    <w:rsid w:val="00455D45"/>
    <w:rsid w:val="00457E9A"/>
    <w:rsid w:val="0046009D"/>
    <w:rsid w:val="0046043B"/>
    <w:rsid w:val="00460D08"/>
    <w:rsid w:val="00462795"/>
    <w:rsid w:val="004631C2"/>
    <w:rsid w:val="00463DE4"/>
    <w:rsid w:val="004640D0"/>
    <w:rsid w:val="0046438C"/>
    <w:rsid w:val="00464595"/>
    <w:rsid w:val="00465DAE"/>
    <w:rsid w:val="00467ABF"/>
    <w:rsid w:val="00472A79"/>
    <w:rsid w:val="00473C30"/>
    <w:rsid w:val="00473F19"/>
    <w:rsid w:val="00474198"/>
    <w:rsid w:val="00475B9F"/>
    <w:rsid w:val="00475E22"/>
    <w:rsid w:val="004763C5"/>
    <w:rsid w:val="004779F2"/>
    <w:rsid w:val="0048039D"/>
    <w:rsid w:val="0048088E"/>
    <w:rsid w:val="00480A5C"/>
    <w:rsid w:val="0048208B"/>
    <w:rsid w:val="004821FD"/>
    <w:rsid w:val="00482720"/>
    <w:rsid w:val="0048343F"/>
    <w:rsid w:val="004835E7"/>
    <w:rsid w:val="004867E2"/>
    <w:rsid w:val="00491B3A"/>
    <w:rsid w:val="0049273C"/>
    <w:rsid w:val="00492CFD"/>
    <w:rsid w:val="00493138"/>
    <w:rsid w:val="00493DE1"/>
    <w:rsid w:val="00494DD5"/>
    <w:rsid w:val="00494EB9"/>
    <w:rsid w:val="0049518E"/>
    <w:rsid w:val="004962D2"/>
    <w:rsid w:val="00496EA4"/>
    <w:rsid w:val="00497AC1"/>
    <w:rsid w:val="004A0D56"/>
    <w:rsid w:val="004A0DA1"/>
    <w:rsid w:val="004A4BE2"/>
    <w:rsid w:val="004A52E9"/>
    <w:rsid w:val="004A6597"/>
    <w:rsid w:val="004A7307"/>
    <w:rsid w:val="004A7848"/>
    <w:rsid w:val="004A7F03"/>
    <w:rsid w:val="004A7F29"/>
    <w:rsid w:val="004B1CB4"/>
    <w:rsid w:val="004B2F18"/>
    <w:rsid w:val="004B3DDB"/>
    <w:rsid w:val="004B4303"/>
    <w:rsid w:val="004B44FD"/>
    <w:rsid w:val="004B4D21"/>
    <w:rsid w:val="004B5CFC"/>
    <w:rsid w:val="004B6AE1"/>
    <w:rsid w:val="004B6CA5"/>
    <w:rsid w:val="004B70E8"/>
    <w:rsid w:val="004B774D"/>
    <w:rsid w:val="004C0350"/>
    <w:rsid w:val="004C03E2"/>
    <w:rsid w:val="004C085F"/>
    <w:rsid w:val="004C2456"/>
    <w:rsid w:val="004C30EC"/>
    <w:rsid w:val="004C4AED"/>
    <w:rsid w:val="004C541C"/>
    <w:rsid w:val="004C7CB0"/>
    <w:rsid w:val="004D0863"/>
    <w:rsid w:val="004D1367"/>
    <w:rsid w:val="004D15C7"/>
    <w:rsid w:val="004D2909"/>
    <w:rsid w:val="004D2C2D"/>
    <w:rsid w:val="004D3782"/>
    <w:rsid w:val="004D3A1B"/>
    <w:rsid w:val="004D5B1D"/>
    <w:rsid w:val="004D628F"/>
    <w:rsid w:val="004D6AA1"/>
    <w:rsid w:val="004D6E44"/>
    <w:rsid w:val="004D7227"/>
    <w:rsid w:val="004E0197"/>
    <w:rsid w:val="004E0277"/>
    <w:rsid w:val="004E02D1"/>
    <w:rsid w:val="004E0745"/>
    <w:rsid w:val="004E0E7F"/>
    <w:rsid w:val="004E0EB8"/>
    <w:rsid w:val="004E1826"/>
    <w:rsid w:val="004E2ADC"/>
    <w:rsid w:val="004E4389"/>
    <w:rsid w:val="004E43B2"/>
    <w:rsid w:val="004E5381"/>
    <w:rsid w:val="004E565F"/>
    <w:rsid w:val="004E59D4"/>
    <w:rsid w:val="004E5A2F"/>
    <w:rsid w:val="004E6082"/>
    <w:rsid w:val="004E6BA6"/>
    <w:rsid w:val="004E71E6"/>
    <w:rsid w:val="004E7E5C"/>
    <w:rsid w:val="004F092C"/>
    <w:rsid w:val="004F1D02"/>
    <w:rsid w:val="004F2679"/>
    <w:rsid w:val="004F2F21"/>
    <w:rsid w:val="004F5274"/>
    <w:rsid w:val="004F62F3"/>
    <w:rsid w:val="004F67CA"/>
    <w:rsid w:val="004F6913"/>
    <w:rsid w:val="004F7865"/>
    <w:rsid w:val="005004A0"/>
    <w:rsid w:val="0050219B"/>
    <w:rsid w:val="00503F17"/>
    <w:rsid w:val="005044F8"/>
    <w:rsid w:val="005045A2"/>
    <w:rsid w:val="0050582E"/>
    <w:rsid w:val="0050653F"/>
    <w:rsid w:val="00506928"/>
    <w:rsid w:val="0050759E"/>
    <w:rsid w:val="00507CD0"/>
    <w:rsid w:val="00510C1C"/>
    <w:rsid w:val="0051137A"/>
    <w:rsid w:val="0051280B"/>
    <w:rsid w:val="005135B9"/>
    <w:rsid w:val="005152B5"/>
    <w:rsid w:val="00515E1C"/>
    <w:rsid w:val="00517364"/>
    <w:rsid w:val="00520462"/>
    <w:rsid w:val="0052089D"/>
    <w:rsid w:val="00521319"/>
    <w:rsid w:val="005219AF"/>
    <w:rsid w:val="00522A14"/>
    <w:rsid w:val="00522BC8"/>
    <w:rsid w:val="00523C28"/>
    <w:rsid w:val="00524101"/>
    <w:rsid w:val="00524D78"/>
    <w:rsid w:val="00526D81"/>
    <w:rsid w:val="005304A8"/>
    <w:rsid w:val="0053112E"/>
    <w:rsid w:val="005326BF"/>
    <w:rsid w:val="005333E2"/>
    <w:rsid w:val="00533FDE"/>
    <w:rsid w:val="0053468D"/>
    <w:rsid w:val="00534CAB"/>
    <w:rsid w:val="00535461"/>
    <w:rsid w:val="005366E6"/>
    <w:rsid w:val="00536D38"/>
    <w:rsid w:val="00536F42"/>
    <w:rsid w:val="00537182"/>
    <w:rsid w:val="005400CF"/>
    <w:rsid w:val="00540D38"/>
    <w:rsid w:val="00540FA0"/>
    <w:rsid w:val="00542578"/>
    <w:rsid w:val="00542743"/>
    <w:rsid w:val="00542B46"/>
    <w:rsid w:val="00542C2D"/>
    <w:rsid w:val="00543381"/>
    <w:rsid w:val="00544825"/>
    <w:rsid w:val="005452BD"/>
    <w:rsid w:val="005472C1"/>
    <w:rsid w:val="00550787"/>
    <w:rsid w:val="00550D55"/>
    <w:rsid w:val="00551985"/>
    <w:rsid w:val="005526C8"/>
    <w:rsid w:val="00552BD3"/>
    <w:rsid w:val="00552EA7"/>
    <w:rsid w:val="00555109"/>
    <w:rsid w:val="0055549D"/>
    <w:rsid w:val="0055553C"/>
    <w:rsid w:val="00555D3B"/>
    <w:rsid w:val="00556829"/>
    <w:rsid w:val="00560193"/>
    <w:rsid w:val="005608EF"/>
    <w:rsid w:val="00562116"/>
    <w:rsid w:val="0056574B"/>
    <w:rsid w:val="00566426"/>
    <w:rsid w:val="0056696F"/>
    <w:rsid w:val="00570A61"/>
    <w:rsid w:val="00571952"/>
    <w:rsid w:val="00572269"/>
    <w:rsid w:val="0057244A"/>
    <w:rsid w:val="005725AA"/>
    <w:rsid w:val="005726C8"/>
    <w:rsid w:val="00572D4F"/>
    <w:rsid w:val="00575718"/>
    <w:rsid w:val="00575D8D"/>
    <w:rsid w:val="00576972"/>
    <w:rsid w:val="00576A3E"/>
    <w:rsid w:val="00580A3E"/>
    <w:rsid w:val="00580DBF"/>
    <w:rsid w:val="00583699"/>
    <w:rsid w:val="00584467"/>
    <w:rsid w:val="0058555D"/>
    <w:rsid w:val="00585CDD"/>
    <w:rsid w:val="00587058"/>
    <w:rsid w:val="00587E3A"/>
    <w:rsid w:val="005904EE"/>
    <w:rsid w:val="00591957"/>
    <w:rsid w:val="00592C15"/>
    <w:rsid w:val="00593497"/>
    <w:rsid w:val="005943EC"/>
    <w:rsid w:val="005951DE"/>
    <w:rsid w:val="00597711"/>
    <w:rsid w:val="00597BF9"/>
    <w:rsid w:val="005A1510"/>
    <w:rsid w:val="005A2BCC"/>
    <w:rsid w:val="005A373D"/>
    <w:rsid w:val="005A405A"/>
    <w:rsid w:val="005A48ED"/>
    <w:rsid w:val="005A4E51"/>
    <w:rsid w:val="005A68FA"/>
    <w:rsid w:val="005A6C70"/>
    <w:rsid w:val="005B0595"/>
    <w:rsid w:val="005B17D9"/>
    <w:rsid w:val="005B2A20"/>
    <w:rsid w:val="005B5857"/>
    <w:rsid w:val="005B5E6F"/>
    <w:rsid w:val="005B7499"/>
    <w:rsid w:val="005B7EF3"/>
    <w:rsid w:val="005B7F06"/>
    <w:rsid w:val="005C01C0"/>
    <w:rsid w:val="005C1B83"/>
    <w:rsid w:val="005C2D55"/>
    <w:rsid w:val="005C346B"/>
    <w:rsid w:val="005C47D5"/>
    <w:rsid w:val="005C50BA"/>
    <w:rsid w:val="005C5368"/>
    <w:rsid w:val="005C66AC"/>
    <w:rsid w:val="005D044D"/>
    <w:rsid w:val="005D0ABD"/>
    <w:rsid w:val="005D18AD"/>
    <w:rsid w:val="005D18BC"/>
    <w:rsid w:val="005D26B4"/>
    <w:rsid w:val="005D5673"/>
    <w:rsid w:val="005D5A09"/>
    <w:rsid w:val="005E24AE"/>
    <w:rsid w:val="005E29CB"/>
    <w:rsid w:val="005E3228"/>
    <w:rsid w:val="005E4AD1"/>
    <w:rsid w:val="005E5772"/>
    <w:rsid w:val="005E67AE"/>
    <w:rsid w:val="005E6CBC"/>
    <w:rsid w:val="005E704A"/>
    <w:rsid w:val="005E71FC"/>
    <w:rsid w:val="005E73C0"/>
    <w:rsid w:val="005F1BDF"/>
    <w:rsid w:val="005F2706"/>
    <w:rsid w:val="005F2F66"/>
    <w:rsid w:val="005F38AC"/>
    <w:rsid w:val="005F4B2A"/>
    <w:rsid w:val="005F4EDA"/>
    <w:rsid w:val="005F5224"/>
    <w:rsid w:val="005F5417"/>
    <w:rsid w:val="005F6A8F"/>
    <w:rsid w:val="005F7715"/>
    <w:rsid w:val="0060175D"/>
    <w:rsid w:val="00601A91"/>
    <w:rsid w:val="0060328D"/>
    <w:rsid w:val="00603DB9"/>
    <w:rsid w:val="00604410"/>
    <w:rsid w:val="00607669"/>
    <w:rsid w:val="00607AFD"/>
    <w:rsid w:val="00612470"/>
    <w:rsid w:val="006129C9"/>
    <w:rsid w:val="00612F97"/>
    <w:rsid w:val="00613113"/>
    <w:rsid w:val="0061345D"/>
    <w:rsid w:val="00613A1E"/>
    <w:rsid w:val="00613B9B"/>
    <w:rsid w:val="00615DA5"/>
    <w:rsid w:val="00616802"/>
    <w:rsid w:val="00616DBC"/>
    <w:rsid w:val="00617E12"/>
    <w:rsid w:val="00621477"/>
    <w:rsid w:val="00621874"/>
    <w:rsid w:val="00623AE4"/>
    <w:rsid w:val="00625A19"/>
    <w:rsid w:val="006270CD"/>
    <w:rsid w:val="00630A35"/>
    <w:rsid w:val="0063158F"/>
    <w:rsid w:val="00631676"/>
    <w:rsid w:val="00631D6B"/>
    <w:rsid w:val="00631DDC"/>
    <w:rsid w:val="00632326"/>
    <w:rsid w:val="006330A1"/>
    <w:rsid w:val="006341F7"/>
    <w:rsid w:val="0063479F"/>
    <w:rsid w:val="006353F0"/>
    <w:rsid w:val="006364A1"/>
    <w:rsid w:val="006368E7"/>
    <w:rsid w:val="00636BFC"/>
    <w:rsid w:val="00637AA3"/>
    <w:rsid w:val="00637BFD"/>
    <w:rsid w:val="006411EB"/>
    <w:rsid w:val="0064158F"/>
    <w:rsid w:val="00641C4E"/>
    <w:rsid w:val="006420C2"/>
    <w:rsid w:val="0064242D"/>
    <w:rsid w:val="00645BB3"/>
    <w:rsid w:val="00645DC7"/>
    <w:rsid w:val="00646BDA"/>
    <w:rsid w:val="006471CC"/>
    <w:rsid w:val="00647E8F"/>
    <w:rsid w:val="0065079F"/>
    <w:rsid w:val="00650B73"/>
    <w:rsid w:val="00651AC7"/>
    <w:rsid w:val="00653256"/>
    <w:rsid w:val="0065379F"/>
    <w:rsid w:val="00654AED"/>
    <w:rsid w:val="00654E92"/>
    <w:rsid w:val="00655188"/>
    <w:rsid w:val="00657A3C"/>
    <w:rsid w:val="006614CB"/>
    <w:rsid w:val="00661C6B"/>
    <w:rsid w:val="00661C7F"/>
    <w:rsid w:val="00661F16"/>
    <w:rsid w:val="006625B3"/>
    <w:rsid w:val="00663DCE"/>
    <w:rsid w:val="00663ED8"/>
    <w:rsid w:val="0066668C"/>
    <w:rsid w:val="00672514"/>
    <w:rsid w:val="00672743"/>
    <w:rsid w:val="00674376"/>
    <w:rsid w:val="00674E42"/>
    <w:rsid w:val="00676343"/>
    <w:rsid w:val="00676B40"/>
    <w:rsid w:val="006772E5"/>
    <w:rsid w:val="00677569"/>
    <w:rsid w:val="006801E4"/>
    <w:rsid w:val="0068070A"/>
    <w:rsid w:val="00680D55"/>
    <w:rsid w:val="00681C00"/>
    <w:rsid w:val="00681CE8"/>
    <w:rsid w:val="00682112"/>
    <w:rsid w:val="00683EED"/>
    <w:rsid w:val="00684050"/>
    <w:rsid w:val="00684C92"/>
    <w:rsid w:val="006852C9"/>
    <w:rsid w:val="0068648A"/>
    <w:rsid w:val="00686957"/>
    <w:rsid w:val="0068725F"/>
    <w:rsid w:val="006872BA"/>
    <w:rsid w:val="00687327"/>
    <w:rsid w:val="006875D3"/>
    <w:rsid w:val="006905B5"/>
    <w:rsid w:val="00690F6E"/>
    <w:rsid w:val="006911FB"/>
    <w:rsid w:val="00691648"/>
    <w:rsid w:val="006917D7"/>
    <w:rsid w:val="00692B09"/>
    <w:rsid w:val="00693584"/>
    <w:rsid w:val="0069366F"/>
    <w:rsid w:val="00694CB8"/>
    <w:rsid w:val="00694F44"/>
    <w:rsid w:val="00697D0E"/>
    <w:rsid w:val="006A1AC7"/>
    <w:rsid w:val="006A4C13"/>
    <w:rsid w:val="006A7E5F"/>
    <w:rsid w:val="006B09AF"/>
    <w:rsid w:val="006B261B"/>
    <w:rsid w:val="006B2C90"/>
    <w:rsid w:val="006B3449"/>
    <w:rsid w:val="006B3CE7"/>
    <w:rsid w:val="006B695B"/>
    <w:rsid w:val="006B6DD0"/>
    <w:rsid w:val="006B7CF7"/>
    <w:rsid w:val="006C0D2D"/>
    <w:rsid w:val="006C2911"/>
    <w:rsid w:val="006C2A8E"/>
    <w:rsid w:val="006C2C9E"/>
    <w:rsid w:val="006C34D7"/>
    <w:rsid w:val="006C5282"/>
    <w:rsid w:val="006C5A79"/>
    <w:rsid w:val="006C5D30"/>
    <w:rsid w:val="006C6285"/>
    <w:rsid w:val="006C6588"/>
    <w:rsid w:val="006D0C74"/>
    <w:rsid w:val="006D21CD"/>
    <w:rsid w:val="006D299B"/>
    <w:rsid w:val="006D3467"/>
    <w:rsid w:val="006D37FC"/>
    <w:rsid w:val="006D3C7D"/>
    <w:rsid w:val="006D5D5F"/>
    <w:rsid w:val="006D6273"/>
    <w:rsid w:val="006D6BE0"/>
    <w:rsid w:val="006D7D8F"/>
    <w:rsid w:val="006E0D3B"/>
    <w:rsid w:val="006E16BF"/>
    <w:rsid w:val="006E2C98"/>
    <w:rsid w:val="006E2CEC"/>
    <w:rsid w:val="006E2D99"/>
    <w:rsid w:val="006E3935"/>
    <w:rsid w:val="006E40A8"/>
    <w:rsid w:val="006E44DE"/>
    <w:rsid w:val="006E5E8F"/>
    <w:rsid w:val="006E6B24"/>
    <w:rsid w:val="006E716C"/>
    <w:rsid w:val="006F150C"/>
    <w:rsid w:val="006F2AB2"/>
    <w:rsid w:val="006F306C"/>
    <w:rsid w:val="006F51B5"/>
    <w:rsid w:val="006F5C54"/>
    <w:rsid w:val="006F6324"/>
    <w:rsid w:val="006F63A5"/>
    <w:rsid w:val="006F77C0"/>
    <w:rsid w:val="0070142B"/>
    <w:rsid w:val="007015C7"/>
    <w:rsid w:val="00701E3B"/>
    <w:rsid w:val="00701FBE"/>
    <w:rsid w:val="0070276E"/>
    <w:rsid w:val="00702F8F"/>
    <w:rsid w:val="0070301D"/>
    <w:rsid w:val="007038DF"/>
    <w:rsid w:val="007042AC"/>
    <w:rsid w:val="00704FC1"/>
    <w:rsid w:val="00704FEF"/>
    <w:rsid w:val="007056F5"/>
    <w:rsid w:val="00707028"/>
    <w:rsid w:val="00707296"/>
    <w:rsid w:val="007078DF"/>
    <w:rsid w:val="00707F08"/>
    <w:rsid w:val="00711A36"/>
    <w:rsid w:val="00713AF2"/>
    <w:rsid w:val="00714BA8"/>
    <w:rsid w:val="0071529C"/>
    <w:rsid w:val="00715395"/>
    <w:rsid w:val="0071695C"/>
    <w:rsid w:val="007172AD"/>
    <w:rsid w:val="00722031"/>
    <w:rsid w:val="007227F0"/>
    <w:rsid w:val="00722A97"/>
    <w:rsid w:val="00722B1B"/>
    <w:rsid w:val="00722FE4"/>
    <w:rsid w:val="00723576"/>
    <w:rsid w:val="0072416F"/>
    <w:rsid w:val="00726645"/>
    <w:rsid w:val="00726A12"/>
    <w:rsid w:val="00727C94"/>
    <w:rsid w:val="00731EAE"/>
    <w:rsid w:val="00732398"/>
    <w:rsid w:val="00732406"/>
    <w:rsid w:val="00735033"/>
    <w:rsid w:val="00735152"/>
    <w:rsid w:val="00735328"/>
    <w:rsid w:val="00735AC7"/>
    <w:rsid w:val="0073650A"/>
    <w:rsid w:val="0073685B"/>
    <w:rsid w:val="00741046"/>
    <w:rsid w:val="00743BBA"/>
    <w:rsid w:val="00744E87"/>
    <w:rsid w:val="00747975"/>
    <w:rsid w:val="007518C1"/>
    <w:rsid w:val="00752142"/>
    <w:rsid w:val="007523F9"/>
    <w:rsid w:val="007528C3"/>
    <w:rsid w:val="00754AC5"/>
    <w:rsid w:val="007573E8"/>
    <w:rsid w:val="007577C7"/>
    <w:rsid w:val="0075787B"/>
    <w:rsid w:val="00760C4E"/>
    <w:rsid w:val="00760F8B"/>
    <w:rsid w:val="00761399"/>
    <w:rsid w:val="00761CC0"/>
    <w:rsid w:val="0076294A"/>
    <w:rsid w:val="00764331"/>
    <w:rsid w:val="00765B1A"/>
    <w:rsid w:val="00766C66"/>
    <w:rsid w:val="00770D80"/>
    <w:rsid w:val="007710F9"/>
    <w:rsid w:val="007729B3"/>
    <w:rsid w:val="00774D8C"/>
    <w:rsid w:val="00774EBD"/>
    <w:rsid w:val="00775CE9"/>
    <w:rsid w:val="00777A43"/>
    <w:rsid w:val="00780014"/>
    <w:rsid w:val="00780C98"/>
    <w:rsid w:val="00781B31"/>
    <w:rsid w:val="0078217A"/>
    <w:rsid w:val="00783987"/>
    <w:rsid w:val="00783D20"/>
    <w:rsid w:val="007843F2"/>
    <w:rsid w:val="00786899"/>
    <w:rsid w:val="00786CAA"/>
    <w:rsid w:val="007917C2"/>
    <w:rsid w:val="00794291"/>
    <w:rsid w:val="00796FED"/>
    <w:rsid w:val="007972B0"/>
    <w:rsid w:val="007A0671"/>
    <w:rsid w:val="007A0A12"/>
    <w:rsid w:val="007A132D"/>
    <w:rsid w:val="007A3DB0"/>
    <w:rsid w:val="007A5C45"/>
    <w:rsid w:val="007A627D"/>
    <w:rsid w:val="007A74FA"/>
    <w:rsid w:val="007B0D68"/>
    <w:rsid w:val="007B146B"/>
    <w:rsid w:val="007B1D40"/>
    <w:rsid w:val="007B251D"/>
    <w:rsid w:val="007B2DAA"/>
    <w:rsid w:val="007B482A"/>
    <w:rsid w:val="007B4F58"/>
    <w:rsid w:val="007B528D"/>
    <w:rsid w:val="007B5641"/>
    <w:rsid w:val="007B59E9"/>
    <w:rsid w:val="007B5FAA"/>
    <w:rsid w:val="007B77D1"/>
    <w:rsid w:val="007B7A88"/>
    <w:rsid w:val="007C136C"/>
    <w:rsid w:val="007C16AD"/>
    <w:rsid w:val="007C1CD9"/>
    <w:rsid w:val="007C2646"/>
    <w:rsid w:val="007C361D"/>
    <w:rsid w:val="007C3BBC"/>
    <w:rsid w:val="007C442F"/>
    <w:rsid w:val="007C4B84"/>
    <w:rsid w:val="007C73E1"/>
    <w:rsid w:val="007C76A5"/>
    <w:rsid w:val="007C7CEE"/>
    <w:rsid w:val="007D004F"/>
    <w:rsid w:val="007D08B2"/>
    <w:rsid w:val="007D0945"/>
    <w:rsid w:val="007D0B38"/>
    <w:rsid w:val="007D310C"/>
    <w:rsid w:val="007D4A03"/>
    <w:rsid w:val="007D5440"/>
    <w:rsid w:val="007D6015"/>
    <w:rsid w:val="007D70A1"/>
    <w:rsid w:val="007D723C"/>
    <w:rsid w:val="007D74B1"/>
    <w:rsid w:val="007E04A3"/>
    <w:rsid w:val="007E08C2"/>
    <w:rsid w:val="007E204C"/>
    <w:rsid w:val="007E434C"/>
    <w:rsid w:val="007E51BF"/>
    <w:rsid w:val="007E6448"/>
    <w:rsid w:val="007E72F5"/>
    <w:rsid w:val="007E7B13"/>
    <w:rsid w:val="007F01DB"/>
    <w:rsid w:val="007F1017"/>
    <w:rsid w:val="007F1FDE"/>
    <w:rsid w:val="007F4A3F"/>
    <w:rsid w:val="007F4A61"/>
    <w:rsid w:val="007F5068"/>
    <w:rsid w:val="007F589C"/>
    <w:rsid w:val="007F5907"/>
    <w:rsid w:val="007F61C2"/>
    <w:rsid w:val="007F6354"/>
    <w:rsid w:val="007F67D8"/>
    <w:rsid w:val="00800271"/>
    <w:rsid w:val="008024BD"/>
    <w:rsid w:val="00805142"/>
    <w:rsid w:val="0080769F"/>
    <w:rsid w:val="00807A8B"/>
    <w:rsid w:val="008107CE"/>
    <w:rsid w:val="00811383"/>
    <w:rsid w:val="00812149"/>
    <w:rsid w:val="00812CAC"/>
    <w:rsid w:val="0081323A"/>
    <w:rsid w:val="00814CC3"/>
    <w:rsid w:val="00815B25"/>
    <w:rsid w:val="008166EF"/>
    <w:rsid w:val="0082056F"/>
    <w:rsid w:val="00820874"/>
    <w:rsid w:val="00820BEC"/>
    <w:rsid w:val="00821483"/>
    <w:rsid w:val="00821C20"/>
    <w:rsid w:val="008236D5"/>
    <w:rsid w:val="00825751"/>
    <w:rsid w:val="00825BD9"/>
    <w:rsid w:val="00825D50"/>
    <w:rsid w:val="008264EB"/>
    <w:rsid w:val="00826ABB"/>
    <w:rsid w:val="008300BC"/>
    <w:rsid w:val="0083117F"/>
    <w:rsid w:val="00833B05"/>
    <w:rsid w:val="00833D41"/>
    <w:rsid w:val="008362B4"/>
    <w:rsid w:val="00837FDE"/>
    <w:rsid w:val="008403E0"/>
    <w:rsid w:val="00840CA2"/>
    <w:rsid w:val="00843023"/>
    <w:rsid w:val="0084374F"/>
    <w:rsid w:val="008443F3"/>
    <w:rsid w:val="00845103"/>
    <w:rsid w:val="008463F2"/>
    <w:rsid w:val="00847DF5"/>
    <w:rsid w:val="00850D4C"/>
    <w:rsid w:val="00851191"/>
    <w:rsid w:val="00851633"/>
    <w:rsid w:val="00852F03"/>
    <w:rsid w:val="0085309D"/>
    <w:rsid w:val="00853376"/>
    <w:rsid w:val="00854D9D"/>
    <w:rsid w:val="0085550A"/>
    <w:rsid w:val="00855D65"/>
    <w:rsid w:val="00855F16"/>
    <w:rsid w:val="008564A0"/>
    <w:rsid w:val="00856726"/>
    <w:rsid w:val="00856897"/>
    <w:rsid w:val="00856E9A"/>
    <w:rsid w:val="00860320"/>
    <w:rsid w:val="0086075D"/>
    <w:rsid w:val="00860B89"/>
    <w:rsid w:val="00862502"/>
    <w:rsid w:val="00863C8C"/>
    <w:rsid w:val="00864A15"/>
    <w:rsid w:val="008660D4"/>
    <w:rsid w:val="008675E1"/>
    <w:rsid w:val="008677F4"/>
    <w:rsid w:val="00867882"/>
    <w:rsid w:val="00870AE8"/>
    <w:rsid w:val="00871402"/>
    <w:rsid w:val="00871FA9"/>
    <w:rsid w:val="008725CD"/>
    <w:rsid w:val="00872801"/>
    <w:rsid w:val="008728E9"/>
    <w:rsid w:val="0087379C"/>
    <w:rsid w:val="008763B2"/>
    <w:rsid w:val="00876A42"/>
    <w:rsid w:val="008773D9"/>
    <w:rsid w:val="00882874"/>
    <w:rsid w:val="008828BC"/>
    <w:rsid w:val="0088307D"/>
    <w:rsid w:val="00883787"/>
    <w:rsid w:val="00884150"/>
    <w:rsid w:val="008842F4"/>
    <w:rsid w:val="008844BD"/>
    <w:rsid w:val="008845CE"/>
    <w:rsid w:val="0088527B"/>
    <w:rsid w:val="008857C7"/>
    <w:rsid w:val="00886631"/>
    <w:rsid w:val="00886A08"/>
    <w:rsid w:val="00886CD2"/>
    <w:rsid w:val="00887362"/>
    <w:rsid w:val="00890481"/>
    <w:rsid w:val="00890863"/>
    <w:rsid w:val="00890B74"/>
    <w:rsid w:val="00890BC2"/>
    <w:rsid w:val="00890C03"/>
    <w:rsid w:val="0089130F"/>
    <w:rsid w:val="008913DA"/>
    <w:rsid w:val="00891499"/>
    <w:rsid w:val="00892427"/>
    <w:rsid w:val="008926C4"/>
    <w:rsid w:val="00892A36"/>
    <w:rsid w:val="00893239"/>
    <w:rsid w:val="00894489"/>
    <w:rsid w:val="008956DB"/>
    <w:rsid w:val="00895760"/>
    <w:rsid w:val="00896268"/>
    <w:rsid w:val="008963A5"/>
    <w:rsid w:val="008A2556"/>
    <w:rsid w:val="008A3363"/>
    <w:rsid w:val="008A3371"/>
    <w:rsid w:val="008A3C3E"/>
    <w:rsid w:val="008A43C4"/>
    <w:rsid w:val="008A79DE"/>
    <w:rsid w:val="008B153A"/>
    <w:rsid w:val="008B1558"/>
    <w:rsid w:val="008B1757"/>
    <w:rsid w:val="008B1CA0"/>
    <w:rsid w:val="008B3467"/>
    <w:rsid w:val="008B4009"/>
    <w:rsid w:val="008B7288"/>
    <w:rsid w:val="008B7291"/>
    <w:rsid w:val="008B7D7E"/>
    <w:rsid w:val="008C1351"/>
    <w:rsid w:val="008C17F5"/>
    <w:rsid w:val="008C1B82"/>
    <w:rsid w:val="008C2724"/>
    <w:rsid w:val="008C36A9"/>
    <w:rsid w:val="008C4756"/>
    <w:rsid w:val="008C6839"/>
    <w:rsid w:val="008C69C8"/>
    <w:rsid w:val="008C6E39"/>
    <w:rsid w:val="008C7878"/>
    <w:rsid w:val="008C7ECB"/>
    <w:rsid w:val="008D0493"/>
    <w:rsid w:val="008D2583"/>
    <w:rsid w:val="008D30F0"/>
    <w:rsid w:val="008D4755"/>
    <w:rsid w:val="008D4C3D"/>
    <w:rsid w:val="008D554C"/>
    <w:rsid w:val="008D6EA8"/>
    <w:rsid w:val="008D74C7"/>
    <w:rsid w:val="008E0483"/>
    <w:rsid w:val="008E0D3C"/>
    <w:rsid w:val="008E1B9E"/>
    <w:rsid w:val="008E4639"/>
    <w:rsid w:val="008E495E"/>
    <w:rsid w:val="008E55AB"/>
    <w:rsid w:val="008E5C62"/>
    <w:rsid w:val="008E6B5D"/>
    <w:rsid w:val="008F085B"/>
    <w:rsid w:val="008F0AFF"/>
    <w:rsid w:val="008F120A"/>
    <w:rsid w:val="008F17C9"/>
    <w:rsid w:val="008F17EF"/>
    <w:rsid w:val="008F27E0"/>
    <w:rsid w:val="008F3716"/>
    <w:rsid w:val="008F3A2D"/>
    <w:rsid w:val="008F4232"/>
    <w:rsid w:val="008F48EB"/>
    <w:rsid w:val="008F4A09"/>
    <w:rsid w:val="008F4F0B"/>
    <w:rsid w:val="008F5D7F"/>
    <w:rsid w:val="008F5DF7"/>
    <w:rsid w:val="008F637D"/>
    <w:rsid w:val="00900787"/>
    <w:rsid w:val="009015DB"/>
    <w:rsid w:val="009016C2"/>
    <w:rsid w:val="00901AA9"/>
    <w:rsid w:val="0090277E"/>
    <w:rsid w:val="00902DE4"/>
    <w:rsid w:val="009046C4"/>
    <w:rsid w:val="00904B89"/>
    <w:rsid w:val="009062A5"/>
    <w:rsid w:val="00910515"/>
    <w:rsid w:val="00911272"/>
    <w:rsid w:val="009135D6"/>
    <w:rsid w:val="00914C77"/>
    <w:rsid w:val="00915E2F"/>
    <w:rsid w:val="009166C0"/>
    <w:rsid w:val="0092044B"/>
    <w:rsid w:val="0092231F"/>
    <w:rsid w:val="0092369B"/>
    <w:rsid w:val="00923C74"/>
    <w:rsid w:val="0092450A"/>
    <w:rsid w:val="00927CBB"/>
    <w:rsid w:val="00932BBE"/>
    <w:rsid w:val="0093356C"/>
    <w:rsid w:val="009337CC"/>
    <w:rsid w:val="0093556E"/>
    <w:rsid w:val="00941B89"/>
    <w:rsid w:val="0094213A"/>
    <w:rsid w:val="00942891"/>
    <w:rsid w:val="00944C43"/>
    <w:rsid w:val="009458BD"/>
    <w:rsid w:val="009472DE"/>
    <w:rsid w:val="009478D6"/>
    <w:rsid w:val="009510A2"/>
    <w:rsid w:val="00953257"/>
    <w:rsid w:val="009539E0"/>
    <w:rsid w:val="009540EB"/>
    <w:rsid w:val="0095565D"/>
    <w:rsid w:val="00955EDC"/>
    <w:rsid w:val="0095720C"/>
    <w:rsid w:val="0096177E"/>
    <w:rsid w:val="00962ACB"/>
    <w:rsid w:val="00962CB9"/>
    <w:rsid w:val="00963BDA"/>
    <w:rsid w:val="00964312"/>
    <w:rsid w:val="00965B8A"/>
    <w:rsid w:val="0096700C"/>
    <w:rsid w:val="0096709A"/>
    <w:rsid w:val="00970260"/>
    <w:rsid w:val="009717AC"/>
    <w:rsid w:val="00971D03"/>
    <w:rsid w:val="00972004"/>
    <w:rsid w:val="009737CB"/>
    <w:rsid w:val="00974897"/>
    <w:rsid w:val="00976F4F"/>
    <w:rsid w:val="00977CC3"/>
    <w:rsid w:val="00977FBE"/>
    <w:rsid w:val="0098089E"/>
    <w:rsid w:val="00980971"/>
    <w:rsid w:val="00980C9A"/>
    <w:rsid w:val="00982900"/>
    <w:rsid w:val="00982DEF"/>
    <w:rsid w:val="009836F5"/>
    <w:rsid w:val="00983E57"/>
    <w:rsid w:val="00985A80"/>
    <w:rsid w:val="0098675D"/>
    <w:rsid w:val="00990081"/>
    <w:rsid w:val="00990A8D"/>
    <w:rsid w:val="00993490"/>
    <w:rsid w:val="00993E37"/>
    <w:rsid w:val="00995114"/>
    <w:rsid w:val="00995C3D"/>
    <w:rsid w:val="00996B1A"/>
    <w:rsid w:val="009A00F5"/>
    <w:rsid w:val="009A0E5F"/>
    <w:rsid w:val="009A3238"/>
    <w:rsid w:val="009A4F97"/>
    <w:rsid w:val="009A5FAD"/>
    <w:rsid w:val="009A6732"/>
    <w:rsid w:val="009A7682"/>
    <w:rsid w:val="009A79CC"/>
    <w:rsid w:val="009A7F10"/>
    <w:rsid w:val="009B0158"/>
    <w:rsid w:val="009B0EE3"/>
    <w:rsid w:val="009B117E"/>
    <w:rsid w:val="009B318B"/>
    <w:rsid w:val="009B3E26"/>
    <w:rsid w:val="009B7ECE"/>
    <w:rsid w:val="009C04A3"/>
    <w:rsid w:val="009C0CF2"/>
    <w:rsid w:val="009C337D"/>
    <w:rsid w:val="009C35FB"/>
    <w:rsid w:val="009C4104"/>
    <w:rsid w:val="009C6CA7"/>
    <w:rsid w:val="009C6CEA"/>
    <w:rsid w:val="009C70E8"/>
    <w:rsid w:val="009C75D4"/>
    <w:rsid w:val="009C7B85"/>
    <w:rsid w:val="009D429C"/>
    <w:rsid w:val="009D5B91"/>
    <w:rsid w:val="009D71A0"/>
    <w:rsid w:val="009D792E"/>
    <w:rsid w:val="009E0119"/>
    <w:rsid w:val="009E02B0"/>
    <w:rsid w:val="009E0DFE"/>
    <w:rsid w:val="009E0E36"/>
    <w:rsid w:val="009E11AB"/>
    <w:rsid w:val="009E21C9"/>
    <w:rsid w:val="009E2D67"/>
    <w:rsid w:val="009E3A9F"/>
    <w:rsid w:val="009E465F"/>
    <w:rsid w:val="009E4C07"/>
    <w:rsid w:val="009E523F"/>
    <w:rsid w:val="009E69D2"/>
    <w:rsid w:val="009F08F4"/>
    <w:rsid w:val="009F18E3"/>
    <w:rsid w:val="009F1DCF"/>
    <w:rsid w:val="009F2B5C"/>
    <w:rsid w:val="009F516D"/>
    <w:rsid w:val="009F6E39"/>
    <w:rsid w:val="00A01156"/>
    <w:rsid w:val="00A01184"/>
    <w:rsid w:val="00A0139D"/>
    <w:rsid w:val="00A037D7"/>
    <w:rsid w:val="00A03D43"/>
    <w:rsid w:val="00A03E07"/>
    <w:rsid w:val="00A04380"/>
    <w:rsid w:val="00A05A0D"/>
    <w:rsid w:val="00A05B59"/>
    <w:rsid w:val="00A063E3"/>
    <w:rsid w:val="00A06863"/>
    <w:rsid w:val="00A07B83"/>
    <w:rsid w:val="00A10868"/>
    <w:rsid w:val="00A11CD0"/>
    <w:rsid w:val="00A13948"/>
    <w:rsid w:val="00A13E6B"/>
    <w:rsid w:val="00A14531"/>
    <w:rsid w:val="00A1495C"/>
    <w:rsid w:val="00A1555B"/>
    <w:rsid w:val="00A155C5"/>
    <w:rsid w:val="00A15990"/>
    <w:rsid w:val="00A15D64"/>
    <w:rsid w:val="00A1629B"/>
    <w:rsid w:val="00A16AD8"/>
    <w:rsid w:val="00A16D26"/>
    <w:rsid w:val="00A16DED"/>
    <w:rsid w:val="00A1750A"/>
    <w:rsid w:val="00A21CF3"/>
    <w:rsid w:val="00A21D54"/>
    <w:rsid w:val="00A228F1"/>
    <w:rsid w:val="00A2357B"/>
    <w:rsid w:val="00A23CD8"/>
    <w:rsid w:val="00A23CF4"/>
    <w:rsid w:val="00A246EF"/>
    <w:rsid w:val="00A26A34"/>
    <w:rsid w:val="00A27AEC"/>
    <w:rsid w:val="00A317DF"/>
    <w:rsid w:val="00A320DB"/>
    <w:rsid w:val="00A32663"/>
    <w:rsid w:val="00A33D2C"/>
    <w:rsid w:val="00A33D77"/>
    <w:rsid w:val="00A3410D"/>
    <w:rsid w:val="00A348CE"/>
    <w:rsid w:val="00A35944"/>
    <w:rsid w:val="00A35D16"/>
    <w:rsid w:val="00A37611"/>
    <w:rsid w:val="00A3786A"/>
    <w:rsid w:val="00A37BCD"/>
    <w:rsid w:val="00A41577"/>
    <w:rsid w:val="00A4215C"/>
    <w:rsid w:val="00A43C59"/>
    <w:rsid w:val="00A46079"/>
    <w:rsid w:val="00A463EB"/>
    <w:rsid w:val="00A477E0"/>
    <w:rsid w:val="00A50285"/>
    <w:rsid w:val="00A50363"/>
    <w:rsid w:val="00A50ECD"/>
    <w:rsid w:val="00A51111"/>
    <w:rsid w:val="00A518F3"/>
    <w:rsid w:val="00A52729"/>
    <w:rsid w:val="00A529AB"/>
    <w:rsid w:val="00A52E06"/>
    <w:rsid w:val="00A53675"/>
    <w:rsid w:val="00A55351"/>
    <w:rsid w:val="00A55638"/>
    <w:rsid w:val="00A564D7"/>
    <w:rsid w:val="00A56B6A"/>
    <w:rsid w:val="00A578DC"/>
    <w:rsid w:val="00A60F53"/>
    <w:rsid w:val="00A61414"/>
    <w:rsid w:val="00A61E94"/>
    <w:rsid w:val="00A62E90"/>
    <w:rsid w:val="00A636DC"/>
    <w:rsid w:val="00A6482B"/>
    <w:rsid w:val="00A64C2B"/>
    <w:rsid w:val="00A6725B"/>
    <w:rsid w:val="00A67D63"/>
    <w:rsid w:val="00A70605"/>
    <w:rsid w:val="00A71FB0"/>
    <w:rsid w:val="00A72A1F"/>
    <w:rsid w:val="00A72C57"/>
    <w:rsid w:val="00A73134"/>
    <w:rsid w:val="00A73D90"/>
    <w:rsid w:val="00A775C5"/>
    <w:rsid w:val="00A777B2"/>
    <w:rsid w:val="00A80471"/>
    <w:rsid w:val="00A80E6A"/>
    <w:rsid w:val="00A81271"/>
    <w:rsid w:val="00A82427"/>
    <w:rsid w:val="00A83247"/>
    <w:rsid w:val="00A863B8"/>
    <w:rsid w:val="00A86481"/>
    <w:rsid w:val="00A86E8B"/>
    <w:rsid w:val="00A87164"/>
    <w:rsid w:val="00A87D18"/>
    <w:rsid w:val="00A9183F"/>
    <w:rsid w:val="00A92E94"/>
    <w:rsid w:val="00A93072"/>
    <w:rsid w:val="00A9328A"/>
    <w:rsid w:val="00A93953"/>
    <w:rsid w:val="00A93D85"/>
    <w:rsid w:val="00A94BFD"/>
    <w:rsid w:val="00A959D8"/>
    <w:rsid w:val="00A95E2E"/>
    <w:rsid w:val="00AA113D"/>
    <w:rsid w:val="00AA23E6"/>
    <w:rsid w:val="00AA4945"/>
    <w:rsid w:val="00AA5B45"/>
    <w:rsid w:val="00AA660A"/>
    <w:rsid w:val="00AA6C7D"/>
    <w:rsid w:val="00AA7FD6"/>
    <w:rsid w:val="00AB042A"/>
    <w:rsid w:val="00AB1821"/>
    <w:rsid w:val="00AB1C5E"/>
    <w:rsid w:val="00AB2D34"/>
    <w:rsid w:val="00AB3430"/>
    <w:rsid w:val="00AB37F0"/>
    <w:rsid w:val="00AB47D0"/>
    <w:rsid w:val="00AB4AD1"/>
    <w:rsid w:val="00AB7CFA"/>
    <w:rsid w:val="00AC2715"/>
    <w:rsid w:val="00AC2D48"/>
    <w:rsid w:val="00AC3FE4"/>
    <w:rsid w:val="00AC497D"/>
    <w:rsid w:val="00AC5B48"/>
    <w:rsid w:val="00AC5BAF"/>
    <w:rsid w:val="00AC6681"/>
    <w:rsid w:val="00AC6C92"/>
    <w:rsid w:val="00AD318B"/>
    <w:rsid w:val="00AD3BBA"/>
    <w:rsid w:val="00AD3CCD"/>
    <w:rsid w:val="00AD4E1A"/>
    <w:rsid w:val="00AD509F"/>
    <w:rsid w:val="00AD6502"/>
    <w:rsid w:val="00AE04D7"/>
    <w:rsid w:val="00AE08C6"/>
    <w:rsid w:val="00AE1216"/>
    <w:rsid w:val="00AE2422"/>
    <w:rsid w:val="00AE4D91"/>
    <w:rsid w:val="00AE62F0"/>
    <w:rsid w:val="00AE6477"/>
    <w:rsid w:val="00AE6E08"/>
    <w:rsid w:val="00AE7C27"/>
    <w:rsid w:val="00AF1315"/>
    <w:rsid w:val="00AF13C9"/>
    <w:rsid w:val="00AF19BF"/>
    <w:rsid w:val="00AF1B2B"/>
    <w:rsid w:val="00AF1DC4"/>
    <w:rsid w:val="00AF2DC3"/>
    <w:rsid w:val="00AF36A2"/>
    <w:rsid w:val="00AF553B"/>
    <w:rsid w:val="00AF60B3"/>
    <w:rsid w:val="00AF7442"/>
    <w:rsid w:val="00B0256E"/>
    <w:rsid w:val="00B033E5"/>
    <w:rsid w:val="00B03A63"/>
    <w:rsid w:val="00B05664"/>
    <w:rsid w:val="00B10FCB"/>
    <w:rsid w:val="00B11EA6"/>
    <w:rsid w:val="00B142A2"/>
    <w:rsid w:val="00B1454C"/>
    <w:rsid w:val="00B15B1D"/>
    <w:rsid w:val="00B16E16"/>
    <w:rsid w:val="00B201A4"/>
    <w:rsid w:val="00B20840"/>
    <w:rsid w:val="00B20E4B"/>
    <w:rsid w:val="00B213A6"/>
    <w:rsid w:val="00B23A9E"/>
    <w:rsid w:val="00B24071"/>
    <w:rsid w:val="00B24DF6"/>
    <w:rsid w:val="00B2542E"/>
    <w:rsid w:val="00B25DA1"/>
    <w:rsid w:val="00B264D0"/>
    <w:rsid w:val="00B26B40"/>
    <w:rsid w:val="00B3177F"/>
    <w:rsid w:val="00B34FE2"/>
    <w:rsid w:val="00B357D8"/>
    <w:rsid w:val="00B3681C"/>
    <w:rsid w:val="00B36A75"/>
    <w:rsid w:val="00B36DA7"/>
    <w:rsid w:val="00B37BFC"/>
    <w:rsid w:val="00B40358"/>
    <w:rsid w:val="00B4064B"/>
    <w:rsid w:val="00B40E9C"/>
    <w:rsid w:val="00B41614"/>
    <w:rsid w:val="00B41778"/>
    <w:rsid w:val="00B42851"/>
    <w:rsid w:val="00B42F80"/>
    <w:rsid w:val="00B4315F"/>
    <w:rsid w:val="00B435CB"/>
    <w:rsid w:val="00B43BB4"/>
    <w:rsid w:val="00B43CEB"/>
    <w:rsid w:val="00B43D48"/>
    <w:rsid w:val="00B44FC8"/>
    <w:rsid w:val="00B46AD7"/>
    <w:rsid w:val="00B47CD0"/>
    <w:rsid w:val="00B50DB8"/>
    <w:rsid w:val="00B53654"/>
    <w:rsid w:val="00B53905"/>
    <w:rsid w:val="00B53E49"/>
    <w:rsid w:val="00B54487"/>
    <w:rsid w:val="00B54B5B"/>
    <w:rsid w:val="00B5551B"/>
    <w:rsid w:val="00B5562E"/>
    <w:rsid w:val="00B55AC9"/>
    <w:rsid w:val="00B55EE6"/>
    <w:rsid w:val="00B57000"/>
    <w:rsid w:val="00B607E3"/>
    <w:rsid w:val="00B60939"/>
    <w:rsid w:val="00B60AFD"/>
    <w:rsid w:val="00B60F3E"/>
    <w:rsid w:val="00B62715"/>
    <w:rsid w:val="00B62770"/>
    <w:rsid w:val="00B6314B"/>
    <w:rsid w:val="00B6371B"/>
    <w:rsid w:val="00B6408E"/>
    <w:rsid w:val="00B64BE9"/>
    <w:rsid w:val="00B66529"/>
    <w:rsid w:val="00B666ED"/>
    <w:rsid w:val="00B66C1C"/>
    <w:rsid w:val="00B66D6F"/>
    <w:rsid w:val="00B671FD"/>
    <w:rsid w:val="00B700FB"/>
    <w:rsid w:val="00B7020A"/>
    <w:rsid w:val="00B718ED"/>
    <w:rsid w:val="00B72F1F"/>
    <w:rsid w:val="00B73634"/>
    <w:rsid w:val="00B73662"/>
    <w:rsid w:val="00B75AD8"/>
    <w:rsid w:val="00B77147"/>
    <w:rsid w:val="00B77A6B"/>
    <w:rsid w:val="00B77E3A"/>
    <w:rsid w:val="00B808C6"/>
    <w:rsid w:val="00B818A4"/>
    <w:rsid w:val="00B822BC"/>
    <w:rsid w:val="00B82F48"/>
    <w:rsid w:val="00B83090"/>
    <w:rsid w:val="00B84117"/>
    <w:rsid w:val="00B84957"/>
    <w:rsid w:val="00B8598A"/>
    <w:rsid w:val="00B85AA2"/>
    <w:rsid w:val="00B8649C"/>
    <w:rsid w:val="00B86CFC"/>
    <w:rsid w:val="00B86D39"/>
    <w:rsid w:val="00B86F61"/>
    <w:rsid w:val="00B87F0A"/>
    <w:rsid w:val="00B92D0B"/>
    <w:rsid w:val="00B92EEB"/>
    <w:rsid w:val="00B93123"/>
    <w:rsid w:val="00B94026"/>
    <w:rsid w:val="00B94945"/>
    <w:rsid w:val="00B94E1D"/>
    <w:rsid w:val="00B96B2C"/>
    <w:rsid w:val="00B97FC7"/>
    <w:rsid w:val="00BA159E"/>
    <w:rsid w:val="00BA322D"/>
    <w:rsid w:val="00BA4954"/>
    <w:rsid w:val="00BA4AF7"/>
    <w:rsid w:val="00BA5015"/>
    <w:rsid w:val="00BA5B11"/>
    <w:rsid w:val="00BA5C21"/>
    <w:rsid w:val="00BA5C98"/>
    <w:rsid w:val="00BA7558"/>
    <w:rsid w:val="00BA795A"/>
    <w:rsid w:val="00BB0BDD"/>
    <w:rsid w:val="00BB13FE"/>
    <w:rsid w:val="00BB1F42"/>
    <w:rsid w:val="00BB295E"/>
    <w:rsid w:val="00BB2A73"/>
    <w:rsid w:val="00BB4ACC"/>
    <w:rsid w:val="00BB4C2B"/>
    <w:rsid w:val="00BB5CC2"/>
    <w:rsid w:val="00BB7030"/>
    <w:rsid w:val="00BB703E"/>
    <w:rsid w:val="00BB7405"/>
    <w:rsid w:val="00BC1CE8"/>
    <w:rsid w:val="00BC2DC0"/>
    <w:rsid w:val="00BC317E"/>
    <w:rsid w:val="00BC3631"/>
    <w:rsid w:val="00BC3E07"/>
    <w:rsid w:val="00BC4C6A"/>
    <w:rsid w:val="00BC5DF0"/>
    <w:rsid w:val="00BC627F"/>
    <w:rsid w:val="00BC6D14"/>
    <w:rsid w:val="00BC6E60"/>
    <w:rsid w:val="00BD1211"/>
    <w:rsid w:val="00BD48BD"/>
    <w:rsid w:val="00BD53E3"/>
    <w:rsid w:val="00BD623B"/>
    <w:rsid w:val="00BD68A3"/>
    <w:rsid w:val="00BD6938"/>
    <w:rsid w:val="00BD6CF3"/>
    <w:rsid w:val="00BD6EA5"/>
    <w:rsid w:val="00BE0428"/>
    <w:rsid w:val="00BE0AB5"/>
    <w:rsid w:val="00BE0F0E"/>
    <w:rsid w:val="00BE12F6"/>
    <w:rsid w:val="00BE2180"/>
    <w:rsid w:val="00BE21F2"/>
    <w:rsid w:val="00BE4275"/>
    <w:rsid w:val="00BE46F7"/>
    <w:rsid w:val="00BE4851"/>
    <w:rsid w:val="00BE551D"/>
    <w:rsid w:val="00BE704D"/>
    <w:rsid w:val="00BF0CDC"/>
    <w:rsid w:val="00BF0F95"/>
    <w:rsid w:val="00BF2433"/>
    <w:rsid w:val="00BF430D"/>
    <w:rsid w:val="00BF4DC2"/>
    <w:rsid w:val="00BF61C9"/>
    <w:rsid w:val="00BF6C94"/>
    <w:rsid w:val="00C00424"/>
    <w:rsid w:val="00C0422C"/>
    <w:rsid w:val="00C05177"/>
    <w:rsid w:val="00C06A1D"/>
    <w:rsid w:val="00C076FE"/>
    <w:rsid w:val="00C11697"/>
    <w:rsid w:val="00C11EEB"/>
    <w:rsid w:val="00C12C14"/>
    <w:rsid w:val="00C140C5"/>
    <w:rsid w:val="00C14CB4"/>
    <w:rsid w:val="00C15301"/>
    <w:rsid w:val="00C15D22"/>
    <w:rsid w:val="00C16D75"/>
    <w:rsid w:val="00C17325"/>
    <w:rsid w:val="00C176C5"/>
    <w:rsid w:val="00C200AA"/>
    <w:rsid w:val="00C20548"/>
    <w:rsid w:val="00C20EA4"/>
    <w:rsid w:val="00C22DFC"/>
    <w:rsid w:val="00C237ED"/>
    <w:rsid w:val="00C23BEE"/>
    <w:rsid w:val="00C244F6"/>
    <w:rsid w:val="00C24632"/>
    <w:rsid w:val="00C252B8"/>
    <w:rsid w:val="00C25418"/>
    <w:rsid w:val="00C25D9C"/>
    <w:rsid w:val="00C2677A"/>
    <w:rsid w:val="00C26BFF"/>
    <w:rsid w:val="00C2715B"/>
    <w:rsid w:val="00C2778B"/>
    <w:rsid w:val="00C31287"/>
    <w:rsid w:val="00C31649"/>
    <w:rsid w:val="00C3219F"/>
    <w:rsid w:val="00C32EB7"/>
    <w:rsid w:val="00C331B6"/>
    <w:rsid w:val="00C33663"/>
    <w:rsid w:val="00C34888"/>
    <w:rsid w:val="00C34CEF"/>
    <w:rsid w:val="00C40385"/>
    <w:rsid w:val="00C44845"/>
    <w:rsid w:val="00C46F8E"/>
    <w:rsid w:val="00C475AA"/>
    <w:rsid w:val="00C47E55"/>
    <w:rsid w:val="00C51476"/>
    <w:rsid w:val="00C51786"/>
    <w:rsid w:val="00C51D84"/>
    <w:rsid w:val="00C53CD1"/>
    <w:rsid w:val="00C53E01"/>
    <w:rsid w:val="00C55B51"/>
    <w:rsid w:val="00C55E79"/>
    <w:rsid w:val="00C561E2"/>
    <w:rsid w:val="00C5665B"/>
    <w:rsid w:val="00C5785E"/>
    <w:rsid w:val="00C60A3F"/>
    <w:rsid w:val="00C60C12"/>
    <w:rsid w:val="00C61696"/>
    <w:rsid w:val="00C634E7"/>
    <w:rsid w:val="00C63B89"/>
    <w:rsid w:val="00C64D2E"/>
    <w:rsid w:val="00C650D1"/>
    <w:rsid w:val="00C65576"/>
    <w:rsid w:val="00C66165"/>
    <w:rsid w:val="00C70D03"/>
    <w:rsid w:val="00C7151A"/>
    <w:rsid w:val="00C71F60"/>
    <w:rsid w:val="00C72241"/>
    <w:rsid w:val="00C72EB0"/>
    <w:rsid w:val="00C74283"/>
    <w:rsid w:val="00C7447A"/>
    <w:rsid w:val="00C750C8"/>
    <w:rsid w:val="00C7560F"/>
    <w:rsid w:val="00C75871"/>
    <w:rsid w:val="00C77215"/>
    <w:rsid w:val="00C77F94"/>
    <w:rsid w:val="00C80913"/>
    <w:rsid w:val="00C80A0E"/>
    <w:rsid w:val="00C81032"/>
    <w:rsid w:val="00C81630"/>
    <w:rsid w:val="00C8213F"/>
    <w:rsid w:val="00C824AA"/>
    <w:rsid w:val="00C83660"/>
    <w:rsid w:val="00C83993"/>
    <w:rsid w:val="00C8797A"/>
    <w:rsid w:val="00C900B8"/>
    <w:rsid w:val="00C90315"/>
    <w:rsid w:val="00C90C71"/>
    <w:rsid w:val="00C91227"/>
    <w:rsid w:val="00C91848"/>
    <w:rsid w:val="00C922BA"/>
    <w:rsid w:val="00C931CF"/>
    <w:rsid w:val="00C93301"/>
    <w:rsid w:val="00C9341D"/>
    <w:rsid w:val="00C938CF"/>
    <w:rsid w:val="00C94432"/>
    <w:rsid w:val="00C947B4"/>
    <w:rsid w:val="00C94B62"/>
    <w:rsid w:val="00C9550D"/>
    <w:rsid w:val="00C9624D"/>
    <w:rsid w:val="00C969DA"/>
    <w:rsid w:val="00C96C74"/>
    <w:rsid w:val="00C96D50"/>
    <w:rsid w:val="00C97314"/>
    <w:rsid w:val="00C97F08"/>
    <w:rsid w:val="00CA2AF0"/>
    <w:rsid w:val="00CA2C77"/>
    <w:rsid w:val="00CA340A"/>
    <w:rsid w:val="00CA444F"/>
    <w:rsid w:val="00CA49C7"/>
    <w:rsid w:val="00CA5245"/>
    <w:rsid w:val="00CA6654"/>
    <w:rsid w:val="00CA71F4"/>
    <w:rsid w:val="00CA7B09"/>
    <w:rsid w:val="00CB1598"/>
    <w:rsid w:val="00CB2EEF"/>
    <w:rsid w:val="00CB2F2A"/>
    <w:rsid w:val="00CB4D13"/>
    <w:rsid w:val="00CB5B1A"/>
    <w:rsid w:val="00CB645B"/>
    <w:rsid w:val="00CB6A7C"/>
    <w:rsid w:val="00CB6B22"/>
    <w:rsid w:val="00CB6DF5"/>
    <w:rsid w:val="00CB6FE2"/>
    <w:rsid w:val="00CB7F5F"/>
    <w:rsid w:val="00CC1099"/>
    <w:rsid w:val="00CC1B39"/>
    <w:rsid w:val="00CC2C87"/>
    <w:rsid w:val="00CC3F5C"/>
    <w:rsid w:val="00CC44F5"/>
    <w:rsid w:val="00CC4DFA"/>
    <w:rsid w:val="00CC5D65"/>
    <w:rsid w:val="00CC6530"/>
    <w:rsid w:val="00CC6B90"/>
    <w:rsid w:val="00CC78F7"/>
    <w:rsid w:val="00CD3B1C"/>
    <w:rsid w:val="00CD4BF2"/>
    <w:rsid w:val="00CD5C38"/>
    <w:rsid w:val="00CD6ADC"/>
    <w:rsid w:val="00CE022E"/>
    <w:rsid w:val="00CE0F6C"/>
    <w:rsid w:val="00CE1234"/>
    <w:rsid w:val="00CE30F7"/>
    <w:rsid w:val="00CE3D9E"/>
    <w:rsid w:val="00CE483D"/>
    <w:rsid w:val="00CE57CB"/>
    <w:rsid w:val="00CE5FC4"/>
    <w:rsid w:val="00CE6274"/>
    <w:rsid w:val="00CE7560"/>
    <w:rsid w:val="00CE7C09"/>
    <w:rsid w:val="00CF038A"/>
    <w:rsid w:val="00CF20E5"/>
    <w:rsid w:val="00CF2B8D"/>
    <w:rsid w:val="00CF2BFF"/>
    <w:rsid w:val="00CF456B"/>
    <w:rsid w:val="00CF45FE"/>
    <w:rsid w:val="00CF5A22"/>
    <w:rsid w:val="00CF66F5"/>
    <w:rsid w:val="00CF6DCC"/>
    <w:rsid w:val="00CF6E15"/>
    <w:rsid w:val="00CF6FFC"/>
    <w:rsid w:val="00D00111"/>
    <w:rsid w:val="00D002E9"/>
    <w:rsid w:val="00D00383"/>
    <w:rsid w:val="00D0206D"/>
    <w:rsid w:val="00D0262E"/>
    <w:rsid w:val="00D07228"/>
    <w:rsid w:val="00D10000"/>
    <w:rsid w:val="00D1095A"/>
    <w:rsid w:val="00D109FB"/>
    <w:rsid w:val="00D10C5A"/>
    <w:rsid w:val="00D110BD"/>
    <w:rsid w:val="00D111FB"/>
    <w:rsid w:val="00D13675"/>
    <w:rsid w:val="00D141E1"/>
    <w:rsid w:val="00D14344"/>
    <w:rsid w:val="00D15FCF"/>
    <w:rsid w:val="00D17D6C"/>
    <w:rsid w:val="00D208E5"/>
    <w:rsid w:val="00D20D49"/>
    <w:rsid w:val="00D22383"/>
    <w:rsid w:val="00D23A77"/>
    <w:rsid w:val="00D24854"/>
    <w:rsid w:val="00D25101"/>
    <w:rsid w:val="00D253BE"/>
    <w:rsid w:val="00D256B5"/>
    <w:rsid w:val="00D25E26"/>
    <w:rsid w:val="00D265D8"/>
    <w:rsid w:val="00D272BA"/>
    <w:rsid w:val="00D27371"/>
    <w:rsid w:val="00D2754D"/>
    <w:rsid w:val="00D27B27"/>
    <w:rsid w:val="00D302C5"/>
    <w:rsid w:val="00D33BE9"/>
    <w:rsid w:val="00D348FE"/>
    <w:rsid w:val="00D34BC9"/>
    <w:rsid w:val="00D34DE7"/>
    <w:rsid w:val="00D357FF"/>
    <w:rsid w:val="00D36E4D"/>
    <w:rsid w:val="00D404D7"/>
    <w:rsid w:val="00D424C7"/>
    <w:rsid w:val="00D43B2A"/>
    <w:rsid w:val="00D4482D"/>
    <w:rsid w:val="00D45B34"/>
    <w:rsid w:val="00D47575"/>
    <w:rsid w:val="00D47AEE"/>
    <w:rsid w:val="00D47D4F"/>
    <w:rsid w:val="00D47E32"/>
    <w:rsid w:val="00D50099"/>
    <w:rsid w:val="00D50229"/>
    <w:rsid w:val="00D5137C"/>
    <w:rsid w:val="00D51F7F"/>
    <w:rsid w:val="00D5295F"/>
    <w:rsid w:val="00D55A65"/>
    <w:rsid w:val="00D55E1E"/>
    <w:rsid w:val="00D607F6"/>
    <w:rsid w:val="00D60839"/>
    <w:rsid w:val="00D614CE"/>
    <w:rsid w:val="00D624C8"/>
    <w:rsid w:val="00D62CF9"/>
    <w:rsid w:val="00D6316B"/>
    <w:rsid w:val="00D63587"/>
    <w:rsid w:val="00D638EE"/>
    <w:rsid w:val="00D64321"/>
    <w:rsid w:val="00D676B7"/>
    <w:rsid w:val="00D70F16"/>
    <w:rsid w:val="00D76A44"/>
    <w:rsid w:val="00D77381"/>
    <w:rsid w:val="00D77AFE"/>
    <w:rsid w:val="00D80304"/>
    <w:rsid w:val="00D815EF"/>
    <w:rsid w:val="00D858B9"/>
    <w:rsid w:val="00D85AA2"/>
    <w:rsid w:val="00D874F7"/>
    <w:rsid w:val="00D90D72"/>
    <w:rsid w:val="00D91368"/>
    <w:rsid w:val="00D91923"/>
    <w:rsid w:val="00D93753"/>
    <w:rsid w:val="00D95121"/>
    <w:rsid w:val="00D9712F"/>
    <w:rsid w:val="00D97BDC"/>
    <w:rsid w:val="00D97D08"/>
    <w:rsid w:val="00DA0276"/>
    <w:rsid w:val="00DA0D42"/>
    <w:rsid w:val="00DA1623"/>
    <w:rsid w:val="00DA1CEF"/>
    <w:rsid w:val="00DA20ED"/>
    <w:rsid w:val="00DA225F"/>
    <w:rsid w:val="00DA3167"/>
    <w:rsid w:val="00DA32D0"/>
    <w:rsid w:val="00DA4137"/>
    <w:rsid w:val="00DA4DC3"/>
    <w:rsid w:val="00DA5319"/>
    <w:rsid w:val="00DA77A5"/>
    <w:rsid w:val="00DB1D43"/>
    <w:rsid w:val="00DB484F"/>
    <w:rsid w:val="00DB4AF9"/>
    <w:rsid w:val="00DC04F6"/>
    <w:rsid w:val="00DC2895"/>
    <w:rsid w:val="00DC301E"/>
    <w:rsid w:val="00DC3C57"/>
    <w:rsid w:val="00DC4DAC"/>
    <w:rsid w:val="00DC5501"/>
    <w:rsid w:val="00DC5AF5"/>
    <w:rsid w:val="00DC64F9"/>
    <w:rsid w:val="00DC6656"/>
    <w:rsid w:val="00DC7829"/>
    <w:rsid w:val="00DC7ED5"/>
    <w:rsid w:val="00DD0117"/>
    <w:rsid w:val="00DD1F24"/>
    <w:rsid w:val="00DD273C"/>
    <w:rsid w:val="00DD282E"/>
    <w:rsid w:val="00DD3145"/>
    <w:rsid w:val="00DD3ADC"/>
    <w:rsid w:val="00DD3F28"/>
    <w:rsid w:val="00DD4021"/>
    <w:rsid w:val="00DD4085"/>
    <w:rsid w:val="00DD4537"/>
    <w:rsid w:val="00DD4E15"/>
    <w:rsid w:val="00DD6113"/>
    <w:rsid w:val="00DD6285"/>
    <w:rsid w:val="00DD73B6"/>
    <w:rsid w:val="00DE1A8F"/>
    <w:rsid w:val="00DE1E18"/>
    <w:rsid w:val="00DE3138"/>
    <w:rsid w:val="00DE37F8"/>
    <w:rsid w:val="00DE4FCB"/>
    <w:rsid w:val="00DE5A57"/>
    <w:rsid w:val="00DE5F3D"/>
    <w:rsid w:val="00DE64DF"/>
    <w:rsid w:val="00DE7832"/>
    <w:rsid w:val="00DE793B"/>
    <w:rsid w:val="00DF0A70"/>
    <w:rsid w:val="00DF16D0"/>
    <w:rsid w:val="00DF18FC"/>
    <w:rsid w:val="00DF2DC9"/>
    <w:rsid w:val="00DF428B"/>
    <w:rsid w:val="00DF4775"/>
    <w:rsid w:val="00DF47C6"/>
    <w:rsid w:val="00DF5D2B"/>
    <w:rsid w:val="00DF6729"/>
    <w:rsid w:val="00E000D7"/>
    <w:rsid w:val="00E00AED"/>
    <w:rsid w:val="00E00B80"/>
    <w:rsid w:val="00E00D10"/>
    <w:rsid w:val="00E00E8E"/>
    <w:rsid w:val="00E02892"/>
    <w:rsid w:val="00E03F92"/>
    <w:rsid w:val="00E0410E"/>
    <w:rsid w:val="00E04E8B"/>
    <w:rsid w:val="00E05630"/>
    <w:rsid w:val="00E06DBB"/>
    <w:rsid w:val="00E0754A"/>
    <w:rsid w:val="00E07882"/>
    <w:rsid w:val="00E10149"/>
    <w:rsid w:val="00E1030E"/>
    <w:rsid w:val="00E11133"/>
    <w:rsid w:val="00E11C45"/>
    <w:rsid w:val="00E150BC"/>
    <w:rsid w:val="00E15A57"/>
    <w:rsid w:val="00E16372"/>
    <w:rsid w:val="00E16F84"/>
    <w:rsid w:val="00E175BE"/>
    <w:rsid w:val="00E20BFE"/>
    <w:rsid w:val="00E20E4D"/>
    <w:rsid w:val="00E20ED6"/>
    <w:rsid w:val="00E21358"/>
    <w:rsid w:val="00E2249B"/>
    <w:rsid w:val="00E22A0D"/>
    <w:rsid w:val="00E26CB0"/>
    <w:rsid w:val="00E2771E"/>
    <w:rsid w:val="00E27831"/>
    <w:rsid w:val="00E310DE"/>
    <w:rsid w:val="00E32FDA"/>
    <w:rsid w:val="00E33157"/>
    <w:rsid w:val="00E333F7"/>
    <w:rsid w:val="00E347E0"/>
    <w:rsid w:val="00E34948"/>
    <w:rsid w:val="00E34D0B"/>
    <w:rsid w:val="00E3509A"/>
    <w:rsid w:val="00E35211"/>
    <w:rsid w:val="00E35F10"/>
    <w:rsid w:val="00E37569"/>
    <w:rsid w:val="00E37EAE"/>
    <w:rsid w:val="00E40719"/>
    <w:rsid w:val="00E40A81"/>
    <w:rsid w:val="00E41E30"/>
    <w:rsid w:val="00E43CDA"/>
    <w:rsid w:val="00E43D70"/>
    <w:rsid w:val="00E43D75"/>
    <w:rsid w:val="00E442B6"/>
    <w:rsid w:val="00E45B75"/>
    <w:rsid w:val="00E466F3"/>
    <w:rsid w:val="00E47B2C"/>
    <w:rsid w:val="00E47E25"/>
    <w:rsid w:val="00E5098C"/>
    <w:rsid w:val="00E51436"/>
    <w:rsid w:val="00E51560"/>
    <w:rsid w:val="00E51DF1"/>
    <w:rsid w:val="00E52A4E"/>
    <w:rsid w:val="00E52C08"/>
    <w:rsid w:val="00E54347"/>
    <w:rsid w:val="00E55424"/>
    <w:rsid w:val="00E55BB5"/>
    <w:rsid w:val="00E55FAA"/>
    <w:rsid w:val="00E572D1"/>
    <w:rsid w:val="00E57E35"/>
    <w:rsid w:val="00E60F65"/>
    <w:rsid w:val="00E61099"/>
    <w:rsid w:val="00E638CC"/>
    <w:rsid w:val="00E65E79"/>
    <w:rsid w:val="00E66753"/>
    <w:rsid w:val="00E66932"/>
    <w:rsid w:val="00E66A56"/>
    <w:rsid w:val="00E66BA2"/>
    <w:rsid w:val="00E66E9A"/>
    <w:rsid w:val="00E67416"/>
    <w:rsid w:val="00E7071E"/>
    <w:rsid w:val="00E70E32"/>
    <w:rsid w:val="00E7145C"/>
    <w:rsid w:val="00E718B6"/>
    <w:rsid w:val="00E723BA"/>
    <w:rsid w:val="00E7289B"/>
    <w:rsid w:val="00E72CAC"/>
    <w:rsid w:val="00E72E30"/>
    <w:rsid w:val="00E73581"/>
    <w:rsid w:val="00E73C8B"/>
    <w:rsid w:val="00E7432B"/>
    <w:rsid w:val="00E74347"/>
    <w:rsid w:val="00E74A55"/>
    <w:rsid w:val="00E77DC4"/>
    <w:rsid w:val="00E77F13"/>
    <w:rsid w:val="00E80F0D"/>
    <w:rsid w:val="00E833F7"/>
    <w:rsid w:val="00E83529"/>
    <w:rsid w:val="00E83BDF"/>
    <w:rsid w:val="00E87A1D"/>
    <w:rsid w:val="00E9049F"/>
    <w:rsid w:val="00E90ACC"/>
    <w:rsid w:val="00E91775"/>
    <w:rsid w:val="00E926A5"/>
    <w:rsid w:val="00E937C0"/>
    <w:rsid w:val="00E9410B"/>
    <w:rsid w:val="00E94293"/>
    <w:rsid w:val="00E97496"/>
    <w:rsid w:val="00E979B5"/>
    <w:rsid w:val="00EA03CF"/>
    <w:rsid w:val="00EA1054"/>
    <w:rsid w:val="00EA17C3"/>
    <w:rsid w:val="00EA1A36"/>
    <w:rsid w:val="00EA2CAA"/>
    <w:rsid w:val="00EA2FCB"/>
    <w:rsid w:val="00EA3864"/>
    <w:rsid w:val="00EA3A71"/>
    <w:rsid w:val="00EA6502"/>
    <w:rsid w:val="00EA7B5B"/>
    <w:rsid w:val="00EB15B6"/>
    <w:rsid w:val="00EB1795"/>
    <w:rsid w:val="00EB205B"/>
    <w:rsid w:val="00EB2B6E"/>
    <w:rsid w:val="00EB35FA"/>
    <w:rsid w:val="00EB4916"/>
    <w:rsid w:val="00EB57CF"/>
    <w:rsid w:val="00EC00C9"/>
    <w:rsid w:val="00EC0EB7"/>
    <w:rsid w:val="00EC2649"/>
    <w:rsid w:val="00EC2A01"/>
    <w:rsid w:val="00EC38E7"/>
    <w:rsid w:val="00EC39E1"/>
    <w:rsid w:val="00EC5E53"/>
    <w:rsid w:val="00EC6E3E"/>
    <w:rsid w:val="00EC760C"/>
    <w:rsid w:val="00ED168F"/>
    <w:rsid w:val="00ED34FA"/>
    <w:rsid w:val="00ED4B92"/>
    <w:rsid w:val="00ED4D92"/>
    <w:rsid w:val="00ED57EA"/>
    <w:rsid w:val="00ED66D1"/>
    <w:rsid w:val="00ED6E67"/>
    <w:rsid w:val="00ED722E"/>
    <w:rsid w:val="00EE07D3"/>
    <w:rsid w:val="00EE1702"/>
    <w:rsid w:val="00EE1BB3"/>
    <w:rsid w:val="00EE1C8D"/>
    <w:rsid w:val="00EE22AF"/>
    <w:rsid w:val="00EE29F5"/>
    <w:rsid w:val="00EE319F"/>
    <w:rsid w:val="00EE4AE8"/>
    <w:rsid w:val="00EE6E4A"/>
    <w:rsid w:val="00EE736E"/>
    <w:rsid w:val="00EF006A"/>
    <w:rsid w:val="00EF0171"/>
    <w:rsid w:val="00EF1B25"/>
    <w:rsid w:val="00EF46C2"/>
    <w:rsid w:val="00EF4747"/>
    <w:rsid w:val="00EF4BF8"/>
    <w:rsid w:val="00EF573B"/>
    <w:rsid w:val="00F0110E"/>
    <w:rsid w:val="00F02253"/>
    <w:rsid w:val="00F03513"/>
    <w:rsid w:val="00F03C2E"/>
    <w:rsid w:val="00F0470E"/>
    <w:rsid w:val="00F04A66"/>
    <w:rsid w:val="00F0516C"/>
    <w:rsid w:val="00F067A2"/>
    <w:rsid w:val="00F07B7E"/>
    <w:rsid w:val="00F1263A"/>
    <w:rsid w:val="00F12D4A"/>
    <w:rsid w:val="00F132F1"/>
    <w:rsid w:val="00F17EF7"/>
    <w:rsid w:val="00F20115"/>
    <w:rsid w:val="00F2281E"/>
    <w:rsid w:val="00F24837"/>
    <w:rsid w:val="00F25393"/>
    <w:rsid w:val="00F2575F"/>
    <w:rsid w:val="00F25AEB"/>
    <w:rsid w:val="00F25B97"/>
    <w:rsid w:val="00F26706"/>
    <w:rsid w:val="00F26ABF"/>
    <w:rsid w:val="00F27565"/>
    <w:rsid w:val="00F279AE"/>
    <w:rsid w:val="00F30C0A"/>
    <w:rsid w:val="00F310D4"/>
    <w:rsid w:val="00F31D5A"/>
    <w:rsid w:val="00F33DE9"/>
    <w:rsid w:val="00F345A9"/>
    <w:rsid w:val="00F3619A"/>
    <w:rsid w:val="00F4004E"/>
    <w:rsid w:val="00F40377"/>
    <w:rsid w:val="00F40AAA"/>
    <w:rsid w:val="00F40BA7"/>
    <w:rsid w:val="00F43B7D"/>
    <w:rsid w:val="00F45971"/>
    <w:rsid w:val="00F46250"/>
    <w:rsid w:val="00F46CB6"/>
    <w:rsid w:val="00F476A6"/>
    <w:rsid w:val="00F47DE8"/>
    <w:rsid w:val="00F50550"/>
    <w:rsid w:val="00F53483"/>
    <w:rsid w:val="00F542C1"/>
    <w:rsid w:val="00F55904"/>
    <w:rsid w:val="00F55E73"/>
    <w:rsid w:val="00F55EDA"/>
    <w:rsid w:val="00F56610"/>
    <w:rsid w:val="00F60092"/>
    <w:rsid w:val="00F60FAC"/>
    <w:rsid w:val="00F611A9"/>
    <w:rsid w:val="00F61954"/>
    <w:rsid w:val="00F61F6E"/>
    <w:rsid w:val="00F621F0"/>
    <w:rsid w:val="00F626B6"/>
    <w:rsid w:val="00F62A84"/>
    <w:rsid w:val="00F65376"/>
    <w:rsid w:val="00F658A5"/>
    <w:rsid w:val="00F65F4B"/>
    <w:rsid w:val="00F665EA"/>
    <w:rsid w:val="00F66931"/>
    <w:rsid w:val="00F66D0A"/>
    <w:rsid w:val="00F67A14"/>
    <w:rsid w:val="00F67AB7"/>
    <w:rsid w:val="00F67C33"/>
    <w:rsid w:val="00F70C9D"/>
    <w:rsid w:val="00F70EAF"/>
    <w:rsid w:val="00F74086"/>
    <w:rsid w:val="00F74CD9"/>
    <w:rsid w:val="00F74EDD"/>
    <w:rsid w:val="00F75DDC"/>
    <w:rsid w:val="00F75F16"/>
    <w:rsid w:val="00F76478"/>
    <w:rsid w:val="00F76BC0"/>
    <w:rsid w:val="00F770D9"/>
    <w:rsid w:val="00F80A7B"/>
    <w:rsid w:val="00F80E5D"/>
    <w:rsid w:val="00F81853"/>
    <w:rsid w:val="00F83AB8"/>
    <w:rsid w:val="00F851CE"/>
    <w:rsid w:val="00F87FFD"/>
    <w:rsid w:val="00F90352"/>
    <w:rsid w:val="00F90512"/>
    <w:rsid w:val="00F91219"/>
    <w:rsid w:val="00F923B4"/>
    <w:rsid w:val="00F93E9A"/>
    <w:rsid w:val="00F95DBA"/>
    <w:rsid w:val="00F96E9A"/>
    <w:rsid w:val="00F97A78"/>
    <w:rsid w:val="00FA07BA"/>
    <w:rsid w:val="00FA0B20"/>
    <w:rsid w:val="00FA24E7"/>
    <w:rsid w:val="00FA33C1"/>
    <w:rsid w:val="00FA56FC"/>
    <w:rsid w:val="00FA5C9B"/>
    <w:rsid w:val="00FA6D93"/>
    <w:rsid w:val="00FA7344"/>
    <w:rsid w:val="00FA7904"/>
    <w:rsid w:val="00FB0FE5"/>
    <w:rsid w:val="00FB120E"/>
    <w:rsid w:val="00FB1977"/>
    <w:rsid w:val="00FB1F2C"/>
    <w:rsid w:val="00FB2F55"/>
    <w:rsid w:val="00FB2FCB"/>
    <w:rsid w:val="00FB433D"/>
    <w:rsid w:val="00FB4F0A"/>
    <w:rsid w:val="00FB65B9"/>
    <w:rsid w:val="00FB6DD7"/>
    <w:rsid w:val="00FC04C9"/>
    <w:rsid w:val="00FC1074"/>
    <w:rsid w:val="00FC1884"/>
    <w:rsid w:val="00FC2894"/>
    <w:rsid w:val="00FC371D"/>
    <w:rsid w:val="00FC461A"/>
    <w:rsid w:val="00FC5798"/>
    <w:rsid w:val="00FC5F0B"/>
    <w:rsid w:val="00FC6036"/>
    <w:rsid w:val="00FC64AE"/>
    <w:rsid w:val="00FC6685"/>
    <w:rsid w:val="00FD2100"/>
    <w:rsid w:val="00FD2525"/>
    <w:rsid w:val="00FD3836"/>
    <w:rsid w:val="00FD436C"/>
    <w:rsid w:val="00FD446D"/>
    <w:rsid w:val="00FD580A"/>
    <w:rsid w:val="00FD587A"/>
    <w:rsid w:val="00FD6394"/>
    <w:rsid w:val="00FD77D6"/>
    <w:rsid w:val="00FE0522"/>
    <w:rsid w:val="00FE0E6C"/>
    <w:rsid w:val="00FE159C"/>
    <w:rsid w:val="00FE3984"/>
    <w:rsid w:val="00FE3AE2"/>
    <w:rsid w:val="00FE3E6A"/>
    <w:rsid w:val="00FE4DB3"/>
    <w:rsid w:val="00FE63B1"/>
    <w:rsid w:val="00FE70C3"/>
    <w:rsid w:val="00FF2663"/>
    <w:rsid w:val="00FF280C"/>
    <w:rsid w:val="00FF33C6"/>
    <w:rsid w:val="00FF3DCF"/>
    <w:rsid w:val="00FF492C"/>
    <w:rsid w:val="00FF4A21"/>
    <w:rsid w:val="00FF5AA3"/>
    <w:rsid w:val="00FF5AD8"/>
    <w:rsid w:val="00FF5C59"/>
    <w:rsid w:val="00FF6A35"/>
    <w:rsid w:val="00FF70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2E2082"/>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E2082"/>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DE64DF"/>
    <w:pPr>
      <w:jc w:val="left"/>
    </w:pPr>
    <w:rPr>
      <w:b/>
      <w:sz w:val="36"/>
    </w:rPr>
  </w:style>
  <w:style w:type="character" w:customStyle="1" w:styleId="BodyTextChar">
    <w:name w:val="Body Text Char"/>
    <w:basedOn w:val="DefaultParagraphFont"/>
    <w:link w:val="BodyText"/>
    <w:rsid w:val="00DE64DF"/>
    <w:rPr>
      <w:rFonts w:ascii="Calibri" w:hAnsi="Calibri" w:cs="Arial"/>
      <w:b/>
      <w:snapToGrid w:val="0"/>
      <w:sz w:val="36"/>
      <w:szCs w:val="22"/>
      <w:lang w:eastAsia="en-US"/>
    </w:rPr>
  </w:style>
  <w:style w:type="paragraph" w:styleId="ListParagraph">
    <w:name w:val="List Paragraph"/>
    <w:aliases w:val="Numbered para,BulletPoints,List Paragraph1,Bullet 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val="0"/>
    </w:rPr>
  </w:style>
  <w:style w:type="character" w:customStyle="1" w:styleId="RegularTextChar">
    <w:name w:val="Regular Text Char"/>
    <w:basedOn w:val="BodyTextChar"/>
    <w:link w:val="RegularText"/>
    <w:rsid w:val="00124A51"/>
    <w:rPr>
      <w:rFonts w:ascii="Arial" w:hAnsi="Arial" w:cs="Arial"/>
      <w:b w:val="0"/>
      <w:snapToGrid w:val="0"/>
      <w:sz w:val="22"/>
      <w:szCs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qFormat/>
    <w:rsid w:val="00431541"/>
    <w:pPr>
      <w:keepNext/>
      <w:keepLines/>
      <w:widowControl/>
      <w:numPr>
        <w:numId w:val="1"/>
      </w:numPr>
      <w:spacing w:before="400" w:after="120"/>
      <w:ind w:left="709" w:hanging="709"/>
    </w:pPr>
    <w:rPr>
      <w:rFonts w:cs="Times New Roman"/>
      <w:caps w:val="0"/>
      <w:snapToGrid/>
      <w:szCs w:val="28"/>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5F1BDF"/>
    <w:pPr>
      <w:keepNext/>
      <w:widowControl/>
      <w:spacing w:before="40" w:after="40"/>
      <w:jc w:val="left"/>
    </w:pPr>
    <w:rPr>
      <w:rFonts w:ascii="Arial Narrow" w:eastAsiaTheme="minorHAnsi" w:hAnsi="Arial Narrow" w:cstheme="minorBidi"/>
      <w:snapToGrid/>
      <w:sz w:val="20"/>
    </w:rPr>
  </w:style>
  <w:style w:type="paragraph" w:customStyle="1" w:styleId="KMC16-Footer">
    <w:name w:val="KMC16 - Footer"/>
    <w:basedOn w:val="Normal"/>
    <w:qFormat/>
    <w:rsid w:val="00031A76"/>
    <w:pPr>
      <w:widowControl/>
      <w:pBdr>
        <w:top w:val="single" w:sz="4" w:space="1" w:color="auto"/>
      </w:pBdr>
      <w:tabs>
        <w:tab w:val="center" w:pos="4147"/>
        <w:tab w:val="right" w:pos="9000"/>
      </w:tabs>
    </w:pPr>
    <w:rPr>
      <w:rFonts w:eastAsiaTheme="minorHAnsi" w:cstheme="minorBidi"/>
      <w:b/>
      <w:snapToGrid/>
      <w:color w:val="000000" w:themeColor="text1"/>
      <w:sz w:val="18"/>
    </w:rPr>
  </w:style>
  <w:style w:type="paragraph" w:customStyle="1" w:styleId="KMC16-Tablecontent">
    <w:name w:val="KMC16 - Table content"/>
    <w:basedOn w:val="Normal"/>
    <w:link w:val="KMC16-TablecontentChar"/>
    <w:qFormat/>
    <w:rsid w:val="00031A76"/>
    <w:pPr>
      <w:widowControl/>
      <w:spacing w:before="40" w:after="40"/>
      <w:jc w:val="left"/>
    </w:pPr>
    <w:rPr>
      <w:rFonts w:ascii="Arial Narrow" w:hAnsi="Arial Narrow"/>
      <w:snapToGrid/>
      <w:color w:val="000000"/>
      <w:sz w:val="20"/>
      <w:lang w:val="en-GB"/>
    </w:rPr>
  </w:style>
  <w:style w:type="character" w:customStyle="1" w:styleId="KMC16-TablecontentChar">
    <w:name w:val="KMC16 - Table content Char"/>
    <w:basedOn w:val="DefaultParagraphFont"/>
    <w:link w:val="KMC16-Tablecontent"/>
    <w:rsid w:val="00031A76"/>
    <w:rPr>
      <w:rFonts w:ascii="Arial Narrow" w:hAnsi="Arial Narrow" w:cs="Arial"/>
      <w:color w:val="000000"/>
      <w:szCs w:val="22"/>
      <w:lang w:val="en-GB" w:eastAsia="en-US"/>
    </w:rPr>
  </w:style>
  <w:style w:type="paragraph" w:customStyle="1" w:styleId="KMC16-TableHeading">
    <w:name w:val="KMC16 - Table Heading"/>
    <w:basedOn w:val="Normal"/>
    <w:qFormat/>
    <w:rsid w:val="00963BDA"/>
    <w:pPr>
      <w:widowControl/>
      <w:spacing w:before="40" w:after="40"/>
      <w:jc w:val="left"/>
    </w:pPr>
    <w:rPr>
      <w:rFonts w:ascii="Arial Narrow" w:hAnsi="Arial Narrow"/>
      <w:b/>
      <w:snapToGrid/>
      <w:color w:val="000000"/>
      <w:sz w:val="20"/>
    </w:rPr>
  </w:style>
  <w:style w:type="paragraph" w:customStyle="1" w:styleId="KMC-TFNotes">
    <w:name w:val="KMC - TF Notes"/>
    <w:basedOn w:val="Normal"/>
    <w:link w:val="KMC-TFNotesChar"/>
    <w:qFormat/>
    <w:locked/>
    <w:rsid w:val="00BE704D"/>
    <w:pPr>
      <w:keepNext/>
      <w:widowControl/>
      <w:spacing w:before="45" w:after="240"/>
      <w:contextualSpacing/>
    </w:pPr>
    <w:rPr>
      <w:rFonts w:eastAsiaTheme="minorHAnsi" w:cstheme="minorBidi"/>
      <w:snapToGrid/>
      <w:color w:val="000000" w:themeColor="text1"/>
      <w:sz w:val="16"/>
    </w:rPr>
  </w:style>
  <w:style w:type="character" w:customStyle="1" w:styleId="KMC-TFNotesChar">
    <w:name w:val="KMC - TF Notes Char"/>
    <w:basedOn w:val="DefaultParagraphFont"/>
    <w:link w:val="KMC-TFNotes"/>
    <w:rsid w:val="00BE704D"/>
    <w:rPr>
      <w:rFonts w:ascii="Calibri" w:eastAsiaTheme="minorHAnsi" w:hAnsi="Calibri" w:cstheme="minorBidi"/>
      <w:color w:val="000000" w:themeColor="text1"/>
      <w:sz w:val="16"/>
      <w:szCs w:val="22"/>
      <w:lang w:eastAsia="en-US"/>
    </w:rPr>
  </w:style>
  <w:style w:type="paragraph" w:customStyle="1" w:styleId="footnote">
    <w:name w:val="footnote"/>
    <w:basedOn w:val="Normal"/>
    <w:link w:val="footnoteChar"/>
    <w:qFormat/>
    <w:rsid w:val="007C16AD"/>
    <w:pPr>
      <w:widowControl/>
    </w:pPr>
    <w:rPr>
      <w:rFonts w:ascii="Arial Narrow" w:hAnsi="Arial Narrow" w:cs="Times New Roman"/>
      <w:snapToGrid/>
      <w:sz w:val="18"/>
      <w:szCs w:val="18"/>
      <w:lang w:eastAsia="en-AU"/>
    </w:rPr>
  </w:style>
  <w:style w:type="character" w:customStyle="1" w:styleId="footnoteChar">
    <w:name w:val="footnote Char"/>
    <w:basedOn w:val="DefaultParagraphFont"/>
    <w:link w:val="footnote"/>
    <w:rsid w:val="007C16AD"/>
    <w:rPr>
      <w:rFonts w:ascii="Arial Narrow" w:hAnsi="Arial Narrow"/>
      <w:sz w:val="18"/>
      <w:szCs w:val="18"/>
    </w:rPr>
  </w:style>
  <w:style w:type="paragraph" w:customStyle="1" w:styleId="KMC16-Text">
    <w:name w:val="KMC16 - Text"/>
    <w:basedOn w:val="Normal"/>
    <w:link w:val="KMC16-TextChar"/>
    <w:qFormat/>
    <w:rsid w:val="00A51111"/>
    <w:pPr>
      <w:widowControl/>
      <w:spacing w:before="120" w:after="240" w:line="360" w:lineRule="auto"/>
      <w:jc w:val="left"/>
    </w:pPr>
    <w:rPr>
      <w:rFonts w:ascii="Arial" w:eastAsiaTheme="minorHAnsi" w:hAnsi="Arial" w:cstheme="minorBidi"/>
      <w:snapToGrid/>
      <w:color w:val="000000" w:themeColor="text1"/>
      <w:sz w:val="22"/>
    </w:rPr>
  </w:style>
  <w:style w:type="character" w:customStyle="1" w:styleId="KMC16-TextChar">
    <w:name w:val="KMC16 - Text Char"/>
    <w:basedOn w:val="DefaultParagraphFont"/>
    <w:link w:val="KMC16-Text"/>
    <w:rsid w:val="00A51111"/>
    <w:rPr>
      <w:rFonts w:ascii="Arial" w:eastAsiaTheme="minorHAnsi" w:hAnsi="Arial" w:cstheme="minorBidi"/>
      <w:color w:val="000000" w:themeColor="text1"/>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35211"/>
    <w:pPr>
      <w:widowControl/>
      <w:spacing w:after="160" w:line="240" w:lineRule="exact"/>
      <w:jc w:val="left"/>
    </w:pPr>
    <w:rPr>
      <w:rFonts w:ascii="Verdana" w:eastAsia="MS Mincho" w:hAnsi="Verdana" w:cs="Verdana"/>
      <w:snapToGrid/>
      <w:sz w:val="20"/>
      <w:szCs w:val="20"/>
      <w:lang w:val="en-US"/>
    </w:rPr>
  </w:style>
  <w:style w:type="character" w:customStyle="1" w:styleId="Heading1Char">
    <w:name w:val="Heading 1 Char"/>
    <w:basedOn w:val="DefaultParagraphFont"/>
    <w:link w:val="Heading1"/>
    <w:uiPriority w:val="1"/>
    <w:rsid w:val="005E71FC"/>
    <w:rPr>
      <w:rFonts w:ascii="Calibri" w:hAnsi="Calibri" w:cs="Arial"/>
      <w:b/>
      <w:caps/>
      <w:snapToGrid w:val="0"/>
      <w:sz w:val="32"/>
      <w:szCs w:val="22"/>
      <w:lang w:eastAsia="en-US"/>
    </w:rPr>
  </w:style>
  <w:style w:type="paragraph" w:customStyle="1" w:styleId="KMC16ES-text">
    <w:name w:val="KMC16 ES - text"/>
    <w:basedOn w:val="Normal"/>
    <w:qFormat/>
    <w:rsid w:val="001D73C1"/>
    <w:pPr>
      <w:widowControl/>
      <w:spacing w:after="40"/>
    </w:pPr>
    <w:rPr>
      <w:rFonts w:ascii="Arial Narrow" w:eastAsiaTheme="minorHAnsi" w:hAnsi="Arial Narrow" w:cstheme="minorBidi"/>
      <w:snapToGrid/>
      <w:sz w:val="22"/>
      <w:lang w:val="en-GB"/>
    </w:rPr>
  </w:style>
  <w:style w:type="paragraph" w:styleId="FootnoteText">
    <w:name w:val="footnote text"/>
    <w:basedOn w:val="Normal"/>
    <w:link w:val="FootnoteTextChar"/>
    <w:semiHidden/>
    <w:unhideWhenUsed/>
    <w:rsid w:val="005B7EF3"/>
    <w:rPr>
      <w:sz w:val="20"/>
      <w:szCs w:val="20"/>
    </w:rPr>
  </w:style>
  <w:style w:type="character" w:customStyle="1" w:styleId="FootnoteTextChar">
    <w:name w:val="Footnote Text Char"/>
    <w:basedOn w:val="DefaultParagraphFont"/>
    <w:link w:val="FootnoteText"/>
    <w:semiHidden/>
    <w:rsid w:val="005B7EF3"/>
    <w:rPr>
      <w:rFonts w:ascii="Calibri" w:hAnsi="Calibri" w:cs="Arial"/>
      <w:snapToGrid w:val="0"/>
      <w:lang w:eastAsia="en-US"/>
    </w:rPr>
  </w:style>
  <w:style w:type="character" w:styleId="FootnoteReference">
    <w:name w:val="footnote reference"/>
    <w:basedOn w:val="DefaultParagraphFont"/>
    <w:uiPriority w:val="99"/>
    <w:semiHidden/>
    <w:unhideWhenUsed/>
    <w:rsid w:val="005B7EF3"/>
    <w:rPr>
      <w:vertAlign w:val="superscript"/>
    </w:rPr>
  </w:style>
  <w:style w:type="paragraph" w:customStyle="1" w:styleId="1MainTitle">
    <w:name w:val="1. Main Title"/>
    <w:basedOn w:val="Title"/>
    <w:link w:val="1MainTitleChar"/>
    <w:qFormat/>
    <w:rsid w:val="00DE64DF"/>
    <w:pPr>
      <w:widowControl/>
      <w:spacing w:before="120" w:after="160"/>
      <w:ind w:left="720" w:hanging="720"/>
      <w:contextualSpacing/>
      <w:jc w:val="left"/>
    </w:pPr>
    <w:rPr>
      <w:rFonts w:asciiTheme="minorHAnsi" w:eastAsiaTheme="majorEastAsia" w:hAnsiTheme="minorHAnsi" w:cstheme="majorBidi"/>
      <w:bCs w:val="0"/>
      <w:snapToGrid/>
      <w:spacing w:val="5"/>
      <w:sz w:val="36"/>
      <w:szCs w:val="36"/>
    </w:rPr>
  </w:style>
  <w:style w:type="character" w:customStyle="1" w:styleId="1MainTitleChar">
    <w:name w:val="1. Main Title Char"/>
    <w:basedOn w:val="TitleChar"/>
    <w:link w:val="1MainTitle"/>
    <w:rsid w:val="00DE64DF"/>
    <w:rPr>
      <w:rFonts w:asciiTheme="minorHAnsi" w:eastAsiaTheme="majorEastAsia" w:hAnsiTheme="minorHAnsi" w:cstheme="majorBidi"/>
      <w:b/>
      <w:bCs w:val="0"/>
      <w:snapToGrid/>
      <w:spacing w:val="5"/>
      <w:kern w:val="28"/>
      <w:sz w:val="36"/>
      <w:szCs w:val="36"/>
      <w:lang w:eastAsia="en-US"/>
    </w:rPr>
  </w:style>
  <w:style w:type="paragraph" w:customStyle="1" w:styleId="2Sections">
    <w:name w:val="2. Sections"/>
    <w:qFormat/>
    <w:rsid w:val="000A7D07"/>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0A7D07"/>
    <w:pPr>
      <w:widowControl/>
      <w:tabs>
        <w:tab w:val="num" w:pos="360"/>
      </w:tabs>
      <w:spacing w:after="120"/>
    </w:pPr>
    <w:rPr>
      <w:rFonts w:asciiTheme="minorHAnsi" w:eastAsiaTheme="minorHAnsi" w:hAnsiTheme="minorHAnsi" w:cstheme="minorBidi"/>
      <w:b w:val="0"/>
      <w:i/>
      <w:snapToGrid/>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2845">
      <w:bodyDiv w:val="1"/>
      <w:marLeft w:val="0"/>
      <w:marRight w:val="0"/>
      <w:marTop w:val="0"/>
      <w:marBottom w:val="0"/>
      <w:divBdr>
        <w:top w:val="none" w:sz="0" w:space="0" w:color="auto"/>
        <w:left w:val="none" w:sz="0" w:space="0" w:color="auto"/>
        <w:bottom w:val="none" w:sz="0" w:space="0" w:color="auto"/>
        <w:right w:val="none" w:sz="0" w:space="0" w:color="auto"/>
      </w:divBdr>
    </w:div>
    <w:div w:id="366293658">
      <w:bodyDiv w:val="1"/>
      <w:marLeft w:val="0"/>
      <w:marRight w:val="0"/>
      <w:marTop w:val="0"/>
      <w:marBottom w:val="0"/>
      <w:divBdr>
        <w:top w:val="none" w:sz="0" w:space="0" w:color="auto"/>
        <w:left w:val="none" w:sz="0" w:space="0" w:color="auto"/>
        <w:bottom w:val="none" w:sz="0" w:space="0" w:color="auto"/>
        <w:right w:val="none" w:sz="0" w:space="0" w:color="auto"/>
      </w:divBdr>
      <w:divsChild>
        <w:div w:id="1235704297">
          <w:marLeft w:val="547"/>
          <w:marRight w:val="0"/>
          <w:marTop w:val="154"/>
          <w:marBottom w:val="0"/>
          <w:divBdr>
            <w:top w:val="none" w:sz="0" w:space="0" w:color="auto"/>
            <w:left w:val="none" w:sz="0" w:space="0" w:color="auto"/>
            <w:bottom w:val="none" w:sz="0" w:space="0" w:color="auto"/>
            <w:right w:val="none" w:sz="0" w:space="0" w:color="auto"/>
          </w:divBdr>
        </w:div>
        <w:div w:id="652877072">
          <w:marLeft w:val="547"/>
          <w:marRight w:val="0"/>
          <w:marTop w:val="154"/>
          <w:marBottom w:val="0"/>
          <w:divBdr>
            <w:top w:val="none" w:sz="0" w:space="0" w:color="auto"/>
            <w:left w:val="none" w:sz="0" w:space="0" w:color="auto"/>
            <w:bottom w:val="none" w:sz="0" w:space="0" w:color="auto"/>
            <w:right w:val="none" w:sz="0" w:space="0" w:color="auto"/>
          </w:divBdr>
        </w:div>
        <w:div w:id="1421491423">
          <w:marLeft w:val="547"/>
          <w:marRight w:val="0"/>
          <w:marTop w:val="154"/>
          <w:marBottom w:val="0"/>
          <w:divBdr>
            <w:top w:val="none" w:sz="0" w:space="0" w:color="auto"/>
            <w:left w:val="none" w:sz="0" w:space="0" w:color="auto"/>
            <w:bottom w:val="none" w:sz="0" w:space="0" w:color="auto"/>
            <w:right w:val="none" w:sz="0" w:space="0" w:color="auto"/>
          </w:divBdr>
        </w:div>
        <w:div w:id="1029990372">
          <w:marLeft w:val="547"/>
          <w:marRight w:val="0"/>
          <w:marTop w:val="154"/>
          <w:marBottom w:val="0"/>
          <w:divBdr>
            <w:top w:val="none" w:sz="0" w:space="0" w:color="auto"/>
            <w:left w:val="none" w:sz="0" w:space="0" w:color="auto"/>
            <w:bottom w:val="none" w:sz="0" w:space="0" w:color="auto"/>
            <w:right w:val="none" w:sz="0" w:space="0" w:color="auto"/>
          </w:divBdr>
        </w:div>
        <w:div w:id="498886914">
          <w:marLeft w:val="1166"/>
          <w:marRight w:val="0"/>
          <w:marTop w:val="134"/>
          <w:marBottom w:val="0"/>
          <w:divBdr>
            <w:top w:val="none" w:sz="0" w:space="0" w:color="auto"/>
            <w:left w:val="none" w:sz="0" w:space="0" w:color="auto"/>
            <w:bottom w:val="none" w:sz="0" w:space="0" w:color="auto"/>
            <w:right w:val="none" w:sz="0" w:space="0" w:color="auto"/>
          </w:divBdr>
        </w:div>
        <w:div w:id="1290671310">
          <w:marLeft w:val="547"/>
          <w:marRight w:val="0"/>
          <w:marTop w:val="154"/>
          <w:marBottom w:val="0"/>
          <w:divBdr>
            <w:top w:val="none" w:sz="0" w:space="0" w:color="auto"/>
            <w:left w:val="none" w:sz="0" w:space="0" w:color="auto"/>
            <w:bottom w:val="none" w:sz="0" w:space="0" w:color="auto"/>
            <w:right w:val="none" w:sz="0" w:space="0" w:color="auto"/>
          </w:divBdr>
        </w:div>
        <w:div w:id="1706367699">
          <w:marLeft w:val="547"/>
          <w:marRight w:val="0"/>
          <w:marTop w:val="154"/>
          <w:marBottom w:val="0"/>
          <w:divBdr>
            <w:top w:val="none" w:sz="0" w:space="0" w:color="auto"/>
            <w:left w:val="none" w:sz="0" w:space="0" w:color="auto"/>
            <w:bottom w:val="none" w:sz="0" w:space="0" w:color="auto"/>
            <w:right w:val="none" w:sz="0" w:space="0" w:color="auto"/>
          </w:divBdr>
        </w:div>
      </w:divsChild>
    </w:div>
    <w:div w:id="495610386">
      <w:bodyDiv w:val="1"/>
      <w:marLeft w:val="0"/>
      <w:marRight w:val="0"/>
      <w:marTop w:val="0"/>
      <w:marBottom w:val="0"/>
      <w:divBdr>
        <w:top w:val="none" w:sz="0" w:space="0" w:color="auto"/>
        <w:left w:val="none" w:sz="0" w:space="0" w:color="auto"/>
        <w:bottom w:val="none" w:sz="0" w:space="0" w:color="auto"/>
        <w:right w:val="none" w:sz="0" w:space="0" w:color="auto"/>
      </w:divBdr>
      <w:divsChild>
        <w:div w:id="273635383">
          <w:marLeft w:val="547"/>
          <w:marRight w:val="0"/>
          <w:marTop w:val="154"/>
          <w:marBottom w:val="0"/>
          <w:divBdr>
            <w:top w:val="none" w:sz="0" w:space="0" w:color="auto"/>
            <w:left w:val="none" w:sz="0" w:space="0" w:color="auto"/>
            <w:bottom w:val="none" w:sz="0" w:space="0" w:color="auto"/>
            <w:right w:val="none" w:sz="0" w:space="0" w:color="auto"/>
          </w:divBdr>
        </w:div>
        <w:div w:id="1770614370">
          <w:marLeft w:val="1354"/>
          <w:marRight w:val="0"/>
          <w:marTop w:val="134"/>
          <w:marBottom w:val="0"/>
          <w:divBdr>
            <w:top w:val="none" w:sz="0" w:space="0" w:color="auto"/>
            <w:left w:val="none" w:sz="0" w:space="0" w:color="auto"/>
            <w:bottom w:val="none" w:sz="0" w:space="0" w:color="auto"/>
            <w:right w:val="none" w:sz="0" w:space="0" w:color="auto"/>
          </w:divBdr>
        </w:div>
        <w:div w:id="670572883">
          <w:marLeft w:val="1354"/>
          <w:marRight w:val="0"/>
          <w:marTop w:val="134"/>
          <w:marBottom w:val="0"/>
          <w:divBdr>
            <w:top w:val="none" w:sz="0" w:space="0" w:color="auto"/>
            <w:left w:val="none" w:sz="0" w:space="0" w:color="auto"/>
            <w:bottom w:val="none" w:sz="0" w:space="0" w:color="auto"/>
            <w:right w:val="none" w:sz="0" w:space="0" w:color="auto"/>
          </w:divBdr>
        </w:div>
        <w:div w:id="1338342278">
          <w:marLeft w:val="1354"/>
          <w:marRight w:val="0"/>
          <w:marTop w:val="134"/>
          <w:marBottom w:val="0"/>
          <w:divBdr>
            <w:top w:val="none" w:sz="0" w:space="0" w:color="auto"/>
            <w:left w:val="none" w:sz="0" w:space="0" w:color="auto"/>
            <w:bottom w:val="none" w:sz="0" w:space="0" w:color="auto"/>
            <w:right w:val="none" w:sz="0" w:space="0" w:color="auto"/>
          </w:divBdr>
        </w:div>
        <w:div w:id="1621836558">
          <w:marLeft w:val="1354"/>
          <w:marRight w:val="0"/>
          <w:marTop w:val="134"/>
          <w:marBottom w:val="0"/>
          <w:divBdr>
            <w:top w:val="none" w:sz="0" w:space="0" w:color="auto"/>
            <w:left w:val="none" w:sz="0" w:space="0" w:color="auto"/>
            <w:bottom w:val="none" w:sz="0" w:space="0" w:color="auto"/>
            <w:right w:val="none" w:sz="0" w:space="0" w:color="auto"/>
          </w:divBdr>
        </w:div>
      </w:divsChild>
    </w:div>
    <w:div w:id="818157769">
      <w:bodyDiv w:val="1"/>
      <w:marLeft w:val="0"/>
      <w:marRight w:val="0"/>
      <w:marTop w:val="0"/>
      <w:marBottom w:val="0"/>
      <w:divBdr>
        <w:top w:val="none" w:sz="0" w:space="0" w:color="auto"/>
        <w:left w:val="none" w:sz="0" w:space="0" w:color="auto"/>
        <w:bottom w:val="none" w:sz="0" w:space="0" w:color="auto"/>
        <w:right w:val="none" w:sz="0" w:space="0" w:color="auto"/>
      </w:divBdr>
    </w:div>
    <w:div w:id="1062755527">
      <w:bodyDiv w:val="1"/>
      <w:marLeft w:val="0"/>
      <w:marRight w:val="0"/>
      <w:marTop w:val="0"/>
      <w:marBottom w:val="0"/>
      <w:divBdr>
        <w:top w:val="none" w:sz="0" w:space="0" w:color="auto"/>
        <w:left w:val="none" w:sz="0" w:space="0" w:color="auto"/>
        <w:bottom w:val="none" w:sz="0" w:space="0" w:color="auto"/>
        <w:right w:val="none" w:sz="0" w:space="0" w:color="auto"/>
      </w:divBdr>
    </w:div>
    <w:div w:id="1579170461">
      <w:bodyDiv w:val="1"/>
      <w:marLeft w:val="0"/>
      <w:marRight w:val="0"/>
      <w:marTop w:val="0"/>
      <w:marBottom w:val="0"/>
      <w:divBdr>
        <w:top w:val="none" w:sz="0" w:space="0" w:color="auto"/>
        <w:left w:val="none" w:sz="0" w:space="0" w:color="auto"/>
        <w:bottom w:val="none" w:sz="0" w:space="0" w:color="auto"/>
        <w:right w:val="none" w:sz="0" w:space="0" w:color="auto"/>
      </w:divBdr>
      <w:divsChild>
        <w:div w:id="1197933129">
          <w:marLeft w:val="547"/>
          <w:marRight w:val="0"/>
          <w:marTop w:val="130"/>
          <w:marBottom w:val="0"/>
          <w:divBdr>
            <w:top w:val="none" w:sz="0" w:space="0" w:color="auto"/>
            <w:left w:val="none" w:sz="0" w:space="0" w:color="auto"/>
            <w:bottom w:val="none" w:sz="0" w:space="0" w:color="auto"/>
            <w:right w:val="none" w:sz="0" w:space="0" w:color="auto"/>
          </w:divBdr>
        </w:div>
        <w:div w:id="151525450">
          <w:marLeft w:val="1166"/>
          <w:marRight w:val="0"/>
          <w:marTop w:val="115"/>
          <w:marBottom w:val="0"/>
          <w:divBdr>
            <w:top w:val="none" w:sz="0" w:space="0" w:color="auto"/>
            <w:left w:val="none" w:sz="0" w:space="0" w:color="auto"/>
            <w:bottom w:val="none" w:sz="0" w:space="0" w:color="auto"/>
            <w:right w:val="none" w:sz="0" w:space="0" w:color="auto"/>
          </w:divBdr>
        </w:div>
        <w:div w:id="1982231142">
          <w:marLeft w:val="1166"/>
          <w:marRight w:val="0"/>
          <w:marTop w:val="115"/>
          <w:marBottom w:val="0"/>
          <w:divBdr>
            <w:top w:val="none" w:sz="0" w:space="0" w:color="auto"/>
            <w:left w:val="none" w:sz="0" w:space="0" w:color="auto"/>
            <w:bottom w:val="none" w:sz="0" w:space="0" w:color="auto"/>
            <w:right w:val="none" w:sz="0" w:space="0" w:color="auto"/>
          </w:divBdr>
        </w:div>
        <w:div w:id="1436242269">
          <w:marLeft w:val="547"/>
          <w:marRight w:val="0"/>
          <w:marTop w:val="130"/>
          <w:marBottom w:val="0"/>
          <w:divBdr>
            <w:top w:val="none" w:sz="0" w:space="0" w:color="auto"/>
            <w:left w:val="none" w:sz="0" w:space="0" w:color="auto"/>
            <w:bottom w:val="none" w:sz="0" w:space="0" w:color="auto"/>
            <w:right w:val="none" w:sz="0" w:space="0" w:color="auto"/>
          </w:divBdr>
        </w:div>
        <w:div w:id="1305544734">
          <w:marLeft w:val="1166"/>
          <w:marRight w:val="0"/>
          <w:marTop w:val="115"/>
          <w:marBottom w:val="0"/>
          <w:divBdr>
            <w:top w:val="none" w:sz="0" w:space="0" w:color="auto"/>
            <w:left w:val="none" w:sz="0" w:space="0" w:color="auto"/>
            <w:bottom w:val="none" w:sz="0" w:space="0" w:color="auto"/>
            <w:right w:val="none" w:sz="0" w:space="0" w:color="auto"/>
          </w:divBdr>
        </w:div>
        <w:div w:id="2106993064">
          <w:marLeft w:val="547"/>
          <w:marRight w:val="0"/>
          <w:marTop w:val="130"/>
          <w:marBottom w:val="0"/>
          <w:divBdr>
            <w:top w:val="none" w:sz="0" w:space="0" w:color="auto"/>
            <w:left w:val="none" w:sz="0" w:space="0" w:color="auto"/>
            <w:bottom w:val="none" w:sz="0" w:space="0" w:color="auto"/>
            <w:right w:val="none" w:sz="0" w:space="0" w:color="auto"/>
          </w:divBdr>
        </w:div>
        <w:div w:id="1588535528">
          <w:marLeft w:val="547"/>
          <w:marRight w:val="0"/>
          <w:marTop w:val="130"/>
          <w:marBottom w:val="0"/>
          <w:divBdr>
            <w:top w:val="none" w:sz="0" w:space="0" w:color="auto"/>
            <w:left w:val="none" w:sz="0" w:space="0" w:color="auto"/>
            <w:bottom w:val="none" w:sz="0" w:space="0" w:color="auto"/>
            <w:right w:val="none" w:sz="0" w:space="0" w:color="auto"/>
          </w:divBdr>
        </w:div>
        <w:div w:id="1937202186">
          <w:marLeft w:val="547"/>
          <w:marRight w:val="0"/>
          <w:marTop w:val="130"/>
          <w:marBottom w:val="0"/>
          <w:divBdr>
            <w:top w:val="none" w:sz="0" w:space="0" w:color="auto"/>
            <w:left w:val="none" w:sz="0" w:space="0" w:color="auto"/>
            <w:bottom w:val="none" w:sz="0" w:space="0" w:color="auto"/>
            <w:right w:val="none" w:sz="0" w:space="0" w:color="auto"/>
          </w:divBdr>
        </w:div>
        <w:div w:id="2010323445">
          <w:marLeft w:val="547"/>
          <w:marRight w:val="0"/>
          <w:marTop w:val="130"/>
          <w:marBottom w:val="0"/>
          <w:divBdr>
            <w:top w:val="none" w:sz="0" w:space="0" w:color="auto"/>
            <w:left w:val="none" w:sz="0" w:space="0" w:color="auto"/>
            <w:bottom w:val="none" w:sz="0" w:space="0" w:color="auto"/>
            <w:right w:val="none" w:sz="0" w:space="0" w:color="auto"/>
          </w:divBdr>
        </w:div>
      </w:divsChild>
    </w:div>
    <w:div w:id="19474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nsw.gov.au/pds/ActivePDSDocuments/GL2018_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7851</Words>
  <Characters>45105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2020-03-01T21:49:00Z</dcterms:created>
  <dcterms:modified xsi:type="dcterms:W3CDTF">2020-03-01T21:51:00Z</dcterms:modified>
</cp:coreProperties>
</file>