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3E" w:rsidRPr="001D4EB9" w:rsidRDefault="00317C4F" w:rsidP="00621014">
      <w:pPr>
        <w:widowControl/>
        <w:ind w:left="720" w:hanging="720"/>
        <w:jc w:val="left"/>
        <w:outlineLvl w:val="0"/>
        <w:rPr>
          <w:b/>
          <w:sz w:val="36"/>
          <w:szCs w:val="36"/>
        </w:rPr>
      </w:pPr>
      <w:bookmarkStart w:id="0" w:name="_Toc341702043"/>
      <w:bookmarkStart w:id="1" w:name="_Toc380742621"/>
      <w:bookmarkStart w:id="2" w:name="_Toc380746188"/>
      <w:bookmarkStart w:id="3" w:name="_Toc380746314"/>
      <w:bookmarkStart w:id="4" w:name="_Toc380746595"/>
      <w:r w:rsidRPr="001D4EB9">
        <w:rPr>
          <w:b/>
          <w:sz w:val="36"/>
          <w:szCs w:val="36"/>
        </w:rPr>
        <w:t>5.05</w:t>
      </w:r>
      <w:r w:rsidR="0010463E" w:rsidRPr="001D4EB9">
        <w:rPr>
          <w:b/>
          <w:sz w:val="36"/>
          <w:szCs w:val="36"/>
        </w:rPr>
        <w:tab/>
      </w:r>
      <w:r w:rsidR="00F850B0" w:rsidRPr="001D4EB9">
        <w:rPr>
          <w:b/>
          <w:sz w:val="36"/>
          <w:szCs w:val="36"/>
        </w:rPr>
        <w:t>DARUNAVIR with</w:t>
      </w:r>
      <w:r w:rsidR="0010463E" w:rsidRPr="001D4EB9">
        <w:rPr>
          <w:b/>
          <w:sz w:val="36"/>
          <w:szCs w:val="36"/>
        </w:rPr>
        <w:t xml:space="preserve"> COBICISTAT</w:t>
      </w:r>
      <w:r w:rsidR="00F850B0" w:rsidRPr="001D4EB9">
        <w:rPr>
          <w:b/>
          <w:sz w:val="36"/>
          <w:szCs w:val="36"/>
        </w:rPr>
        <w:t xml:space="preserve"> with</w:t>
      </w:r>
      <w:r w:rsidR="0010463E" w:rsidRPr="001D4EB9">
        <w:rPr>
          <w:b/>
          <w:sz w:val="36"/>
          <w:szCs w:val="36"/>
        </w:rPr>
        <w:t xml:space="preserve"> EMTRICITABINE</w:t>
      </w:r>
      <w:r w:rsidR="00F850B0" w:rsidRPr="001D4EB9">
        <w:rPr>
          <w:b/>
          <w:sz w:val="36"/>
          <w:szCs w:val="36"/>
        </w:rPr>
        <w:t xml:space="preserve"> and</w:t>
      </w:r>
      <w:r w:rsidR="0010463E" w:rsidRPr="001D4EB9">
        <w:rPr>
          <w:b/>
          <w:sz w:val="36"/>
          <w:szCs w:val="36"/>
        </w:rPr>
        <w:t xml:space="preserve"> TENOFOVIR ALAFENAMIDE, </w:t>
      </w:r>
      <w:r w:rsidR="00DE1FCA" w:rsidRPr="001D4EB9">
        <w:rPr>
          <w:b/>
          <w:sz w:val="36"/>
          <w:szCs w:val="36"/>
        </w:rPr>
        <w:br/>
      </w:r>
      <w:r w:rsidR="0010463E" w:rsidRPr="001D4EB9">
        <w:rPr>
          <w:b/>
          <w:sz w:val="36"/>
          <w:szCs w:val="36"/>
        </w:rPr>
        <w:t>Tablet</w:t>
      </w:r>
      <w:r w:rsidR="00285BE6" w:rsidRPr="001D4EB9">
        <w:rPr>
          <w:b/>
          <w:sz w:val="36"/>
          <w:szCs w:val="36"/>
        </w:rPr>
        <w:t xml:space="preserve"> containing darunavir </w:t>
      </w:r>
      <w:r w:rsidR="0010463E" w:rsidRPr="001D4EB9">
        <w:rPr>
          <w:b/>
          <w:sz w:val="36"/>
          <w:szCs w:val="36"/>
        </w:rPr>
        <w:t>800</w:t>
      </w:r>
      <w:r w:rsidR="00285BE6" w:rsidRPr="001D4EB9">
        <w:rPr>
          <w:b/>
          <w:sz w:val="36"/>
          <w:szCs w:val="36"/>
        </w:rPr>
        <w:t xml:space="preserve"> </w:t>
      </w:r>
      <w:r w:rsidR="0010463E" w:rsidRPr="001D4EB9">
        <w:rPr>
          <w:b/>
          <w:sz w:val="36"/>
          <w:szCs w:val="36"/>
        </w:rPr>
        <w:t>mg</w:t>
      </w:r>
      <w:r w:rsidR="00285BE6" w:rsidRPr="001D4EB9">
        <w:rPr>
          <w:b/>
          <w:sz w:val="36"/>
          <w:szCs w:val="36"/>
        </w:rPr>
        <w:t xml:space="preserve"> with cobicistat </w:t>
      </w:r>
      <w:r w:rsidR="0010463E" w:rsidRPr="001D4EB9">
        <w:rPr>
          <w:b/>
          <w:sz w:val="36"/>
          <w:szCs w:val="36"/>
        </w:rPr>
        <w:t>150</w:t>
      </w:r>
      <w:r w:rsidR="009F19EA" w:rsidRPr="001D4EB9">
        <w:rPr>
          <w:b/>
          <w:sz w:val="36"/>
          <w:szCs w:val="36"/>
        </w:rPr>
        <w:t> </w:t>
      </w:r>
      <w:r w:rsidR="00285BE6" w:rsidRPr="001D4EB9">
        <w:rPr>
          <w:b/>
          <w:sz w:val="36"/>
          <w:szCs w:val="36"/>
        </w:rPr>
        <w:t>mg with emtricitabine</w:t>
      </w:r>
      <w:r w:rsidR="00B36966" w:rsidRPr="001D4EB9">
        <w:rPr>
          <w:b/>
          <w:sz w:val="36"/>
          <w:szCs w:val="36"/>
        </w:rPr>
        <w:t xml:space="preserve"> </w:t>
      </w:r>
      <w:r w:rsidR="0010463E" w:rsidRPr="001D4EB9">
        <w:rPr>
          <w:b/>
          <w:sz w:val="36"/>
          <w:szCs w:val="36"/>
        </w:rPr>
        <w:t>200</w:t>
      </w:r>
      <w:r w:rsidR="00285BE6" w:rsidRPr="001D4EB9">
        <w:rPr>
          <w:b/>
          <w:sz w:val="36"/>
          <w:szCs w:val="36"/>
        </w:rPr>
        <w:t xml:space="preserve"> </w:t>
      </w:r>
      <w:r w:rsidR="0010463E" w:rsidRPr="001D4EB9">
        <w:rPr>
          <w:b/>
          <w:sz w:val="36"/>
          <w:szCs w:val="36"/>
        </w:rPr>
        <w:t>mg</w:t>
      </w:r>
      <w:r w:rsidR="00285BE6" w:rsidRPr="001D4EB9">
        <w:rPr>
          <w:b/>
          <w:sz w:val="36"/>
          <w:szCs w:val="36"/>
        </w:rPr>
        <w:t xml:space="preserve"> and tenofovir alafenamide</w:t>
      </w:r>
      <w:r w:rsidR="00B36966" w:rsidRPr="001D4EB9">
        <w:rPr>
          <w:b/>
          <w:sz w:val="36"/>
          <w:szCs w:val="36"/>
        </w:rPr>
        <w:t xml:space="preserve"> </w:t>
      </w:r>
      <w:r w:rsidR="0010463E" w:rsidRPr="001D4EB9">
        <w:rPr>
          <w:b/>
          <w:sz w:val="36"/>
          <w:szCs w:val="36"/>
        </w:rPr>
        <w:t>10</w:t>
      </w:r>
      <w:r w:rsidR="00285BE6" w:rsidRPr="001D4EB9">
        <w:rPr>
          <w:b/>
          <w:sz w:val="36"/>
          <w:szCs w:val="36"/>
        </w:rPr>
        <w:t xml:space="preserve"> </w:t>
      </w:r>
      <w:r w:rsidR="0010463E" w:rsidRPr="001D4EB9">
        <w:rPr>
          <w:b/>
          <w:sz w:val="36"/>
          <w:szCs w:val="36"/>
        </w:rPr>
        <w:t xml:space="preserve">mg, </w:t>
      </w:r>
      <w:r w:rsidR="00DE1FCA" w:rsidRPr="001D4EB9">
        <w:rPr>
          <w:b/>
          <w:sz w:val="36"/>
          <w:szCs w:val="36"/>
        </w:rPr>
        <w:br/>
      </w:r>
      <w:r w:rsidR="0010463E" w:rsidRPr="001D4EB9">
        <w:rPr>
          <w:b/>
          <w:sz w:val="36"/>
          <w:szCs w:val="36"/>
        </w:rPr>
        <w:t xml:space="preserve">Symtuza®, </w:t>
      </w:r>
      <w:r w:rsidR="00DE1FCA" w:rsidRPr="001D4EB9">
        <w:rPr>
          <w:b/>
          <w:sz w:val="36"/>
          <w:szCs w:val="36"/>
        </w:rPr>
        <w:br/>
      </w:r>
      <w:r w:rsidR="0010463E" w:rsidRPr="001D4EB9">
        <w:rPr>
          <w:b/>
          <w:sz w:val="36"/>
          <w:szCs w:val="36"/>
        </w:rPr>
        <w:t>Janssen-Cilag Pty Ltd</w:t>
      </w:r>
    </w:p>
    <w:p w:rsidR="0010463E" w:rsidRPr="001D4EB9" w:rsidRDefault="0010463E" w:rsidP="00621014">
      <w:pPr>
        <w:widowControl/>
      </w:pPr>
    </w:p>
    <w:p w:rsidR="00DC7F0C" w:rsidRPr="001D4EB9" w:rsidRDefault="00DC7F0C" w:rsidP="008371D8">
      <w:pPr>
        <w:widowControl/>
      </w:pPr>
      <w:r w:rsidRPr="001D4EB9">
        <w:t xml:space="preserve">For improved readability, tradenames for fixed dose combination (FDC) therapies and other combination therapies for the treatment of human immunodeficiency virus (HIV) </w:t>
      </w:r>
      <w:r w:rsidR="005A7067" w:rsidRPr="001D4EB9">
        <w:t xml:space="preserve">are used in </w:t>
      </w:r>
      <w:r w:rsidR="008371D8" w:rsidRPr="001D4EB9">
        <w:rPr>
          <w:color w:val="000000" w:themeColor="text1"/>
        </w:rPr>
        <w:t>P</w:t>
      </w:r>
      <w:r w:rsidR="008371D8">
        <w:rPr>
          <w:color w:val="000000" w:themeColor="text1"/>
        </w:rPr>
        <w:t xml:space="preserve">ublic </w:t>
      </w:r>
      <w:r w:rsidR="008371D8" w:rsidRPr="001D4EB9">
        <w:rPr>
          <w:color w:val="000000" w:themeColor="text1"/>
        </w:rPr>
        <w:t>S</w:t>
      </w:r>
      <w:r w:rsidR="008371D8">
        <w:rPr>
          <w:color w:val="000000" w:themeColor="text1"/>
        </w:rPr>
        <w:t xml:space="preserve">ummary </w:t>
      </w:r>
      <w:r w:rsidR="008371D8" w:rsidRPr="001D4EB9">
        <w:rPr>
          <w:color w:val="000000" w:themeColor="text1"/>
        </w:rPr>
        <w:t>D</w:t>
      </w:r>
      <w:r w:rsidR="008371D8">
        <w:rPr>
          <w:color w:val="000000" w:themeColor="text1"/>
        </w:rPr>
        <w:t>ocument</w:t>
      </w:r>
      <w:r w:rsidR="008371D8" w:rsidRPr="001D4EB9">
        <w:t xml:space="preserve"> </w:t>
      </w:r>
      <w:r w:rsidR="008371D8">
        <w:t>(PSD)</w:t>
      </w:r>
      <w:r w:rsidRPr="001D4EB9">
        <w:t>. In some cases, generic names may be used for clarity</w:t>
      </w:r>
      <w:r w:rsidR="001D4EB9">
        <w:t xml:space="preserve">. </w:t>
      </w:r>
    </w:p>
    <w:p w:rsidR="00DC7F0C" w:rsidRPr="001D4EB9" w:rsidRDefault="00DC7F0C" w:rsidP="00621014">
      <w:pPr>
        <w:widowControl/>
      </w:pPr>
    </w:p>
    <w:p w:rsidR="00DC7F0C" w:rsidRPr="001D4EB9" w:rsidRDefault="009F19EA" w:rsidP="00621014">
      <w:pPr>
        <w:widowControl/>
      </w:pPr>
      <w:r w:rsidRPr="001D4EB9">
        <w:t>Table 1</w:t>
      </w:r>
      <w:r w:rsidR="00DC7F0C" w:rsidRPr="001D4EB9">
        <w:t xml:space="preserve"> presents a summary of the FDCs, indicating their components, abbreviations for each drug and their associated tradenames.</w:t>
      </w:r>
    </w:p>
    <w:p w:rsidR="00DC7F0C" w:rsidRPr="001D4EB9" w:rsidRDefault="00DC7F0C" w:rsidP="00621014">
      <w:pPr>
        <w:widowControl/>
      </w:pPr>
    </w:p>
    <w:p w:rsidR="00DC7F0C" w:rsidRPr="001D4EB9" w:rsidRDefault="00DC7F0C" w:rsidP="00621014">
      <w:pPr>
        <w:pStyle w:val="Caption"/>
        <w:keepNext/>
        <w:widowControl/>
        <w:spacing w:after="0"/>
        <w:rPr>
          <w:rFonts w:ascii="Arial Narrow" w:hAnsi="Arial Narrow"/>
          <w:color w:val="auto"/>
          <w:sz w:val="20"/>
          <w:szCs w:val="20"/>
        </w:rPr>
      </w:pPr>
      <w:bookmarkStart w:id="5" w:name="_Ref18935465"/>
      <w:r w:rsidRPr="001D4EB9">
        <w:rPr>
          <w:rFonts w:ascii="Arial Narrow" w:hAnsi="Arial Narrow"/>
          <w:color w:val="auto"/>
          <w:sz w:val="20"/>
          <w:szCs w:val="20"/>
        </w:rPr>
        <w:t xml:space="preserve">Table </w:t>
      </w:r>
      <w:r w:rsidR="00FE6890" w:rsidRPr="001D4EB9">
        <w:rPr>
          <w:rFonts w:ascii="Arial Narrow" w:hAnsi="Arial Narrow"/>
          <w:color w:val="auto"/>
          <w:sz w:val="20"/>
          <w:szCs w:val="20"/>
        </w:rPr>
        <w:t>1</w:t>
      </w:r>
      <w:bookmarkEnd w:id="5"/>
      <w:r w:rsidRPr="001D4EB9">
        <w:rPr>
          <w:rFonts w:ascii="Arial Narrow" w:hAnsi="Arial Narrow"/>
          <w:color w:val="auto"/>
          <w:sz w:val="20"/>
          <w:szCs w:val="20"/>
        </w:rPr>
        <w:t>:</w:t>
      </w:r>
      <w:r w:rsidRPr="001D4EB9">
        <w:rPr>
          <w:rFonts w:ascii="Arial Narrow" w:hAnsi="Arial Narrow"/>
          <w:b w:val="0"/>
          <w:color w:val="auto"/>
          <w:sz w:val="20"/>
          <w:szCs w:val="20"/>
        </w:rPr>
        <w:t xml:space="preserve"> </w:t>
      </w:r>
      <w:r w:rsidRPr="001D4EB9">
        <w:rPr>
          <w:rFonts w:ascii="Arial Narrow" w:hAnsi="Arial Narrow"/>
          <w:color w:val="auto"/>
          <w:sz w:val="20"/>
          <w:szCs w:val="20"/>
        </w:rPr>
        <w:t>Summary of fixed dose combinations (their components, abbreviations for each drug and their associated tradenames)</w:t>
      </w:r>
    </w:p>
    <w:tbl>
      <w:tblPr>
        <w:tblStyle w:val="TableGrid"/>
        <w:tblW w:w="0" w:type="auto"/>
        <w:tblCellMar>
          <w:left w:w="28" w:type="dxa"/>
          <w:right w:w="28" w:type="dxa"/>
        </w:tblCellMar>
        <w:tblLook w:val="04A0" w:firstRow="1" w:lastRow="0" w:firstColumn="1" w:lastColumn="0" w:noHBand="0" w:noVBand="1"/>
        <w:tblCaption w:val="Table 1: Summary of fixed dose combinations (their components, abbreviations for each drug and their associated tradenames)"/>
      </w:tblPr>
      <w:tblGrid>
        <w:gridCol w:w="5382"/>
        <w:gridCol w:w="1701"/>
        <w:gridCol w:w="1934"/>
      </w:tblGrid>
      <w:tr w:rsidR="005616E3" w:rsidRPr="001D4EB9" w:rsidTr="0013307A">
        <w:trPr>
          <w:tblHeader/>
        </w:trPr>
        <w:tc>
          <w:tcPr>
            <w:tcW w:w="5382" w:type="dxa"/>
          </w:tcPr>
          <w:p w:rsidR="005616E3" w:rsidRPr="001D4EB9" w:rsidRDefault="005616E3" w:rsidP="00621014">
            <w:pPr>
              <w:widowControl/>
              <w:rPr>
                <w:rFonts w:ascii="Arial Narrow" w:hAnsi="Arial Narrow"/>
                <w:b/>
                <w:sz w:val="20"/>
              </w:rPr>
            </w:pPr>
            <w:r w:rsidRPr="001D4EB9">
              <w:rPr>
                <w:rFonts w:ascii="Arial Narrow" w:hAnsi="Arial Narrow"/>
                <w:b/>
                <w:sz w:val="20"/>
              </w:rPr>
              <w:t>Fixed dose combination (FDC) or other combination components</w:t>
            </w:r>
          </w:p>
        </w:tc>
        <w:tc>
          <w:tcPr>
            <w:tcW w:w="1701" w:type="dxa"/>
            <w:vAlign w:val="center"/>
          </w:tcPr>
          <w:p w:rsidR="005616E3" w:rsidRPr="001D4EB9" w:rsidRDefault="005616E3" w:rsidP="00621014">
            <w:pPr>
              <w:widowControl/>
              <w:jc w:val="center"/>
              <w:rPr>
                <w:rFonts w:ascii="Arial Narrow" w:hAnsi="Arial Narrow"/>
                <w:b/>
                <w:sz w:val="20"/>
              </w:rPr>
            </w:pPr>
            <w:r w:rsidRPr="001D4EB9">
              <w:rPr>
                <w:rFonts w:ascii="Arial Narrow" w:hAnsi="Arial Narrow"/>
                <w:b/>
                <w:sz w:val="20"/>
              </w:rPr>
              <w:t>Abbreviations</w:t>
            </w:r>
          </w:p>
        </w:tc>
        <w:tc>
          <w:tcPr>
            <w:tcW w:w="1934" w:type="dxa"/>
            <w:vAlign w:val="center"/>
          </w:tcPr>
          <w:p w:rsidR="005616E3" w:rsidRPr="001D4EB9" w:rsidRDefault="005616E3" w:rsidP="00621014">
            <w:pPr>
              <w:widowControl/>
              <w:jc w:val="center"/>
              <w:rPr>
                <w:rFonts w:ascii="Arial Narrow" w:hAnsi="Arial Narrow"/>
                <w:b/>
                <w:sz w:val="20"/>
              </w:rPr>
            </w:pPr>
            <w:r w:rsidRPr="001D4EB9">
              <w:rPr>
                <w:rFonts w:ascii="Arial Narrow" w:hAnsi="Arial Narrow"/>
                <w:b/>
                <w:sz w:val="20"/>
              </w:rPr>
              <w:t>Tradename</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Darunavir/cobicistat/emtricitabine/tenofovir alafenamide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DRV/c/FTC/TAF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Symtuza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Darunavir/cobicistat</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DRV/c</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Prezcobix</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szCs w:val="20"/>
              </w:rPr>
            </w:pPr>
            <w:r w:rsidRPr="001D4EB9">
              <w:rPr>
                <w:rFonts w:ascii="Arial Narrow" w:hAnsi="Arial Narrow"/>
                <w:sz w:val="20"/>
                <w:szCs w:val="20"/>
              </w:rPr>
              <w:t>Darunavir + ritonavir</w:t>
            </w:r>
          </w:p>
        </w:tc>
        <w:tc>
          <w:tcPr>
            <w:tcW w:w="1701" w:type="dxa"/>
            <w:vAlign w:val="center"/>
          </w:tcPr>
          <w:p w:rsidR="005616E3" w:rsidRPr="001D4EB9" w:rsidRDefault="005616E3" w:rsidP="00621014">
            <w:pPr>
              <w:widowControl/>
              <w:jc w:val="center"/>
              <w:rPr>
                <w:rFonts w:ascii="Arial Narrow" w:hAnsi="Arial Narrow"/>
                <w:sz w:val="20"/>
                <w:szCs w:val="20"/>
              </w:rPr>
            </w:pPr>
            <w:r w:rsidRPr="001D4EB9">
              <w:rPr>
                <w:rFonts w:ascii="Arial Narrow" w:hAnsi="Arial Narrow"/>
                <w:sz w:val="20"/>
                <w:szCs w:val="20"/>
              </w:rPr>
              <w:t>DRV+r</w:t>
            </w:r>
          </w:p>
        </w:tc>
        <w:tc>
          <w:tcPr>
            <w:tcW w:w="1934" w:type="dxa"/>
            <w:vAlign w:val="center"/>
          </w:tcPr>
          <w:p w:rsidR="005616E3" w:rsidRPr="001D4EB9" w:rsidRDefault="005616E3" w:rsidP="00621014">
            <w:pPr>
              <w:widowControl/>
              <w:jc w:val="center"/>
              <w:rPr>
                <w:rFonts w:ascii="Arial Narrow" w:hAnsi="Arial Narrow"/>
                <w:sz w:val="20"/>
                <w:szCs w:val="20"/>
              </w:rPr>
            </w:pPr>
            <w:r w:rsidRPr="001D4EB9">
              <w:rPr>
                <w:rFonts w:ascii="Arial Narrow" w:hAnsi="Arial Narrow"/>
                <w:sz w:val="20"/>
                <w:szCs w:val="20"/>
              </w:rPr>
              <w:t>Prezista</w:t>
            </w:r>
            <w:r w:rsidRPr="001D4EB9">
              <w:rPr>
                <w:rFonts w:ascii="Arial Narrow" w:hAnsi="Arial Narrow"/>
                <w:sz w:val="20"/>
                <w:szCs w:val="20"/>
                <w:vertAlign w:val="superscript"/>
              </w:rPr>
              <w:t xml:space="preserve">® + </w:t>
            </w:r>
            <w:r w:rsidRPr="001D4EB9">
              <w:rPr>
                <w:rFonts w:ascii="Arial Narrow" w:hAnsi="Arial Narrow"/>
                <w:sz w:val="20"/>
                <w:szCs w:val="20"/>
              </w:rPr>
              <w:t>Norvir</w:t>
            </w:r>
            <w:r w:rsidRPr="001D4EB9">
              <w:rPr>
                <w:rFonts w:ascii="Arial Narrow" w:hAnsi="Arial Narrow"/>
                <w:sz w:val="20"/>
                <w:szCs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Emtricitabine/tenofovir disoproxil fumarate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FTC/TDF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Truvada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Emtricitabine/tenofovir alafenamide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FTC/TAF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Descovy</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Atazanavir/cobicistat</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ATV/c</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Evotaz</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Atazanavir + ritonavir</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ATV+r</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Reyataz</w:t>
            </w:r>
            <w:r w:rsidRPr="001D4EB9">
              <w:rPr>
                <w:rFonts w:ascii="Arial Narrow" w:hAnsi="Arial Narrow"/>
                <w:sz w:val="20"/>
                <w:vertAlign w:val="superscript"/>
              </w:rPr>
              <w:t>®</w:t>
            </w:r>
            <w:r w:rsidRPr="001D4EB9">
              <w:rPr>
                <w:rFonts w:ascii="Arial Narrow" w:hAnsi="Arial Narrow"/>
                <w:sz w:val="20"/>
              </w:rPr>
              <w:t xml:space="preserve"> +Norvir</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Lopinavir/ritonavir</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LPV/r</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Kaletra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Abacavir/lamivudine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ABC/3TC</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Kivexa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Elvitegravir/cobicistat/emtricitabine/tenofovir alafenamide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EVG/c/FTC/TAF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Genvoya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Rilpivirine/emtricitabine/tenofovir alafenamide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RPV/FTC/TAF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Odefsey</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Elvitegravir/cobicistat/emtricitabine/tenofovir disoproxil fumarate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EVG/c/FTC/TDF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Stribild</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Efavirenz/emtricitabine/tenofovir disoproxil fumarate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EFV/FTC/TDF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Atripla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Dolutegravir/rilpivirine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DTG/RPV</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Juluca</w:t>
            </w:r>
            <w:r w:rsidRPr="001D4EB9">
              <w:rPr>
                <w:rFonts w:ascii="Arial Narrow" w:hAnsi="Arial Narrow"/>
                <w:sz w:val="20"/>
                <w:vertAlign w:val="superscript"/>
              </w:rPr>
              <w:t>®</w:t>
            </w:r>
          </w:p>
        </w:tc>
      </w:tr>
      <w:tr w:rsidR="005616E3" w:rsidRPr="001D4EB9" w:rsidTr="0013307A">
        <w:trPr>
          <w:tblHeader/>
        </w:trPr>
        <w:tc>
          <w:tcPr>
            <w:tcW w:w="5382" w:type="dxa"/>
          </w:tcPr>
          <w:p w:rsidR="005616E3" w:rsidRPr="001D4EB9" w:rsidRDefault="005616E3" w:rsidP="00621014">
            <w:pPr>
              <w:widowControl/>
              <w:rPr>
                <w:rFonts w:ascii="Arial Narrow" w:hAnsi="Arial Narrow"/>
                <w:sz w:val="20"/>
              </w:rPr>
            </w:pPr>
            <w:r w:rsidRPr="001D4EB9">
              <w:rPr>
                <w:rFonts w:ascii="Arial Narrow" w:hAnsi="Arial Narrow"/>
                <w:sz w:val="20"/>
              </w:rPr>
              <w:t>Bictegravir/emtricitabine/tenofovir alafenamide</w:t>
            </w:r>
          </w:p>
        </w:tc>
        <w:tc>
          <w:tcPr>
            <w:tcW w:w="1701"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BFTAF</w:t>
            </w:r>
          </w:p>
        </w:tc>
        <w:tc>
          <w:tcPr>
            <w:tcW w:w="1934" w:type="dxa"/>
            <w:vAlign w:val="center"/>
          </w:tcPr>
          <w:p w:rsidR="005616E3" w:rsidRPr="001D4EB9" w:rsidRDefault="005616E3" w:rsidP="00621014">
            <w:pPr>
              <w:widowControl/>
              <w:jc w:val="center"/>
              <w:rPr>
                <w:rFonts w:ascii="Arial Narrow" w:hAnsi="Arial Narrow"/>
                <w:sz w:val="20"/>
              </w:rPr>
            </w:pPr>
            <w:r w:rsidRPr="001D4EB9">
              <w:rPr>
                <w:rFonts w:ascii="Arial Narrow" w:hAnsi="Arial Narrow"/>
                <w:sz w:val="20"/>
              </w:rPr>
              <w:t>Biktarvy</w:t>
            </w:r>
            <w:r w:rsidRPr="001D4EB9">
              <w:rPr>
                <w:rFonts w:ascii="Arial Narrow" w:hAnsi="Arial Narrow"/>
                <w:sz w:val="20"/>
                <w:vertAlign w:val="superscript"/>
              </w:rPr>
              <w:t>®</w:t>
            </w:r>
          </w:p>
        </w:tc>
      </w:tr>
    </w:tbl>
    <w:p w:rsidR="00DC7F0C" w:rsidRPr="001D4EB9" w:rsidRDefault="00DC7F0C" w:rsidP="00621014">
      <w:pPr>
        <w:widowControl/>
      </w:pPr>
    </w:p>
    <w:p w:rsidR="00DC7F0C" w:rsidRPr="001D4EB9" w:rsidRDefault="00DC7F0C" w:rsidP="00621014">
      <w:pPr>
        <w:widowControl/>
      </w:pPr>
      <w:r w:rsidRPr="001D4EB9">
        <w:t>The term tenofovir includes both tenofovir alafenamide (TAF) and tenofovir disoproxil fumarate (TDF).</w:t>
      </w:r>
    </w:p>
    <w:p w:rsidR="00DC7F0C" w:rsidRPr="001D4EB9" w:rsidRDefault="00DC7F0C" w:rsidP="00621014">
      <w:pPr>
        <w:widowControl/>
      </w:pPr>
    </w:p>
    <w:p w:rsidR="0010463E" w:rsidRPr="001D4EB9" w:rsidRDefault="0010463E" w:rsidP="00621014">
      <w:pPr>
        <w:pStyle w:val="PBACHeading1"/>
      </w:pPr>
      <w:bookmarkStart w:id="6" w:name="_Toc19538896"/>
      <w:r w:rsidRPr="001D4EB9">
        <w:t>Purpose of Application</w:t>
      </w:r>
      <w:bookmarkEnd w:id="6"/>
    </w:p>
    <w:p w:rsidR="0010463E" w:rsidRPr="001D4EB9" w:rsidRDefault="0010463E" w:rsidP="00621014">
      <w:pPr>
        <w:widowControl/>
      </w:pPr>
    </w:p>
    <w:p w:rsidR="0010463E" w:rsidRPr="001D4EB9" w:rsidRDefault="00C056E7" w:rsidP="00621014">
      <w:pPr>
        <w:pStyle w:val="ListParagraph"/>
        <w:widowControl/>
        <w:numPr>
          <w:ilvl w:val="1"/>
          <w:numId w:val="1"/>
        </w:numPr>
      </w:pPr>
      <w:r w:rsidRPr="001D4EB9">
        <w:t xml:space="preserve">The submission requested a </w:t>
      </w:r>
      <w:r w:rsidR="0010463E" w:rsidRPr="001D4EB9">
        <w:t>S</w:t>
      </w:r>
      <w:r w:rsidRPr="001D4EB9">
        <w:t>ection</w:t>
      </w:r>
      <w:r w:rsidR="0010463E" w:rsidRPr="001D4EB9">
        <w:t xml:space="preserve"> 100</w:t>
      </w:r>
      <w:r w:rsidRPr="001D4EB9">
        <w:t xml:space="preserve"> (Highly Specialised Drugs Program – Community Access)</w:t>
      </w:r>
      <w:r w:rsidR="0010463E" w:rsidRPr="001D4EB9">
        <w:t>,</w:t>
      </w:r>
      <w:r w:rsidRPr="001D4EB9">
        <w:t xml:space="preserve"> Authority Required (STREAMLINED)</w:t>
      </w:r>
      <w:r w:rsidR="0010463E" w:rsidRPr="001D4EB9">
        <w:t xml:space="preserve"> listing for </w:t>
      </w:r>
      <w:r w:rsidR="00C94BC5" w:rsidRPr="001D4EB9">
        <w:t>darunavir/cobicistat/</w:t>
      </w:r>
      <w:r w:rsidR="0010463E" w:rsidRPr="001D4EB9">
        <w:t>emtricitabine/ tenofovir alafenamide (</w:t>
      </w:r>
      <w:r w:rsidR="00C94BC5" w:rsidRPr="001D4EB9">
        <w:t xml:space="preserve">DRV/c/FTC/TAF; </w:t>
      </w:r>
      <w:r w:rsidR="0010463E" w:rsidRPr="001D4EB9">
        <w:t>Symtuza) for the treatment of HIV. This</w:t>
      </w:r>
      <w:r w:rsidRPr="001D4EB9">
        <w:t xml:space="preserve"> FDC</w:t>
      </w:r>
      <w:r w:rsidR="0010463E" w:rsidRPr="001D4EB9">
        <w:t xml:space="preserve"> has not previously been considered by the PBAC</w:t>
      </w:r>
      <w:r w:rsidR="001D4EB9">
        <w:t xml:space="preserve">. </w:t>
      </w:r>
    </w:p>
    <w:p w:rsidR="0010463E" w:rsidRPr="001D4EB9" w:rsidRDefault="0010463E" w:rsidP="00621014">
      <w:pPr>
        <w:pStyle w:val="ListParagraph"/>
        <w:widowControl/>
        <w:numPr>
          <w:ilvl w:val="1"/>
          <w:numId w:val="1"/>
        </w:numPr>
        <w:spacing w:after="120"/>
      </w:pPr>
      <w:r w:rsidRPr="001D4EB9">
        <w:lastRenderedPageBreak/>
        <w:t>The requested basis for listing is a cost-minimisation of a weighted average cost of four boosted darunavir</w:t>
      </w:r>
      <w:r w:rsidR="00C056E7" w:rsidRPr="001D4EB9">
        <w:t xml:space="preserve"> and</w:t>
      </w:r>
      <w:r w:rsidRPr="001D4EB9">
        <w:t xml:space="preserve"> </w:t>
      </w:r>
      <w:r w:rsidR="00AD1C62" w:rsidRPr="001D4EB9">
        <w:t>FTC/</w:t>
      </w:r>
      <w:r w:rsidR="00F242CD" w:rsidRPr="001D4EB9">
        <w:t>tenofovir</w:t>
      </w:r>
      <w:r w:rsidR="00C94BC5" w:rsidRPr="001D4EB9">
        <w:t xml:space="preserve"> </w:t>
      </w:r>
      <w:r w:rsidRPr="001D4EB9">
        <w:t>regimens.</w:t>
      </w:r>
    </w:p>
    <w:p w:rsidR="0010463E" w:rsidRPr="001D4EB9" w:rsidRDefault="0010463E" w:rsidP="00621014">
      <w:pPr>
        <w:widowControl/>
        <w:rPr>
          <w:rStyle w:val="CommentReference"/>
        </w:rPr>
      </w:pPr>
      <w:r w:rsidRPr="001D4EB9">
        <w:rPr>
          <w:rStyle w:val="CommentReference"/>
        </w:rPr>
        <w:t xml:space="preserve">Table </w:t>
      </w:r>
      <w:r w:rsidR="00FE6890" w:rsidRPr="001D4EB9">
        <w:rPr>
          <w:rStyle w:val="CommentReference"/>
        </w:rPr>
        <w:t>2</w:t>
      </w:r>
      <w:r w:rsidRPr="001D4EB9">
        <w:rPr>
          <w:rStyle w:val="CommentReference"/>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submission"/>
      </w:tblPr>
      <w:tblGrid>
        <w:gridCol w:w="1656"/>
        <w:gridCol w:w="7361"/>
      </w:tblGrid>
      <w:tr w:rsidR="00493A53" w:rsidRPr="001D4EB9" w:rsidTr="0013307A">
        <w:trPr>
          <w:trHeight w:val="377"/>
          <w:tblHeader/>
        </w:trPr>
        <w:tc>
          <w:tcPr>
            <w:tcW w:w="1668" w:type="dxa"/>
            <w:vAlign w:val="center"/>
          </w:tcPr>
          <w:p w:rsidR="00493A53" w:rsidRPr="001D4EB9" w:rsidRDefault="00493A53" w:rsidP="00621014">
            <w:pPr>
              <w:pStyle w:val="Tabletext"/>
              <w:rPr>
                <w:b/>
              </w:rPr>
            </w:pPr>
            <w:r w:rsidRPr="001D4EB9">
              <w:rPr>
                <w:b/>
              </w:rPr>
              <w:t>Component</w:t>
            </w:r>
          </w:p>
        </w:tc>
        <w:tc>
          <w:tcPr>
            <w:tcW w:w="7488" w:type="dxa"/>
            <w:vAlign w:val="center"/>
          </w:tcPr>
          <w:p w:rsidR="00493A53" w:rsidRPr="001D4EB9" w:rsidRDefault="00493A53" w:rsidP="00621014">
            <w:pPr>
              <w:pStyle w:val="Tabletext"/>
              <w:jc w:val="center"/>
              <w:rPr>
                <w:b/>
              </w:rPr>
            </w:pPr>
            <w:r w:rsidRPr="001D4EB9">
              <w:rPr>
                <w:b/>
              </w:rPr>
              <w:t>Description</w:t>
            </w:r>
          </w:p>
        </w:tc>
      </w:tr>
      <w:tr w:rsidR="00493A53" w:rsidRPr="001D4EB9" w:rsidTr="0013307A">
        <w:trPr>
          <w:tblHeader/>
        </w:trPr>
        <w:tc>
          <w:tcPr>
            <w:tcW w:w="1668" w:type="dxa"/>
            <w:vAlign w:val="center"/>
          </w:tcPr>
          <w:p w:rsidR="00493A53" w:rsidRPr="001D4EB9" w:rsidRDefault="00493A53" w:rsidP="00621014">
            <w:pPr>
              <w:pStyle w:val="Tabletext"/>
            </w:pPr>
            <w:r w:rsidRPr="001D4EB9">
              <w:t>Population</w:t>
            </w:r>
          </w:p>
        </w:tc>
        <w:tc>
          <w:tcPr>
            <w:tcW w:w="7488" w:type="dxa"/>
            <w:vAlign w:val="center"/>
          </w:tcPr>
          <w:p w:rsidR="00493A53" w:rsidRPr="001D4EB9" w:rsidRDefault="00493A53" w:rsidP="00621014">
            <w:pPr>
              <w:pStyle w:val="Tabletext"/>
            </w:pPr>
            <w:r w:rsidRPr="001D4EB9">
              <w:t>Adults and adolescents ≥40kg with HIV infection</w:t>
            </w:r>
          </w:p>
        </w:tc>
      </w:tr>
      <w:tr w:rsidR="00493A53" w:rsidRPr="001D4EB9" w:rsidTr="0013307A">
        <w:trPr>
          <w:tblHeader/>
        </w:trPr>
        <w:tc>
          <w:tcPr>
            <w:tcW w:w="1668" w:type="dxa"/>
            <w:vAlign w:val="center"/>
          </w:tcPr>
          <w:p w:rsidR="00493A53" w:rsidRPr="001D4EB9" w:rsidRDefault="00493A53" w:rsidP="00621014">
            <w:pPr>
              <w:pStyle w:val="Tabletext"/>
            </w:pPr>
            <w:r w:rsidRPr="001D4EB9">
              <w:t>Intervention</w:t>
            </w:r>
          </w:p>
        </w:tc>
        <w:tc>
          <w:tcPr>
            <w:tcW w:w="7488" w:type="dxa"/>
            <w:vAlign w:val="center"/>
          </w:tcPr>
          <w:p w:rsidR="00493A53" w:rsidRPr="001D4EB9" w:rsidRDefault="00493A53" w:rsidP="00621014">
            <w:pPr>
              <w:pStyle w:val="Tabletext"/>
            </w:pPr>
            <w:r w:rsidRPr="001D4EB9">
              <w:t xml:space="preserve">Fixed-dose combination (FDC) tablet of darunavir 800mg + cobicistat 150mg + </w:t>
            </w:r>
            <w:r w:rsidR="003C21CC" w:rsidRPr="001D4EB9">
              <w:t xml:space="preserve">emtricitabine </w:t>
            </w:r>
            <w:r w:rsidRPr="001D4EB9">
              <w:t xml:space="preserve">200mg + tenofovir alafenamide 10mg </w:t>
            </w:r>
            <w:r w:rsidR="00AD1C62" w:rsidRPr="001D4EB9">
              <w:t>(Symtuza)</w:t>
            </w:r>
            <w:r w:rsidRPr="001D4EB9">
              <w:t xml:space="preserve"> taken orally once daily</w:t>
            </w:r>
          </w:p>
        </w:tc>
      </w:tr>
      <w:tr w:rsidR="00493A53" w:rsidRPr="001D4EB9" w:rsidTr="0013307A">
        <w:trPr>
          <w:tblHeader/>
        </w:trPr>
        <w:tc>
          <w:tcPr>
            <w:tcW w:w="1668" w:type="dxa"/>
            <w:vAlign w:val="center"/>
          </w:tcPr>
          <w:p w:rsidR="00493A53" w:rsidRPr="001D4EB9" w:rsidRDefault="00493A53" w:rsidP="00621014">
            <w:pPr>
              <w:pStyle w:val="Tabletext"/>
            </w:pPr>
            <w:r w:rsidRPr="001D4EB9">
              <w:t>Comparator</w:t>
            </w:r>
          </w:p>
        </w:tc>
        <w:tc>
          <w:tcPr>
            <w:tcW w:w="7488" w:type="dxa"/>
            <w:vAlign w:val="center"/>
          </w:tcPr>
          <w:p w:rsidR="00493A53" w:rsidRPr="001D4EB9" w:rsidRDefault="00493A53" w:rsidP="00621014">
            <w:pPr>
              <w:pStyle w:val="Tabletext"/>
            </w:pPr>
            <w:r w:rsidRPr="001D4EB9">
              <w:t>Concomitant administration of cobicistat or ritonavir boosted darunavir (Prezcobix</w:t>
            </w:r>
            <w:r w:rsidRPr="001D4EB9">
              <w:rPr>
                <w:vertAlign w:val="superscript"/>
              </w:rPr>
              <w:t>®</w:t>
            </w:r>
            <w:r w:rsidRPr="001D4EB9">
              <w:t xml:space="preserve"> [DRV/c] or Prezista</w:t>
            </w:r>
            <w:r w:rsidRPr="001D4EB9">
              <w:rPr>
                <w:vertAlign w:val="superscript"/>
              </w:rPr>
              <w:t xml:space="preserve">® + </w:t>
            </w:r>
            <w:r w:rsidRPr="001D4EB9">
              <w:t>Norvir</w:t>
            </w:r>
            <w:r w:rsidRPr="001D4EB9">
              <w:rPr>
                <w:vertAlign w:val="superscript"/>
              </w:rPr>
              <w:t xml:space="preserve">® </w:t>
            </w:r>
            <w:r w:rsidRPr="001D4EB9">
              <w:t>[DRV+r]) with emtricitabine/tenofovir alafenamide (FTC/TAF; Descovy</w:t>
            </w:r>
            <w:r w:rsidRPr="001D4EB9">
              <w:rPr>
                <w:vertAlign w:val="superscript"/>
              </w:rPr>
              <w:t>®</w:t>
            </w:r>
            <w:r w:rsidRPr="001D4EB9">
              <w:t>) or emtricitabine/tenofovir disoproxil fumarate (FTC/TDF; Truvada</w:t>
            </w:r>
            <w:r w:rsidRPr="001D4EB9">
              <w:rPr>
                <w:vertAlign w:val="superscript"/>
              </w:rPr>
              <w:t>®</w:t>
            </w:r>
            <w:r w:rsidRPr="001D4EB9">
              <w:t>)</w:t>
            </w:r>
          </w:p>
        </w:tc>
      </w:tr>
      <w:tr w:rsidR="00493A53" w:rsidRPr="001D4EB9" w:rsidTr="0013307A">
        <w:trPr>
          <w:tblHeader/>
        </w:trPr>
        <w:tc>
          <w:tcPr>
            <w:tcW w:w="1668" w:type="dxa"/>
            <w:vAlign w:val="center"/>
          </w:tcPr>
          <w:p w:rsidR="00493A53" w:rsidRPr="001D4EB9" w:rsidRDefault="00493A53" w:rsidP="00621014">
            <w:pPr>
              <w:pStyle w:val="Tabletext"/>
            </w:pPr>
            <w:r w:rsidRPr="001D4EB9">
              <w:t>Outcomes</w:t>
            </w:r>
          </w:p>
        </w:tc>
        <w:tc>
          <w:tcPr>
            <w:tcW w:w="7488" w:type="dxa"/>
            <w:vAlign w:val="center"/>
          </w:tcPr>
          <w:p w:rsidR="00493A53" w:rsidRPr="001D4EB9" w:rsidRDefault="00493A53" w:rsidP="00621014">
            <w:pPr>
              <w:pStyle w:val="Tabletext"/>
            </w:pPr>
            <w:r w:rsidRPr="001D4EB9">
              <w:t>Virological suppression (patients with plasma HIV RNA &lt;50 copies per mL using the FDA snapshot algorithm); change from baseline in CD4+ cell count; proportion of patients with virologic rebound defined as: HIV-1 RNA ≥50 copies/mL</w:t>
            </w:r>
          </w:p>
        </w:tc>
      </w:tr>
      <w:tr w:rsidR="00493A53" w:rsidRPr="001D4EB9" w:rsidTr="0013307A">
        <w:trPr>
          <w:tblHeader/>
        </w:trPr>
        <w:tc>
          <w:tcPr>
            <w:tcW w:w="1668" w:type="dxa"/>
            <w:vAlign w:val="center"/>
          </w:tcPr>
          <w:p w:rsidR="00493A53" w:rsidRPr="001D4EB9" w:rsidRDefault="00493A53" w:rsidP="00621014">
            <w:pPr>
              <w:pStyle w:val="Tabletext"/>
            </w:pPr>
            <w:r w:rsidRPr="001D4EB9">
              <w:t>Clinical claim</w:t>
            </w:r>
          </w:p>
        </w:tc>
        <w:tc>
          <w:tcPr>
            <w:tcW w:w="7488" w:type="dxa"/>
            <w:vAlign w:val="center"/>
          </w:tcPr>
          <w:p w:rsidR="00493A53" w:rsidRPr="001D4EB9" w:rsidRDefault="00493A53" w:rsidP="00621014">
            <w:pPr>
              <w:pStyle w:val="Tabletext"/>
            </w:pPr>
            <w:r w:rsidRPr="001D4EB9">
              <w:t>The DRV/c/FTC/TAF FDC is non-inferior in efficacy and safety to concomitant administration of boosted darunavir (DRV/c or DRV+r) co-administered with FTC/tenofovir (TAF or TDF) regimens</w:t>
            </w:r>
          </w:p>
        </w:tc>
      </w:tr>
    </w:tbl>
    <w:p w:rsidR="00493A53" w:rsidRPr="001D4EB9" w:rsidRDefault="00DC7F0C" w:rsidP="00621014">
      <w:pPr>
        <w:pStyle w:val="TableFooter"/>
        <w:widowControl/>
      </w:pPr>
      <w:r w:rsidRPr="001D4EB9">
        <w:t xml:space="preserve">Source: Table 1.1, p13 </w:t>
      </w:r>
      <w:r w:rsidR="00493A53" w:rsidRPr="001D4EB9">
        <w:t>of the submission.</w:t>
      </w:r>
    </w:p>
    <w:p w:rsidR="0010463E" w:rsidRPr="001D4EB9" w:rsidRDefault="0010463E" w:rsidP="00621014">
      <w:pPr>
        <w:widowControl/>
      </w:pPr>
    </w:p>
    <w:p w:rsidR="0010463E" w:rsidRPr="001D4EB9" w:rsidRDefault="0010463E" w:rsidP="00621014">
      <w:pPr>
        <w:pStyle w:val="PBACHeading1"/>
        <w:keepNext/>
      </w:pPr>
      <w:bookmarkStart w:id="7" w:name="_Toc19538897"/>
      <w:r w:rsidRPr="001D4EB9">
        <w:t>Requested listing</w:t>
      </w:r>
      <w:bookmarkEnd w:id="7"/>
    </w:p>
    <w:p w:rsidR="00A54DAC" w:rsidRPr="001D4EB9" w:rsidRDefault="00A54DAC" w:rsidP="00621014">
      <w:pPr>
        <w:pStyle w:val="ListParagraph"/>
        <w:widowControl/>
        <w:numPr>
          <w:ilvl w:val="1"/>
          <w:numId w:val="1"/>
        </w:numPr>
        <w:spacing w:after="120"/>
      </w:pPr>
      <w:r w:rsidRPr="001D4EB9">
        <w:t>Suggestions and additions proposed by the Secretariat are added in italics and suggested deletions are crossed out with strikethrough.</w:t>
      </w:r>
    </w:p>
    <w:p w:rsidR="0010463E" w:rsidRPr="001D4EB9" w:rsidRDefault="0010463E" w:rsidP="00621014">
      <w:pPr>
        <w:keepNext/>
        <w:widowControl/>
      </w:pPr>
    </w:p>
    <w:tbl>
      <w:tblPr>
        <w:tblStyle w:val="PlainTable21"/>
        <w:tblW w:w="4974" w:type="pct"/>
        <w:tblBorders>
          <w:insideH w:val="single" w:sz="4" w:space="0" w:color="7F7F7F" w:themeColor="text1" w:themeTint="80"/>
        </w:tblBorders>
        <w:tblLook w:val="0400" w:firstRow="0" w:lastRow="0" w:firstColumn="0" w:lastColumn="0" w:noHBand="0" w:noVBand="1"/>
        <w:tblCaption w:val="requested listings "/>
      </w:tblPr>
      <w:tblGrid>
        <w:gridCol w:w="4108"/>
        <w:gridCol w:w="714"/>
        <w:gridCol w:w="708"/>
        <w:gridCol w:w="1559"/>
        <w:gridCol w:w="1891"/>
      </w:tblGrid>
      <w:tr w:rsidR="0010463E" w:rsidRPr="001D4EB9" w:rsidTr="00E46806">
        <w:trPr>
          <w:trHeight w:val="463"/>
          <w:tblHeader/>
        </w:trPr>
        <w:tc>
          <w:tcPr>
            <w:tcW w:w="2287" w:type="pct"/>
          </w:tcPr>
          <w:p w:rsidR="0010463E" w:rsidRPr="001D4EB9" w:rsidRDefault="0010463E" w:rsidP="00621014">
            <w:pPr>
              <w:keepNext/>
              <w:widowControl/>
              <w:jc w:val="left"/>
              <w:rPr>
                <w:rFonts w:ascii="Arial Narrow" w:hAnsi="Arial Narrow"/>
                <w:b/>
                <w:sz w:val="20"/>
              </w:rPr>
            </w:pPr>
            <w:r w:rsidRPr="001D4EB9">
              <w:rPr>
                <w:rFonts w:ascii="Arial Narrow" w:hAnsi="Arial Narrow"/>
                <w:b/>
                <w:sz w:val="20"/>
              </w:rPr>
              <w:t>Name, Restriction,</w:t>
            </w:r>
          </w:p>
          <w:p w:rsidR="0010463E" w:rsidRPr="001D4EB9" w:rsidRDefault="0010463E" w:rsidP="00621014">
            <w:pPr>
              <w:keepNext/>
              <w:widowControl/>
              <w:jc w:val="left"/>
              <w:rPr>
                <w:rFonts w:ascii="Arial Narrow" w:hAnsi="Arial Narrow"/>
                <w:b/>
                <w:sz w:val="20"/>
              </w:rPr>
            </w:pPr>
            <w:r w:rsidRPr="001D4EB9">
              <w:rPr>
                <w:rFonts w:ascii="Arial Narrow" w:hAnsi="Arial Narrow"/>
                <w:b/>
                <w:sz w:val="20"/>
              </w:rPr>
              <w:t>Manner of administration and form</w:t>
            </w:r>
          </w:p>
        </w:tc>
        <w:tc>
          <w:tcPr>
            <w:tcW w:w="397" w:type="pct"/>
          </w:tcPr>
          <w:p w:rsidR="0010463E" w:rsidRPr="001D4EB9" w:rsidRDefault="0010463E" w:rsidP="00621014">
            <w:pPr>
              <w:keepNext/>
              <w:widowControl/>
              <w:jc w:val="center"/>
              <w:rPr>
                <w:rFonts w:ascii="Arial Narrow" w:hAnsi="Arial Narrow"/>
                <w:b/>
                <w:sz w:val="20"/>
              </w:rPr>
            </w:pPr>
            <w:r w:rsidRPr="001D4EB9">
              <w:rPr>
                <w:rFonts w:ascii="Arial Narrow" w:hAnsi="Arial Narrow"/>
                <w:b/>
                <w:sz w:val="20"/>
              </w:rPr>
              <w:t>Max.</w:t>
            </w:r>
          </w:p>
          <w:p w:rsidR="0010463E" w:rsidRPr="001D4EB9" w:rsidRDefault="0010463E" w:rsidP="00621014">
            <w:pPr>
              <w:keepNext/>
              <w:widowControl/>
              <w:jc w:val="center"/>
              <w:rPr>
                <w:rFonts w:ascii="Arial Narrow" w:hAnsi="Arial Narrow"/>
                <w:b/>
                <w:sz w:val="20"/>
              </w:rPr>
            </w:pPr>
            <w:r w:rsidRPr="001D4EB9">
              <w:rPr>
                <w:rFonts w:ascii="Arial Narrow" w:hAnsi="Arial Narrow"/>
                <w:b/>
                <w:sz w:val="20"/>
              </w:rPr>
              <w:t xml:space="preserve">Qty </w:t>
            </w:r>
          </w:p>
        </w:tc>
        <w:tc>
          <w:tcPr>
            <w:tcW w:w="394" w:type="pct"/>
          </w:tcPr>
          <w:p w:rsidR="0010463E" w:rsidRPr="001D4EB9" w:rsidRDefault="0010463E" w:rsidP="00621014">
            <w:pPr>
              <w:keepNext/>
              <w:widowControl/>
              <w:jc w:val="center"/>
              <w:rPr>
                <w:rFonts w:ascii="Arial Narrow" w:hAnsi="Arial Narrow"/>
                <w:b/>
                <w:sz w:val="20"/>
              </w:rPr>
            </w:pPr>
            <w:r w:rsidRPr="001D4EB9">
              <w:rPr>
                <w:rFonts w:ascii="Arial Narrow" w:hAnsi="Arial Narrow" w:cs="Times New Roman"/>
                <w:b/>
                <w:sz w:val="20"/>
              </w:rPr>
              <w:t>№</w:t>
            </w:r>
            <w:r w:rsidRPr="001D4EB9">
              <w:rPr>
                <w:rFonts w:ascii="Arial Narrow" w:hAnsi="Arial Narrow"/>
                <w:b/>
                <w:sz w:val="20"/>
              </w:rPr>
              <w:t>.of</w:t>
            </w:r>
          </w:p>
          <w:p w:rsidR="0010463E" w:rsidRPr="001D4EB9" w:rsidRDefault="0010463E" w:rsidP="00621014">
            <w:pPr>
              <w:keepNext/>
              <w:widowControl/>
              <w:jc w:val="center"/>
              <w:rPr>
                <w:rFonts w:ascii="Arial Narrow" w:hAnsi="Arial Narrow"/>
                <w:b/>
                <w:sz w:val="20"/>
              </w:rPr>
            </w:pPr>
            <w:r w:rsidRPr="001D4EB9">
              <w:rPr>
                <w:rFonts w:ascii="Arial Narrow" w:hAnsi="Arial Narrow"/>
                <w:b/>
                <w:sz w:val="20"/>
              </w:rPr>
              <w:t>Rpts</w:t>
            </w:r>
          </w:p>
        </w:tc>
        <w:tc>
          <w:tcPr>
            <w:tcW w:w="868" w:type="pct"/>
          </w:tcPr>
          <w:p w:rsidR="0010463E" w:rsidRPr="001D4EB9" w:rsidRDefault="0010463E" w:rsidP="00621014">
            <w:pPr>
              <w:keepNext/>
              <w:widowControl/>
              <w:jc w:val="center"/>
              <w:rPr>
                <w:rFonts w:ascii="Arial Narrow" w:hAnsi="Arial Narrow"/>
                <w:b/>
                <w:sz w:val="20"/>
              </w:rPr>
            </w:pPr>
            <w:r w:rsidRPr="001D4EB9">
              <w:rPr>
                <w:rFonts w:ascii="Arial Narrow" w:hAnsi="Arial Narrow"/>
                <w:b/>
                <w:sz w:val="20"/>
              </w:rPr>
              <w:t xml:space="preserve">Dispensed Price for Max. Qty </w:t>
            </w:r>
          </w:p>
        </w:tc>
        <w:tc>
          <w:tcPr>
            <w:tcW w:w="1053" w:type="pct"/>
          </w:tcPr>
          <w:p w:rsidR="0010463E" w:rsidRPr="001D4EB9" w:rsidRDefault="0010463E" w:rsidP="00621014">
            <w:pPr>
              <w:keepNext/>
              <w:widowControl/>
              <w:jc w:val="left"/>
              <w:rPr>
                <w:rFonts w:ascii="Arial Narrow" w:hAnsi="Arial Narrow"/>
                <w:b/>
                <w:sz w:val="20"/>
              </w:rPr>
            </w:pPr>
            <w:r w:rsidRPr="001D4EB9">
              <w:rPr>
                <w:rFonts w:ascii="Arial Narrow" w:hAnsi="Arial Narrow"/>
                <w:b/>
                <w:sz w:val="20"/>
              </w:rPr>
              <w:t>Proprietary Name and Manufacturer</w:t>
            </w:r>
          </w:p>
        </w:tc>
      </w:tr>
      <w:tr w:rsidR="00924C3C" w:rsidRPr="001D4EB9" w:rsidTr="00E46806">
        <w:trPr>
          <w:trHeight w:val="567"/>
          <w:tblHeader/>
        </w:trPr>
        <w:tc>
          <w:tcPr>
            <w:tcW w:w="2287" w:type="pct"/>
          </w:tcPr>
          <w:p w:rsidR="00C056E7" w:rsidRPr="001D4EB9" w:rsidRDefault="00C056E7" w:rsidP="00621014">
            <w:pPr>
              <w:keepNext/>
              <w:widowControl/>
              <w:jc w:val="left"/>
              <w:rPr>
                <w:rFonts w:ascii="Arial Narrow" w:hAnsi="Arial Narrow"/>
                <w:sz w:val="20"/>
                <w:szCs w:val="20"/>
              </w:rPr>
            </w:pPr>
            <w:r w:rsidRPr="001D4EB9">
              <w:rPr>
                <w:rFonts w:ascii="Arial Narrow" w:hAnsi="Arial Narrow"/>
                <w:smallCaps/>
                <w:sz w:val="20"/>
                <w:szCs w:val="20"/>
              </w:rPr>
              <w:t>Darunavir with cobicistat with tenofovir alafenamide and emtricitabine</w:t>
            </w:r>
          </w:p>
          <w:p w:rsidR="00924C3C" w:rsidRPr="001D4EB9" w:rsidRDefault="00C056E7" w:rsidP="00621014">
            <w:pPr>
              <w:keepNext/>
              <w:widowControl/>
              <w:jc w:val="left"/>
              <w:rPr>
                <w:rFonts w:ascii="Arial Narrow" w:hAnsi="Arial Narrow"/>
                <w:sz w:val="20"/>
                <w:szCs w:val="20"/>
              </w:rPr>
            </w:pPr>
            <w:r w:rsidRPr="001D4EB9">
              <w:rPr>
                <w:rFonts w:ascii="Arial Narrow" w:hAnsi="Arial Narrow"/>
                <w:sz w:val="20"/>
                <w:szCs w:val="20"/>
              </w:rPr>
              <w:t>Darunavir 800 mg + cobicistat 150 mg + tenofovir alafenamide 10 mg + emtricitabine 200 mg tablet, 30</w:t>
            </w:r>
          </w:p>
        </w:tc>
        <w:tc>
          <w:tcPr>
            <w:tcW w:w="397" w:type="pct"/>
          </w:tcPr>
          <w:p w:rsidR="00924C3C" w:rsidRPr="001D4EB9" w:rsidRDefault="00924C3C" w:rsidP="00621014">
            <w:pPr>
              <w:keepNext/>
              <w:widowControl/>
              <w:jc w:val="center"/>
              <w:rPr>
                <w:rFonts w:ascii="Arial Narrow" w:hAnsi="Arial Narrow"/>
                <w:sz w:val="20"/>
                <w:szCs w:val="20"/>
              </w:rPr>
            </w:pPr>
            <w:r w:rsidRPr="001D4EB9">
              <w:rPr>
                <w:rFonts w:ascii="Arial Narrow" w:hAnsi="Arial Narrow"/>
                <w:sz w:val="20"/>
                <w:szCs w:val="20"/>
              </w:rPr>
              <w:t xml:space="preserve">2 </w:t>
            </w:r>
          </w:p>
        </w:tc>
        <w:tc>
          <w:tcPr>
            <w:tcW w:w="394" w:type="pct"/>
          </w:tcPr>
          <w:p w:rsidR="00924C3C" w:rsidRPr="001D4EB9" w:rsidRDefault="00924C3C" w:rsidP="00621014">
            <w:pPr>
              <w:keepNext/>
              <w:widowControl/>
              <w:jc w:val="center"/>
              <w:rPr>
                <w:rFonts w:ascii="Arial Narrow" w:hAnsi="Arial Narrow"/>
                <w:sz w:val="20"/>
                <w:szCs w:val="20"/>
              </w:rPr>
            </w:pPr>
            <w:r w:rsidRPr="001D4EB9">
              <w:rPr>
                <w:rFonts w:ascii="Arial Narrow" w:hAnsi="Arial Narrow"/>
                <w:sz w:val="20"/>
                <w:szCs w:val="20"/>
              </w:rPr>
              <w:t>5</w:t>
            </w:r>
          </w:p>
        </w:tc>
        <w:tc>
          <w:tcPr>
            <w:tcW w:w="868" w:type="pct"/>
          </w:tcPr>
          <w:p w:rsidR="00924C3C" w:rsidRPr="001D4EB9" w:rsidRDefault="00924C3C" w:rsidP="00621014">
            <w:pPr>
              <w:pStyle w:val="Tabletext"/>
              <w:jc w:val="center"/>
              <w:rPr>
                <w:szCs w:val="20"/>
              </w:rPr>
            </w:pPr>
            <w:r w:rsidRPr="001D4EB9">
              <w:rPr>
                <w:szCs w:val="20"/>
              </w:rPr>
              <w:t>$</w:t>
            </w:r>
            <w:r w:rsidR="00940AB6">
              <w:rPr>
                <w:noProof/>
                <w:color w:val="000000"/>
                <w:szCs w:val="20"/>
                <w:highlight w:val="black"/>
              </w:rPr>
              <w:t>'''''''''''''''''''''''</w:t>
            </w:r>
          </w:p>
        </w:tc>
        <w:tc>
          <w:tcPr>
            <w:tcW w:w="1053" w:type="pct"/>
          </w:tcPr>
          <w:p w:rsidR="00892903" w:rsidRPr="001D4EB9" w:rsidRDefault="00924C3C" w:rsidP="00621014">
            <w:pPr>
              <w:keepNext/>
              <w:widowControl/>
              <w:rPr>
                <w:rFonts w:ascii="Arial Narrow" w:hAnsi="Arial Narrow"/>
                <w:sz w:val="20"/>
                <w:szCs w:val="20"/>
              </w:rPr>
            </w:pPr>
            <w:r w:rsidRPr="001D4EB9">
              <w:rPr>
                <w:rFonts w:ascii="Arial Narrow" w:hAnsi="Arial Narrow"/>
                <w:sz w:val="20"/>
                <w:szCs w:val="20"/>
              </w:rPr>
              <w:t>Symtuza,</w:t>
            </w:r>
            <w:r w:rsidR="00892903" w:rsidRPr="001D4EB9">
              <w:rPr>
                <w:rFonts w:ascii="Arial Narrow" w:hAnsi="Arial Narrow"/>
                <w:sz w:val="20"/>
                <w:szCs w:val="20"/>
              </w:rPr>
              <w:t xml:space="preserve"> </w:t>
            </w:r>
          </w:p>
          <w:p w:rsidR="00924C3C" w:rsidRPr="001D4EB9" w:rsidRDefault="00924C3C" w:rsidP="00621014">
            <w:pPr>
              <w:keepNext/>
              <w:widowControl/>
              <w:rPr>
                <w:rFonts w:ascii="Arial Narrow" w:hAnsi="Arial Narrow"/>
                <w:sz w:val="20"/>
                <w:szCs w:val="20"/>
              </w:rPr>
            </w:pPr>
            <w:r w:rsidRPr="001D4EB9">
              <w:rPr>
                <w:rFonts w:ascii="Arial Narrow" w:hAnsi="Arial Narrow"/>
                <w:sz w:val="20"/>
                <w:szCs w:val="20"/>
              </w:rPr>
              <w:t>Janssen-Cilag Pty Ltd</w:t>
            </w:r>
          </w:p>
        </w:tc>
        <w:bookmarkStart w:id="8" w:name="_GoBack"/>
        <w:bookmarkEnd w:id="8"/>
      </w:tr>
    </w:tbl>
    <w:p w:rsidR="00493A53" w:rsidRPr="001D4EB9" w:rsidRDefault="00493A53" w:rsidP="00621014">
      <w:pPr>
        <w:pStyle w:val="TableFooter"/>
        <w:widowControl/>
      </w:pPr>
      <w:r w:rsidRPr="001D4EB9">
        <w:t xml:space="preserve"> </w:t>
      </w:r>
    </w:p>
    <w:tbl>
      <w:tblPr>
        <w:tblW w:w="5000" w:type="pct"/>
        <w:tblInd w:w="-5" w:type="dxa"/>
        <w:tblLayout w:type="fixed"/>
        <w:tblLook w:val="0000" w:firstRow="0" w:lastRow="0" w:firstColumn="0" w:lastColumn="0" w:noHBand="0" w:noVBand="0"/>
      </w:tblPr>
      <w:tblGrid>
        <w:gridCol w:w="1701"/>
        <w:gridCol w:w="7316"/>
      </w:tblGrid>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DD09F9" w:rsidP="00621014">
            <w:pPr>
              <w:pStyle w:val="Tabletext"/>
              <w:rPr>
                <w:b/>
              </w:rPr>
            </w:pPr>
            <w:r>
              <w:rPr>
                <w:b/>
              </w:rPr>
              <w:t>Category/</w:t>
            </w:r>
            <w:r w:rsidR="00493A53" w:rsidRPr="001D4EB9">
              <w:rPr>
                <w:b/>
              </w:rPr>
              <w:t>Program</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 xml:space="preserve">Schedule 100 HSD </w:t>
            </w:r>
            <w:r w:rsidR="005658C3" w:rsidRPr="001D4EB9">
              <w:t>C</w:t>
            </w:r>
            <w:r w:rsidRPr="001D4EB9">
              <w:t>ommunity Access</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 xml:space="preserve">Prescriber type </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Medical practitioners</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Condition:</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Human immunodeficiency virus (HIV) infection</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PBS Indication:</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Human immunodeficiency virus (HIV) infection</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Treatment phase:</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Initial treatment</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Restriction:</w:t>
            </w:r>
          </w:p>
          <w:p w:rsidR="00493A53" w:rsidRPr="001D4EB9" w:rsidRDefault="00493A53" w:rsidP="00621014">
            <w:pPr>
              <w:pStyle w:val="Tabletext"/>
            </w:pPr>
          </w:p>
          <w:p w:rsidR="00493A53" w:rsidRPr="001D4EB9" w:rsidRDefault="00493A53" w:rsidP="00621014">
            <w:pPr>
              <w:pStyle w:val="Tabletext"/>
            </w:pP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fldChar w:fldCharType="begin">
                <w:ffData>
                  <w:name w:val="Check1"/>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Restricted benefit</w:t>
            </w:r>
          </w:p>
          <w:p w:rsidR="00493A53" w:rsidRPr="001D4EB9" w:rsidRDefault="00493A53" w:rsidP="00621014">
            <w:pPr>
              <w:pStyle w:val="Tabletext"/>
            </w:pPr>
            <w:r w:rsidRPr="001D4EB9">
              <w:fldChar w:fldCharType="begin">
                <w:ffData>
                  <w:name w:val=""/>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In Writing</w:t>
            </w:r>
          </w:p>
          <w:p w:rsidR="00493A53" w:rsidRPr="001D4EB9" w:rsidRDefault="00493A53" w:rsidP="00621014">
            <w:pPr>
              <w:pStyle w:val="Tabletext"/>
            </w:pPr>
            <w:r w:rsidRPr="001D4EB9">
              <w:fldChar w:fldCharType="begin">
                <w:ffData>
                  <w:name w:val="Check3"/>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Telephone</w:t>
            </w:r>
          </w:p>
          <w:p w:rsidR="00493A53" w:rsidRPr="001D4EB9" w:rsidRDefault="00493A53" w:rsidP="00621014">
            <w:pPr>
              <w:pStyle w:val="Tabletext"/>
            </w:pPr>
            <w:r w:rsidRPr="001D4EB9">
              <w:fldChar w:fldCharType="begin">
                <w:ffData>
                  <w:name w:val=""/>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Emergency</w:t>
            </w:r>
          </w:p>
          <w:p w:rsidR="00493A53" w:rsidRPr="001D4EB9" w:rsidRDefault="00493A53" w:rsidP="00621014">
            <w:pPr>
              <w:pStyle w:val="Tabletext"/>
            </w:pPr>
            <w:r w:rsidRPr="001D4EB9">
              <w:fldChar w:fldCharType="begin">
                <w:ffData>
                  <w:name w:val="Check5"/>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Electronic</w:t>
            </w:r>
          </w:p>
          <w:p w:rsidR="00493A53" w:rsidRPr="001D4EB9" w:rsidRDefault="00493A53" w:rsidP="00621014">
            <w:pPr>
              <w:pStyle w:val="Tabletext"/>
            </w:pPr>
            <w:r w:rsidRPr="001D4EB9">
              <w:fldChar w:fldCharType="begin">
                <w:ffData>
                  <w:name w:val="Check5"/>
                  <w:enabled/>
                  <w:calcOnExit w:val="0"/>
                  <w:checkBox>
                    <w:sizeAuto/>
                    <w:default w:val="1"/>
                  </w:checkBox>
                </w:ffData>
              </w:fldChar>
            </w:r>
            <w:r w:rsidRPr="001D4EB9">
              <w:instrText xml:space="preserve"> FORMCHECKBOX </w:instrText>
            </w:r>
            <w:r w:rsidR="00E46806">
              <w:fldChar w:fldCharType="separate"/>
            </w:r>
            <w:r w:rsidRPr="001D4EB9">
              <w:fldChar w:fldCharType="end"/>
            </w:r>
            <w:r w:rsidRPr="001D4EB9">
              <w:t>Authority Required (Streamlined)</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Clinical criteria:</w:t>
            </w:r>
          </w:p>
          <w:p w:rsidR="00493A53" w:rsidRPr="001D4EB9" w:rsidRDefault="00493A53" w:rsidP="00621014">
            <w:pPr>
              <w:pStyle w:val="Tabletext"/>
            </w:pP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rFonts w:cs="Arial"/>
              </w:rPr>
            </w:pPr>
            <w:r w:rsidRPr="001D4EB9">
              <w:rPr>
                <w:rFonts w:cs="Arial"/>
              </w:rPr>
              <w:t>Patient must be antiretroviral treatment naïve</w:t>
            </w:r>
          </w:p>
          <w:p w:rsidR="00493A53" w:rsidRPr="001D4EB9" w:rsidRDefault="00493A53" w:rsidP="00621014">
            <w:pPr>
              <w:pStyle w:val="Tabletext"/>
              <w:rPr>
                <w:rFonts w:cs="Arial"/>
              </w:rPr>
            </w:pPr>
            <w:r w:rsidRPr="001D4EB9">
              <w:rPr>
                <w:rFonts w:cs="Arial"/>
              </w:rPr>
              <w:t>AND</w:t>
            </w:r>
          </w:p>
          <w:p w:rsidR="00493A53" w:rsidRPr="001D4EB9" w:rsidRDefault="00493A53" w:rsidP="00621014">
            <w:pPr>
              <w:pStyle w:val="Tabletext"/>
              <w:rPr>
                <w:rFonts w:cs="Arial"/>
              </w:rPr>
            </w:pPr>
            <w:r w:rsidRPr="001D4EB9">
              <w:rPr>
                <w:rFonts w:cs="Arial"/>
              </w:rPr>
              <w:t>The treatment must not be in combination with ritonavir.</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Note</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The cobicistat component of darunavir + cobicistat combination product provides the necessary pharmacokinetic enhancement of darunavir to achieve therapeutic levels of darunavir</w:t>
            </w:r>
          </w:p>
        </w:tc>
      </w:tr>
    </w:tbl>
    <w:p w:rsidR="00A951F5" w:rsidRPr="001D4EB9" w:rsidRDefault="00A951F5" w:rsidP="00621014">
      <w:pPr>
        <w:pStyle w:val="Tabletext"/>
        <w:rPr>
          <w:b/>
        </w:rPr>
      </w:pPr>
    </w:p>
    <w:tbl>
      <w:tblPr>
        <w:tblW w:w="5000" w:type="pct"/>
        <w:tblInd w:w="-5" w:type="dxa"/>
        <w:tblLayout w:type="fixed"/>
        <w:tblLook w:val="0000" w:firstRow="0" w:lastRow="0" w:firstColumn="0" w:lastColumn="0" w:noHBand="0" w:noVBand="0"/>
      </w:tblPr>
      <w:tblGrid>
        <w:gridCol w:w="1701"/>
        <w:gridCol w:w="7316"/>
      </w:tblGrid>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Treatment phase:</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 xml:space="preserve">Continuing treatment </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lastRenderedPageBreak/>
              <w:t>Restriction:</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fldChar w:fldCharType="begin">
                <w:ffData>
                  <w:name w:val="Check1"/>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Restricted benefit</w:t>
            </w:r>
          </w:p>
          <w:p w:rsidR="00493A53" w:rsidRPr="001D4EB9" w:rsidRDefault="00493A53" w:rsidP="00621014">
            <w:pPr>
              <w:pStyle w:val="Tabletext"/>
            </w:pPr>
            <w:r w:rsidRPr="001D4EB9">
              <w:fldChar w:fldCharType="begin">
                <w:ffData>
                  <w:name w:val=""/>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In Writing</w:t>
            </w:r>
          </w:p>
          <w:p w:rsidR="00493A53" w:rsidRPr="001D4EB9" w:rsidRDefault="00493A53" w:rsidP="00621014">
            <w:pPr>
              <w:pStyle w:val="Tabletext"/>
            </w:pPr>
            <w:r w:rsidRPr="001D4EB9">
              <w:fldChar w:fldCharType="begin">
                <w:ffData>
                  <w:name w:val="Check3"/>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Telephone</w:t>
            </w:r>
          </w:p>
          <w:p w:rsidR="00493A53" w:rsidRPr="001D4EB9" w:rsidRDefault="00493A53" w:rsidP="00621014">
            <w:pPr>
              <w:pStyle w:val="Tabletext"/>
            </w:pPr>
            <w:r w:rsidRPr="001D4EB9">
              <w:fldChar w:fldCharType="begin">
                <w:ffData>
                  <w:name w:val=""/>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Emergency</w:t>
            </w:r>
          </w:p>
          <w:p w:rsidR="00493A53" w:rsidRPr="001D4EB9" w:rsidRDefault="00493A53" w:rsidP="00621014">
            <w:pPr>
              <w:pStyle w:val="Tabletext"/>
            </w:pPr>
            <w:r w:rsidRPr="001D4EB9">
              <w:fldChar w:fldCharType="begin">
                <w:ffData>
                  <w:name w:val="Check5"/>
                  <w:enabled/>
                  <w:calcOnExit w:val="0"/>
                  <w:checkBox>
                    <w:sizeAuto/>
                    <w:default w:val="0"/>
                  </w:checkBox>
                </w:ffData>
              </w:fldChar>
            </w:r>
            <w:r w:rsidRPr="001D4EB9">
              <w:instrText xml:space="preserve"> FORMCHECKBOX </w:instrText>
            </w:r>
            <w:r w:rsidR="00E46806">
              <w:fldChar w:fldCharType="separate"/>
            </w:r>
            <w:r w:rsidRPr="001D4EB9">
              <w:fldChar w:fldCharType="end"/>
            </w:r>
            <w:r w:rsidRPr="001D4EB9">
              <w:t>Authority Required - Electronic</w:t>
            </w:r>
          </w:p>
          <w:p w:rsidR="00493A53" w:rsidRPr="001D4EB9" w:rsidRDefault="00493A53" w:rsidP="00621014">
            <w:pPr>
              <w:pStyle w:val="Tabletext"/>
            </w:pPr>
            <w:r w:rsidRPr="001D4EB9">
              <w:fldChar w:fldCharType="begin">
                <w:ffData>
                  <w:name w:val="Check5"/>
                  <w:enabled/>
                  <w:calcOnExit w:val="0"/>
                  <w:checkBox>
                    <w:sizeAuto/>
                    <w:default w:val="1"/>
                  </w:checkBox>
                </w:ffData>
              </w:fldChar>
            </w:r>
            <w:r w:rsidRPr="001D4EB9">
              <w:instrText xml:space="preserve"> FORMCHECKBOX </w:instrText>
            </w:r>
            <w:r w:rsidR="00E46806">
              <w:fldChar w:fldCharType="separate"/>
            </w:r>
            <w:r w:rsidRPr="001D4EB9">
              <w:fldChar w:fldCharType="end"/>
            </w:r>
            <w:r w:rsidRPr="001D4EB9">
              <w:t>Authority Required (Streamlined)</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Clinical criteria:</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Patient must have previously received PBS-listed therapy for HIV infection,</w:t>
            </w:r>
          </w:p>
          <w:p w:rsidR="00493A53" w:rsidRPr="001D4EB9" w:rsidRDefault="00493A53" w:rsidP="00621014">
            <w:pPr>
              <w:pStyle w:val="Tabletext"/>
            </w:pPr>
            <w:r w:rsidRPr="001D4EB9">
              <w:t>AND</w:t>
            </w:r>
          </w:p>
          <w:p w:rsidR="00493A53" w:rsidRPr="001D4EB9" w:rsidRDefault="00493A53" w:rsidP="00621014">
            <w:pPr>
              <w:pStyle w:val="Tabletext"/>
            </w:pPr>
            <w:r w:rsidRPr="001D4EB9">
              <w:t>The treatment must not be in combination with ritonavir</w:t>
            </w:r>
          </w:p>
        </w:tc>
      </w:tr>
      <w:tr w:rsidR="00493A53" w:rsidRPr="001D4EB9" w:rsidTr="00DD09F9">
        <w:trPr>
          <w:cantSplit/>
        </w:trPr>
        <w:tc>
          <w:tcPr>
            <w:tcW w:w="1701"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rPr>
                <w:b/>
              </w:rPr>
            </w:pPr>
            <w:r w:rsidRPr="001D4EB9">
              <w:rPr>
                <w:b/>
              </w:rPr>
              <w:t>Note:</w:t>
            </w:r>
          </w:p>
        </w:tc>
        <w:tc>
          <w:tcPr>
            <w:tcW w:w="7316" w:type="dxa"/>
            <w:tcBorders>
              <w:top w:val="single" w:sz="4" w:space="0" w:color="auto"/>
              <w:left w:val="single" w:sz="4" w:space="0" w:color="auto"/>
              <w:bottom w:val="single" w:sz="4" w:space="0" w:color="auto"/>
              <w:right w:val="single" w:sz="4" w:space="0" w:color="auto"/>
            </w:tcBorders>
          </w:tcPr>
          <w:p w:rsidR="00493A53" w:rsidRPr="001D4EB9" w:rsidRDefault="00493A53" w:rsidP="00621014">
            <w:pPr>
              <w:pStyle w:val="Tabletext"/>
            </w:pPr>
            <w:r w:rsidRPr="001D4EB9">
              <w:t>The cobicistat component of darunavir + cobicistat combination product provides the necessary pharmacokinetic enhancement of darunavir to achieve therapeutic levels of darunavir</w:t>
            </w:r>
          </w:p>
        </w:tc>
      </w:tr>
    </w:tbl>
    <w:p w:rsidR="00F763DE" w:rsidRPr="001D4EB9" w:rsidRDefault="00F763DE" w:rsidP="00621014">
      <w:pPr>
        <w:pStyle w:val="Tabletext"/>
        <w:rPr>
          <w:b/>
        </w:rPr>
      </w:pPr>
    </w:p>
    <w:tbl>
      <w:tblPr>
        <w:tblW w:w="9214" w:type="dxa"/>
        <w:tblLayout w:type="fixed"/>
        <w:tblLook w:val="0000" w:firstRow="0" w:lastRow="0" w:firstColumn="0" w:lastColumn="0" w:noHBand="0" w:noVBand="0"/>
      </w:tblPr>
      <w:tblGrid>
        <w:gridCol w:w="1696"/>
        <w:gridCol w:w="7518"/>
      </w:tblGrid>
      <w:tr w:rsidR="00A54DAC" w:rsidRPr="001D4EB9" w:rsidTr="00DD09F9">
        <w:trPr>
          <w:cantSplit/>
          <w:trHeight w:val="85"/>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DD09F9" w:rsidP="00DD09F9">
            <w:pPr>
              <w:widowControl/>
              <w:rPr>
                <w:rFonts w:ascii="Arial Narrow" w:hAnsi="Arial Narrow"/>
                <w:b/>
                <w:sz w:val="20"/>
                <w:szCs w:val="20"/>
              </w:rPr>
            </w:pPr>
            <w:r>
              <w:rPr>
                <w:rFonts w:ascii="Arial Narrow" w:hAnsi="Arial Narrow"/>
                <w:b/>
                <w:sz w:val="20"/>
                <w:szCs w:val="20"/>
              </w:rPr>
              <w:t>Category/Program</w:t>
            </w: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t>Section 100 – Highly Specialised Drugs Program {Community Access}</w:t>
            </w:r>
          </w:p>
        </w:tc>
      </w:tr>
      <w:tr w:rsidR="00A54DAC" w:rsidRPr="001D4EB9" w:rsidTr="00DD09F9">
        <w:trPr>
          <w:cantSplit/>
          <w:trHeight w:val="273"/>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sz w:val="20"/>
                <w:szCs w:val="20"/>
              </w:rPr>
            </w:pPr>
            <w:r w:rsidRPr="001D4EB9">
              <w:rPr>
                <w:rFonts w:ascii="Arial Narrow" w:hAnsi="Arial Narrow"/>
                <w:b/>
                <w:sz w:val="20"/>
                <w:szCs w:val="20"/>
              </w:rPr>
              <w:t>Prescriber type:</w:t>
            </w: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fldChar w:fldCharType="begin">
                <w:ffData>
                  <w:name w:val="Check1"/>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Dental  </w:t>
            </w:r>
            <w:r w:rsidRPr="001D4EB9">
              <w:rPr>
                <w:rFonts w:ascii="Arial Narrow" w:hAnsi="Arial Narrow"/>
                <w:sz w:val="20"/>
                <w:szCs w:val="20"/>
              </w:rPr>
              <w:fldChar w:fldCharType="begin">
                <w:ffData>
                  <w:name w:val=""/>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Medical Practitioners  </w:t>
            </w:r>
            <w:r w:rsidRPr="001D4EB9">
              <w:rPr>
                <w:rFonts w:ascii="Arial Narrow" w:hAnsi="Arial Narrow"/>
                <w:sz w:val="20"/>
                <w:szCs w:val="20"/>
              </w:rPr>
              <w:fldChar w:fldCharType="begin">
                <w:ffData>
                  <w:name w:val="Check3"/>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Nurse practitioners  </w:t>
            </w:r>
            <w:r w:rsidRPr="001D4EB9">
              <w:rPr>
                <w:rFonts w:ascii="Arial Narrow" w:hAnsi="Arial Narrow"/>
                <w:sz w:val="20"/>
                <w:szCs w:val="20"/>
              </w:rPr>
              <w:fldChar w:fldCharType="begin">
                <w:ffData>
                  <w:name w:val=""/>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Optometrists </w:t>
            </w:r>
            <w:r w:rsidRPr="001D4EB9">
              <w:rPr>
                <w:rFonts w:ascii="Arial Narrow" w:hAnsi="Arial Narrow"/>
                <w:sz w:val="20"/>
                <w:szCs w:val="20"/>
              </w:rPr>
              <w:fldChar w:fldCharType="begin">
                <w:ffData>
                  <w:name w:val="Check5"/>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Midwives</w:t>
            </w:r>
          </w:p>
        </w:tc>
      </w:tr>
      <w:tr w:rsidR="00A54DAC" w:rsidRPr="001D4EB9" w:rsidTr="00DD09F9">
        <w:trPr>
          <w:cantSplit/>
          <w:trHeight w:val="135"/>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sz w:val="20"/>
                <w:szCs w:val="20"/>
              </w:rPr>
            </w:pPr>
            <w:r w:rsidRPr="001D4EB9">
              <w:rPr>
                <w:rFonts w:ascii="Arial Narrow" w:hAnsi="Arial Narrow"/>
                <w:b/>
                <w:sz w:val="20"/>
                <w:szCs w:val="20"/>
              </w:rPr>
              <w:t>Condition:</w:t>
            </w: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t>HIV infection</w:t>
            </w:r>
          </w:p>
        </w:tc>
      </w:tr>
      <w:tr w:rsidR="00A54DAC" w:rsidRPr="001D4EB9" w:rsidTr="00DD09F9">
        <w:trPr>
          <w:cantSplit/>
          <w:trHeight w:val="181"/>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sz w:val="20"/>
                <w:szCs w:val="20"/>
              </w:rPr>
            </w:pPr>
            <w:r w:rsidRPr="001D4EB9">
              <w:rPr>
                <w:rFonts w:ascii="Arial Narrow" w:hAnsi="Arial Narrow"/>
                <w:b/>
                <w:sz w:val="20"/>
                <w:szCs w:val="20"/>
              </w:rPr>
              <w:t>PBS Indication:</w:t>
            </w: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t>HIV infection</w:t>
            </w:r>
          </w:p>
        </w:tc>
      </w:tr>
      <w:tr w:rsidR="00A54DAC" w:rsidRPr="001D4EB9" w:rsidTr="00DD09F9">
        <w:trPr>
          <w:cantSplit/>
          <w:trHeight w:val="86"/>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sz w:val="20"/>
                <w:szCs w:val="20"/>
              </w:rPr>
            </w:pPr>
            <w:r w:rsidRPr="001D4EB9">
              <w:rPr>
                <w:rFonts w:ascii="Arial Narrow" w:hAnsi="Arial Narrow"/>
                <w:b/>
                <w:sz w:val="20"/>
                <w:szCs w:val="20"/>
              </w:rPr>
              <w:t>Treatment phase:</w:t>
            </w: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t>Continuing treatment</w:t>
            </w:r>
          </w:p>
        </w:tc>
      </w:tr>
      <w:tr w:rsidR="00A54DAC" w:rsidRPr="001D4EB9" w:rsidTr="00DD09F9">
        <w:trPr>
          <w:cantSplit/>
          <w:trHeight w:val="360"/>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DD09F9">
            <w:pPr>
              <w:widowControl/>
              <w:jc w:val="left"/>
              <w:rPr>
                <w:rFonts w:ascii="Arial Narrow" w:hAnsi="Arial Narrow"/>
                <w:b/>
                <w:sz w:val="20"/>
                <w:szCs w:val="20"/>
              </w:rPr>
            </w:pPr>
            <w:r w:rsidRPr="001D4EB9">
              <w:rPr>
                <w:rFonts w:ascii="Arial Narrow" w:hAnsi="Arial Narrow"/>
                <w:b/>
                <w:sz w:val="20"/>
                <w:szCs w:val="20"/>
              </w:rPr>
              <w:t>Restriction Level/ Method:</w:t>
            </w:r>
          </w:p>
          <w:p w:rsidR="00A54DAC" w:rsidRPr="001D4EB9" w:rsidRDefault="00A54DAC" w:rsidP="00621014">
            <w:pPr>
              <w:widowControl/>
              <w:rPr>
                <w:rFonts w:ascii="Arial Narrow" w:hAnsi="Arial Narrow"/>
                <w:sz w:val="20"/>
                <w:szCs w:val="20"/>
              </w:rPr>
            </w:pPr>
          </w:p>
          <w:p w:rsidR="00A54DAC" w:rsidRPr="001D4EB9" w:rsidRDefault="00A54DAC" w:rsidP="00621014">
            <w:pPr>
              <w:widowControl/>
              <w:rPr>
                <w:rFonts w:ascii="Arial Narrow" w:hAnsi="Arial Narrow"/>
                <w:sz w:val="20"/>
                <w:szCs w:val="20"/>
              </w:rPr>
            </w:pP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fldChar w:fldCharType="begin">
                <w:ffData>
                  <w:name w:val="Check1"/>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Restricted benefit</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fldChar w:fldCharType="begin">
                <w:ffData>
                  <w:name w:val=""/>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Authority Required – In Writing</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fldChar w:fldCharType="begin">
                <w:ffData>
                  <w:name w:val="Check3"/>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Authority Required – Telephone/Electronic/Emergency</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fldChar w:fldCharType="begin">
                <w:ffData>
                  <w:name w:val="Check5"/>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Streamlined</w:t>
            </w:r>
          </w:p>
        </w:tc>
      </w:tr>
      <w:tr w:rsidR="00A54DAC" w:rsidRPr="001D4EB9" w:rsidTr="00DD09F9">
        <w:trPr>
          <w:cantSplit/>
          <w:trHeight w:val="657"/>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sz w:val="20"/>
                <w:szCs w:val="20"/>
              </w:rPr>
            </w:pPr>
            <w:r w:rsidRPr="001D4EB9">
              <w:rPr>
                <w:rFonts w:ascii="Arial Narrow" w:hAnsi="Arial Narrow"/>
                <w:b/>
                <w:sz w:val="20"/>
                <w:szCs w:val="20"/>
              </w:rPr>
              <w:t>Clinical criteria:</w:t>
            </w:r>
          </w:p>
          <w:p w:rsidR="00A54DAC" w:rsidRPr="001D4EB9" w:rsidRDefault="00A54DAC" w:rsidP="00621014">
            <w:pPr>
              <w:widowControl/>
              <w:rPr>
                <w:rFonts w:ascii="Arial Narrow" w:hAnsi="Arial Narrow"/>
                <w:b/>
                <w:sz w:val="20"/>
                <w:szCs w:val="20"/>
              </w:rPr>
            </w:pP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t>Patient must have previously received PBS-subsidised therapy for HIV infection</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t>AND</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t>The treatment must not be in combination with ritonavir</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t>AND</w:t>
            </w:r>
          </w:p>
          <w:p w:rsidR="00A54DAC" w:rsidRPr="001D4EB9" w:rsidRDefault="00A54DAC" w:rsidP="00621014">
            <w:pPr>
              <w:widowControl/>
              <w:rPr>
                <w:rFonts w:ascii="Arial Narrow" w:hAnsi="Arial Narrow"/>
                <w:sz w:val="20"/>
                <w:szCs w:val="20"/>
              </w:rPr>
            </w:pPr>
            <w:r w:rsidRPr="001D4EB9">
              <w:rPr>
                <w:rFonts w:ascii="Arial Narrow" w:hAnsi="Arial Narrow"/>
                <w:sz w:val="20"/>
                <w:szCs w:val="20"/>
              </w:rPr>
              <w:t>Patient must have experienced virological failure or clinical failure or genotypic resistance after at least one antiretroviral regimen</w:t>
            </w:r>
          </w:p>
        </w:tc>
      </w:tr>
      <w:tr w:rsidR="00A54DAC" w:rsidRPr="001D4EB9" w:rsidTr="00DD09F9">
        <w:trPr>
          <w:cantSplit/>
          <w:trHeight w:val="360"/>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i/>
                <w:sz w:val="20"/>
                <w:szCs w:val="20"/>
              </w:rPr>
            </w:pPr>
            <w:r w:rsidRPr="001D4EB9">
              <w:rPr>
                <w:rFonts w:ascii="Arial Narrow" w:hAnsi="Arial Narrow"/>
                <w:b/>
                <w:i/>
                <w:sz w:val="20"/>
                <w:szCs w:val="20"/>
              </w:rPr>
              <w:t>Prescriber Instructions:</w:t>
            </w:r>
          </w:p>
          <w:p w:rsidR="00A54DAC" w:rsidRPr="001D4EB9" w:rsidRDefault="00A54DAC" w:rsidP="00621014">
            <w:pPr>
              <w:widowControl/>
              <w:rPr>
                <w:rFonts w:ascii="Arial Narrow" w:hAnsi="Arial Narrow"/>
                <w:sz w:val="20"/>
                <w:szCs w:val="20"/>
              </w:rPr>
            </w:pP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i/>
                <w:sz w:val="20"/>
                <w:szCs w:val="20"/>
              </w:rPr>
            </w:pPr>
            <w:r w:rsidRPr="001D4EB9">
              <w:rPr>
                <w:rFonts w:ascii="Arial Narrow" w:hAnsi="Arial Narrow"/>
                <w:i/>
                <w:sz w:val="20"/>
                <w:szCs w:val="20"/>
              </w:rPr>
              <w:t>Virological failure is defined as a viral load greater than 400 copies per mL on two consecutive occasions, while clinical failure is linked to emerging signs and symptoms of progressing HIV infection or treatment-limiting toxicity.</w:t>
            </w:r>
          </w:p>
        </w:tc>
      </w:tr>
      <w:tr w:rsidR="00A54DAC" w:rsidRPr="001D4EB9" w:rsidTr="00DD09F9">
        <w:trPr>
          <w:cantSplit/>
          <w:trHeight w:val="360"/>
        </w:trPr>
        <w:tc>
          <w:tcPr>
            <w:tcW w:w="1696"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b/>
                <w:sz w:val="20"/>
                <w:szCs w:val="20"/>
              </w:rPr>
            </w:pPr>
            <w:r w:rsidRPr="001D4EB9">
              <w:rPr>
                <w:rFonts w:ascii="Arial Narrow" w:hAnsi="Arial Narrow"/>
                <w:b/>
                <w:sz w:val="20"/>
                <w:szCs w:val="20"/>
              </w:rPr>
              <w:t>Administrative Advice:</w:t>
            </w:r>
          </w:p>
        </w:tc>
        <w:tc>
          <w:tcPr>
            <w:tcW w:w="7518" w:type="dxa"/>
            <w:tcBorders>
              <w:top w:val="single" w:sz="4" w:space="0" w:color="auto"/>
              <w:left w:val="single" w:sz="4" w:space="0" w:color="auto"/>
              <w:bottom w:val="single" w:sz="4" w:space="0" w:color="auto"/>
              <w:right w:val="single" w:sz="4" w:space="0" w:color="auto"/>
            </w:tcBorders>
          </w:tcPr>
          <w:p w:rsidR="00A54DAC" w:rsidRPr="001D4EB9" w:rsidRDefault="00A54DAC" w:rsidP="00621014">
            <w:pPr>
              <w:widowControl/>
              <w:rPr>
                <w:rFonts w:ascii="Arial Narrow" w:hAnsi="Arial Narrow"/>
                <w:sz w:val="20"/>
                <w:szCs w:val="20"/>
              </w:rPr>
            </w:pPr>
            <w:r w:rsidRPr="001D4EB9">
              <w:rPr>
                <w:rFonts w:ascii="Arial Narrow" w:hAnsi="Arial Narrow"/>
                <w:sz w:val="20"/>
                <w:szCs w:val="20"/>
              </w:rPr>
              <w:t>The cobicistat component of the darunavir + cobicistat combination product provides the necessary pharmacokinetic enhancement of darunavir to achieve therapeutic levels of darunavir.</w:t>
            </w:r>
          </w:p>
        </w:tc>
      </w:tr>
    </w:tbl>
    <w:p w:rsidR="00A54DAC" w:rsidRPr="001D4EB9" w:rsidRDefault="00A54DAC" w:rsidP="00621014">
      <w:pPr>
        <w:pStyle w:val="TableFooter"/>
        <w:widowControl/>
      </w:pPr>
    </w:p>
    <w:p w:rsidR="00493A53" w:rsidRPr="001D4EB9" w:rsidRDefault="00493A53" w:rsidP="00621014">
      <w:pPr>
        <w:pStyle w:val="ListParagraph"/>
        <w:widowControl/>
        <w:numPr>
          <w:ilvl w:val="1"/>
          <w:numId w:val="1"/>
        </w:numPr>
      </w:pPr>
      <w:r w:rsidRPr="001D4EB9">
        <w:t xml:space="preserve">The submission </w:t>
      </w:r>
      <w:r w:rsidR="000C0B34" w:rsidRPr="001D4EB9">
        <w:t>requested</w:t>
      </w:r>
      <w:r w:rsidRPr="001D4EB9">
        <w:t xml:space="preserve"> a restriction for (i) initial therapy for treatment-naïve patients; (ii) continuing therapy</w:t>
      </w:r>
      <w:r w:rsidR="008D6FF6" w:rsidRPr="001D4EB9">
        <w:t xml:space="preserve"> with Symtuza or from an alternative HIV regimen for a non-virologic or clinical failure reason</w:t>
      </w:r>
      <w:r w:rsidRPr="001D4EB9">
        <w:t>; and (iii) continuing therapy for treatment-experienced patients</w:t>
      </w:r>
      <w:r w:rsidR="008D6FF6" w:rsidRPr="001D4EB9">
        <w:t xml:space="preserve"> who experienced virologic or clinical failure</w:t>
      </w:r>
      <w:r w:rsidR="004B708F" w:rsidRPr="001D4EB9">
        <w:t xml:space="preserve"> after at least one antiretroviral regimen</w:t>
      </w:r>
      <w:r w:rsidRPr="001D4EB9">
        <w:t xml:space="preserve">. Although the three proposed restrictions for Symtuza are consistent with those for </w:t>
      </w:r>
      <w:r w:rsidR="00CC182B" w:rsidRPr="001D4EB9">
        <w:t>darunavir/cobicistat (</w:t>
      </w:r>
      <w:r w:rsidR="009B6DBF" w:rsidRPr="001D4EB9">
        <w:t xml:space="preserve">DRV/c; </w:t>
      </w:r>
      <w:r w:rsidRPr="001D4EB9">
        <w:t>Prezcobix</w:t>
      </w:r>
      <w:r w:rsidR="00CC182B" w:rsidRPr="001D4EB9">
        <w:t>)</w:t>
      </w:r>
      <w:r w:rsidRPr="001D4EB9">
        <w:t>, it is noted that</w:t>
      </w:r>
      <w:r w:rsidR="00AD1C62" w:rsidRPr="001D4EB9">
        <w:t xml:space="preserve"> Descovy</w:t>
      </w:r>
      <w:r w:rsidR="00CC182B" w:rsidRPr="001D4EB9">
        <w:t xml:space="preserve"> </w:t>
      </w:r>
      <w:r w:rsidRPr="001D4EB9">
        <w:t xml:space="preserve">and </w:t>
      </w:r>
      <w:r w:rsidR="00AD1C62" w:rsidRPr="001D4EB9">
        <w:t>Truvada</w:t>
      </w:r>
      <w:r w:rsidRPr="001D4EB9">
        <w:t xml:space="preserve"> both have only one initial and one continuing restriction. It is not clear whether the continuing restriction for treatment-experienced patients is superfluous.</w:t>
      </w:r>
    </w:p>
    <w:p w:rsidR="004C41D7" w:rsidRPr="001D4EB9" w:rsidRDefault="0010463E" w:rsidP="00621014">
      <w:pPr>
        <w:pStyle w:val="ListParagraph"/>
        <w:widowControl/>
        <w:numPr>
          <w:ilvl w:val="1"/>
          <w:numId w:val="1"/>
        </w:numPr>
      </w:pPr>
      <w:r w:rsidRPr="001D4EB9">
        <w:t>The restriction is consistent with the proposed TGA indication, the trial evidence and the cost</w:t>
      </w:r>
      <w:r w:rsidR="00A16831">
        <w:t>-</w:t>
      </w:r>
      <w:r w:rsidRPr="001D4EB9">
        <w:t>minimisation analysis. It is, however, unlikely that</w:t>
      </w:r>
      <w:r w:rsidR="00F512F0" w:rsidRPr="001D4EB9">
        <w:t xml:space="preserve"> substantial numbers of</w:t>
      </w:r>
      <w:r w:rsidRPr="001D4EB9">
        <w:t xml:space="preserve"> treatment naïve patients in Australia</w:t>
      </w:r>
      <w:r w:rsidR="000C0B34" w:rsidRPr="001D4EB9">
        <w:t xml:space="preserve"> will</w:t>
      </w:r>
      <w:r w:rsidRPr="001D4EB9">
        <w:t xml:space="preserve"> access Symtuza</w:t>
      </w:r>
      <w:r w:rsidR="003C21CC" w:rsidRPr="001D4EB9">
        <w:t xml:space="preserve"> due to the recommendation</w:t>
      </w:r>
      <w:r w:rsidR="00493A53" w:rsidRPr="001D4EB9">
        <w:t xml:space="preserve"> </w:t>
      </w:r>
      <w:r w:rsidR="00736E25" w:rsidRPr="001D4EB9">
        <w:t xml:space="preserve">not to initiate treatment with protease inhibitors (PI) </w:t>
      </w:r>
      <w:r w:rsidR="00493A53" w:rsidRPr="001D4EB9">
        <w:t xml:space="preserve">in the </w:t>
      </w:r>
      <w:r w:rsidR="00736E25" w:rsidRPr="001D4EB9">
        <w:t xml:space="preserve">US </w:t>
      </w:r>
      <w:r w:rsidR="00B75B57" w:rsidRPr="001D4EB9">
        <w:t>Department of</w:t>
      </w:r>
      <w:r w:rsidR="00736E25" w:rsidRPr="001D4EB9">
        <w:t xml:space="preserve"> Health and Human Services (DHHS) G</w:t>
      </w:r>
      <w:r w:rsidR="00493A53" w:rsidRPr="001D4EB9">
        <w:t>uidelines</w:t>
      </w:r>
      <w:r w:rsidR="00736E25" w:rsidRPr="001D4EB9">
        <w:t xml:space="preserve"> for the Use of Antiretroviral Agents in HIV-1 Infected Adults and Adolescents</w:t>
      </w:r>
      <w:r w:rsidR="00493A53" w:rsidRPr="001D4EB9">
        <w:t xml:space="preserve">. </w:t>
      </w:r>
    </w:p>
    <w:p w:rsidR="004C41D7" w:rsidRPr="001D4EB9" w:rsidRDefault="004C41D7" w:rsidP="00621014">
      <w:pPr>
        <w:pStyle w:val="ListParagraph"/>
        <w:widowControl/>
        <w:ind w:left="709"/>
        <w:rPr>
          <w:rFonts w:asciiTheme="minorHAnsi" w:hAnsiTheme="minorHAnsi"/>
          <w:i/>
        </w:rPr>
      </w:pPr>
      <w:r w:rsidRPr="001D4EB9">
        <w:rPr>
          <w:rFonts w:asciiTheme="minorHAnsi" w:hAnsiTheme="minorHAnsi"/>
          <w:i/>
        </w:rPr>
        <w:t>For more detail on PBAC’s view, see section 7 PBAC outcome.</w:t>
      </w:r>
    </w:p>
    <w:p w:rsidR="0010463E" w:rsidRPr="001D4EB9" w:rsidRDefault="0010463E" w:rsidP="00621014">
      <w:pPr>
        <w:pStyle w:val="PBACHeading1"/>
      </w:pPr>
      <w:bookmarkStart w:id="9" w:name="_Toc19538898"/>
      <w:r w:rsidRPr="001D4EB9">
        <w:lastRenderedPageBreak/>
        <w:t>Background</w:t>
      </w:r>
      <w:bookmarkEnd w:id="9"/>
    </w:p>
    <w:p w:rsidR="0010463E" w:rsidRPr="001D4EB9" w:rsidRDefault="0010463E" w:rsidP="00621014">
      <w:pPr>
        <w:pStyle w:val="Heading2"/>
        <w:widowControl/>
        <w:spacing w:before="240"/>
        <w:rPr>
          <w:i w:val="0"/>
        </w:rPr>
      </w:pPr>
      <w:r w:rsidRPr="001D4EB9">
        <w:rPr>
          <w:i w:val="0"/>
        </w:rPr>
        <w:t>Registration status</w:t>
      </w:r>
    </w:p>
    <w:p w:rsidR="0010463E" w:rsidRPr="001D4EB9" w:rsidRDefault="00196174" w:rsidP="00621014">
      <w:pPr>
        <w:pStyle w:val="ListParagraph"/>
        <w:widowControl/>
        <w:numPr>
          <w:ilvl w:val="1"/>
          <w:numId w:val="1"/>
        </w:numPr>
      </w:pPr>
      <w:r w:rsidRPr="001D4EB9">
        <w:t xml:space="preserve">TGA status at time of </w:t>
      </w:r>
      <w:r w:rsidR="00AA352C" w:rsidRPr="001D4EB9">
        <w:t>PBAC Consideration</w:t>
      </w:r>
      <w:r w:rsidRPr="001D4EB9">
        <w:t xml:space="preserve">: </w:t>
      </w:r>
      <w:r w:rsidR="00AA352C" w:rsidRPr="001D4EB9">
        <w:t>At the time of PBAC advice, the Delegate’s Overview was available.</w:t>
      </w:r>
      <w:r w:rsidR="00917E13" w:rsidRPr="001D4EB9">
        <w:t xml:space="preserve"> </w:t>
      </w:r>
      <w:r w:rsidR="00AA352C" w:rsidRPr="001D4EB9">
        <w:t>The TGA Delegate considered that Symtuza, ‘has a robust and sustained virological and immunological profile, similar to that of established boosted PI triple-drug ART’ and the safety profile, ‘is entirely consistent with the known safety profile of the component drugs’.</w:t>
      </w:r>
      <w:r w:rsidR="00553759" w:rsidRPr="001D4EB9">
        <w:t xml:space="preserve"> The Delegate supported registration of Symtuza. </w:t>
      </w:r>
    </w:p>
    <w:p w:rsidR="004C41D7" w:rsidRPr="001D4EB9" w:rsidRDefault="004C41D7" w:rsidP="00621014">
      <w:pPr>
        <w:pStyle w:val="ListParagraph"/>
        <w:widowControl/>
        <w:ind w:left="709"/>
        <w:rPr>
          <w:rFonts w:asciiTheme="minorHAnsi" w:hAnsiTheme="minorHAnsi"/>
          <w:i/>
        </w:rPr>
      </w:pPr>
      <w:r w:rsidRPr="001D4EB9">
        <w:rPr>
          <w:rFonts w:asciiTheme="minorHAnsi" w:hAnsiTheme="minorHAnsi"/>
          <w:i/>
        </w:rPr>
        <w:t>For more detail on PBAC’s view, see section 7 PBAC outcome.</w:t>
      </w:r>
    </w:p>
    <w:p w:rsidR="0010463E" w:rsidRPr="001D4EB9" w:rsidRDefault="0010463E" w:rsidP="00621014">
      <w:pPr>
        <w:pStyle w:val="PBACHeading1"/>
      </w:pPr>
      <w:bookmarkStart w:id="10" w:name="_Toc19538899"/>
      <w:r w:rsidRPr="001D4EB9">
        <w:t>Population and disease</w:t>
      </w:r>
      <w:bookmarkEnd w:id="10"/>
    </w:p>
    <w:p w:rsidR="0010463E" w:rsidRPr="001D4EB9" w:rsidRDefault="0010463E" w:rsidP="00621014">
      <w:pPr>
        <w:widowControl/>
      </w:pPr>
    </w:p>
    <w:p w:rsidR="00493A53" w:rsidRPr="001D4EB9" w:rsidRDefault="00493A53" w:rsidP="00621014">
      <w:pPr>
        <w:pStyle w:val="ListParagraph"/>
        <w:widowControl/>
        <w:numPr>
          <w:ilvl w:val="1"/>
          <w:numId w:val="1"/>
        </w:numPr>
      </w:pPr>
      <w:r w:rsidRPr="001D4EB9">
        <w:t xml:space="preserve">HIV infection is characterised by a decline in the number of CD4+ T-cells which results in damage to, and deterioration of, immune function. The loss of immune function and regulation increases the risk of opportunistic infections and malignancies (known as </w:t>
      </w:r>
      <w:r w:rsidR="00FE3B7B" w:rsidRPr="001D4EB9">
        <w:t>Acquired Immune Deficiency Syndrome (AIDS)</w:t>
      </w:r>
      <w:r w:rsidRPr="001D4EB9">
        <w:t>-defining illnesses), which result in reduced quality of life and death.</w:t>
      </w:r>
    </w:p>
    <w:p w:rsidR="0010463E" w:rsidRPr="001D4EB9" w:rsidRDefault="00493A53" w:rsidP="00621014">
      <w:pPr>
        <w:pStyle w:val="ListParagraph"/>
        <w:widowControl/>
        <w:numPr>
          <w:ilvl w:val="1"/>
          <w:numId w:val="1"/>
        </w:numPr>
      </w:pPr>
      <w:r w:rsidRPr="001D4EB9">
        <w:t xml:space="preserve">Without </w:t>
      </w:r>
      <w:r w:rsidR="00BE51CF" w:rsidRPr="001D4EB9">
        <w:t>anti-retroviral therapy</w:t>
      </w:r>
      <w:r w:rsidR="00FF60E9" w:rsidRPr="001D4EB9">
        <w:t xml:space="preserve"> </w:t>
      </w:r>
      <w:r w:rsidR="00BE51CF" w:rsidRPr="001D4EB9">
        <w:t>(</w:t>
      </w:r>
      <w:r w:rsidRPr="001D4EB9">
        <w:t>ART</w:t>
      </w:r>
      <w:r w:rsidR="00BE51CF" w:rsidRPr="001D4EB9">
        <w:t>)</w:t>
      </w:r>
      <w:r w:rsidRPr="001D4EB9">
        <w:t>, the CD4+ T cell counts in HIV infected patients will continue to decline and eventually result in AIDS-defining illnesses (e.g. malignancies including Kaposi’s Sarcoma, various pneumonias, tuberculosis and other infections from opportunistic pathogens) and premature death.</w:t>
      </w:r>
    </w:p>
    <w:p w:rsidR="0010463E" w:rsidRPr="001D4EB9" w:rsidRDefault="0010463E" w:rsidP="00621014">
      <w:pPr>
        <w:pStyle w:val="ListParagraph"/>
        <w:widowControl/>
        <w:numPr>
          <w:ilvl w:val="1"/>
          <w:numId w:val="1"/>
        </w:numPr>
      </w:pPr>
      <w:r w:rsidRPr="001D4EB9">
        <w:rPr>
          <w:color w:val="000000" w:themeColor="text1"/>
        </w:rPr>
        <w:t xml:space="preserve">The submission </w:t>
      </w:r>
      <w:r w:rsidR="001B376F" w:rsidRPr="001D4EB9">
        <w:rPr>
          <w:color w:val="000000" w:themeColor="text1"/>
        </w:rPr>
        <w:t xml:space="preserve">claimed </w:t>
      </w:r>
      <w:r w:rsidRPr="001D4EB9">
        <w:rPr>
          <w:color w:val="000000" w:themeColor="text1"/>
        </w:rPr>
        <w:t>Symtuza will provide patients with a complete darunavir 800</w:t>
      </w:r>
      <w:r w:rsidR="001B376F" w:rsidRPr="001D4EB9">
        <w:rPr>
          <w:color w:val="000000" w:themeColor="text1"/>
        </w:rPr>
        <w:t> </w:t>
      </w:r>
      <w:r w:rsidRPr="001D4EB9">
        <w:rPr>
          <w:color w:val="000000" w:themeColor="text1"/>
        </w:rPr>
        <w:t xml:space="preserve">mg containing regimen in a single oral once daily tablet and is suitable for patients already maintained or otherwise appropriate for treatment with </w:t>
      </w:r>
      <w:r w:rsidR="00DC7F0C" w:rsidRPr="001D4EB9">
        <w:rPr>
          <w:color w:val="000000" w:themeColor="text1"/>
        </w:rPr>
        <w:t xml:space="preserve">cobicistat or ritonavir boosted darunavir (Prezcobix [DRV/c] or Prezista + Norvir [DRV+r]) </w:t>
      </w:r>
      <w:r w:rsidRPr="001D4EB9">
        <w:rPr>
          <w:color w:val="000000" w:themeColor="text1"/>
        </w:rPr>
        <w:t xml:space="preserve">co administered with FTC/tenofovir. </w:t>
      </w:r>
    </w:p>
    <w:p w:rsidR="004C41D7" w:rsidRPr="001D4EB9" w:rsidRDefault="004C41D7" w:rsidP="00621014">
      <w:pPr>
        <w:pStyle w:val="ListParagraph"/>
        <w:widowControl/>
        <w:ind w:left="709"/>
        <w:rPr>
          <w:rFonts w:asciiTheme="minorHAnsi" w:hAnsiTheme="minorHAnsi"/>
          <w:i/>
        </w:rPr>
      </w:pPr>
      <w:r w:rsidRPr="001D4EB9">
        <w:rPr>
          <w:rFonts w:asciiTheme="minorHAnsi" w:hAnsiTheme="minorHAnsi"/>
          <w:i/>
        </w:rPr>
        <w:t>For more detail on PBAC’s view, see section 7 PBAC outcome.</w:t>
      </w:r>
    </w:p>
    <w:p w:rsidR="0010463E" w:rsidRPr="001D4EB9" w:rsidRDefault="0010463E" w:rsidP="00621014">
      <w:pPr>
        <w:pStyle w:val="PBACHeading1"/>
      </w:pPr>
      <w:bookmarkStart w:id="11" w:name="_Toc19538900"/>
      <w:r w:rsidRPr="001D4EB9">
        <w:t>Comparator</w:t>
      </w:r>
      <w:bookmarkEnd w:id="11"/>
    </w:p>
    <w:p w:rsidR="0010463E" w:rsidRPr="001D4EB9" w:rsidRDefault="0010463E" w:rsidP="00621014">
      <w:pPr>
        <w:widowControl/>
      </w:pPr>
    </w:p>
    <w:p w:rsidR="0010463E" w:rsidRPr="001D4EB9" w:rsidRDefault="0010463E" w:rsidP="00621014">
      <w:pPr>
        <w:pStyle w:val="ListParagraph"/>
        <w:widowControl/>
        <w:numPr>
          <w:ilvl w:val="1"/>
          <w:numId w:val="1"/>
        </w:numPr>
        <w:spacing w:after="0"/>
      </w:pPr>
      <w:r w:rsidRPr="001D4EB9">
        <w:t>The submission nominated the following comparators:</w:t>
      </w:r>
    </w:p>
    <w:p w:rsidR="0010463E" w:rsidRPr="001D4EB9" w:rsidRDefault="00F242CD" w:rsidP="00621014">
      <w:pPr>
        <w:pStyle w:val="ListParagraph"/>
        <w:widowControl/>
        <w:numPr>
          <w:ilvl w:val="0"/>
          <w:numId w:val="3"/>
        </w:numPr>
        <w:spacing w:after="0"/>
        <w:ind w:left="1077" w:hanging="357"/>
      </w:pPr>
      <w:r w:rsidRPr="001D4EB9">
        <w:t>DRV/c</w:t>
      </w:r>
      <w:r w:rsidR="00DC7F0C" w:rsidRPr="001D4EB9">
        <w:t xml:space="preserve"> (Prezcobix</w:t>
      </w:r>
      <w:r w:rsidR="0010463E" w:rsidRPr="001D4EB9">
        <w:t xml:space="preserve">) + </w:t>
      </w:r>
      <w:r w:rsidRPr="001D4EB9">
        <w:t>FTC/TAF</w:t>
      </w:r>
      <w:r w:rsidR="0010463E" w:rsidRPr="001D4EB9">
        <w:t xml:space="preserve"> </w:t>
      </w:r>
      <w:r w:rsidR="00DC7F0C" w:rsidRPr="001D4EB9">
        <w:t>(Descovy</w:t>
      </w:r>
      <w:r w:rsidR="0010463E" w:rsidRPr="001D4EB9">
        <w:t>);</w:t>
      </w:r>
    </w:p>
    <w:p w:rsidR="0010463E" w:rsidRPr="001D4EB9" w:rsidRDefault="00F242CD" w:rsidP="00621014">
      <w:pPr>
        <w:pStyle w:val="ListParagraph"/>
        <w:widowControl/>
        <w:numPr>
          <w:ilvl w:val="0"/>
          <w:numId w:val="3"/>
        </w:numPr>
        <w:spacing w:after="0"/>
        <w:ind w:left="1077" w:hanging="357"/>
      </w:pPr>
      <w:r w:rsidRPr="001D4EB9">
        <w:t>DRV + r</w:t>
      </w:r>
      <w:r w:rsidR="00DC7F0C" w:rsidRPr="001D4EB9">
        <w:t xml:space="preserve"> (Prezista + Norvir</w:t>
      </w:r>
      <w:r w:rsidR="0010463E" w:rsidRPr="001D4EB9">
        <w:t xml:space="preserve">) + </w:t>
      </w:r>
      <w:r w:rsidRPr="001D4EB9">
        <w:t>FTC/TAF</w:t>
      </w:r>
      <w:r w:rsidR="00DC7F0C" w:rsidRPr="001D4EB9">
        <w:t xml:space="preserve"> (Descovy)</w:t>
      </w:r>
      <w:r w:rsidR="0010463E" w:rsidRPr="001D4EB9">
        <w:t>;</w:t>
      </w:r>
    </w:p>
    <w:p w:rsidR="0010463E" w:rsidRPr="001D4EB9" w:rsidRDefault="00F242CD" w:rsidP="00621014">
      <w:pPr>
        <w:pStyle w:val="ListParagraph"/>
        <w:widowControl/>
        <w:numPr>
          <w:ilvl w:val="0"/>
          <w:numId w:val="3"/>
        </w:numPr>
        <w:spacing w:after="0"/>
        <w:ind w:left="1077" w:hanging="357"/>
      </w:pPr>
      <w:r w:rsidRPr="001D4EB9">
        <w:t>DRV/c</w:t>
      </w:r>
      <w:r w:rsidR="00DC7F0C" w:rsidRPr="001D4EB9">
        <w:t xml:space="preserve"> (Prezcobix</w:t>
      </w:r>
      <w:r w:rsidR="0010463E" w:rsidRPr="001D4EB9">
        <w:t xml:space="preserve">) + </w:t>
      </w:r>
      <w:r w:rsidRPr="001D4EB9">
        <w:t>FTC/TDF</w:t>
      </w:r>
      <w:r w:rsidR="00DC7F0C" w:rsidRPr="001D4EB9">
        <w:t xml:space="preserve"> (Truvada</w:t>
      </w:r>
      <w:r w:rsidR="0010463E" w:rsidRPr="001D4EB9">
        <w:t>); and</w:t>
      </w:r>
    </w:p>
    <w:p w:rsidR="0010463E" w:rsidRPr="001D4EB9" w:rsidRDefault="00F242CD" w:rsidP="00621014">
      <w:pPr>
        <w:pStyle w:val="ListParagraph"/>
        <w:widowControl/>
        <w:numPr>
          <w:ilvl w:val="0"/>
          <w:numId w:val="3"/>
        </w:numPr>
        <w:ind w:left="1077" w:hanging="357"/>
      </w:pPr>
      <w:r w:rsidRPr="001D4EB9">
        <w:t>DRV + r</w:t>
      </w:r>
      <w:r w:rsidR="00DC7F0C" w:rsidRPr="001D4EB9">
        <w:t xml:space="preserve"> (Prezista + Norvir</w:t>
      </w:r>
      <w:r w:rsidR="0010463E" w:rsidRPr="001D4EB9">
        <w:t xml:space="preserve">) + </w:t>
      </w:r>
      <w:r w:rsidRPr="001D4EB9">
        <w:t>FTC/TDF</w:t>
      </w:r>
      <w:r w:rsidR="00DC7F0C" w:rsidRPr="001D4EB9">
        <w:t xml:space="preserve"> (Truvada</w:t>
      </w:r>
      <w:r w:rsidR="0010463E" w:rsidRPr="001D4EB9">
        <w:t>).</w:t>
      </w:r>
    </w:p>
    <w:p w:rsidR="00357E13" w:rsidRPr="001D4EB9" w:rsidRDefault="00357E13" w:rsidP="00621014">
      <w:pPr>
        <w:pStyle w:val="ListParagraph"/>
        <w:widowControl/>
        <w:numPr>
          <w:ilvl w:val="1"/>
          <w:numId w:val="1"/>
        </w:numPr>
      </w:pPr>
      <w:r w:rsidRPr="001D4EB9">
        <w:t>The submission justified these treatments as main comparators because they are most likely to be replaced by the PBS listing of Symtuza.</w:t>
      </w:r>
    </w:p>
    <w:p w:rsidR="00357E13" w:rsidRPr="001D4EB9" w:rsidRDefault="00357E13" w:rsidP="00621014">
      <w:pPr>
        <w:pStyle w:val="ListParagraph"/>
        <w:widowControl/>
        <w:numPr>
          <w:ilvl w:val="1"/>
          <w:numId w:val="1"/>
        </w:numPr>
      </w:pPr>
      <w:r w:rsidRPr="001D4EB9">
        <w:lastRenderedPageBreak/>
        <w:t xml:space="preserve">The proposed main comparator includes replacement of the individual components of the Symtuza FDC taken concomitantly (i.e. cobicistat- or ritonavir- boosted darunavir and </w:t>
      </w:r>
      <w:r w:rsidR="00AD1C62" w:rsidRPr="001D4EB9">
        <w:t>FTC</w:t>
      </w:r>
      <w:r w:rsidRPr="001D4EB9">
        <w:t>/tenofovir).</w:t>
      </w:r>
    </w:p>
    <w:p w:rsidR="00F90FAE" w:rsidRPr="001D4EB9" w:rsidRDefault="00357E13" w:rsidP="00621014">
      <w:pPr>
        <w:pStyle w:val="ListParagraph"/>
        <w:widowControl/>
        <w:numPr>
          <w:ilvl w:val="1"/>
          <w:numId w:val="1"/>
        </w:numPr>
        <w:rPr>
          <w:color w:val="000000" w:themeColor="text1"/>
        </w:rPr>
      </w:pPr>
      <w:r w:rsidRPr="001D4EB9">
        <w:t xml:space="preserve">The nominated comparators were appropriate but were not necessarily the only relevant comparators. </w:t>
      </w:r>
      <w:r w:rsidRPr="001D4EB9">
        <w:rPr>
          <w:rFonts w:cs="Calibri"/>
          <w:iCs/>
          <w:snapToGrid/>
          <w:szCs w:val="24"/>
          <w:lang w:eastAsia="en-AU"/>
        </w:rPr>
        <w:t xml:space="preserve">For the requested population, the following PBS-listed medicines are less costly than Symtuza and are alternative therapies because they could be replaced in practice: (i) </w:t>
      </w:r>
      <w:r w:rsidRPr="001D4EB9">
        <w:rPr>
          <w:rFonts w:cs="Calibri"/>
          <w:iCs/>
          <w:snapToGrid/>
          <w:color w:val="000000" w:themeColor="text1"/>
          <w:szCs w:val="24"/>
          <w:lang w:eastAsia="en-AU"/>
        </w:rPr>
        <w:t xml:space="preserve">Evotaz (atazanavir/cobicistat) + FTC/tenofovir and (ii) Reyataz (atazanavir) + Norvir (ritonavir) + FTC/tenofovir. </w:t>
      </w:r>
      <w:r w:rsidRPr="001D4EB9">
        <w:rPr>
          <w:rFonts w:cs="Calibri"/>
          <w:iCs/>
          <w:snapToGrid/>
          <w:szCs w:val="24"/>
          <w:lang w:eastAsia="en-AU"/>
        </w:rPr>
        <w:t xml:space="preserve">If treatment with Symtuza is substantially more costly than an alternative therapy or alternative therapies, the PBAC could only recommend listing of Symtuza if it is satisfied that Symtuza provides, for some patients, a significant improvement in efficacy or reduction of toxicity over the alternative therapy or therapies (National Health Act 1953, Section 101(3B)). The alternative therapies in this case may include </w:t>
      </w:r>
      <w:r w:rsidRPr="001D4EB9">
        <w:rPr>
          <w:rFonts w:cs="Calibri"/>
          <w:iCs/>
          <w:snapToGrid/>
          <w:color w:val="000000" w:themeColor="text1"/>
          <w:szCs w:val="24"/>
          <w:lang w:eastAsia="en-AU"/>
        </w:rPr>
        <w:t xml:space="preserve">Evotaz + FTC/tenofovir and Reyataz + Norvir + </w:t>
      </w:r>
      <w:r w:rsidR="00AD1C62" w:rsidRPr="001D4EB9">
        <w:rPr>
          <w:rFonts w:cs="Calibri"/>
          <w:iCs/>
          <w:snapToGrid/>
          <w:color w:val="000000" w:themeColor="text1"/>
          <w:szCs w:val="24"/>
          <w:lang w:eastAsia="en-AU"/>
        </w:rPr>
        <w:t>FTC</w:t>
      </w:r>
      <w:r w:rsidRPr="001D4EB9">
        <w:rPr>
          <w:rFonts w:cs="Calibri"/>
          <w:iCs/>
          <w:snapToGrid/>
          <w:color w:val="000000" w:themeColor="text1"/>
          <w:szCs w:val="24"/>
          <w:lang w:eastAsia="en-AU"/>
        </w:rPr>
        <w:t>/tenofovir.</w:t>
      </w:r>
      <w:r w:rsidR="000F5447" w:rsidRPr="001D4EB9">
        <w:rPr>
          <w:rFonts w:cs="Calibri"/>
          <w:iCs/>
          <w:snapToGrid/>
          <w:color w:val="000000" w:themeColor="text1"/>
          <w:szCs w:val="24"/>
          <w:lang w:eastAsia="en-AU"/>
        </w:rPr>
        <w:t xml:space="preserve"> </w:t>
      </w:r>
    </w:p>
    <w:p w:rsidR="00357E13" w:rsidRPr="001D4EB9" w:rsidRDefault="000F5447" w:rsidP="00621014">
      <w:pPr>
        <w:pStyle w:val="ListParagraph"/>
        <w:widowControl/>
        <w:numPr>
          <w:ilvl w:val="1"/>
          <w:numId w:val="1"/>
        </w:numPr>
        <w:rPr>
          <w:color w:val="000000" w:themeColor="text1"/>
        </w:rPr>
      </w:pPr>
      <w:r w:rsidRPr="001D4EB9">
        <w:rPr>
          <w:rFonts w:cs="Calibri"/>
          <w:iCs/>
          <w:snapToGrid/>
          <w:color w:val="000000" w:themeColor="text1"/>
          <w:szCs w:val="24"/>
          <w:lang w:eastAsia="en-AU"/>
        </w:rPr>
        <w:t xml:space="preserve">The </w:t>
      </w:r>
      <w:r w:rsidR="000914AE" w:rsidRPr="00607FF1">
        <w:rPr>
          <w:rFonts w:asciiTheme="minorHAnsi" w:hAnsiTheme="minorHAnsi" w:cstheme="minorHAnsi"/>
          <w:szCs w:val="24"/>
        </w:rPr>
        <w:t xml:space="preserve">Economics Sub-Committee </w:t>
      </w:r>
      <w:r w:rsidR="000914AE">
        <w:rPr>
          <w:rFonts w:asciiTheme="minorHAnsi" w:hAnsiTheme="minorHAnsi" w:cstheme="minorHAnsi"/>
          <w:szCs w:val="24"/>
        </w:rPr>
        <w:t>(</w:t>
      </w:r>
      <w:r w:rsidRPr="001D4EB9">
        <w:rPr>
          <w:rFonts w:cs="Calibri"/>
          <w:iCs/>
          <w:snapToGrid/>
          <w:color w:val="000000" w:themeColor="text1"/>
          <w:szCs w:val="24"/>
          <w:lang w:eastAsia="en-AU"/>
        </w:rPr>
        <w:t>ESC</w:t>
      </w:r>
      <w:r w:rsidR="000914AE">
        <w:rPr>
          <w:rFonts w:cs="Calibri"/>
          <w:iCs/>
          <w:snapToGrid/>
          <w:color w:val="000000" w:themeColor="text1"/>
          <w:szCs w:val="24"/>
          <w:lang w:eastAsia="en-AU"/>
        </w:rPr>
        <w:t>)</w:t>
      </w:r>
      <w:r w:rsidRPr="001D4EB9">
        <w:rPr>
          <w:rFonts w:cs="Calibri"/>
          <w:iCs/>
          <w:snapToGrid/>
          <w:color w:val="000000" w:themeColor="text1"/>
          <w:szCs w:val="24"/>
          <w:lang w:eastAsia="en-AU"/>
        </w:rPr>
        <w:t xml:space="preserve"> considered it was possible regimens containing other PIs</w:t>
      </w:r>
      <w:r w:rsidR="00667FB4" w:rsidRPr="001D4EB9">
        <w:rPr>
          <w:rFonts w:cs="Calibri"/>
          <w:iCs/>
          <w:snapToGrid/>
          <w:color w:val="000000" w:themeColor="text1"/>
          <w:szCs w:val="24"/>
          <w:lang w:eastAsia="en-AU"/>
        </w:rPr>
        <w:t>,</w:t>
      </w:r>
      <w:r w:rsidRPr="001D4EB9">
        <w:rPr>
          <w:rFonts w:cs="Calibri"/>
          <w:iCs/>
          <w:snapToGrid/>
          <w:color w:val="000000" w:themeColor="text1"/>
          <w:szCs w:val="24"/>
          <w:lang w:eastAsia="en-AU"/>
        </w:rPr>
        <w:t xml:space="preserve"> including atazanavir</w:t>
      </w:r>
      <w:r w:rsidR="004C3828" w:rsidRPr="001D4EB9">
        <w:rPr>
          <w:rFonts w:cs="Calibri"/>
          <w:iCs/>
          <w:snapToGrid/>
          <w:color w:val="000000" w:themeColor="text1"/>
          <w:szCs w:val="24"/>
          <w:lang w:eastAsia="en-AU"/>
        </w:rPr>
        <w:t xml:space="preserve"> (ATV)</w:t>
      </w:r>
      <w:r w:rsidR="00667FB4" w:rsidRPr="001D4EB9">
        <w:rPr>
          <w:rFonts w:cs="Calibri"/>
          <w:iCs/>
          <w:snapToGrid/>
          <w:color w:val="000000" w:themeColor="text1"/>
          <w:szCs w:val="24"/>
          <w:lang w:eastAsia="en-AU"/>
        </w:rPr>
        <w:t>,</w:t>
      </w:r>
      <w:r w:rsidRPr="001D4EB9">
        <w:rPr>
          <w:rFonts w:cs="Calibri"/>
          <w:iCs/>
          <w:snapToGrid/>
          <w:color w:val="000000" w:themeColor="text1"/>
          <w:szCs w:val="24"/>
          <w:lang w:eastAsia="en-AU"/>
        </w:rPr>
        <w:t xml:space="preserve"> could be replaced and may represent relevant and less costly alternative therapies. </w:t>
      </w:r>
      <w:r w:rsidR="004C3828" w:rsidRPr="001D4EB9">
        <w:rPr>
          <w:rFonts w:cs="Calibri"/>
          <w:iCs/>
          <w:snapToGrid/>
          <w:color w:val="000000" w:themeColor="text1"/>
          <w:szCs w:val="24"/>
          <w:lang w:eastAsia="en-AU"/>
        </w:rPr>
        <w:t>The Pre-PBAC Response argued regimens containing other PIs, including ATV</w:t>
      </w:r>
      <w:r w:rsidR="009534D6" w:rsidRPr="001D4EB9">
        <w:rPr>
          <w:rFonts w:cs="Calibri"/>
          <w:iCs/>
          <w:snapToGrid/>
          <w:color w:val="000000" w:themeColor="text1"/>
          <w:szCs w:val="24"/>
          <w:lang w:eastAsia="en-AU"/>
        </w:rPr>
        <w:t>,</w:t>
      </w:r>
      <w:r w:rsidR="004C3828" w:rsidRPr="001D4EB9">
        <w:rPr>
          <w:rFonts w:cs="Calibri"/>
          <w:iCs/>
          <w:snapToGrid/>
          <w:color w:val="000000" w:themeColor="text1"/>
          <w:szCs w:val="24"/>
          <w:lang w:eastAsia="en-AU"/>
        </w:rPr>
        <w:t xml:space="preserve"> were not relevant comparators because:</w:t>
      </w:r>
    </w:p>
    <w:p w:rsidR="004C3828" w:rsidRPr="001D4EB9" w:rsidRDefault="004C3828" w:rsidP="00312444">
      <w:pPr>
        <w:pStyle w:val="ListParagraph"/>
        <w:widowControl/>
        <w:numPr>
          <w:ilvl w:val="0"/>
          <w:numId w:val="21"/>
        </w:numPr>
        <w:ind w:left="1077" w:hanging="357"/>
        <w:rPr>
          <w:color w:val="000000" w:themeColor="text1"/>
        </w:rPr>
      </w:pPr>
      <w:r w:rsidRPr="001D4EB9">
        <w:rPr>
          <w:color w:val="000000" w:themeColor="text1"/>
        </w:rPr>
        <w:t xml:space="preserve">Older PIs including lopinavir, fosamprenavir, saquinavir, indinavir, </w:t>
      </w:r>
      <w:r w:rsidR="00F83F2F" w:rsidRPr="001D4EB9">
        <w:rPr>
          <w:color w:val="000000" w:themeColor="text1"/>
        </w:rPr>
        <w:t>nelfinavir</w:t>
      </w:r>
      <w:r w:rsidRPr="001D4EB9">
        <w:rPr>
          <w:color w:val="000000" w:themeColor="text1"/>
        </w:rPr>
        <w:t xml:space="preserve"> and tipranavir </w:t>
      </w:r>
      <w:r w:rsidR="009534D6" w:rsidRPr="001D4EB9">
        <w:rPr>
          <w:color w:val="000000" w:themeColor="text1"/>
        </w:rPr>
        <w:t>are</w:t>
      </w:r>
      <w:r w:rsidRPr="001D4EB9">
        <w:rPr>
          <w:color w:val="000000" w:themeColor="text1"/>
        </w:rPr>
        <w:t xml:space="preserve"> used infrequentl</w:t>
      </w:r>
      <w:r w:rsidR="008916A8" w:rsidRPr="001D4EB9">
        <w:rPr>
          <w:color w:val="000000" w:themeColor="text1"/>
        </w:rPr>
        <w:t>y and</w:t>
      </w:r>
      <w:r w:rsidRPr="001D4EB9">
        <w:rPr>
          <w:color w:val="000000" w:themeColor="text1"/>
        </w:rPr>
        <w:t xml:space="preserve"> few, if any</w:t>
      </w:r>
      <w:r w:rsidR="009534D6" w:rsidRPr="001D4EB9">
        <w:rPr>
          <w:color w:val="000000" w:themeColor="text1"/>
        </w:rPr>
        <w:t>,</w:t>
      </w:r>
      <w:r w:rsidRPr="001D4EB9">
        <w:rPr>
          <w:color w:val="000000" w:themeColor="text1"/>
        </w:rPr>
        <w:t xml:space="preserve"> new patien</w:t>
      </w:r>
      <w:r w:rsidR="008916A8" w:rsidRPr="001D4EB9">
        <w:rPr>
          <w:color w:val="000000" w:themeColor="text1"/>
        </w:rPr>
        <w:t>ts commence treatment</w:t>
      </w:r>
      <w:r w:rsidR="009534D6" w:rsidRPr="001D4EB9">
        <w:rPr>
          <w:color w:val="000000" w:themeColor="text1"/>
        </w:rPr>
        <w:t xml:space="preserve"> on</w:t>
      </w:r>
      <w:r w:rsidR="008916A8" w:rsidRPr="001D4EB9">
        <w:rPr>
          <w:color w:val="000000" w:themeColor="text1"/>
        </w:rPr>
        <w:t xml:space="preserve"> </w:t>
      </w:r>
      <w:r w:rsidR="00926C12" w:rsidRPr="001D4EB9">
        <w:rPr>
          <w:color w:val="000000" w:themeColor="text1"/>
        </w:rPr>
        <w:t>them</w:t>
      </w:r>
      <w:r w:rsidR="008916A8" w:rsidRPr="001D4EB9">
        <w:rPr>
          <w:color w:val="000000" w:themeColor="text1"/>
        </w:rPr>
        <w:t>,</w:t>
      </w:r>
      <w:r w:rsidRPr="001D4EB9">
        <w:rPr>
          <w:color w:val="000000" w:themeColor="text1"/>
        </w:rPr>
        <w:t xml:space="preserve"> therefore DRV would not replace these in practice</w:t>
      </w:r>
      <w:r w:rsidR="009534D6" w:rsidRPr="001D4EB9">
        <w:rPr>
          <w:color w:val="000000" w:themeColor="text1"/>
        </w:rPr>
        <w:t>;</w:t>
      </w:r>
    </w:p>
    <w:p w:rsidR="004C3828" w:rsidRPr="001D4EB9" w:rsidRDefault="009534D6" w:rsidP="00312444">
      <w:pPr>
        <w:pStyle w:val="ListParagraph"/>
        <w:widowControl/>
        <w:numPr>
          <w:ilvl w:val="0"/>
          <w:numId w:val="21"/>
        </w:numPr>
        <w:ind w:left="1077" w:hanging="357"/>
        <w:rPr>
          <w:color w:val="000000" w:themeColor="text1"/>
        </w:rPr>
      </w:pPr>
      <w:r w:rsidRPr="001D4EB9">
        <w:rPr>
          <w:color w:val="000000" w:themeColor="text1"/>
        </w:rPr>
        <w:t>The toxicity profile of ATV has led to a change in US and Australian treatment guidelines to indicate boosted DRV as being generally preferred to ATV.</w:t>
      </w:r>
      <w:r w:rsidR="00F83F2F" w:rsidRPr="001D4EB9">
        <w:rPr>
          <w:color w:val="000000" w:themeColor="text1"/>
        </w:rPr>
        <w:t xml:space="preserve"> </w:t>
      </w:r>
      <w:r w:rsidRPr="001D4EB9">
        <w:rPr>
          <w:color w:val="000000" w:themeColor="text1"/>
        </w:rPr>
        <w:t>Therefore,</w:t>
      </w:r>
      <w:r w:rsidR="004C3828" w:rsidRPr="001D4EB9">
        <w:rPr>
          <w:color w:val="000000" w:themeColor="text1"/>
        </w:rPr>
        <w:t xml:space="preserve"> while the use of </w:t>
      </w:r>
      <w:r w:rsidRPr="001D4EB9">
        <w:rPr>
          <w:color w:val="000000" w:themeColor="text1"/>
        </w:rPr>
        <w:t>ATV</w:t>
      </w:r>
      <w:r w:rsidR="004C3828" w:rsidRPr="001D4EB9">
        <w:rPr>
          <w:color w:val="000000" w:themeColor="text1"/>
        </w:rPr>
        <w:t xml:space="preserve"> is more common in practice </w:t>
      </w:r>
      <w:r w:rsidRPr="001D4EB9">
        <w:rPr>
          <w:color w:val="000000" w:themeColor="text1"/>
        </w:rPr>
        <w:t xml:space="preserve">compared </w:t>
      </w:r>
      <w:r w:rsidR="00FC42DB" w:rsidRPr="001D4EB9">
        <w:rPr>
          <w:color w:val="000000" w:themeColor="text1"/>
        </w:rPr>
        <w:t>with</w:t>
      </w:r>
      <w:r w:rsidRPr="001D4EB9">
        <w:rPr>
          <w:color w:val="000000" w:themeColor="text1"/>
        </w:rPr>
        <w:t xml:space="preserve"> </w:t>
      </w:r>
      <w:r w:rsidR="004C3828" w:rsidRPr="001D4EB9">
        <w:rPr>
          <w:color w:val="000000" w:themeColor="text1"/>
        </w:rPr>
        <w:t>older PIs, it is not a relevant comparator</w:t>
      </w:r>
      <w:r w:rsidRPr="001D4EB9">
        <w:rPr>
          <w:color w:val="000000" w:themeColor="text1"/>
        </w:rPr>
        <w:t>.</w:t>
      </w:r>
      <w:r w:rsidR="004C3828" w:rsidRPr="001D4EB9">
        <w:rPr>
          <w:color w:val="000000" w:themeColor="text1"/>
        </w:rPr>
        <w:t xml:space="preserve"> </w:t>
      </w:r>
      <w:r w:rsidR="00B537CB" w:rsidRPr="001D4EB9">
        <w:rPr>
          <w:color w:val="000000" w:themeColor="text1"/>
        </w:rPr>
        <w:t xml:space="preserve">The Pre-PBAC Response included supplementary evidence of a Phase III randomised study (Lennox </w:t>
      </w:r>
      <w:r w:rsidR="00B537CB" w:rsidRPr="001D4EB9">
        <w:rPr>
          <w:i/>
          <w:color w:val="000000" w:themeColor="text1"/>
        </w:rPr>
        <w:t>et al</w:t>
      </w:r>
      <w:r w:rsidR="00B537CB" w:rsidRPr="001D4EB9">
        <w:rPr>
          <w:color w:val="000000" w:themeColor="text1"/>
        </w:rPr>
        <w:t xml:space="preserve"> 2014</w:t>
      </w:r>
      <w:r w:rsidR="00B537CB" w:rsidRPr="001D4EB9">
        <w:rPr>
          <w:rStyle w:val="FootnoteReference"/>
          <w:color w:val="000000" w:themeColor="text1"/>
        </w:rPr>
        <w:footnoteReference w:id="1"/>
      </w:r>
      <w:r w:rsidR="00B537CB" w:rsidRPr="001D4EB9">
        <w:rPr>
          <w:color w:val="000000" w:themeColor="text1"/>
        </w:rPr>
        <w:t>)</w:t>
      </w:r>
      <w:r w:rsidRPr="001D4EB9">
        <w:rPr>
          <w:color w:val="000000" w:themeColor="text1"/>
        </w:rPr>
        <w:t xml:space="preserve"> and argued that DRV-based regimens provide a significant reduction in toxicity compare </w:t>
      </w:r>
      <w:r w:rsidR="00FC42DB" w:rsidRPr="001D4EB9">
        <w:rPr>
          <w:color w:val="000000" w:themeColor="text1"/>
        </w:rPr>
        <w:t>with</w:t>
      </w:r>
      <w:r w:rsidRPr="001D4EB9">
        <w:rPr>
          <w:color w:val="000000" w:themeColor="text1"/>
        </w:rPr>
        <w:t xml:space="preserve"> ATV-based regimens</w:t>
      </w:r>
      <w:r w:rsidR="00926C12" w:rsidRPr="001D4EB9">
        <w:rPr>
          <w:color w:val="000000" w:themeColor="text1"/>
        </w:rPr>
        <w:t>. This supplementary study was not evaluated.</w:t>
      </w:r>
    </w:p>
    <w:p w:rsidR="004C41D7" w:rsidRPr="001D4EB9" w:rsidRDefault="004C41D7" w:rsidP="00621014">
      <w:pPr>
        <w:pStyle w:val="ListParagraph"/>
        <w:widowControl/>
        <w:ind w:left="709"/>
        <w:rPr>
          <w:rFonts w:asciiTheme="minorHAnsi" w:hAnsiTheme="minorHAnsi"/>
          <w:i/>
        </w:rPr>
      </w:pPr>
      <w:r w:rsidRPr="001D4EB9">
        <w:rPr>
          <w:rFonts w:asciiTheme="minorHAnsi" w:hAnsiTheme="minorHAnsi"/>
          <w:i/>
        </w:rPr>
        <w:t>For more detail on PBAC’s view, see section 7 PBAC outcome.</w:t>
      </w:r>
    </w:p>
    <w:p w:rsidR="0010463E" w:rsidRPr="001D4EB9" w:rsidRDefault="0010463E" w:rsidP="00621014">
      <w:pPr>
        <w:pStyle w:val="PBACHeading1"/>
      </w:pPr>
      <w:bookmarkStart w:id="12" w:name="_Toc19538901"/>
      <w:r w:rsidRPr="001D4EB9">
        <w:t>Consideration of the evidence</w:t>
      </w:r>
      <w:bookmarkEnd w:id="12"/>
    </w:p>
    <w:p w:rsidR="00771C2A" w:rsidRPr="00312444" w:rsidRDefault="00771C2A" w:rsidP="00312444">
      <w:pPr>
        <w:pStyle w:val="Heading2"/>
        <w:rPr>
          <w:i w:val="0"/>
        </w:rPr>
      </w:pPr>
      <w:bookmarkStart w:id="13" w:name="_Toc19538902"/>
      <w:r w:rsidRPr="00312444">
        <w:rPr>
          <w:i w:val="0"/>
        </w:rPr>
        <w:t>Sponsor hearing</w:t>
      </w:r>
    </w:p>
    <w:p w:rsidR="00771C2A" w:rsidRPr="00312444" w:rsidRDefault="00771C2A" w:rsidP="00621014">
      <w:pPr>
        <w:widowControl/>
        <w:numPr>
          <w:ilvl w:val="1"/>
          <w:numId w:val="1"/>
        </w:numPr>
        <w:spacing w:after="120"/>
        <w:rPr>
          <w:rFonts w:asciiTheme="minorHAnsi" w:hAnsiTheme="minorHAnsi"/>
          <w:bCs/>
        </w:rPr>
      </w:pPr>
      <w:r w:rsidRPr="00312444">
        <w:rPr>
          <w:rFonts w:asciiTheme="minorHAnsi" w:hAnsiTheme="minorHAnsi"/>
          <w:bCs/>
        </w:rPr>
        <w:t>The</w:t>
      </w:r>
      <w:r w:rsidR="004C2BD1" w:rsidRPr="00312444">
        <w:rPr>
          <w:rFonts w:asciiTheme="minorHAnsi" w:hAnsiTheme="minorHAnsi"/>
          <w:bCs/>
        </w:rPr>
        <w:t>re was no hearing for this item</w:t>
      </w:r>
      <w:r w:rsidRPr="00312444">
        <w:rPr>
          <w:rFonts w:asciiTheme="minorHAnsi" w:hAnsiTheme="minorHAnsi"/>
          <w:bCs/>
        </w:rPr>
        <w:t>.</w:t>
      </w:r>
    </w:p>
    <w:p w:rsidR="00771C2A" w:rsidRPr="00312444" w:rsidRDefault="00771C2A" w:rsidP="00312444">
      <w:pPr>
        <w:pStyle w:val="Heading2"/>
        <w:rPr>
          <w:i w:val="0"/>
        </w:rPr>
      </w:pPr>
      <w:r w:rsidRPr="00312444">
        <w:rPr>
          <w:i w:val="0"/>
        </w:rPr>
        <w:lastRenderedPageBreak/>
        <w:t>Consumer comments</w:t>
      </w:r>
    </w:p>
    <w:p w:rsidR="00771C2A" w:rsidRPr="00312444" w:rsidRDefault="00771C2A" w:rsidP="00621014">
      <w:pPr>
        <w:widowControl/>
        <w:numPr>
          <w:ilvl w:val="1"/>
          <w:numId w:val="1"/>
        </w:numPr>
        <w:spacing w:after="120"/>
        <w:rPr>
          <w:rFonts w:asciiTheme="minorHAnsi" w:hAnsiTheme="minorHAnsi"/>
          <w:bCs/>
        </w:rPr>
      </w:pPr>
      <w:r w:rsidRPr="00312444">
        <w:rPr>
          <w:rFonts w:asciiTheme="minorHAnsi" w:hAnsiTheme="minorHAnsi"/>
          <w:bCs/>
        </w:rPr>
        <w:t>The PBAC noted that no consumer comme</w:t>
      </w:r>
      <w:r w:rsidR="004C2BD1" w:rsidRPr="00312444">
        <w:rPr>
          <w:rFonts w:asciiTheme="minorHAnsi" w:hAnsiTheme="minorHAnsi"/>
          <w:bCs/>
        </w:rPr>
        <w:t>nts were received for this item</w:t>
      </w:r>
      <w:r w:rsidRPr="00312444">
        <w:rPr>
          <w:rFonts w:asciiTheme="minorHAnsi" w:hAnsiTheme="minorHAnsi"/>
          <w:bCs/>
        </w:rPr>
        <w:t>.</w:t>
      </w:r>
    </w:p>
    <w:p w:rsidR="0010463E" w:rsidRPr="001D4EB9" w:rsidRDefault="0010463E" w:rsidP="00312444">
      <w:pPr>
        <w:pStyle w:val="Heading2"/>
      </w:pPr>
      <w:r w:rsidRPr="00312444">
        <w:rPr>
          <w:i w:val="0"/>
        </w:rPr>
        <w:t>Clinical trials</w:t>
      </w:r>
      <w:bookmarkEnd w:id="13"/>
    </w:p>
    <w:p w:rsidR="0010463E" w:rsidRPr="001D4EB9" w:rsidRDefault="0010463E" w:rsidP="00621014">
      <w:pPr>
        <w:pStyle w:val="ListParagraph"/>
        <w:widowControl/>
        <w:numPr>
          <w:ilvl w:val="1"/>
          <w:numId w:val="1"/>
        </w:numPr>
        <w:spacing w:after="0"/>
        <w:rPr>
          <w:color w:val="000000" w:themeColor="text1"/>
        </w:rPr>
      </w:pPr>
      <w:r w:rsidRPr="001D4EB9">
        <w:rPr>
          <w:rFonts w:cs="Calibri"/>
          <w:snapToGrid/>
          <w:color w:val="000000" w:themeColor="text1"/>
          <w:szCs w:val="24"/>
          <w:lang w:eastAsia="en-AU"/>
        </w:rPr>
        <w:t>The submission is based on the following key evidence:</w:t>
      </w:r>
    </w:p>
    <w:p w:rsidR="007820BC" w:rsidRPr="001D4EB9" w:rsidRDefault="007820BC" w:rsidP="00621014">
      <w:pPr>
        <w:pStyle w:val="ListParagraph"/>
        <w:widowControl/>
        <w:numPr>
          <w:ilvl w:val="0"/>
          <w:numId w:val="4"/>
        </w:numPr>
        <w:spacing w:after="0"/>
        <w:ind w:left="1077" w:hanging="357"/>
      </w:pPr>
      <w:r w:rsidRPr="001D4EB9">
        <w:t xml:space="preserve">EMERALD (n=1,141): A phase 3 randomised trial in treatment-experienced, virologically suppressed patients, which compared a switch to Symtuza versus the maintenance of the patient’s current anti-retroviral (CAR); this comprised a boosted PI (mostly darunavir) co-administered with </w:t>
      </w:r>
      <w:r w:rsidR="00AD1C62" w:rsidRPr="001D4EB9">
        <w:t>FTC</w:t>
      </w:r>
      <w:r w:rsidRPr="001D4EB9">
        <w:t>/tenofovir disoproxil fumarate (FTC/TDF; Truvada). The submission considered that as the majority of patients who will use PBS-reimbursed Symtuza will be treatment experienced and already maintained on boosted darunavir 800 mg co-administered with FTC/tenofovir, EMERALD is the most relevant trial</w:t>
      </w:r>
      <w:r w:rsidR="001D4EB9">
        <w:t xml:space="preserve">. </w:t>
      </w:r>
    </w:p>
    <w:p w:rsidR="007820BC" w:rsidRPr="001D4EB9" w:rsidRDefault="007820BC" w:rsidP="00621014">
      <w:pPr>
        <w:pStyle w:val="ListParagraph"/>
        <w:widowControl/>
        <w:numPr>
          <w:ilvl w:val="0"/>
          <w:numId w:val="4"/>
        </w:numPr>
        <w:spacing w:after="0"/>
        <w:ind w:left="1077" w:hanging="357"/>
      </w:pPr>
      <w:r w:rsidRPr="001D4EB9">
        <w:t xml:space="preserve">AMBER (n=725): a phase 3 randomised trial comparing Symtuza to cobicistat boosted darunavir co-administered with FTC/TDF (Prezcobix + Truvada) in treatment-naïve patients. </w:t>
      </w:r>
    </w:p>
    <w:p w:rsidR="007820BC" w:rsidRPr="001D4EB9" w:rsidRDefault="007820BC" w:rsidP="00621014">
      <w:pPr>
        <w:pStyle w:val="ListParagraph"/>
        <w:widowControl/>
        <w:numPr>
          <w:ilvl w:val="0"/>
          <w:numId w:val="4"/>
        </w:numPr>
        <w:spacing w:after="0"/>
        <w:ind w:left="1077" w:hanging="357"/>
      </w:pPr>
      <w:r w:rsidRPr="001D4EB9">
        <w:t>Mills 2015 (n=725): a phase 2 randomised trial comparing Symtuza to Prezcobix + Truvada in treatment-naïve patients.</w:t>
      </w:r>
    </w:p>
    <w:p w:rsidR="007820BC" w:rsidRPr="001D4EB9" w:rsidRDefault="007820BC" w:rsidP="00621014">
      <w:pPr>
        <w:pStyle w:val="ListParagraph"/>
        <w:widowControl/>
        <w:numPr>
          <w:ilvl w:val="0"/>
          <w:numId w:val="4"/>
        </w:numPr>
        <w:ind w:left="1077" w:hanging="357"/>
      </w:pPr>
      <w:r w:rsidRPr="001D4EB9">
        <w:t>Bioequivalence study comparing the pharmacokinetics of Symtuza to concomitant administration of its components.</w:t>
      </w:r>
    </w:p>
    <w:p w:rsidR="0010463E" w:rsidRPr="001D4EB9" w:rsidRDefault="0010463E" w:rsidP="00621014">
      <w:pPr>
        <w:pStyle w:val="ListParagraph"/>
        <w:widowControl/>
        <w:numPr>
          <w:ilvl w:val="1"/>
          <w:numId w:val="1"/>
        </w:numPr>
        <w:rPr>
          <w:rFonts w:cs="Calibri"/>
          <w:snapToGrid/>
          <w:szCs w:val="24"/>
          <w:lang w:eastAsia="en-AU"/>
        </w:rPr>
      </w:pPr>
      <w:r w:rsidRPr="001D4EB9">
        <w:rPr>
          <w:rFonts w:cs="Calibri"/>
          <w:snapToGrid/>
          <w:szCs w:val="24"/>
          <w:lang w:eastAsia="en-AU"/>
        </w:rPr>
        <w:t xml:space="preserve">Details of the trials presented in the submission are provided in </w:t>
      </w:r>
      <w:r w:rsidR="00BE0C4B" w:rsidRPr="001D4EB9">
        <w:rPr>
          <w:rFonts w:cs="Calibri"/>
          <w:snapToGrid/>
          <w:szCs w:val="24"/>
          <w:lang w:eastAsia="en-AU"/>
        </w:rPr>
        <w:t>Table 3</w:t>
      </w:r>
      <w:r w:rsidRPr="001D4EB9">
        <w:rPr>
          <w:rFonts w:cs="Calibri"/>
          <w:snapToGrid/>
          <w:szCs w:val="24"/>
          <w:lang w:eastAsia="en-AU"/>
        </w:rPr>
        <w:t>.</w:t>
      </w:r>
    </w:p>
    <w:p w:rsidR="0010463E" w:rsidRPr="001D4EB9" w:rsidRDefault="0010463E" w:rsidP="00621014">
      <w:pPr>
        <w:keepNext/>
        <w:widowControl/>
        <w:rPr>
          <w:rStyle w:val="CommentReference"/>
        </w:rPr>
      </w:pPr>
      <w:bookmarkStart w:id="14" w:name="_Ref18937004"/>
      <w:r w:rsidRPr="001D4EB9">
        <w:rPr>
          <w:rStyle w:val="CommentReference"/>
        </w:rPr>
        <w:t xml:space="preserve">Table </w:t>
      </w:r>
      <w:r w:rsidR="00FE6890" w:rsidRPr="001D4EB9">
        <w:rPr>
          <w:rStyle w:val="CommentReference"/>
        </w:rPr>
        <w:t>3</w:t>
      </w:r>
      <w:bookmarkEnd w:id="14"/>
      <w:r w:rsidR="00BE0C4B" w:rsidRPr="001D4EB9">
        <w:rPr>
          <w:rStyle w:val="CommentReference"/>
        </w:rPr>
        <w:t xml:space="preserve">: </w:t>
      </w:r>
      <w:r w:rsidRPr="001D4EB9">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688"/>
        <w:gridCol w:w="4970"/>
        <w:gridCol w:w="2359"/>
      </w:tblGrid>
      <w:tr w:rsidR="007820BC" w:rsidRPr="001D4EB9" w:rsidTr="00285BE6">
        <w:trPr>
          <w:cantSplit/>
          <w:tblHeader/>
        </w:trPr>
        <w:tc>
          <w:tcPr>
            <w:tcW w:w="936" w:type="pct"/>
            <w:tcBorders>
              <w:top w:val="single" w:sz="4" w:space="0" w:color="auto"/>
              <w:left w:val="single" w:sz="4" w:space="0" w:color="auto"/>
              <w:bottom w:val="single" w:sz="4" w:space="0" w:color="auto"/>
              <w:right w:val="single" w:sz="4" w:space="0" w:color="auto"/>
            </w:tcBorders>
            <w:vAlign w:val="center"/>
          </w:tcPr>
          <w:p w:rsidR="007820BC" w:rsidRPr="001D4EB9" w:rsidRDefault="007820BC" w:rsidP="00621014">
            <w:pPr>
              <w:pStyle w:val="Tabletext"/>
              <w:keepNext/>
              <w:rPr>
                <w:b/>
              </w:rPr>
            </w:pPr>
            <w:r w:rsidRPr="001D4EB9">
              <w:rPr>
                <w:b/>
              </w:rPr>
              <w:t>Trial ID</w:t>
            </w:r>
          </w:p>
        </w:tc>
        <w:tc>
          <w:tcPr>
            <w:tcW w:w="2756" w:type="pct"/>
            <w:tcBorders>
              <w:top w:val="single" w:sz="4" w:space="0" w:color="auto"/>
              <w:left w:val="single" w:sz="4" w:space="0" w:color="auto"/>
              <w:bottom w:val="single" w:sz="4" w:space="0" w:color="auto"/>
              <w:right w:val="single" w:sz="4" w:space="0" w:color="auto"/>
            </w:tcBorders>
            <w:vAlign w:val="center"/>
          </w:tcPr>
          <w:p w:rsidR="007820BC" w:rsidRPr="001D4EB9" w:rsidRDefault="007820BC" w:rsidP="00621014">
            <w:pPr>
              <w:pStyle w:val="Tabletext"/>
              <w:keepNext/>
              <w:jc w:val="center"/>
              <w:rPr>
                <w:b/>
                <w:szCs w:val="18"/>
              </w:rPr>
            </w:pPr>
            <w:r w:rsidRPr="001D4EB9">
              <w:rPr>
                <w:b/>
                <w:szCs w:val="18"/>
              </w:rPr>
              <w:t>Protocol title/ Publication title</w:t>
            </w:r>
          </w:p>
        </w:tc>
        <w:tc>
          <w:tcPr>
            <w:tcW w:w="1308" w:type="pct"/>
            <w:tcBorders>
              <w:top w:val="single" w:sz="4" w:space="0" w:color="auto"/>
              <w:left w:val="single" w:sz="4" w:space="0" w:color="auto"/>
              <w:bottom w:val="single" w:sz="4" w:space="0" w:color="auto"/>
              <w:right w:val="single" w:sz="4" w:space="0" w:color="auto"/>
            </w:tcBorders>
            <w:vAlign w:val="center"/>
          </w:tcPr>
          <w:p w:rsidR="007820BC" w:rsidRPr="001D4EB9" w:rsidRDefault="007820BC" w:rsidP="00621014">
            <w:pPr>
              <w:pStyle w:val="Tabletext"/>
              <w:keepNext/>
              <w:jc w:val="center"/>
              <w:rPr>
                <w:b/>
                <w:szCs w:val="18"/>
              </w:rPr>
            </w:pPr>
            <w:r w:rsidRPr="001D4EB9">
              <w:rPr>
                <w:b/>
                <w:szCs w:val="18"/>
              </w:rPr>
              <w:t>Publication citation</w:t>
            </w:r>
          </w:p>
        </w:tc>
      </w:tr>
      <w:tr w:rsidR="00BE0C4B" w:rsidRPr="001D4EB9" w:rsidTr="00285BE6">
        <w:trPr>
          <w:cantSplit/>
        </w:trPr>
        <w:tc>
          <w:tcPr>
            <w:tcW w:w="936" w:type="pct"/>
            <w:vMerge w:val="restart"/>
            <w:tcBorders>
              <w:top w:val="single" w:sz="4" w:space="0" w:color="auto"/>
              <w:left w:val="single" w:sz="4" w:space="0" w:color="auto"/>
              <w:right w:val="single" w:sz="4" w:space="0" w:color="auto"/>
            </w:tcBorders>
          </w:tcPr>
          <w:p w:rsidR="00BE0C4B" w:rsidRPr="001D4EB9" w:rsidRDefault="00BE0C4B" w:rsidP="00621014">
            <w:pPr>
              <w:pStyle w:val="Tabletext"/>
              <w:keepNext/>
            </w:pPr>
            <w:r w:rsidRPr="001D4EB9">
              <w:t>EMERALD</w:t>
            </w: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keepNext/>
              <w:rPr>
                <w:szCs w:val="18"/>
              </w:rPr>
            </w:pPr>
            <w:r w:rsidRPr="001D4EB9">
              <w:rPr>
                <w:szCs w:val="18"/>
              </w:rPr>
              <w:t>A Phase 3, randomised, active-controlled, open-label study to evaluate the efficacy, safety and tolerability of switching to a darunavir/cobicistat/emtricitabine/tenofovir alafenamide (D/C/F/TAF) once-daily single-tablet regimen versus continuing the current regimen consisting of a boosted protease inhibitor (bPI) combined with emtricitabine/tenofovir disoproxil fumarate (FTC/TDF) in virologically-suppressed, human immunodeficiency virus type 1 (HIV-1) infected subjects</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keepNext/>
              <w:rPr>
                <w:szCs w:val="18"/>
              </w:rPr>
            </w:pPr>
            <w:r w:rsidRPr="001D4EB9">
              <w:rPr>
                <w:szCs w:val="18"/>
              </w:rPr>
              <w:t>CSR 1 September 2017</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Orkin C et al., Efficacy and safety of switching from boosted protease inhibitors plus emtricitabine and tenofovir disoproxil fumarate regimens to single-tablet darunavir, cobicistat, emtricitabine, and tenofovir alafenamide at 48 weeks in adults with virologically suppressed HIV-1 (EMERALD): a phase 3, randomised, non-inferiority trial.</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Lancet HIV. 2018;5(1):e23-e34</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Eron JJ, Orkin C, Cunningham D, Pulido F, Post F, De Wit S, Lathouwers E, Hufkens V, Petrovic R, Van Landuyt E. Week 96 efficacy and safety results of the phase 3, randomized EMERALD trial to evaluate switching from boosted-protease inhibitors plus emtricitabine/tenofovir disoproxil fumarate regimens to the once daily, single-tablet regimen of darunavir/cobicistat/emtricitabine/ tenofovir alafenamide (D/C/F/TAF) in treatment experienced, virologically-suppressed, HIV-1-infected adults.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ID Week 2018, San Francisco, CA – October 3-7, 2018. Abstract #1768.</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Molina JM Gallant J, Orkin C, Negredo E, Bhatti L, Gathe J, Van Landuyt E, Lathouwers E, Hufkens V, Vanveggel S, Opsomer M. Efficacy and safety of switching from boosted-protease inhibitor plus emtricitabine/tenofovir disoproxil fumarate regimens to the single-tablet regimen of darunavir/cobicistat/emtricitabine/tenofovir alafenamide (D/C/F/TAF) in virologically suppressed, HIV-1-infected adults through 24 weeks: EMERALD study. Presented at 9th IAS Conference on HIV Science 2017. Abstract #: TUAB0101.</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9th IAS Conference on HIV Science 2017. Abstract #: TUAB0101</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Orkin C, Eron J, Rockstroh J, Podzamczer D, Esser S, Vandekerckhove L, Van Landuyt E, Lathouwers E, Hufkens V, Jezorwski J, Opsomer M. Efficacy and safety of the once-daily, darunavir/cobicistat/ emtricitabine/tenofovir alafenamide (D/C/F/TAF) single tablet regimen (STR) in ART-naive, HIV-1-infected adults: AMBER Week 96 results.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Journal of the International AIDS Society. Conference: 2018 International Congress on Drug Therapy in HIV Infection, HIV Glasgow 2018. United Kingdom. 21 (Supplement 8) (pp 8-10), 2018. Date of Publication: October 2018.</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Orkin C, Molina JM, Gallant J, Negredo E, Gathe J, Eron J, Van Landuyt E, Lathouwers E, Hufkenms V, Petrovic V, Opsomer M. Week 48 results of EMERALD: A phase 3, randomized, non-inferiority study evaluating the efficacy and safety of switching from boosted-protease inhibitors (bPI) plus emtricitabine (FTC)/tenofovir disoproxil fumarate (TDF) regimens to the once daily (QD), single-tablet regimen (STR) of darunavir/cobicistat/emtricitabine/tenofovir alafenamide (D/C/F/TAF) in virologically-suppressed, HIV-1-infected adults.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IDWeek 2017. San Diego, October 4-8, 2017. Abstract #: 1689b.</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Orkin, C., Molina, J. M., Gallant, J., Negredo, E., Gathe, J., Eron, J., &amp; Opsomer, M. (2017). Week 48 Results of EMERALD: A Phase 3, Randomized, Non-inferiority Study Evaluating the Efficacy and Safety of Switching from Boosted-protease Inhibitors (bPI) Plus Emtricitabine (FTC)/Tenofovir Disoproxil Fumarate (TDF) Regimens to the Once Daily (QD), Single-tablet Regimen (STR) of Darunavir/Cobicistat/Emtricitabine/ Tenofovir Alafenamide (D/C/F/TAF) in Virologically Suppressed, HIV-1-infected Adults.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Open forum infectious diseases (Vol. 4, No. suppl_1, pp. S737-S738). US: Oxford University Press.</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Eron, J.J., Orkin, C., Molina, J.-M., Van Landuyt, E., Lathouwers, E., Petrovic, R., Nettles, R.E., Brown, K. (2018) Analysis of HIV patients switching to D/C/F/TAF by prior ART treatment experience.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Topics in Antiviral Medicine. Conference: 25th Conference on Retroviruses and Opportunistic Infections, CROI 2018. United States. 26 (Supplement 1) (pp 208s-209s)</w:t>
            </w:r>
          </w:p>
        </w:tc>
      </w:tr>
      <w:tr w:rsidR="00BE0C4B" w:rsidRPr="001D4EB9" w:rsidTr="00285BE6">
        <w:trPr>
          <w:cantSplit/>
        </w:trPr>
        <w:tc>
          <w:tcPr>
            <w:tcW w:w="936" w:type="pct"/>
            <w:vMerge/>
            <w:tcBorders>
              <w:left w:val="single" w:sz="4" w:space="0" w:color="auto"/>
              <w:bottom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Huhn G.D. De Jesus, E., Girard, P.-M., Petrovic, R., Wong, E.Y., Brown, K. (2018) HIV treatment experienced patients switched to D/C/F/TAF: Age, gender, race analyses. Topics in Antiviral Medicine.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25th Conference on Retroviruses and Opportunistic Infections, CROI 2018. United States. 26 (Supplement 1) (pp 207s), 2018</w:t>
            </w:r>
          </w:p>
        </w:tc>
      </w:tr>
      <w:tr w:rsidR="00BE0C4B" w:rsidRPr="001D4EB9" w:rsidTr="00285BE6">
        <w:trPr>
          <w:cantSplit/>
        </w:trPr>
        <w:tc>
          <w:tcPr>
            <w:tcW w:w="936" w:type="pct"/>
            <w:vMerge w:val="restart"/>
            <w:tcBorders>
              <w:top w:val="single" w:sz="4" w:space="0" w:color="auto"/>
              <w:left w:val="single" w:sz="4" w:space="0" w:color="auto"/>
              <w:right w:val="single" w:sz="4" w:space="0" w:color="auto"/>
            </w:tcBorders>
          </w:tcPr>
          <w:p w:rsidR="00BE0C4B" w:rsidRPr="001D4EB9" w:rsidRDefault="00BE0C4B" w:rsidP="00621014">
            <w:pPr>
              <w:pStyle w:val="Tabletext"/>
            </w:pPr>
            <w:r w:rsidRPr="001D4EB9">
              <w:t>AMBER</w:t>
            </w: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A Phase 3, randomised, active-controlled, double-blind study to evaluate efficacy and safety of darunavir/cobicistat/emtricitabine/tenofovir alafenamide (D/C/F/TAF) once daily fixed dose combination regimen versus a regimen consisting of darunavir/cobicistat fixed dose combination coadministered with emtricitabine/tenofovir disoproxil fumarate fixed dose combination in antiretroviral treatment-naïve human immunodeficiency virus type 1 infected subjects</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CSR. 1 September 2017</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Eron JJ, Orkin C, Gallant J, Molina JM, Negredo E, Antinori A, Mills A, Reynes J, Van Landuyt E, Lathouwers E, Hufkens V, Jezorwski J, Vanveggel S, Opsomer M. A week-48 randomized phase-3 trial of darunavir/cobicistat/ emtricitabine/tenofovir alafenamide in treatment-naive HIV-1 patients.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AIDS, 2018; 32(11):1431-1442.</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Orkin C, Eron JJ, Rockstroh J, et al. Efficacy and safety of the once-daily, darunavir/cobicistat/emtricitabine/tenofovir alafenamide (D/C/F/TAF) single-tablet regimen (STR) in antiretroviral treatment (ART)-naïve, HIV-1-infected adults: AMBER Week 96 results.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HIV Glasgow 2018, Glasgow, October 28-31; abstract O212. Available at: https://vimeo.com/297973536</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Gallant J, Orkin C, Molina J.M, Negredo E, Antinori A, Mills A, Eron J, Reynes J, Van Landuyt E, Hufkens V, Jezorwski J, Opsomer M. Week 48 results of AMBER: a phase 3, randomised, double-blind trial in antiretroviral treatment (ART)-naïve HIV-1-infected adults to evaluate the efficacy and safety of the once-daily, single-tablet regimen (STR) of darunavir/ cobicistat/ emtricitabine/ tenofovir alafenamide (D/C/F/TAF) versus darunavir/cobicistat (DRV/c) plus emtricitabine/ tenofovir disoproxil fumarate (FTC/TDF).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The European AIDS Clinical Society Conference 2017. Milan, October 25-27, 2017; abstract PS8/2.</w:t>
            </w:r>
          </w:p>
        </w:tc>
      </w:tr>
      <w:tr w:rsidR="00BE0C4B" w:rsidRPr="001D4EB9" w:rsidTr="00285BE6">
        <w:trPr>
          <w:cantSplit/>
        </w:trPr>
        <w:tc>
          <w:tcPr>
            <w:tcW w:w="936" w:type="pct"/>
            <w:vMerge/>
            <w:tcBorders>
              <w:left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Spinner CD, Rashbaum B, McDonald C, Mussini C, Luo D, Jezorwski J, Brown K, Wong EY. Darunavir/Cobicistat/Emtricitabine/Tenofovir Alafenamide in HIV-1 Treatment-naïve Patients: Week 48 Results in Subgroups Based on Baseline Viral Load, CD4+ Count, and WHO Clinical Staging.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IDWeek, San Francisco, October 3-7, 2018; poster 541</w:t>
            </w:r>
          </w:p>
        </w:tc>
      </w:tr>
      <w:tr w:rsidR="00BE0C4B" w:rsidRPr="001D4EB9" w:rsidTr="00285BE6">
        <w:trPr>
          <w:cantSplit/>
        </w:trPr>
        <w:tc>
          <w:tcPr>
            <w:tcW w:w="936" w:type="pct"/>
            <w:vMerge/>
            <w:tcBorders>
              <w:left w:val="single" w:sz="4" w:space="0" w:color="auto"/>
              <w:bottom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Rashbaum, B., McDonald, C., Mussini, C., Spinner, C.D., Jezorwski, J., Wong, E.Y., Brown, K. (2018) Age, gender, and race analyses of D/C/F/TAF in HIV-1 treatment naive patients.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Topics in Antiviral Medicine. Conference: 25th Conference on Retroviruses and Opportunistic Infections, CROI 2018. United States. 26 (Supplement 1) (pp 203s), 2018.</w:t>
            </w:r>
          </w:p>
        </w:tc>
      </w:tr>
      <w:tr w:rsidR="00BE0C4B" w:rsidRPr="001D4EB9" w:rsidTr="00285BE6">
        <w:trPr>
          <w:cantSplit/>
        </w:trPr>
        <w:tc>
          <w:tcPr>
            <w:tcW w:w="936" w:type="pct"/>
            <w:vMerge w:val="restart"/>
            <w:tcBorders>
              <w:top w:val="single" w:sz="4" w:space="0" w:color="auto"/>
              <w:left w:val="single" w:sz="4" w:space="0" w:color="auto"/>
              <w:right w:val="single" w:sz="4" w:space="0" w:color="auto"/>
            </w:tcBorders>
          </w:tcPr>
          <w:p w:rsidR="00BE0C4B" w:rsidRPr="001D4EB9" w:rsidRDefault="00BE0C4B" w:rsidP="00621014">
            <w:pPr>
              <w:pStyle w:val="Tabletext"/>
            </w:pPr>
            <w:r w:rsidRPr="001D4EB9">
              <w:t>Mills 2015/ GS-US-299-0102</w:t>
            </w: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A Phase 2, Randomized, Double-Blinded Study of the Safety and Efficacy of Darunavir/Cobicistat/Emtricitabine/GS-7340 Single Tablet Regimen Versus Cobicistat-boosted Darunavir plus Emtricitabine/Tenofovir Disoproxil Fumarate Fixed Dose Combination in HIV-1 Infected, Antiretroviral Treatment-Naive Adults</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CSR. November 2014</w:t>
            </w:r>
          </w:p>
        </w:tc>
      </w:tr>
      <w:tr w:rsidR="00BE0C4B" w:rsidRPr="001D4EB9" w:rsidTr="00285BE6">
        <w:trPr>
          <w:cantSplit/>
        </w:trPr>
        <w:tc>
          <w:tcPr>
            <w:tcW w:w="936" w:type="pct"/>
            <w:vMerge/>
            <w:tcBorders>
              <w:left w:val="single" w:sz="4" w:space="0" w:color="auto"/>
              <w:bottom w:val="single" w:sz="4" w:space="0" w:color="auto"/>
              <w:right w:val="single" w:sz="4" w:space="0" w:color="auto"/>
            </w:tcBorders>
            <w:vAlign w:val="center"/>
          </w:tcPr>
          <w:p w:rsidR="00BE0C4B" w:rsidRPr="001D4EB9" w:rsidRDefault="00BE0C4B" w:rsidP="00621014">
            <w:pPr>
              <w:pStyle w:val="Tabletext"/>
            </w:pPr>
          </w:p>
        </w:tc>
        <w:tc>
          <w:tcPr>
            <w:tcW w:w="2756"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 xml:space="preserve">Mills, A., Crofoot Jr, G., McDonald, C., Shalit, P., Flamm, J. A., Gathe Jr, J., &amp; Martin, H. (2015). Tenofovir alafenamide versus tenofovir disoproxil fumarate in the first protease inhibitor–based single-tablet regimen for initial hiv-1 therapy: a randomized phase 2 study. </w:t>
            </w:r>
          </w:p>
        </w:tc>
        <w:tc>
          <w:tcPr>
            <w:tcW w:w="1308" w:type="pct"/>
            <w:tcBorders>
              <w:top w:val="single" w:sz="4" w:space="0" w:color="auto"/>
              <w:left w:val="single" w:sz="4" w:space="0" w:color="auto"/>
              <w:bottom w:val="single" w:sz="4" w:space="0" w:color="auto"/>
              <w:right w:val="single" w:sz="4" w:space="0" w:color="auto"/>
            </w:tcBorders>
            <w:vAlign w:val="center"/>
          </w:tcPr>
          <w:p w:rsidR="00BE0C4B" w:rsidRPr="001D4EB9" w:rsidRDefault="00BE0C4B" w:rsidP="00621014">
            <w:pPr>
              <w:pStyle w:val="Tabletext"/>
              <w:rPr>
                <w:szCs w:val="18"/>
              </w:rPr>
            </w:pPr>
            <w:r w:rsidRPr="001D4EB9">
              <w:rPr>
                <w:szCs w:val="18"/>
              </w:rPr>
              <w:t>JAIDS Journal of Acquired Immune Deficiency Syndromes, 69(4), 439-445.</w:t>
            </w:r>
          </w:p>
        </w:tc>
      </w:tr>
      <w:tr w:rsidR="007820BC" w:rsidRPr="001D4EB9" w:rsidTr="00285BE6">
        <w:trPr>
          <w:cantSplit/>
        </w:trPr>
        <w:tc>
          <w:tcPr>
            <w:tcW w:w="936" w:type="pct"/>
            <w:tcBorders>
              <w:top w:val="single" w:sz="4" w:space="0" w:color="auto"/>
              <w:left w:val="single" w:sz="4" w:space="0" w:color="auto"/>
              <w:bottom w:val="single" w:sz="4" w:space="0" w:color="auto"/>
              <w:right w:val="single" w:sz="4" w:space="0" w:color="auto"/>
            </w:tcBorders>
          </w:tcPr>
          <w:p w:rsidR="007820BC" w:rsidRPr="001D4EB9" w:rsidRDefault="00BE0C4B" w:rsidP="00621014">
            <w:pPr>
              <w:pStyle w:val="Tabletext"/>
            </w:pPr>
            <w:r w:rsidRPr="001D4EB9">
              <w:t xml:space="preserve">Bioequivalence trial </w:t>
            </w:r>
            <w:r w:rsidR="007820BC" w:rsidRPr="001D4EB9">
              <w:t>TMC114FD2HTX1001</w:t>
            </w:r>
          </w:p>
        </w:tc>
        <w:tc>
          <w:tcPr>
            <w:tcW w:w="2756" w:type="pct"/>
            <w:tcBorders>
              <w:top w:val="single" w:sz="4" w:space="0" w:color="auto"/>
              <w:left w:val="single" w:sz="4" w:space="0" w:color="auto"/>
              <w:bottom w:val="single" w:sz="4" w:space="0" w:color="auto"/>
              <w:right w:val="single" w:sz="4" w:space="0" w:color="auto"/>
            </w:tcBorders>
            <w:vAlign w:val="center"/>
          </w:tcPr>
          <w:p w:rsidR="007820BC" w:rsidRPr="001D4EB9" w:rsidRDefault="007820BC" w:rsidP="00621014">
            <w:pPr>
              <w:pStyle w:val="Tabletext"/>
              <w:rPr>
                <w:szCs w:val="18"/>
              </w:rPr>
            </w:pPr>
            <w:r w:rsidRPr="001D4EB9">
              <w:rPr>
                <w:szCs w:val="18"/>
              </w:rPr>
              <w:t>A single-dose, open-label, randomized, crossover study to assess the bioequivalence of darunavir 800 mg, emtricitabine 200 mg, and tenofovir alafenamide 10 mg, in the presence of cobicistat 150 mg, administered as either a fixed-dose combination tablet or as separate agents in healthy subjects</w:t>
            </w:r>
          </w:p>
        </w:tc>
        <w:tc>
          <w:tcPr>
            <w:tcW w:w="1308" w:type="pct"/>
            <w:tcBorders>
              <w:top w:val="single" w:sz="4" w:space="0" w:color="auto"/>
              <w:left w:val="single" w:sz="4" w:space="0" w:color="auto"/>
              <w:bottom w:val="single" w:sz="4" w:space="0" w:color="auto"/>
              <w:right w:val="single" w:sz="4" w:space="0" w:color="auto"/>
            </w:tcBorders>
            <w:vAlign w:val="center"/>
          </w:tcPr>
          <w:p w:rsidR="007820BC" w:rsidRPr="001D4EB9" w:rsidRDefault="007820BC" w:rsidP="00621014">
            <w:pPr>
              <w:pStyle w:val="Tabletext"/>
              <w:rPr>
                <w:szCs w:val="18"/>
              </w:rPr>
            </w:pPr>
            <w:r w:rsidRPr="001D4EB9">
              <w:rPr>
                <w:szCs w:val="18"/>
              </w:rPr>
              <w:t>CSR. June 2016</w:t>
            </w:r>
          </w:p>
        </w:tc>
      </w:tr>
    </w:tbl>
    <w:p w:rsidR="0010463E" w:rsidRPr="001D4EB9" w:rsidRDefault="0010463E" w:rsidP="00621014">
      <w:pPr>
        <w:pStyle w:val="TableFooter"/>
        <w:widowControl/>
        <w:rPr>
          <w:sz w:val="20"/>
        </w:rPr>
      </w:pPr>
      <w:r w:rsidRPr="001D4EB9">
        <w:t>Source: Table 2.4, pp38-40 of the submission,</w:t>
      </w:r>
    </w:p>
    <w:p w:rsidR="0010463E" w:rsidRPr="001D4EB9" w:rsidRDefault="0010463E" w:rsidP="00621014">
      <w:pPr>
        <w:widowControl/>
      </w:pPr>
    </w:p>
    <w:p w:rsidR="0010463E" w:rsidRPr="001D4EB9" w:rsidRDefault="0010463E" w:rsidP="00621014">
      <w:pPr>
        <w:pStyle w:val="ListParagraph"/>
        <w:widowControl/>
        <w:numPr>
          <w:ilvl w:val="1"/>
          <w:numId w:val="1"/>
        </w:numPr>
      </w:pPr>
      <w:r w:rsidRPr="001D4EB9">
        <w:t xml:space="preserve">The key features of the direct randomised trials are summarised in </w:t>
      </w:r>
      <w:r w:rsidR="00BE0C4B" w:rsidRPr="001D4EB9">
        <w:t>Table 4</w:t>
      </w:r>
      <w:r w:rsidR="001D4EB9">
        <w:t xml:space="preserve">. </w:t>
      </w:r>
    </w:p>
    <w:p w:rsidR="0010463E" w:rsidRPr="001D4EB9" w:rsidRDefault="0010463E" w:rsidP="0013307A">
      <w:pPr>
        <w:keepNext/>
        <w:keepLines/>
        <w:widowControl/>
        <w:rPr>
          <w:rStyle w:val="CommentReference"/>
        </w:rPr>
      </w:pPr>
      <w:bookmarkStart w:id="15" w:name="_Ref18937102"/>
      <w:r w:rsidRPr="001D4EB9">
        <w:rPr>
          <w:rStyle w:val="CommentReference"/>
        </w:rPr>
        <w:lastRenderedPageBreak/>
        <w:t xml:space="preserve">Table </w:t>
      </w:r>
      <w:r w:rsidR="00FE6890" w:rsidRPr="001D4EB9">
        <w:rPr>
          <w:rStyle w:val="CommentReference"/>
        </w:rPr>
        <w:t>4</w:t>
      </w:r>
      <w:bookmarkEnd w:id="15"/>
      <w:r w:rsidRPr="001D4EB9">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688"/>
        <w:gridCol w:w="877"/>
        <w:gridCol w:w="2168"/>
        <w:gridCol w:w="909"/>
        <w:gridCol w:w="1897"/>
        <w:gridCol w:w="1478"/>
      </w:tblGrid>
      <w:tr w:rsidR="007820BC" w:rsidRPr="001D4EB9" w:rsidTr="0013307A">
        <w:trPr>
          <w:tblHeader/>
        </w:trPr>
        <w:tc>
          <w:tcPr>
            <w:tcW w:w="713" w:type="pct"/>
            <w:shd w:val="clear" w:color="auto" w:fill="auto"/>
            <w:vAlign w:val="center"/>
          </w:tcPr>
          <w:p w:rsidR="007820BC" w:rsidRPr="001D4EB9" w:rsidRDefault="007820BC" w:rsidP="0013307A">
            <w:pPr>
              <w:pStyle w:val="Tabletext"/>
              <w:keepNext/>
              <w:keepLines/>
              <w:rPr>
                <w:b/>
              </w:rPr>
            </w:pPr>
            <w:r w:rsidRPr="001D4EB9">
              <w:rPr>
                <w:b/>
              </w:rPr>
              <w:t>Trial</w:t>
            </w:r>
          </w:p>
        </w:tc>
        <w:tc>
          <w:tcPr>
            <w:tcW w:w="531" w:type="pct"/>
            <w:shd w:val="clear" w:color="auto" w:fill="auto"/>
            <w:vAlign w:val="center"/>
          </w:tcPr>
          <w:p w:rsidR="007820BC" w:rsidRPr="001D4EB9" w:rsidRDefault="007820BC" w:rsidP="0013307A">
            <w:pPr>
              <w:pStyle w:val="Tabletext"/>
              <w:keepNext/>
              <w:keepLines/>
              <w:jc w:val="center"/>
              <w:rPr>
                <w:b/>
              </w:rPr>
            </w:pPr>
            <w:r w:rsidRPr="001D4EB9">
              <w:rPr>
                <w:b/>
              </w:rPr>
              <w:t>N</w:t>
            </w:r>
          </w:p>
        </w:tc>
        <w:tc>
          <w:tcPr>
            <w:tcW w:w="1247" w:type="pct"/>
            <w:shd w:val="clear" w:color="auto" w:fill="auto"/>
            <w:vAlign w:val="center"/>
          </w:tcPr>
          <w:p w:rsidR="007820BC" w:rsidRPr="001D4EB9" w:rsidRDefault="007820BC" w:rsidP="0013307A">
            <w:pPr>
              <w:pStyle w:val="Tabletext"/>
              <w:keepNext/>
              <w:keepLines/>
              <w:jc w:val="center"/>
              <w:rPr>
                <w:b/>
              </w:rPr>
            </w:pPr>
            <w:r w:rsidRPr="001D4EB9">
              <w:rPr>
                <w:b/>
              </w:rPr>
              <w:t>Design/ duration</w:t>
            </w:r>
          </w:p>
        </w:tc>
        <w:tc>
          <w:tcPr>
            <w:tcW w:w="549" w:type="pct"/>
            <w:shd w:val="clear" w:color="auto" w:fill="auto"/>
            <w:vAlign w:val="center"/>
          </w:tcPr>
          <w:p w:rsidR="007820BC" w:rsidRPr="001D4EB9" w:rsidRDefault="007820BC" w:rsidP="0013307A">
            <w:pPr>
              <w:pStyle w:val="Tabletext"/>
              <w:keepNext/>
              <w:keepLines/>
              <w:jc w:val="center"/>
              <w:rPr>
                <w:b/>
              </w:rPr>
            </w:pPr>
            <w:r w:rsidRPr="001D4EB9">
              <w:rPr>
                <w:b/>
              </w:rPr>
              <w:t>Risk of bias</w:t>
            </w:r>
          </w:p>
        </w:tc>
        <w:tc>
          <w:tcPr>
            <w:tcW w:w="1096" w:type="pct"/>
            <w:shd w:val="clear" w:color="auto" w:fill="auto"/>
            <w:vAlign w:val="center"/>
          </w:tcPr>
          <w:p w:rsidR="007820BC" w:rsidRPr="001D4EB9" w:rsidRDefault="007820BC" w:rsidP="0013307A">
            <w:pPr>
              <w:pStyle w:val="Tabletext"/>
              <w:keepNext/>
              <w:keepLines/>
              <w:jc w:val="center"/>
              <w:rPr>
                <w:b/>
              </w:rPr>
            </w:pPr>
            <w:r w:rsidRPr="001D4EB9">
              <w:rPr>
                <w:b/>
              </w:rPr>
              <w:t>Patient population</w:t>
            </w:r>
          </w:p>
        </w:tc>
        <w:tc>
          <w:tcPr>
            <w:tcW w:w="864" w:type="pct"/>
            <w:shd w:val="clear" w:color="auto" w:fill="auto"/>
            <w:vAlign w:val="center"/>
          </w:tcPr>
          <w:p w:rsidR="007820BC" w:rsidRPr="001D4EB9" w:rsidRDefault="007820BC" w:rsidP="0013307A">
            <w:pPr>
              <w:pStyle w:val="Tabletext"/>
              <w:keepNext/>
              <w:keepLines/>
              <w:jc w:val="center"/>
              <w:rPr>
                <w:b/>
              </w:rPr>
            </w:pPr>
            <w:r w:rsidRPr="001D4EB9">
              <w:rPr>
                <w:b/>
              </w:rPr>
              <w:t>Outcome(s)</w:t>
            </w:r>
          </w:p>
        </w:tc>
      </w:tr>
      <w:tr w:rsidR="007820BC" w:rsidRPr="001D4EB9" w:rsidTr="0013307A">
        <w:trPr>
          <w:tblHeader/>
        </w:trPr>
        <w:tc>
          <w:tcPr>
            <w:tcW w:w="5000" w:type="pct"/>
            <w:gridSpan w:val="6"/>
            <w:shd w:val="clear" w:color="auto" w:fill="auto"/>
            <w:vAlign w:val="center"/>
          </w:tcPr>
          <w:p w:rsidR="007820BC" w:rsidRPr="001D4EB9" w:rsidRDefault="007820BC" w:rsidP="0013307A">
            <w:pPr>
              <w:pStyle w:val="Tabletext"/>
              <w:keepNext/>
              <w:keepLines/>
              <w:rPr>
                <w:b/>
              </w:rPr>
            </w:pPr>
            <w:r w:rsidRPr="001D4EB9">
              <w:rPr>
                <w:b/>
              </w:rPr>
              <w:t>Symtuza vs. CAR*</w:t>
            </w:r>
          </w:p>
        </w:tc>
      </w:tr>
      <w:tr w:rsidR="007820BC" w:rsidRPr="001D4EB9" w:rsidTr="0013307A">
        <w:trPr>
          <w:tblHeader/>
        </w:trPr>
        <w:tc>
          <w:tcPr>
            <w:tcW w:w="713" w:type="pct"/>
            <w:shd w:val="clear" w:color="auto" w:fill="auto"/>
            <w:vAlign w:val="center"/>
          </w:tcPr>
          <w:p w:rsidR="007820BC" w:rsidRPr="001D4EB9" w:rsidRDefault="007820BC" w:rsidP="0013307A">
            <w:pPr>
              <w:pStyle w:val="Tabletext"/>
              <w:keepNext/>
              <w:keepLines/>
            </w:pPr>
            <w:r w:rsidRPr="001D4EB9">
              <w:t>EMERALD</w:t>
            </w:r>
          </w:p>
        </w:tc>
        <w:tc>
          <w:tcPr>
            <w:tcW w:w="531" w:type="pct"/>
            <w:shd w:val="clear" w:color="auto" w:fill="auto"/>
            <w:vAlign w:val="center"/>
          </w:tcPr>
          <w:p w:rsidR="007820BC" w:rsidRPr="001D4EB9" w:rsidRDefault="007820BC" w:rsidP="0013307A">
            <w:pPr>
              <w:pStyle w:val="Tabletext"/>
              <w:keepNext/>
              <w:keepLines/>
              <w:jc w:val="center"/>
            </w:pPr>
            <w:r w:rsidRPr="001D4EB9">
              <w:t>1,141</w:t>
            </w:r>
          </w:p>
        </w:tc>
        <w:tc>
          <w:tcPr>
            <w:tcW w:w="1247" w:type="pct"/>
            <w:shd w:val="clear" w:color="auto" w:fill="auto"/>
            <w:vAlign w:val="center"/>
          </w:tcPr>
          <w:p w:rsidR="007820BC" w:rsidRPr="001D4EB9" w:rsidRDefault="007820BC" w:rsidP="0013307A">
            <w:pPr>
              <w:pStyle w:val="Tabletext"/>
              <w:keepNext/>
              <w:keepLines/>
              <w:jc w:val="center"/>
            </w:pPr>
            <w:r w:rsidRPr="001D4EB9">
              <w:t>R, OL, MC, 48 weeks</w:t>
            </w:r>
          </w:p>
        </w:tc>
        <w:tc>
          <w:tcPr>
            <w:tcW w:w="549" w:type="pct"/>
            <w:shd w:val="clear" w:color="auto" w:fill="auto"/>
            <w:vAlign w:val="center"/>
          </w:tcPr>
          <w:p w:rsidR="007820BC" w:rsidRPr="001D4EB9" w:rsidRDefault="007820BC" w:rsidP="0013307A">
            <w:pPr>
              <w:pStyle w:val="Tabletext"/>
              <w:keepNext/>
              <w:keepLines/>
              <w:jc w:val="center"/>
            </w:pPr>
            <w:r w:rsidRPr="001D4EB9">
              <w:t>High</w:t>
            </w:r>
          </w:p>
        </w:tc>
        <w:tc>
          <w:tcPr>
            <w:tcW w:w="1096" w:type="pct"/>
            <w:shd w:val="clear" w:color="auto" w:fill="auto"/>
            <w:vAlign w:val="center"/>
          </w:tcPr>
          <w:p w:rsidR="007820BC" w:rsidRPr="001D4EB9" w:rsidRDefault="007820BC" w:rsidP="0013307A">
            <w:pPr>
              <w:pStyle w:val="Tabletext"/>
              <w:keepNext/>
              <w:keepLines/>
              <w:jc w:val="center"/>
            </w:pPr>
            <w:r w:rsidRPr="001D4EB9">
              <w:t>Treatment experienced</w:t>
            </w:r>
          </w:p>
        </w:tc>
        <w:tc>
          <w:tcPr>
            <w:tcW w:w="864" w:type="pct"/>
            <w:shd w:val="clear" w:color="auto" w:fill="auto"/>
            <w:vAlign w:val="center"/>
          </w:tcPr>
          <w:p w:rsidR="007820BC" w:rsidRPr="001D4EB9" w:rsidRDefault="007820BC" w:rsidP="0013307A">
            <w:pPr>
              <w:pStyle w:val="Tabletext"/>
              <w:keepNext/>
              <w:keepLines/>
              <w:jc w:val="center"/>
            </w:pPr>
            <w:r w:rsidRPr="001D4EB9">
              <w:t>Virologic rebound</w:t>
            </w:r>
          </w:p>
        </w:tc>
      </w:tr>
      <w:tr w:rsidR="007820BC" w:rsidRPr="001D4EB9" w:rsidTr="0013307A">
        <w:trPr>
          <w:tblHeader/>
        </w:trPr>
        <w:tc>
          <w:tcPr>
            <w:tcW w:w="5000" w:type="pct"/>
            <w:gridSpan w:val="6"/>
            <w:shd w:val="clear" w:color="auto" w:fill="auto"/>
            <w:vAlign w:val="center"/>
          </w:tcPr>
          <w:p w:rsidR="007820BC" w:rsidRPr="001D4EB9" w:rsidRDefault="007820BC" w:rsidP="0013307A">
            <w:pPr>
              <w:pStyle w:val="Tabletext"/>
              <w:keepNext/>
              <w:keepLines/>
              <w:rPr>
                <w:b/>
              </w:rPr>
            </w:pPr>
            <w:r w:rsidRPr="001D4EB9">
              <w:rPr>
                <w:b/>
              </w:rPr>
              <w:t>Symtuza vs. Prezcobix + Truvada</w:t>
            </w:r>
          </w:p>
        </w:tc>
      </w:tr>
      <w:tr w:rsidR="007820BC" w:rsidRPr="001D4EB9" w:rsidTr="0013307A">
        <w:trPr>
          <w:tblHeader/>
        </w:trPr>
        <w:tc>
          <w:tcPr>
            <w:tcW w:w="713" w:type="pct"/>
            <w:shd w:val="clear" w:color="auto" w:fill="auto"/>
            <w:vAlign w:val="center"/>
          </w:tcPr>
          <w:p w:rsidR="007820BC" w:rsidRPr="001D4EB9" w:rsidRDefault="007820BC" w:rsidP="0013307A">
            <w:pPr>
              <w:pStyle w:val="Tabletext"/>
              <w:keepNext/>
              <w:keepLines/>
            </w:pPr>
            <w:r w:rsidRPr="001D4EB9">
              <w:t>AMBER</w:t>
            </w:r>
          </w:p>
        </w:tc>
        <w:tc>
          <w:tcPr>
            <w:tcW w:w="531" w:type="pct"/>
            <w:shd w:val="clear" w:color="auto" w:fill="auto"/>
            <w:vAlign w:val="center"/>
          </w:tcPr>
          <w:p w:rsidR="007820BC" w:rsidRPr="001D4EB9" w:rsidRDefault="007820BC" w:rsidP="0013307A">
            <w:pPr>
              <w:pStyle w:val="Tabletext"/>
              <w:keepNext/>
              <w:keepLines/>
              <w:jc w:val="center"/>
            </w:pPr>
            <w:r w:rsidRPr="001D4EB9">
              <w:t>725</w:t>
            </w:r>
          </w:p>
        </w:tc>
        <w:tc>
          <w:tcPr>
            <w:tcW w:w="1247" w:type="pct"/>
            <w:shd w:val="clear" w:color="auto" w:fill="auto"/>
            <w:vAlign w:val="center"/>
          </w:tcPr>
          <w:p w:rsidR="007820BC" w:rsidRPr="001D4EB9" w:rsidRDefault="007820BC" w:rsidP="0013307A">
            <w:pPr>
              <w:pStyle w:val="Tabletext"/>
              <w:keepNext/>
              <w:keepLines/>
              <w:jc w:val="center"/>
            </w:pPr>
            <w:r w:rsidRPr="001D4EB9">
              <w:t>R, DB, MC, 48 weeks</w:t>
            </w:r>
          </w:p>
        </w:tc>
        <w:tc>
          <w:tcPr>
            <w:tcW w:w="549" w:type="pct"/>
            <w:shd w:val="clear" w:color="auto" w:fill="auto"/>
            <w:vAlign w:val="center"/>
          </w:tcPr>
          <w:p w:rsidR="007820BC" w:rsidRPr="001D4EB9" w:rsidRDefault="007820BC" w:rsidP="0013307A">
            <w:pPr>
              <w:pStyle w:val="Tabletext"/>
              <w:keepNext/>
              <w:keepLines/>
              <w:jc w:val="center"/>
            </w:pPr>
            <w:r w:rsidRPr="001D4EB9">
              <w:t>Low</w:t>
            </w:r>
          </w:p>
        </w:tc>
        <w:tc>
          <w:tcPr>
            <w:tcW w:w="1096" w:type="pct"/>
            <w:shd w:val="clear" w:color="auto" w:fill="auto"/>
            <w:vAlign w:val="center"/>
          </w:tcPr>
          <w:p w:rsidR="007820BC" w:rsidRPr="001D4EB9" w:rsidRDefault="007820BC" w:rsidP="0013307A">
            <w:pPr>
              <w:pStyle w:val="Tabletext"/>
              <w:keepNext/>
              <w:keepLines/>
              <w:jc w:val="center"/>
            </w:pPr>
            <w:r w:rsidRPr="001D4EB9">
              <w:t>Treatment naïve</w:t>
            </w:r>
          </w:p>
        </w:tc>
        <w:tc>
          <w:tcPr>
            <w:tcW w:w="864" w:type="pct"/>
            <w:shd w:val="clear" w:color="auto" w:fill="auto"/>
            <w:vAlign w:val="center"/>
          </w:tcPr>
          <w:p w:rsidR="007820BC" w:rsidRPr="001D4EB9" w:rsidRDefault="007820BC" w:rsidP="0013307A">
            <w:pPr>
              <w:pStyle w:val="Tabletext"/>
              <w:keepNext/>
              <w:keepLines/>
              <w:jc w:val="center"/>
            </w:pPr>
            <w:r w:rsidRPr="001D4EB9">
              <w:t xml:space="preserve">Virologic </w:t>
            </w:r>
            <w:r w:rsidR="00EB0870" w:rsidRPr="001D4EB9">
              <w:t>r</w:t>
            </w:r>
            <w:r w:rsidRPr="001D4EB9">
              <w:t>esponse</w:t>
            </w:r>
          </w:p>
        </w:tc>
      </w:tr>
      <w:tr w:rsidR="007820BC" w:rsidRPr="001D4EB9" w:rsidTr="0013307A">
        <w:trPr>
          <w:tblHeader/>
        </w:trPr>
        <w:tc>
          <w:tcPr>
            <w:tcW w:w="713" w:type="pct"/>
            <w:shd w:val="clear" w:color="auto" w:fill="auto"/>
            <w:vAlign w:val="center"/>
          </w:tcPr>
          <w:p w:rsidR="007820BC" w:rsidRPr="001D4EB9" w:rsidRDefault="007820BC" w:rsidP="0013307A">
            <w:pPr>
              <w:pStyle w:val="Tabletext"/>
              <w:keepNext/>
              <w:keepLines/>
            </w:pPr>
            <w:r w:rsidRPr="001D4EB9">
              <w:t>MILLS 2015</w:t>
            </w:r>
          </w:p>
        </w:tc>
        <w:tc>
          <w:tcPr>
            <w:tcW w:w="531" w:type="pct"/>
            <w:shd w:val="clear" w:color="auto" w:fill="auto"/>
            <w:vAlign w:val="center"/>
          </w:tcPr>
          <w:p w:rsidR="007820BC" w:rsidRPr="001D4EB9" w:rsidRDefault="007820BC" w:rsidP="0013307A">
            <w:pPr>
              <w:pStyle w:val="Tabletext"/>
              <w:keepNext/>
              <w:keepLines/>
              <w:jc w:val="center"/>
            </w:pPr>
            <w:r w:rsidRPr="001D4EB9">
              <w:t>725</w:t>
            </w:r>
          </w:p>
        </w:tc>
        <w:tc>
          <w:tcPr>
            <w:tcW w:w="1247" w:type="pct"/>
            <w:shd w:val="clear" w:color="auto" w:fill="auto"/>
            <w:vAlign w:val="center"/>
          </w:tcPr>
          <w:p w:rsidR="007820BC" w:rsidRPr="001D4EB9" w:rsidRDefault="007820BC" w:rsidP="0013307A">
            <w:pPr>
              <w:pStyle w:val="Tabletext"/>
              <w:keepNext/>
              <w:keepLines/>
              <w:jc w:val="center"/>
            </w:pPr>
            <w:r w:rsidRPr="001D4EB9">
              <w:t>R, DB, MC, 48 weeks</w:t>
            </w:r>
          </w:p>
        </w:tc>
        <w:tc>
          <w:tcPr>
            <w:tcW w:w="549" w:type="pct"/>
            <w:shd w:val="clear" w:color="auto" w:fill="auto"/>
            <w:vAlign w:val="center"/>
          </w:tcPr>
          <w:p w:rsidR="007820BC" w:rsidRPr="001D4EB9" w:rsidRDefault="007820BC" w:rsidP="0013307A">
            <w:pPr>
              <w:pStyle w:val="Tabletext"/>
              <w:keepNext/>
              <w:keepLines/>
              <w:jc w:val="center"/>
            </w:pPr>
            <w:r w:rsidRPr="001D4EB9">
              <w:t>Low</w:t>
            </w:r>
          </w:p>
        </w:tc>
        <w:tc>
          <w:tcPr>
            <w:tcW w:w="1096" w:type="pct"/>
            <w:shd w:val="clear" w:color="auto" w:fill="auto"/>
            <w:vAlign w:val="center"/>
          </w:tcPr>
          <w:p w:rsidR="007820BC" w:rsidRPr="001D4EB9" w:rsidRDefault="007820BC" w:rsidP="0013307A">
            <w:pPr>
              <w:pStyle w:val="Tabletext"/>
              <w:keepNext/>
              <w:keepLines/>
              <w:jc w:val="center"/>
            </w:pPr>
            <w:r w:rsidRPr="001D4EB9">
              <w:t>Treatment naïve</w:t>
            </w:r>
          </w:p>
        </w:tc>
        <w:tc>
          <w:tcPr>
            <w:tcW w:w="864" w:type="pct"/>
            <w:shd w:val="clear" w:color="auto" w:fill="auto"/>
            <w:vAlign w:val="center"/>
          </w:tcPr>
          <w:p w:rsidR="007820BC" w:rsidRPr="001D4EB9" w:rsidRDefault="007820BC" w:rsidP="0013307A">
            <w:pPr>
              <w:pStyle w:val="Tabletext"/>
              <w:keepNext/>
              <w:keepLines/>
              <w:jc w:val="center"/>
            </w:pPr>
            <w:r w:rsidRPr="001D4EB9">
              <w:t xml:space="preserve">Virologic </w:t>
            </w:r>
            <w:r w:rsidR="00EB0870" w:rsidRPr="001D4EB9">
              <w:t>r</w:t>
            </w:r>
            <w:r w:rsidRPr="001D4EB9">
              <w:t>esponse</w:t>
            </w:r>
          </w:p>
        </w:tc>
      </w:tr>
      <w:tr w:rsidR="007820BC" w:rsidRPr="001D4EB9" w:rsidTr="0013307A">
        <w:trPr>
          <w:tblHeader/>
        </w:trPr>
        <w:tc>
          <w:tcPr>
            <w:tcW w:w="5000" w:type="pct"/>
            <w:gridSpan w:val="6"/>
            <w:shd w:val="clear" w:color="auto" w:fill="auto"/>
            <w:vAlign w:val="center"/>
          </w:tcPr>
          <w:p w:rsidR="007820BC" w:rsidRPr="001D4EB9" w:rsidRDefault="007820BC" w:rsidP="0013307A">
            <w:pPr>
              <w:pStyle w:val="Tabletext"/>
              <w:keepNext/>
              <w:keepLines/>
              <w:rPr>
                <w:b/>
              </w:rPr>
            </w:pPr>
            <w:r w:rsidRPr="001D4EB9">
              <w:rPr>
                <w:b/>
              </w:rPr>
              <w:t>Bio-equivalence Symtuza vs DRV + c + FTC + TAF</w:t>
            </w:r>
          </w:p>
        </w:tc>
      </w:tr>
      <w:tr w:rsidR="007820BC" w:rsidRPr="001D4EB9" w:rsidTr="0013307A">
        <w:trPr>
          <w:tblHeader/>
        </w:trPr>
        <w:tc>
          <w:tcPr>
            <w:tcW w:w="713" w:type="pct"/>
            <w:shd w:val="clear" w:color="auto" w:fill="auto"/>
            <w:vAlign w:val="center"/>
          </w:tcPr>
          <w:p w:rsidR="007820BC" w:rsidRPr="001D4EB9" w:rsidRDefault="007820BC" w:rsidP="0013307A">
            <w:pPr>
              <w:pStyle w:val="Tabletext"/>
              <w:keepNext/>
              <w:keepLines/>
            </w:pPr>
            <w:r w:rsidRPr="001D4EB9">
              <w:t>TMC114FD2HTX1001</w:t>
            </w:r>
          </w:p>
        </w:tc>
        <w:tc>
          <w:tcPr>
            <w:tcW w:w="531" w:type="pct"/>
            <w:shd w:val="clear" w:color="auto" w:fill="auto"/>
            <w:vAlign w:val="center"/>
          </w:tcPr>
          <w:p w:rsidR="007820BC" w:rsidRPr="001D4EB9" w:rsidRDefault="007820BC" w:rsidP="0013307A">
            <w:pPr>
              <w:pStyle w:val="Tabletext"/>
              <w:keepNext/>
              <w:keepLines/>
              <w:jc w:val="center"/>
            </w:pPr>
            <w:r w:rsidRPr="001D4EB9">
              <w:t>96</w:t>
            </w:r>
          </w:p>
        </w:tc>
        <w:tc>
          <w:tcPr>
            <w:tcW w:w="1247" w:type="pct"/>
            <w:shd w:val="clear" w:color="auto" w:fill="auto"/>
            <w:vAlign w:val="center"/>
          </w:tcPr>
          <w:p w:rsidR="007820BC" w:rsidRPr="001D4EB9" w:rsidRDefault="00BE0C4B" w:rsidP="0013307A">
            <w:pPr>
              <w:pStyle w:val="Tabletext"/>
              <w:keepNext/>
              <w:keepLines/>
              <w:jc w:val="center"/>
            </w:pPr>
            <w:r w:rsidRPr="001D4EB9">
              <w:t>b/e, R, 2-w</w:t>
            </w:r>
            <w:r w:rsidR="007820BC" w:rsidRPr="001D4EB9">
              <w:t>ay cross-over, SC, OL</w:t>
            </w:r>
          </w:p>
        </w:tc>
        <w:tc>
          <w:tcPr>
            <w:tcW w:w="549" w:type="pct"/>
            <w:shd w:val="clear" w:color="auto" w:fill="auto"/>
            <w:vAlign w:val="center"/>
          </w:tcPr>
          <w:p w:rsidR="007820BC" w:rsidRPr="001D4EB9" w:rsidRDefault="007820BC" w:rsidP="0013307A">
            <w:pPr>
              <w:pStyle w:val="Tabletext"/>
              <w:keepNext/>
              <w:keepLines/>
              <w:jc w:val="center"/>
            </w:pPr>
            <w:r w:rsidRPr="001D4EB9">
              <w:t>NA</w:t>
            </w:r>
          </w:p>
        </w:tc>
        <w:tc>
          <w:tcPr>
            <w:tcW w:w="1096" w:type="pct"/>
            <w:shd w:val="clear" w:color="auto" w:fill="auto"/>
            <w:vAlign w:val="center"/>
          </w:tcPr>
          <w:p w:rsidR="007820BC" w:rsidRPr="001D4EB9" w:rsidRDefault="007820BC" w:rsidP="0013307A">
            <w:pPr>
              <w:pStyle w:val="Tabletext"/>
              <w:keepNext/>
              <w:keepLines/>
              <w:jc w:val="center"/>
            </w:pPr>
            <w:r w:rsidRPr="001D4EB9">
              <w:t>Healthy patients</w:t>
            </w:r>
          </w:p>
        </w:tc>
        <w:tc>
          <w:tcPr>
            <w:tcW w:w="864" w:type="pct"/>
            <w:shd w:val="clear" w:color="auto" w:fill="auto"/>
            <w:vAlign w:val="center"/>
          </w:tcPr>
          <w:p w:rsidR="007820BC" w:rsidRPr="001D4EB9" w:rsidRDefault="007820BC" w:rsidP="0013307A">
            <w:pPr>
              <w:pStyle w:val="Tabletext"/>
              <w:keepNext/>
              <w:keepLines/>
              <w:jc w:val="center"/>
            </w:pPr>
            <w:r w:rsidRPr="001D4EB9">
              <w:t>Pharmacokinetics and Bioequivalence</w:t>
            </w:r>
          </w:p>
        </w:tc>
      </w:tr>
    </w:tbl>
    <w:p w:rsidR="007820BC" w:rsidRPr="001D4EB9" w:rsidRDefault="007820BC" w:rsidP="0013307A">
      <w:pPr>
        <w:pStyle w:val="TableFooter"/>
        <w:keepNext/>
        <w:keepLines/>
        <w:widowControl/>
      </w:pPr>
      <w:r w:rsidRPr="001D4EB9">
        <w:t xml:space="preserve">Source: Table ES.3, p.iv of the executive summary of the submission and p1 of ‘Phase 1 bioequivalence trial Summary.’ </w:t>
      </w:r>
    </w:p>
    <w:p w:rsidR="007820BC" w:rsidRPr="001D4EB9" w:rsidRDefault="00BE0C4B" w:rsidP="0013307A">
      <w:pPr>
        <w:pStyle w:val="TableFooter"/>
        <w:keepNext/>
        <w:keepLines/>
        <w:widowControl/>
      </w:pPr>
      <w:r w:rsidRPr="001D4EB9">
        <w:t xml:space="preserve">b/e = bioequivalence; </w:t>
      </w:r>
      <w:r w:rsidR="007820BC" w:rsidRPr="001D4EB9">
        <w:t>CAR = current antiretroviral therapy; DB=double blind; MC=multi-centre; OL=open label; R=randomised.</w:t>
      </w:r>
    </w:p>
    <w:p w:rsidR="007820BC" w:rsidRPr="001D4EB9" w:rsidRDefault="007820BC" w:rsidP="0013307A">
      <w:pPr>
        <w:pStyle w:val="TableFooter"/>
        <w:keepNext/>
        <w:keepLines/>
        <w:widowControl/>
        <w:tabs>
          <w:tab w:val="left" w:pos="284"/>
        </w:tabs>
        <w:ind w:left="284" w:hanging="284"/>
      </w:pPr>
      <w:r w:rsidRPr="001D4EB9">
        <w:t>*</w:t>
      </w:r>
      <w:r w:rsidRPr="001D4EB9">
        <w:tab/>
        <w:t>For EMERALD: CAR was comprised of a boosted protease inhibitor combined with FTC/TDF (Truvada); 70% of patients were treated with darunavir 800mg</w:t>
      </w:r>
    </w:p>
    <w:p w:rsidR="0010463E" w:rsidRPr="001D4EB9" w:rsidRDefault="0010463E" w:rsidP="00621014">
      <w:pPr>
        <w:widowControl/>
      </w:pPr>
    </w:p>
    <w:p w:rsidR="0010463E" w:rsidRPr="001D4EB9" w:rsidRDefault="0010463E" w:rsidP="00621014">
      <w:pPr>
        <w:pStyle w:val="ListParagraph"/>
        <w:widowControl/>
        <w:numPr>
          <w:ilvl w:val="1"/>
          <w:numId w:val="1"/>
        </w:numPr>
      </w:pPr>
      <w:r w:rsidRPr="001D4EB9">
        <w:rPr>
          <w:color w:val="000000" w:themeColor="text1"/>
        </w:rPr>
        <w:t xml:space="preserve">The EMERALD trial was the only included trial that </w:t>
      </w:r>
      <w:r w:rsidR="00BE0C4B" w:rsidRPr="001D4EB9">
        <w:rPr>
          <w:color w:val="000000" w:themeColor="text1"/>
        </w:rPr>
        <w:t xml:space="preserve">was consistent with </w:t>
      </w:r>
      <w:r w:rsidRPr="001D4EB9">
        <w:rPr>
          <w:color w:val="000000" w:themeColor="text1"/>
        </w:rPr>
        <w:t xml:space="preserve">the most likely population of Symtuza patients, treatment experienced patients. The submission specified that all patients in the EMERALD study had at least four prior ART classes (including the booster), but 41.8% of patients had never taken an ART prior to their screening ART regimen (boosted </w:t>
      </w:r>
      <w:r w:rsidR="000B3394" w:rsidRPr="001D4EB9">
        <w:rPr>
          <w:color w:val="000000" w:themeColor="text1"/>
        </w:rPr>
        <w:t>PI</w:t>
      </w:r>
      <w:r w:rsidRPr="001D4EB9">
        <w:rPr>
          <w:color w:val="000000" w:themeColor="text1"/>
        </w:rPr>
        <w:t xml:space="preserve"> + </w:t>
      </w:r>
      <w:r w:rsidR="00AD1C62" w:rsidRPr="001D4EB9">
        <w:rPr>
          <w:color w:val="000000" w:themeColor="text1"/>
        </w:rPr>
        <w:t>FTC</w:t>
      </w:r>
      <w:r w:rsidRPr="001D4EB9">
        <w:rPr>
          <w:color w:val="000000" w:themeColor="text1"/>
        </w:rPr>
        <w:t xml:space="preserve"> /tenofovir disoproxil fumarate). This seemed to indicate that for these patients, their regimen at screening was their first treatment. If 42% of patients had a less than 30 day treatment with any ART, it appears that they would probably not be reflective of the expected population of patients accessing Symtuza in Australia</w:t>
      </w:r>
      <w:r w:rsidR="007820BC" w:rsidRPr="001D4EB9">
        <w:rPr>
          <w:color w:val="000000" w:themeColor="text1"/>
        </w:rPr>
        <w:t xml:space="preserve"> (</w:t>
      </w:r>
      <w:r w:rsidR="00E11FD7" w:rsidRPr="001D4EB9">
        <w:rPr>
          <w:color w:val="000000" w:themeColor="text1"/>
        </w:rPr>
        <w:t>i.e. predominantly</w:t>
      </w:r>
      <w:r w:rsidR="007820BC" w:rsidRPr="001D4EB9">
        <w:rPr>
          <w:color w:val="000000" w:themeColor="text1"/>
        </w:rPr>
        <w:t xml:space="preserve"> treatment experienced </w:t>
      </w:r>
      <w:r w:rsidR="00E11FD7" w:rsidRPr="001D4EB9">
        <w:rPr>
          <w:color w:val="000000" w:themeColor="text1"/>
        </w:rPr>
        <w:t>patients</w:t>
      </w:r>
      <w:r w:rsidR="008F62D9" w:rsidRPr="001D4EB9">
        <w:rPr>
          <w:color w:val="000000" w:themeColor="text1"/>
        </w:rPr>
        <w:t>). The</w:t>
      </w:r>
      <w:r w:rsidR="000F5447" w:rsidRPr="001D4EB9">
        <w:rPr>
          <w:color w:val="000000" w:themeColor="text1"/>
        </w:rPr>
        <w:t xml:space="preserve"> </w:t>
      </w:r>
      <w:r w:rsidR="00595A84">
        <w:t>Pre-Sub-Committee Response</w:t>
      </w:r>
      <w:r w:rsidR="00595A84" w:rsidRPr="001D4EB9">
        <w:rPr>
          <w:color w:val="000000" w:themeColor="text1"/>
        </w:rPr>
        <w:t xml:space="preserve"> </w:t>
      </w:r>
      <w:r w:rsidR="00595A84">
        <w:rPr>
          <w:color w:val="000000" w:themeColor="text1"/>
        </w:rPr>
        <w:t>(</w:t>
      </w:r>
      <w:r w:rsidR="00266EE5" w:rsidRPr="001D4EB9">
        <w:rPr>
          <w:color w:val="000000" w:themeColor="text1"/>
        </w:rPr>
        <w:t>PSCR</w:t>
      </w:r>
      <w:r w:rsidR="00595A84">
        <w:rPr>
          <w:color w:val="000000" w:themeColor="text1"/>
        </w:rPr>
        <w:t>)</w:t>
      </w:r>
      <w:r w:rsidR="00266EE5" w:rsidRPr="001D4EB9">
        <w:rPr>
          <w:color w:val="000000" w:themeColor="text1"/>
        </w:rPr>
        <w:t xml:space="preserve"> </w:t>
      </w:r>
      <w:r w:rsidR="008F62D9" w:rsidRPr="001D4EB9">
        <w:rPr>
          <w:color w:val="000000" w:themeColor="text1"/>
        </w:rPr>
        <w:t xml:space="preserve">argued this would not impact conclusions of comparative efficacy and safety, which was supported by the TGA Delegate’s assessment that the clinical data from the Phase 3 trials was consistent with the known efficacy and safety profile of similar </w:t>
      </w:r>
      <w:r w:rsidR="000B3394" w:rsidRPr="001D4EB9">
        <w:rPr>
          <w:color w:val="000000" w:themeColor="text1"/>
        </w:rPr>
        <w:t>PI</w:t>
      </w:r>
      <w:r w:rsidR="008F62D9" w:rsidRPr="001D4EB9">
        <w:rPr>
          <w:color w:val="000000" w:themeColor="text1"/>
        </w:rPr>
        <w:t xml:space="preserve"> based antiretroviral therapy.</w:t>
      </w:r>
    </w:p>
    <w:p w:rsidR="0010463E" w:rsidRPr="001D4EB9" w:rsidRDefault="0010463E" w:rsidP="00621014">
      <w:pPr>
        <w:pStyle w:val="ListParagraph"/>
        <w:widowControl/>
        <w:numPr>
          <w:ilvl w:val="1"/>
          <w:numId w:val="1"/>
        </w:numPr>
      </w:pPr>
      <w:r w:rsidRPr="001D4EB9">
        <w:rPr>
          <w:color w:val="000000" w:themeColor="text1"/>
        </w:rPr>
        <w:t xml:space="preserve">The EMERALD trial was unblinded, and blinding was compromised in the </w:t>
      </w:r>
      <w:r w:rsidR="00BE0C4B" w:rsidRPr="001D4EB9">
        <w:rPr>
          <w:color w:val="000000" w:themeColor="text1"/>
        </w:rPr>
        <w:t>Mills 2015</w:t>
      </w:r>
      <w:r w:rsidRPr="001D4EB9">
        <w:rPr>
          <w:color w:val="000000" w:themeColor="text1"/>
        </w:rPr>
        <w:t xml:space="preserve"> trial, increasing the potential risk of bias of these trials. </w:t>
      </w:r>
    </w:p>
    <w:p w:rsidR="00726447" w:rsidRPr="001D4EB9" w:rsidRDefault="0010463E" w:rsidP="00621014">
      <w:pPr>
        <w:pStyle w:val="Heading2"/>
        <w:widowControl/>
        <w:rPr>
          <w:i w:val="0"/>
          <w:color w:val="000000" w:themeColor="text1"/>
        </w:rPr>
      </w:pPr>
      <w:bookmarkStart w:id="16" w:name="_Toc19538903"/>
      <w:r w:rsidRPr="001D4EB9">
        <w:rPr>
          <w:i w:val="0"/>
        </w:rPr>
        <w:t>Comparative effectiveness</w:t>
      </w:r>
      <w:bookmarkEnd w:id="16"/>
    </w:p>
    <w:p w:rsidR="0010463E" w:rsidRPr="001D4EB9" w:rsidRDefault="00BE0C4B" w:rsidP="00621014">
      <w:pPr>
        <w:pStyle w:val="ListParagraph"/>
        <w:widowControl/>
        <w:numPr>
          <w:ilvl w:val="1"/>
          <w:numId w:val="1"/>
        </w:numPr>
        <w:rPr>
          <w:color w:val="000000" w:themeColor="text1"/>
        </w:rPr>
      </w:pPr>
      <w:r w:rsidRPr="001D4EB9">
        <w:t>Table 5</w:t>
      </w:r>
      <w:r w:rsidRPr="001D4EB9">
        <w:rPr>
          <w:color w:val="000000" w:themeColor="text1"/>
        </w:rPr>
        <w:t xml:space="preserve"> </w:t>
      </w:r>
      <w:r w:rsidR="0010463E" w:rsidRPr="001D4EB9">
        <w:rPr>
          <w:color w:val="000000" w:themeColor="text1"/>
        </w:rPr>
        <w:t>presents a proportio</w:t>
      </w:r>
      <w:r w:rsidRPr="001D4EB9">
        <w:rPr>
          <w:color w:val="000000" w:themeColor="text1"/>
        </w:rPr>
        <w:t>n of virologic rebound through W</w:t>
      </w:r>
      <w:r w:rsidR="0010463E" w:rsidRPr="001D4EB9">
        <w:rPr>
          <w:color w:val="000000" w:themeColor="text1"/>
        </w:rPr>
        <w:t>eek 48 of EMERALD.</w:t>
      </w:r>
    </w:p>
    <w:p w:rsidR="007820BC" w:rsidRPr="001D4EB9" w:rsidRDefault="0010463E" w:rsidP="00621014">
      <w:pPr>
        <w:pStyle w:val="Caption"/>
        <w:keepNext/>
        <w:widowControl/>
        <w:spacing w:after="0"/>
        <w:rPr>
          <w:rStyle w:val="CommentReference"/>
          <w:b/>
          <w:color w:val="000000" w:themeColor="text1"/>
        </w:rPr>
      </w:pPr>
      <w:bookmarkStart w:id="17" w:name="_Ref18937191"/>
      <w:r w:rsidRPr="001D4EB9">
        <w:rPr>
          <w:rStyle w:val="CommentReference"/>
          <w:b/>
          <w:color w:val="000000" w:themeColor="text1"/>
        </w:rPr>
        <w:t xml:space="preserve">Table </w:t>
      </w:r>
      <w:r w:rsidR="00FE6890" w:rsidRPr="001D4EB9">
        <w:rPr>
          <w:rStyle w:val="CommentReference"/>
          <w:b/>
          <w:color w:val="000000" w:themeColor="text1"/>
        </w:rPr>
        <w:t>5</w:t>
      </w:r>
      <w:bookmarkEnd w:id="17"/>
      <w:r w:rsidRPr="001D4EB9">
        <w:rPr>
          <w:rStyle w:val="CommentReference"/>
          <w:b/>
          <w:color w:val="000000" w:themeColor="text1"/>
        </w:rPr>
        <w:t xml:space="preserve">: </w:t>
      </w:r>
      <w:r w:rsidR="007820BC" w:rsidRPr="001D4EB9">
        <w:rPr>
          <w:rStyle w:val="CommentReference"/>
          <w:b/>
          <w:color w:val="000000" w:themeColor="text1"/>
        </w:rPr>
        <w:t xml:space="preserve">Proportion of protocol-defined virologic rebound (HIV-1 RNA ≥50 Copies/mL) cumulative through Week 48 </w:t>
      </w:r>
    </w:p>
    <w:tbl>
      <w:tblPr>
        <w:tblStyle w:val="TableStyle"/>
        <w:tblW w:w="5000" w:type="pct"/>
        <w:tblLook w:val="04A0" w:firstRow="1" w:lastRow="0" w:firstColumn="1" w:lastColumn="0" w:noHBand="0" w:noVBand="1"/>
        <w:tblCaption w:val="Table 5: Proportion of protocol-defined virologic rebound (HIV-1 RNA ≥50 Copies/mL) cumulative through Week 48 "/>
      </w:tblPr>
      <w:tblGrid>
        <w:gridCol w:w="1696"/>
        <w:gridCol w:w="1631"/>
        <w:gridCol w:w="1631"/>
        <w:gridCol w:w="2409"/>
        <w:gridCol w:w="1650"/>
      </w:tblGrid>
      <w:tr w:rsidR="00BE0C4B" w:rsidRPr="001D4EB9" w:rsidTr="009335CF">
        <w:trPr>
          <w:cnfStyle w:val="100000000000" w:firstRow="1" w:lastRow="0" w:firstColumn="0" w:lastColumn="0" w:oddVBand="0" w:evenVBand="0" w:oddHBand="0" w:evenHBand="0" w:firstRowFirstColumn="0" w:firstRowLastColumn="0" w:lastRowFirstColumn="0" w:lastRowLastColumn="0"/>
          <w:tblHeader/>
        </w:trPr>
        <w:tc>
          <w:tcPr>
            <w:tcW w:w="940" w:type="pct"/>
            <w:vAlign w:val="center"/>
          </w:tcPr>
          <w:p w:rsidR="00BE0C4B" w:rsidRPr="001D4EB9" w:rsidRDefault="00BE0C4B" w:rsidP="00621014">
            <w:pPr>
              <w:pStyle w:val="TableText0"/>
              <w:spacing w:before="0" w:after="0"/>
              <w:rPr>
                <w:rFonts w:cs="Arial"/>
                <w:szCs w:val="20"/>
                <w:lang w:val="en-AU"/>
              </w:rPr>
            </w:pPr>
            <w:r w:rsidRPr="001D4EB9">
              <w:rPr>
                <w:rFonts w:cs="Arial"/>
                <w:szCs w:val="20"/>
                <w:lang w:val="en-AU"/>
              </w:rPr>
              <w:t>Population</w:t>
            </w:r>
          </w:p>
        </w:tc>
        <w:tc>
          <w:tcPr>
            <w:tcW w:w="904" w:type="pct"/>
            <w:vAlign w:val="center"/>
          </w:tcPr>
          <w:p w:rsidR="00BE0C4B" w:rsidRPr="001D4EB9" w:rsidRDefault="00BE0C4B" w:rsidP="00621014">
            <w:pPr>
              <w:pStyle w:val="TableText0"/>
              <w:spacing w:before="0" w:after="0"/>
              <w:jc w:val="center"/>
              <w:rPr>
                <w:rFonts w:cs="Arial"/>
                <w:szCs w:val="20"/>
                <w:lang w:val="en-AU"/>
              </w:rPr>
            </w:pPr>
            <w:r w:rsidRPr="001D4EB9">
              <w:rPr>
                <w:lang w:val="en-AU"/>
              </w:rPr>
              <w:t>Symtuza; n/N (%)</w:t>
            </w:r>
          </w:p>
        </w:tc>
        <w:tc>
          <w:tcPr>
            <w:tcW w:w="904" w:type="pct"/>
            <w:vAlign w:val="center"/>
          </w:tcPr>
          <w:p w:rsidR="00BE0C4B" w:rsidRPr="001D4EB9" w:rsidRDefault="00BE0C4B" w:rsidP="00621014">
            <w:pPr>
              <w:pStyle w:val="TableText0"/>
              <w:spacing w:before="0" w:after="0"/>
              <w:jc w:val="center"/>
              <w:rPr>
                <w:rFonts w:cs="Arial"/>
                <w:szCs w:val="20"/>
                <w:lang w:val="en-AU"/>
              </w:rPr>
            </w:pPr>
            <w:r w:rsidRPr="001D4EB9">
              <w:rPr>
                <w:lang w:val="en-AU"/>
              </w:rPr>
              <w:t>CAR; n/N (%)</w:t>
            </w:r>
          </w:p>
        </w:tc>
        <w:tc>
          <w:tcPr>
            <w:tcW w:w="1336" w:type="pct"/>
            <w:vAlign w:val="center"/>
          </w:tcPr>
          <w:p w:rsidR="00BE0C4B" w:rsidRPr="001D4EB9" w:rsidRDefault="00BE0C4B" w:rsidP="00621014">
            <w:pPr>
              <w:pStyle w:val="TableText0"/>
              <w:spacing w:before="0" w:after="0"/>
              <w:jc w:val="center"/>
              <w:rPr>
                <w:rFonts w:cs="Arial"/>
                <w:szCs w:val="20"/>
                <w:lang w:val="en-AU"/>
              </w:rPr>
            </w:pPr>
            <w:r w:rsidRPr="001D4EB9">
              <w:rPr>
                <w:rFonts w:cs="Arial"/>
                <w:szCs w:val="20"/>
                <w:lang w:val="en-AU"/>
              </w:rPr>
              <w:t xml:space="preserve">Difference in Proportions </w:t>
            </w:r>
            <w:r w:rsidR="00151B40" w:rsidRPr="001D4EB9">
              <w:rPr>
                <w:rFonts w:cs="Arial"/>
                <w:szCs w:val="20"/>
                <w:lang w:val="en-AU"/>
              </w:rPr>
              <w:br/>
            </w:r>
            <w:r w:rsidRPr="001D4EB9">
              <w:rPr>
                <w:rFonts w:cs="Arial"/>
                <w:szCs w:val="20"/>
                <w:lang w:val="en-AU"/>
              </w:rPr>
              <w:t xml:space="preserve">(95% CI) </w:t>
            </w:r>
          </w:p>
        </w:tc>
        <w:tc>
          <w:tcPr>
            <w:tcW w:w="915" w:type="pct"/>
            <w:vAlign w:val="center"/>
          </w:tcPr>
          <w:p w:rsidR="00BE0C4B" w:rsidRPr="001D4EB9" w:rsidRDefault="00BE0C4B" w:rsidP="00621014">
            <w:pPr>
              <w:pStyle w:val="TableText0"/>
              <w:spacing w:before="0" w:after="0"/>
              <w:jc w:val="center"/>
              <w:rPr>
                <w:rFonts w:cs="Arial"/>
                <w:szCs w:val="20"/>
                <w:lang w:val="en-AU"/>
              </w:rPr>
            </w:pPr>
            <w:r w:rsidRPr="001D4EB9">
              <w:rPr>
                <w:rFonts w:cs="Arial"/>
                <w:szCs w:val="20"/>
                <w:lang w:val="en-AU"/>
              </w:rPr>
              <w:t xml:space="preserve">P value (non-inferiority) </w:t>
            </w:r>
          </w:p>
        </w:tc>
      </w:tr>
      <w:tr w:rsidR="007820BC" w:rsidRPr="001D4EB9" w:rsidTr="009335CF">
        <w:trPr>
          <w:cnfStyle w:val="100000000000" w:firstRow="1" w:lastRow="0" w:firstColumn="0" w:lastColumn="0" w:oddVBand="0" w:evenVBand="0" w:oddHBand="0" w:evenHBand="0" w:firstRowFirstColumn="0" w:firstRowLastColumn="0" w:lastRowFirstColumn="0" w:lastRowLastColumn="0"/>
          <w:tblHeader/>
        </w:trPr>
        <w:tc>
          <w:tcPr>
            <w:tcW w:w="940" w:type="pct"/>
            <w:vAlign w:val="center"/>
          </w:tcPr>
          <w:p w:rsidR="007820BC" w:rsidRPr="009335CF" w:rsidRDefault="007820BC" w:rsidP="00621014">
            <w:pPr>
              <w:pStyle w:val="TableText0"/>
              <w:spacing w:before="0" w:after="0"/>
              <w:rPr>
                <w:rFonts w:cs="Arial"/>
                <w:b w:val="0"/>
                <w:bCs/>
                <w:szCs w:val="20"/>
                <w:lang w:val="en-AU"/>
              </w:rPr>
            </w:pPr>
            <w:r w:rsidRPr="009335CF">
              <w:rPr>
                <w:rFonts w:cs="Arial"/>
                <w:b w:val="0"/>
                <w:bCs/>
                <w:szCs w:val="20"/>
                <w:lang w:val="en-AU"/>
              </w:rPr>
              <w:t>Boosted DRV pop.</w:t>
            </w:r>
          </w:p>
        </w:tc>
        <w:tc>
          <w:tcPr>
            <w:tcW w:w="904"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11/537 (2.0%)</w:t>
            </w:r>
          </w:p>
        </w:tc>
        <w:tc>
          <w:tcPr>
            <w:tcW w:w="904"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6/266 (2.3%)</w:t>
            </w:r>
          </w:p>
        </w:tc>
        <w:tc>
          <w:tcPr>
            <w:tcW w:w="1336"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-0.2 (-3.0; 1.9)</w:t>
            </w:r>
          </w:p>
        </w:tc>
        <w:tc>
          <w:tcPr>
            <w:tcW w:w="915"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&lt;0.01</w:t>
            </w:r>
          </w:p>
        </w:tc>
      </w:tr>
      <w:tr w:rsidR="007820BC" w:rsidRPr="001D4EB9" w:rsidTr="009335CF">
        <w:trPr>
          <w:cnfStyle w:val="100000000000" w:firstRow="1" w:lastRow="0" w:firstColumn="0" w:lastColumn="0" w:oddVBand="0" w:evenVBand="0" w:oddHBand="0" w:evenHBand="0" w:firstRowFirstColumn="0" w:firstRowLastColumn="0" w:lastRowFirstColumn="0" w:lastRowLastColumn="0"/>
          <w:tblHeader/>
        </w:trPr>
        <w:tc>
          <w:tcPr>
            <w:tcW w:w="940" w:type="pct"/>
            <w:vAlign w:val="center"/>
          </w:tcPr>
          <w:p w:rsidR="007820BC" w:rsidRPr="009335CF" w:rsidRDefault="007820BC" w:rsidP="00621014">
            <w:pPr>
              <w:pStyle w:val="TableText0"/>
              <w:spacing w:before="0" w:after="0"/>
              <w:rPr>
                <w:rFonts w:cs="Arial"/>
                <w:b w:val="0"/>
                <w:bCs/>
                <w:szCs w:val="20"/>
                <w:lang w:val="en-AU"/>
              </w:rPr>
            </w:pPr>
            <w:r w:rsidRPr="009335CF">
              <w:rPr>
                <w:rFonts w:cs="Arial"/>
                <w:b w:val="0"/>
                <w:bCs/>
                <w:szCs w:val="20"/>
                <w:lang w:val="en-AU"/>
              </w:rPr>
              <w:t>ITT</w:t>
            </w:r>
          </w:p>
        </w:tc>
        <w:tc>
          <w:tcPr>
            <w:tcW w:w="904"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19/763 (2.5%)</w:t>
            </w:r>
          </w:p>
        </w:tc>
        <w:tc>
          <w:tcPr>
            <w:tcW w:w="904"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8/378 (2.1%)</w:t>
            </w:r>
          </w:p>
        </w:tc>
        <w:tc>
          <w:tcPr>
            <w:tcW w:w="1336"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0.4 (-1.5; 2.2)</w:t>
            </w:r>
          </w:p>
        </w:tc>
        <w:tc>
          <w:tcPr>
            <w:tcW w:w="915" w:type="pct"/>
            <w:vAlign w:val="center"/>
          </w:tcPr>
          <w:p w:rsidR="007820BC" w:rsidRPr="009335CF" w:rsidRDefault="007820BC" w:rsidP="00621014">
            <w:pPr>
              <w:pStyle w:val="TableText0"/>
              <w:spacing w:before="0" w:after="0"/>
              <w:jc w:val="center"/>
              <w:rPr>
                <w:rFonts w:cs="Arial"/>
                <w:b w:val="0"/>
                <w:bCs/>
                <w:szCs w:val="20"/>
                <w:lang w:val="en-AU"/>
              </w:rPr>
            </w:pPr>
            <w:r w:rsidRPr="009335CF">
              <w:rPr>
                <w:rFonts w:cs="Arial"/>
                <w:b w:val="0"/>
                <w:bCs/>
                <w:szCs w:val="20"/>
                <w:lang w:val="en-AU"/>
              </w:rPr>
              <w:t>&lt;0.001</w:t>
            </w:r>
          </w:p>
        </w:tc>
      </w:tr>
    </w:tbl>
    <w:p w:rsidR="007820BC" w:rsidRPr="001D4EB9" w:rsidRDefault="007820BC" w:rsidP="00621014">
      <w:pPr>
        <w:widowControl/>
        <w:rPr>
          <w:rFonts w:ascii="Arial Narrow" w:hAnsi="Arial Narrow"/>
          <w:sz w:val="18"/>
          <w:szCs w:val="18"/>
        </w:rPr>
      </w:pPr>
      <w:r w:rsidRPr="001D4EB9">
        <w:rPr>
          <w:rFonts w:ascii="Arial Narrow" w:hAnsi="Arial Narrow"/>
          <w:sz w:val="18"/>
          <w:szCs w:val="18"/>
        </w:rPr>
        <w:t>Source: Table 2.24, p 81 of the submission.</w:t>
      </w:r>
    </w:p>
    <w:p w:rsidR="007820BC" w:rsidRPr="001D4EB9" w:rsidRDefault="007820BC" w:rsidP="00621014">
      <w:pPr>
        <w:widowControl/>
        <w:rPr>
          <w:rFonts w:ascii="Arial Narrow" w:hAnsi="Arial Narrow"/>
          <w:sz w:val="18"/>
          <w:szCs w:val="18"/>
        </w:rPr>
      </w:pPr>
      <w:r w:rsidRPr="001D4EB9">
        <w:rPr>
          <w:rFonts w:ascii="Arial Narrow" w:hAnsi="Arial Narrow"/>
          <w:sz w:val="18"/>
          <w:szCs w:val="18"/>
        </w:rPr>
        <w:t xml:space="preserve">bDRV = boosted darunavir; CAR = current antiretroviral; CI = confidence interval; HIV = human immunodeficiency virus; ITT = intention to treat analysis; RNA = ribonucleic acid </w:t>
      </w:r>
    </w:p>
    <w:p w:rsidR="007820BC" w:rsidRPr="001D4EB9" w:rsidRDefault="007820BC" w:rsidP="00621014">
      <w:pPr>
        <w:widowControl/>
        <w:rPr>
          <w:rFonts w:ascii="Arial Narrow" w:hAnsi="Arial Narrow"/>
          <w:sz w:val="18"/>
          <w:szCs w:val="18"/>
        </w:rPr>
      </w:pPr>
      <w:r w:rsidRPr="001D4EB9">
        <w:rPr>
          <w:rFonts w:ascii="Arial Narrow" w:hAnsi="Arial Narrow"/>
          <w:sz w:val="18"/>
          <w:szCs w:val="18"/>
        </w:rPr>
        <w:t xml:space="preserve">p-value based on the relative risk </w:t>
      </w:r>
    </w:p>
    <w:p w:rsidR="0010463E" w:rsidRPr="001D4EB9" w:rsidRDefault="0010463E" w:rsidP="00621014">
      <w:pPr>
        <w:widowControl/>
      </w:pPr>
    </w:p>
    <w:p w:rsidR="0010463E" w:rsidRPr="001D4EB9" w:rsidRDefault="0010463E" w:rsidP="00621014">
      <w:pPr>
        <w:pStyle w:val="ListParagraph"/>
        <w:widowControl/>
        <w:numPr>
          <w:ilvl w:val="1"/>
          <w:numId w:val="1"/>
        </w:numPr>
      </w:pPr>
      <w:r w:rsidRPr="001D4EB9">
        <w:t>The upper bounds of the difference in proportions were less than 4% in both populations presented and thus met the trial</w:t>
      </w:r>
      <w:r w:rsidR="00BE0C4B" w:rsidRPr="001D4EB9">
        <w:t>’</w:t>
      </w:r>
      <w:r w:rsidRPr="001D4EB9">
        <w:t xml:space="preserve">s non-inferiority margin. </w:t>
      </w:r>
    </w:p>
    <w:p w:rsidR="0010463E" w:rsidRPr="001D4EB9" w:rsidRDefault="00BE0C4B" w:rsidP="00621014">
      <w:pPr>
        <w:pStyle w:val="ListParagraph"/>
        <w:widowControl/>
        <w:numPr>
          <w:ilvl w:val="1"/>
          <w:numId w:val="1"/>
        </w:numPr>
      </w:pPr>
      <w:r w:rsidRPr="001D4EB9">
        <w:lastRenderedPageBreak/>
        <w:t xml:space="preserve">Table 6 </w:t>
      </w:r>
      <w:r w:rsidR="0010463E" w:rsidRPr="001D4EB9">
        <w:t>presents the result of virologic response using the</w:t>
      </w:r>
      <w:r w:rsidR="00420F38" w:rsidRPr="001D4EB9">
        <w:t xml:space="preserve"> US Food and Drug Authority</w:t>
      </w:r>
      <w:r w:rsidR="0010463E" w:rsidRPr="001D4EB9">
        <w:t xml:space="preserve"> </w:t>
      </w:r>
      <w:r w:rsidR="00420F38" w:rsidRPr="001D4EB9">
        <w:t>(</w:t>
      </w:r>
      <w:r w:rsidR="0010463E" w:rsidRPr="001D4EB9">
        <w:t>FDA</w:t>
      </w:r>
      <w:r w:rsidR="00420F38" w:rsidRPr="001D4EB9">
        <w:t>)</w:t>
      </w:r>
      <w:r w:rsidR="0010463E" w:rsidRPr="001D4EB9">
        <w:t xml:space="preserve"> snapshot approach</w:t>
      </w:r>
      <w:r w:rsidRPr="001D4EB9">
        <w:t xml:space="preserve"> in</w:t>
      </w:r>
      <w:r w:rsidR="0010463E" w:rsidRPr="001D4EB9">
        <w:t xml:space="preserve"> the three trials.</w:t>
      </w:r>
    </w:p>
    <w:p w:rsidR="0010463E" w:rsidRPr="001D4EB9" w:rsidRDefault="0010463E" w:rsidP="00621014">
      <w:pPr>
        <w:pStyle w:val="TableText0"/>
        <w:rPr>
          <w:rStyle w:val="CommentReference"/>
        </w:rPr>
      </w:pPr>
      <w:bookmarkStart w:id="18" w:name="_Ref18937271"/>
      <w:r w:rsidRPr="001D4EB9">
        <w:rPr>
          <w:rStyle w:val="CommentReference"/>
        </w:rPr>
        <w:t xml:space="preserve">Table </w:t>
      </w:r>
      <w:r w:rsidR="00FE6890" w:rsidRPr="001D4EB9">
        <w:rPr>
          <w:rStyle w:val="CommentReference"/>
          <w:color w:val="000000" w:themeColor="text1"/>
        </w:rPr>
        <w:t>6</w:t>
      </w:r>
      <w:bookmarkEnd w:id="18"/>
      <w:r w:rsidRPr="001D4EB9">
        <w:rPr>
          <w:rStyle w:val="CommentReference"/>
        </w:rPr>
        <w:t>: Proportion of Virologic response (&lt;50 copies/mL) through Week 48 using FDA snapshot approach</w:t>
      </w:r>
    </w:p>
    <w:tbl>
      <w:tblPr>
        <w:tblStyle w:val="TableStyle"/>
        <w:tblW w:w="5000" w:type="pct"/>
        <w:tblLook w:val="04A0" w:firstRow="1" w:lastRow="0" w:firstColumn="1" w:lastColumn="0" w:noHBand="0" w:noVBand="1"/>
        <w:tblCaption w:val="Table 6: Proportion of Virologic response (&lt;50 copies/mL) through Week 48 using FDA snapshot approach"/>
      </w:tblPr>
      <w:tblGrid>
        <w:gridCol w:w="2408"/>
        <w:gridCol w:w="1825"/>
        <w:gridCol w:w="1827"/>
        <w:gridCol w:w="1958"/>
        <w:gridCol w:w="999"/>
      </w:tblGrid>
      <w:tr w:rsidR="00BE0C4B"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vAlign w:val="center"/>
          </w:tcPr>
          <w:p w:rsidR="00BE0C4B" w:rsidRPr="001D4EB9" w:rsidRDefault="00BE0C4B" w:rsidP="00621014">
            <w:pPr>
              <w:pStyle w:val="Tabletext"/>
              <w:keepNext/>
              <w:spacing w:before="0" w:after="0"/>
              <w:rPr>
                <w:lang w:val="en-AU"/>
              </w:rPr>
            </w:pPr>
            <w:r w:rsidRPr="001D4EB9">
              <w:rPr>
                <w:lang w:val="en-AU"/>
              </w:rPr>
              <w:t>Trial</w:t>
            </w:r>
          </w:p>
        </w:tc>
        <w:tc>
          <w:tcPr>
            <w:tcW w:w="1012" w:type="pct"/>
            <w:vAlign w:val="center"/>
          </w:tcPr>
          <w:p w:rsidR="00BE0C4B" w:rsidRPr="001D4EB9" w:rsidRDefault="00BE0C4B" w:rsidP="00621014">
            <w:pPr>
              <w:pStyle w:val="Tabletext"/>
              <w:keepNext/>
              <w:spacing w:before="0" w:after="0"/>
              <w:jc w:val="center"/>
              <w:rPr>
                <w:lang w:val="en-AU"/>
              </w:rPr>
            </w:pPr>
            <w:r w:rsidRPr="001D4EB9">
              <w:rPr>
                <w:lang w:val="en-AU"/>
              </w:rPr>
              <w:t>Symtuza; n/N (%)</w:t>
            </w:r>
          </w:p>
        </w:tc>
        <w:tc>
          <w:tcPr>
            <w:tcW w:w="1013" w:type="pct"/>
            <w:vAlign w:val="center"/>
          </w:tcPr>
          <w:p w:rsidR="00BE0C4B" w:rsidRPr="001D4EB9" w:rsidRDefault="00BE0C4B" w:rsidP="00621014">
            <w:pPr>
              <w:pStyle w:val="Tabletext"/>
              <w:keepNext/>
              <w:spacing w:before="0" w:after="0"/>
              <w:jc w:val="center"/>
              <w:rPr>
                <w:lang w:val="en-AU"/>
              </w:rPr>
            </w:pPr>
            <w:r w:rsidRPr="001D4EB9">
              <w:rPr>
                <w:lang w:val="en-AU"/>
              </w:rPr>
              <w:t>CAR; n/N (%)</w:t>
            </w:r>
          </w:p>
        </w:tc>
        <w:tc>
          <w:tcPr>
            <w:tcW w:w="1086" w:type="pct"/>
            <w:vAlign w:val="center"/>
          </w:tcPr>
          <w:p w:rsidR="00BE0C4B" w:rsidRPr="001D4EB9" w:rsidRDefault="00BE0C4B" w:rsidP="00621014">
            <w:pPr>
              <w:pStyle w:val="Tabletext"/>
              <w:keepNext/>
              <w:spacing w:before="0" w:after="0"/>
              <w:jc w:val="center"/>
              <w:rPr>
                <w:lang w:val="en-AU"/>
              </w:rPr>
            </w:pPr>
            <w:r w:rsidRPr="001D4EB9">
              <w:rPr>
                <w:lang w:val="en-AU"/>
              </w:rPr>
              <w:t>Difference in Proportions (95% CI)</w:t>
            </w:r>
          </w:p>
        </w:tc>
        <w:tc>
          <w:tcPr>
            <w:tcW w:w="555" w:type="pct"/>
            <w:vAlign w:val="center"/>
          </w:tcPr>
          <w:p w:rsidR="00BE0C4B" w:rsidRPr="001D4EB9" w:rsidRDefault="00BE0C4B" w:rsidP="00621014">
            <w:pPr>
              <w:pStyle w:val="Tabletext"/>
              <w:keepNext/>
              <w:spacing w:before="0" w:after="0"/>
              <w:jc w:val="center"/>
              <w:rPr>
                <w:lang w:val="en-AU"/>
              </w:rPr>
            </w:pPr>
            <w:r w:rsidRPr="001D4EB9">
              <w:rPr>
                <w:lang w:val="en-AU"/>
              </w:rPr>
              <w:t>P value</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5000" w:type="pct"/>
            <w:gridSpan w:val="5"/>
          </w:tcPr>
          <w:p w:rsidR="0010463E" w:rsidRPr="009335CF" w:rsidRDefault="0010463E" w:rsidP="00621014">
            <w:pPr>
              <w:pStyle w:val="Tabletext"/>
              <w:keepNext/>
              <w:spacing w:before="0" w:after="0"/>
              <w:rPr>
                <w:b w:val="0"/>
                <w:bCs/>
                <w:lang w:val="en-AU"/>
              </w:rPr>
            </w:pPr>
            <w:r w:rsidRPr="009335CF">
              <w:rPr>
                <w:b w:val="0"/>
                <w:bCs/>
                <w:lang w:val="en-AU"/>
              </w:rPr>
              <w:t>Treatment experienced</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tcPr>
          <w:p w:rsidR="0010463E" w:rsidRPr="009335CF" w:rsidRDefault="0010463E" w:rsidP="00621014">
            <w:pPr>
              <w:pStyle w:val="Tabletext"/>
              <w:keepNext/>
              <w:spacing w:before="0" w:after="0"/>
              <w:rPr>
                <w:b w:val="0"/>
                <w:bCs/>
                <w:lang w:val="en-AU"/>
              </w:rPr>
            </w:pPr>
            <w:r w:rsidRPr="009335CF">
              <w:rPr>
                <w:b w:val="0"/>
                <w:bCs/>
                <w:lang w:val="en-AU"/>
              </w:rPr>
              <w:t>EMERALD (DRV patients)</w:t>
            </w:r>
          </w:p>
        </w:tc>
        <w:tc>
          <w:tcPr>
            <w:tcW w:w="1012"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518/537 (96.5)</w:t>
            </w:r>
          </w:p>
        </w:tc>
        <w:tc>
          <w:tcPr>
            <w:tcW w:w="1013"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252/266 (94.7)</w:t>
            </w:r>
          </w:p>
        </w:tc>
        <w:tc>
          <w:tcPr>
            <w:tcW w:w="1086"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1.7 (-1.2, 5.4)</w:t>
            </w:r>
          </w:p>
        </w:tc>
        <w:tc>
          <w:tcPr>
            <w:tcW w:w="555"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NR</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tcPr>
          <w:p w:rsidR="0010463E" w:rsidRPr="009335CF" w:rsidRDefault="0010463E" w:rsidP="00621014">
            <w:pPr>
              <w:pStyle w:val="Tabletext"/>
              <w:keepNext/>
              <w:spacing w:before="0" w:after="0"/>
              <w:rPr>
                <w:b w:val="0"/>
                <w:bCs/>
                <w:lang w:val="en-AU"/>
              </w:rPr>
            </w:pPr>
            <w:r w:rsidRPr="009335CF">
              <w:rPr>
                <w:b w:val="0"/>
                <w:bCs/>
                <w:lang w:val="en-AU"/>
              </w:rPr>
              <w:t>EMERALD (ITT)</w:t>
            </w:r>
          </w:p>
        </w:tc>
        <w:tc>
          <w:tcPr>
            <w:tcW w:w="1012"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724/763 (94.9)</w:t>
            </w:r>
          </w:p>
        </w:tc>
        <w:tc>
          <w:tcPr>
            <w:tcW w:w="1013"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354/378 (93.7)</w:t>
            </w:r>
          </w:p>
        </w:tc>
        <w:tc>
          <w:tcPr>
            <w:tcW w:w="1086"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1.2 (-1.7, 4.2)</w:t>
            </w:r>
          </w:p>
        </w:tc>
        <w:tc>
          <w:tcPr>
            <w:tcW w:w="555"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NR</w:t>
            </w:r>
          </w:p>
        </w:tc>
      </w:tr>
      <w:tr w:rsidR="00BE0C4B"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tcPr>
          <w:p w:rsidR="00BE0C4B" w:rsidRPr="009335CF" w:rsidRDefault="00BE0C4B" w:rsidP="00621014">
            <w:pPr>
              <w:pStyle w:val="Tabletext"/>
              <w:keepNext/>
              <w:spacing w:before="0" w:after="0"/>
              <w:rPr>
                <w:b w:val="0"/>
                <w:bCs/>
                <w:lang w:val="en-AU"/>
              </w:rPr>
            </w:pPr>
          </w:p>
        </w:tc>
        <w:tc>
          <w:tcPr>
            <w:tcW w:w="1012" w:type="pct"/>
            <w:vAlign w:val="center"/>
          </w:tcPr>
          <w:p w:rsidR="00BE0C4B" w:rsidRPr="009335CF" w:rsidRDefault="00BE0C4B" w:rsidP="00621014">
            <w:pPr>
              <w:pStyle w:val="Tabletext"/>
              <w:keepNext/>
              <w:spacing w:before="0" w:after="0"/>
              <w:jc w:val="center"/>
              <w:rPr>
                <w:lang w:val="en-AU"/>
              </w:rPr>
            </w:pPr>
            <w:r w:rsidRPr="009335CF">
              <w:rPr>
                <w:lang w:val="en-AU"/>
              </w:rPr>
              <w:t>Symtuza; n/N (%)</w:t>
            </w:r>
          </w:p>
        </w:tc>
        <w:tc>
          <w:tcPr>
            <w:tcW w:w="1013" w:type="pct"/>
            <w:vAlign w:val="center"/>
          </w:tcPr>
          <w:p w:rsidR="00151B40" w:rsidRPr="009335CF" w:rsidRDefault="00151B40" w:rsidP="00621014">
            <w:pPr>
              <w:pStyle w:val="Tabletext"/>
              <w:keepNext/>
              <w:spacing w:before="0" w:after="0"/>
              <w:jc w:val="center"/>
              <w:rPr>
                <w:lang w:val="en-AU"/>
              </w:rPr>
            </w:pPr>
            <w:r w:rsidRPr="009335CF">
              <w:rPr>
                <w:lang w:val="en-AU"/>
              </w:rPr>
              <w:t xml:space="preserve">Prezcobix + Truvada </w:t>
            </w:r>
          </w:p>
          <w:p w:rsidR="00BE0C4B" w:rsidRPr="009335CF" w:rsidRDefault="00151B40" w:rsidP="00621014">
            <w:pPr>
              <w:pStyle w:val="Tabletext"/>
              <w:keepNext/>
              <w:spacing w:before="0" w:after="0"/>
              <w:jc w:val="center"/>
              <w:rPr>
                <w:lang w:val="en-AU"/>
              </w:rPr>
            </w:pPr>
            <w:r w:rsidRPr="009335CF">
              <w:rPr>
                <w:lang w:val="en-AU"/>
              </w:rPr>
              <w:t>n/N (%)</w:t>
            </w:r>
          </w:p>
        </w:tc>
        <w:tc>
          <w:tcPr>
            <w:tcW w:w="1086" w:type="pct"/>
            <w:vAlign w:val="center"/>
          </w:tcPr>
          <w:p w:rsidR="00BE0C4B" w:rsidRPr="009335CF" w:rsidRDefault="00BE0C4B" w:rsidP="00621014">
            <w:pPr>
              <w:pStyle w:val="Tabletext"/>
              <w:keepNext/>
              <w:spacing w:before="0" w:after="0"/>
              <w:jc w:val="center"/>
              <w:rPr>
                <w:lang w:val="en-AU"/>
              </w:rPr>
            </w:pPr>
            <w:r w:rsidRPr="009335CF">
              <w:rPr>
                <w:lang w:val="en-AU"/>
              </w:rPr>
              <w:t>Difference in Proportions (95% CI)</w:t>
            </w:r>
          </w:p>
        </w:tc>
        <w:tc>
          <w:tcPr>
            <w:tcW w:w="555" w:type="pct"/>
            <w:vAlign w:val="center"/>
          </w:tcPr>
          <w:p w:rsidR="00BE0C4B" w:rsidRPr="009335CF" w:rsidRDefault="00BE0C4B" w:rsidP="00621014">
            <w:pPr>
              <w:pStyle w:val="Tabletext"/>
              <w:keepNext/>
              <w:spacing w:before="0" w:after="0"/>
              <w:jc w:val="center"/>
              <w:rPr>
                <w:lang w:val="en-AU"/>
              </w:rPr>
            </w:pPr>
            <w:r w:rsidRPr="009335CF">
              <w:rPr>
                <w:lang w:val="en-AU"/>
              </w:rPr>
              <w:t>P value</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5000" w:type="pct"/>
            <w:gridSpan w:val="5"/>
          </w:tcPr>
          <w:p w:rsidR="0010463E" w:rsidRPr="009335CF" w:rsidRDefault="0010463E" w:rsidP="00621014">
            <w:pPr>
              <w:pStyle w:val="Tabletext"/>
              <w:keepNext/>
              <w:spacing w:before="0" w:after="0"/>
              <w:rPr>
                <w:b w:val="0"/>
                <w:bCs/>
                <w:lang w:val="en-AU"/>
              </w:rPr>
            </w:pPr>
            <w:r w:rsidRPr="009335CF">
              <w:rPr>
                <w:b w:val="0"/>
                <w:bCs/>
                <w:lang w:val="en-AU"/>
              </w:rPr>
              <w:t xml:space="preserve">Treatment </w:t>
            </w:r>
            <w:r w:rsidR="008F62D9" w:rsidRPr="009335CF">
              <w:rPr>
                <w:b w:val="0"/>
                <w:bCs/>
                <w:lang w:val="en-AU"/>
              </w:rPr>
              <w:t>naïve</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tcPr>
          <w:p w:rsidR="0010463E" w:rsidRPr="009335CF" w:rsidRDefault="0010463E" w:rsidP="00621014">
            <w:pPr>
              <w:pStyle w:val="Tabletext"/>
              <w:keepNext/>
              <w:spacing w:before="0" w:after="0"/>
              <w:rPr>
                <w:b w:val="0"/>
                <w:bCs/>
                <w:lang w:val="en-AU"/>
              </w:rPr>
            </w:pPr>
            <w:r w:rsidRPr="009335CF">
              <w:rPr>
                <w:b w:val="0"/>
                <w:bCs/>
                <w:lang w:val="en-AU"/>
              </w:rPr>
              <w:t>AMBER</w:t>
            </w:r>
          </w:p>
        </w:tc>
        <w:tc>
          <w:tcPr>
            <w:tcW w:w="1012"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331/362 (91.4)</w:t>
            </w:r>
          </w:p>
        </w:tc>
        <w:tc>
          <w:tcPr>
            <w:tcW w:w="1013"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321/363 (88.4)</w:t>
            </w:r>
          </w:p>
        </w:tc>
        <w:tc>
          <w:tcPr>
            <w:tcW w:w="1086"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2.7 (-1.6, 7.1)</w:t>
            </w:r>
          </w:p>
        </w:tc>
        <w:tc>
          <w:tcPr>
            <w:tcW w:w="555"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&lt;0.001</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tcPr>
          <w:p w:rsidR="0010463E" w:rsidRPr="009335CF" w:rsidRDefault="0010463E" w:rsidP="00621014">
            <w:pPr>
              <w:pStyle w:val="Tabletext"/>
              <w:keepNext/>
              <w:spacing w:before="0" w:after="0"/>
              <w:rPr>
                <w:b w:val="0"/>
                <w:bCs/>
                <w:lang w:val="en-AU"/>
              </w:rPr>
            </w:pPr>
            <w:r w:rsidRPr="009335CF">
              <w:rPr>
                <w:b w:val="0"/>
                <w:bCs/>
                <w:lang w:val="en-AU"/>
              </w:rPr>
              <w:t>Mills 2015</w:t>
            </w:r>
          </w:p>
        </w:tc>
        <w:tc>
          <w:tcPr>
            <w:tcW w:w="1012"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77/103 (74.8)</w:t>
            </w:r>
          </w:p>
        </w:tc>
        <w:tc>
          <w:tcPr>
            <w:tcW w:w="1013"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37/50 (74.0)</w:t>
            </w:r>
          </w:p>
        </w:tc>
        <w:tc>
          <w:tcPr>
            <w:tcW w:w="1086"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3.3 (-11.4, 0.155)</w:t>
            </w:r>
          </w:p>
        </w:tc>
        <w:tc>
          <w:tcPr>
            <w:tcW w:w="555"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0.64</w:t>
            </w:r>
          </w:p>
        </w:tc>
      </w:tr>
      <w:tr w:rsidR="0010463E" w:rsidRPr="001D4EB9" w:rsidTr="009335CF">
        <w:trPr>
          <w:cnfStyle w:val="100000000000" w:firstRow="1" w:lastRow="0" w:firstColumn="0" w:lastColumn="0" w:oddVBand="0" w:evenVBand="0" w:oddHBand="0" w:evenHBand="0" w:firstRowFirstColumn="0" w:firstRowLastColumn="0" w:lastRowFirstColumn="0" w:lastRowLastColumn="0"/>
          <w:tblHeader/>
        </w:trPr>
        <w:tc>
          <w:tcPr>
            <w:tcW w:w="1335" w:type="pct"/>
          </w:tcPr>
          <w:p w:rsidR="0010463E" w:rsidRPr="009335CF" w:rsidRDefault="0010463E" w:rsidP="00621014">
            <w:pPr>
              <w:pStyle w:val="Tabletext"/>
              <w:keepNext/>
              <w:spacing w:before="0" w:after="0"/>
              <w:rPr>
                <w:b w:val="0"/>
                <w:bCs/>
                <w:lang w:val="en-AU"/>
              </w:rPr>
            </w:pPr>
            <w:r w:rsidRPr="009335CF">
              <w:rPr>
                <w:b w:val="0"/>
                <w:bCs/>
                <w:lang w:val="en-AU"/>
              </w:rPr>
              <w:t>POOLED AMBER/Mills 2015</w:t>
            </w:r>
          </w:p>
        </w:tc>
        <w:tc>
          <w:tcPr>
            <w:tcW w:w="1012"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408/465 (87.7)</w:t>
            </w:r>
          </w:p>
        </w:tc>
        <w:tc>
          <w:tcPr>
            <w:tcW w:w="1013"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358/413 (86.7)</w:t>
            </w:r>
          </w:p>
        </w:tc>
        <w:tc>
          <w:tcPr>
            <w:tcW w:w="1086"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1.1 (-3.4, 5.5)</w:t>
            </w:r>
          </w:p>
        </w:tc>
        <w:tc>
          <w:tcPr>
            <w:tcW w:w="555" w:type="pct"/>
            <w:vAlign w:val="center"/>
          </w:tcPr>
          <w:p w:rsidR="0010463E" w:rsidRPr="009335CF" w:rsidRDefault="0010463E" w:rsidP="00621014">
            <w:pPr>
              <w:pStyle w:val="Tabletext"/>
              <w:keepNext/>
              <w:spacing w:before="0" w:after="0"/>
              <w:jc w:val="center"/>
              <w:rPr>
                <w:b w:val="0"/>
                <w:bCs/>
                <w:lang w:val="en-AU"/>
              </w:rPr>
            </w:pPr>
            <w:r w:rsidRPr="009335CF">
              <w:rPr>
                <w:b w:val="0"/>
                <w:bCs/>
                <w:lang w:val="en-AU"/>
              </w:rPr>
              <w:t>0.68</w:t>
            </w:r>
          </w:p>
        </w:tc>
      </w:tr>
    </w:tbl>
    <w:p w:rsidR="0010463E" w:rsidRPr="001D4EB9" w:rsidRDefault="0010463E" w:rsidP="00621014">
      <w:pPr>
        <w:pStyle w:val="TableFooter"/>
        <w:keepNext/>
        <w:widowControl/>
      </w:pPr>
      <w:r w:rsidRPr="001D4EB9">
        <w:t xml:space="preserve">Source: Table 2-25 of the submission. </w:t>
      </w:r>
    </w:p>
    <w:p w:rsidR="0010463E" w:rsidRPr="001D4EB9" w:rsidRDefault="0010463E" w:rsidP="00621014">
      <w:pPr>
        <w:pStyle w:val="TableFooter"/>
        <w:keepNext/>
        <w:widowControl/>
      </w:pPr>
      <w:r w:rsidRPr="001D4EB9">
        <w:t>CAR = current anti-retroviral therapy; CI = confidence interval</w:t>
      </w:r>
      <w:r w:rsidR="00B85F73" w:rsidRPr="001D4EB9">
        <w:t xml:space="preserve">; DRV </w:t>
      </w:r>
      <w:r w:rsidRPr="001D4EB9">
        <w:t>= darunavir; FDA = food and drug administration; ITT = intention to treat; NR = not reported</w:t>
      </w:r>
    </w:p>
    <w:p w:rsidR="0010463E" w:rsidRPr="001D4EB9" w:rsidRDefault="0010463E" w:rsidP="00621014">
      <w:pPr>
        <w:pStyle w:val="TableFooter"/>
        <w:keepNext/>
        <w:widowControl/>
      </w:pPr>
      <w:r w:rsidRPr="001D4EB9">
        <w:t xml:space="preserve">p-value based on the relative risk; Virologic response was not the primary outcome of the EMERALD trial but included here for consistency </w:t>
      </w:r>
    </w:p>
    <w:p w:rsidR="0010463E" w:rsidRPr="001D4EB9" w:rsidRDefault="0010463E" w:rsidP="00621014">
      <w:pPr>
        <w:widowControl/>
      </w:pPr>
    </w:p>
    <w:p w:rsidR="0010463E" w:rsidRPr="001D4EB9" w:rsidRDefault="00151B40" w:rsidP="00621014">
      <w:pPr>
        <w:pStyle w:val="ListParagraph"/>
        <w:widowControl/>
        <w:numPr>
          <w:ilvl w:val="1"/>
          <w:numId w:val="1"/>
        </w:numPr>
      </w:pPr>
      <w:r w:rsidRPr="001D4EB9">
        <w:t>The lower bound</w:t>
      </w:r>
      <w:r w:rsidR="00E9743D" w:rsidRPr="001D4EB9">
        <w:t>s</w:t>
      </w:r>
      <w:r w:rsidRPr="001D4EB9">
        <w:t xml:space="preserve"> of the 95% CI </w:t>
      </w:r>
      <w:r w:rsidR="0010463E" w:rsidRPr="001D4EB9">
        <w:t>for the differences in proporti</w:t>
      </w:r>
      <w:r w:rsidRPr="001D4EB9">
        <w:t>ons of virologic response were</w:t>
      </w:r>
      <w:r w:rsidR="00337ECC" w:rsidRPr="001D4EB9">
        <w:t xml:space="preserve"> outside</w:t>
      </w:r>
      <w:r w:rsidR="0010463E" w:rsidRPr="001D4EB9">
        <w:t xml:space="preserve"> the pre-specified non-inferiority margin of -10% to -12% in the EMERALD and AMBER trials</w:t>
      </w:r>
      <w:r w:rsidR="00BE0C4B" w:rsidRPr="001D4EB9">
        <w:t>,</w:t>
      </w:r>
      <w:r w:rsidR="0010463E" w:rsidRPr="001D4EB9">
        <w:t xml:space="preserve"> </w:t>
      </w:r>
      <w:r w:rsidR="00BE0C4B" w:rsidRPr="001D4EB9">
        <w:t>thus the non-inferiority criteria were met. The lower bound of the 95% CI in Mills 2015 was -11.4% which did not meet the -10% non-inferiority criterion but</w:t>
      </w:r>
      <w:r w:rsidR="006E5A09" w:rsidRPr="001D4EB9">
        <w:t>,</w:t>
      </w:r>
      <w:r w:rsidR="00BE0C4B" w:rsidRPr="001D4EB9">
        <w:t xml:space="preserve"> given the context, is likely due</w:t>
      </w:r>
      <w:r w:rsidR="00E9743D" w:rsidRPr="001D4EB9">
        <w:t xml:space="preserve"> to</w:t>
      </w:r>
      <w:r w:rsidR="00BE0C4B" w:rsidRPr="001D4EB9">
        <w:t xml:space="preserve"> the smaller sample size.</w:t>
      </w:r>
    </w:p>
    <w:p w:rsidR="00151B40" w:rsidRPr="001D4EB9" w:rsidRDefault="00151B40" w:rsidP="00621014">
      <w:pPr>
        <w:pStyle w:val="ListParagraph"/>
        <w:widowControl/>
        <w:numPr>
          <w:ilvl w:val="1"/>
          <w:numId w:val="1"/>
        </w:numPr>
        <w:rPr>
          <w:rStyle w:val="CommentReference"/>
          <w:rFonts w:ascii="Calibri" w:hAnsi="Calibri"/>
          <w:b w:val="0"/>
          <w:sz w:val="24"/>
          <w:szCs w:val="22"/>
        </w:rPr>
      </w:pPr>
      <w:r w:rsidRPr="001D4EB9">
        <w:t>Change in CD4 count</w:t>
      </w:r>
      <w:r w:rsidR="00E9743D" w:rsidRPr="001D4EB9">
        <w:t xml:space="preserve"> from baseline</w:t>
      </w:r>
      <w:r w:rsidRPr="001D4EB9">
        <w:t xml:space="preserve"> showed no statistically significant differences between arms in any of the trials.</w:t>
      </w:r>
    </w:p>
    <w:p w:rsidR="0010463E" w:rsidRPr="001D4EB9" w:rsidRDefault="0010463E" w:rsidP="00621014">
      <w:pPr>
        <w:pStyle w:val="Heading2"/>
        <w:widowControl/>
        <w:rPr>
          <w:i w:val="0"/>
        </w:rPr>
      </w:pPr>
      <w:bookmarkStart w:id="19" w:name="_Toc19538904"/>
      <w:r w:rsidRPr="001D4EB9">
        <w:rPr>
          <w:i w:val="0"/>
        </w:rPr>
        <w:t>Comparative harms</w:t>
      </w:r>
      <w:bookmarkEnd w:id="19"/>
    </w:p>
    <w:p w:rsidR="0010463E" w:rsidRPr="001D4EB9" w:rsidRDefault="0010463E" w:rsidP="00621014">
      <w:pPr>
        <w:pStyle w:val="ListParagraph"/>
        <w:widowControl/>
        <w:numPr>
          <w:ilvl w:val="1"/>
          <w:numId w:val="1"/>
        </w:numPr>
      </w:pPr>
      <w:r w:rsidRPr="001D4EB9">
        <w:t xml:space="preserve">Overall, the AEs in the trials were similar between the Symtuza and comparator arms. </w:t>
      </w:r>
    </w:p>
    <w:p w:rsidR="007820BC" w:rsidRPr="001D4EB9" w:rsidRDefault="007820BC" w:rsidP="00621014">
      <w:pPr>
        <w:pStyle w:val="ListParagraph"/>
        <w:widowControl/>
        <w:numPr>
          <w:ilvl w:val="1"/>
          <w:numId w:val="1"/>
        </w:numPr>
        <w:spacing w:after="0"/>
      </w:pPr>
      <w:r w:rsidRPr="001D4EB9">
        <w:t xml:space="preserve">A significantly higher incidence of the following any grade treatment emergent adverse events (TEAEs) was observed for Symtuza compared with CAR and Prezcobix + Truvada: </w:t>
      </w:r>
    </w:p>
    <w:p w:rsidR="007820BC" w:rsidRPr="001D4EB9" w:rsidRDefault="009F0E82" w:rsidP="00621014">
      <w:pPr>
        <w:pStyle w:val="ListParagraph"/>
        <w:widowControl/>
        <w:numPr>
          <w:ilvl w:val="0"/>
          <w:numId w:val="5"/>
        </w:numPr>
        <w:spacing w:after="0"/>
        <w:ind w:left="1077" w:hanging="357"/>
      </w:pPr>
      <w:r w:rsidRPr="001D4EB9">
        <w:t>diarrhoea</w:t>
      </w:r>
      <w:r w:rsidR="007820BC" w:rsidRPr="001D4EB9">
        <w:t xml:space="preserve"> (EMERALD: 7.9% vs 4.2%, R</w:t>
      </w:r>
      <w:r w:rsidR="006E5A09" w:rsidRPr="001D4EB9">
        <w:t>R</w:t>
      </w:r>
      <w:r w:rsidR="007820BC" w:rsidRPr="001D4EB9">
        <w:t>= 1.86 [95% CI: 1.09, 3.18]), and</w:t>
      </w:r>
    </w:p>
    <w:p w:rsidR="007820BC" w:rsidRPr="001D4EB9" w:rsidRDefault="007820BC" w:rsidP="00621014">
      <w:pPr>
        <w:pStyle w:val="ListParagraph"/>
        <w:widowControl/>
        <w:numPr>
          <w:ilvl w:val="0"/>
          <w:numId w:val="5"/>
        </w:numPr>
        <w:spacing w:after="0"/>
        <w:ind w:left="1077" w:hanging="357"/>
      </w:pPr>
      <w:r w:rsidRPr="001D4EB9">
        <w:t>headache (EMERALD: 7.6% vs 4.2%, RR=1.80 [95% CI: 1.05, 3.08]).</w:t>
      </w:r>
    </w:p>
    <w:p w:rsidR="0010463E" w:rsidRPr="001D4EB9" w:rsidRDefault="0010463E" w:rsidP="00621014">
      <w:pPr>
        <w:widowControl/>
      </w:pPr>
    </w:p>
    <w:p w:rsidR="007820BC" w:rsidRPr="001D4EB9" w:rsidRDefault="007820BC" w:rsidP="00621014">
      <w:pPr>
        <w:pStyle w:val="ListParagraph"/>
        <w:widowControl/>
        <w:numPr>
          <w:ilvl w:val="1"/>
          <w:numId w:val="1"/>
        </w:numPr>
      </w:pPr>
      <w:r w:rsidRPr="001D4EB9">
        <w:t>A significantly lower incidence of nausea (AMBER: 7.7% vs 12.4%, RR=0.62 [95% CI: 0.40, 0.98]) and vitamin D deficiency (Mills 2015, 1.9% vs 10%, RR=0.19 [95% CI: 0.04, 0.97]) was observed in the Symtuza arm.</w:t>
      </w:r>
    </w:p>
    <w:p w:rsidR="0010463E" w:rsidRPr="001D4EB9" w:rsidRDefault="00BE0C4B" w:rsidP="00621014">
      <w:pPr>
        <w:pStyle w:val="ListParagraph"/>
        <w:widowControl/>
        <w:numPr>
          <w:ilvl w:val="1"/>
          <w:numId w:val="1"/>
        </w:numPr>
      </w:pPr>
      <w:r w:rsidRPr="001D4EB9">
        <w:t xml:space="preserve">Table 7 </w:t>
      </w:r>
      <w:r w:rsidR="0010463E" w:rsidRPr="001D4EB9">
        <w:t>presents a summary of adverse events in the randomised trials</w:t>
      </w:r>
      <w:r w:rsidR="00151B40" w:rsidRPr="001D4EB9">
        <w:t>.</w:t>
      </w:r>
      <w:r w:rsidR="006E3DC4" w:rsidRPr="001D4EB9">
        <w:t xml:space="preserve"> Though the trial evidence did indicate small statistical differences in some AEs, the evidence generally supported a claim of non-inferior safety.</w:t>
      </w:r>
    </w:p>
    <w:p w:rsidR="0010463E" w:rsidRPr="001D4EB9" w:rsidRDefault="0010463E" w:rsidP="00621014">
      <w:pPr>
        <w:pStyle w:val="Tabletext"/>
        <w:keepNext/>
        <w:rPr>
          <w:b/>
        </w:rPr>
      </w:pPr>
      <w:bookmarkStart w:id="20" w:name="_Ref18937405"/>
      <w:r w:rsidRPr="001D4EB9">
        <w:rPr>
          <w:rStyle w:val="CommentReference"/>
        </w:rPr>
        <w:lastRenderedPageBreak/>
        <w:t xml:space="preserve">Table </w:t>
      </w:r>
      <w:r w:rsidR="00FE6890" w:rsidRPr="001D4EB9">
        <w:rPr>
          <w:rStyle w:val="CommentReference"/>
        </w:rPr>
        <w:t>7</w:t>
      </w:r>
      <w:bookmarkEnd w:id="20"/>
      <w:r w:rsidRPr="001D4EB9">
        <w:rPr>
          <w:rStyle w:val="CommentReference"/>
        </w:rPr>
        <w:t xml:space="preserve">: </w:t>
      </w:r>
      <w:r w:rsidRPr="001D4EB9">
        <w:rPr>
          <w:b/>
        </w:rPr>
        <w:t>Summary of key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key adverse events in the randomised trials"/>
      </w:tblPr>
      <w:tblGrid>
        <w:gridCol w:w="1865"/>
        <w:gridCol w:w="1170"/>
        <w:gridCol w:w="1167"/>
        <w:gridCol w:w="1516"/>
        <w:gridCol w:w="1695"/>
        <w:gridCol w:w="1604"/>
      </w:tblGrid>
      <w:tr w:rsidR="0010463E" w:rsidRPr="001D4EB9" w:rsidTr="003830D9">
        <w:trPr>
          <w:tblHeader/>
        </w:trPr>
        <w:tc>
          <w:tcPr>
            <w:tcW w:w="1880" w:type="dxa"/>
            <w:vAlign w:val="center"/>
          </w:tcPr>
          <w:p w:rsidR="0010463E" w:rsidRPr="001D4EB9" w:rsidRDefault="0010463E" w:rsidP="00621014">
            <w:pPr>
              <w:pStyle w:val="Tabletext"/>
              <w:keepNext/>
              <w:rPr>
                <w:b/>
              </w:rPr>
            </w:pPr>
            <w:r w:rsidRPr="001D4EB9">
              <w:rPr>
                <w:b/>
              </w:rPr>
              <w:t>Trial ID</w:t>
            </w:r>
          </w:p>
        </w:tc>
        <w:tc>
          <w:tcPr>
            <w:tcW w:w="1175" w:type="dxa"/>
            <w:vAlign w:val="center"/>
          </w:tcPr>
          <w:p w:rsidR="0010463E" w:rsidRPr="001D4EB9" w:rsidRDefault="0010463E" w:rsidP="00621014">
            <w:pPr>
              <w:pStyle w:val="Tabletext"/>
              <w:keepNext/>
              <w:jc w:val="center"/>
              <w:rPr>
                <w:b/>
              </w:rPr>
            </w:pPr>
            <w:r w:rsidRPr="001D4EB9">
              <w:rPr>
                <w:b/>
              </w:rPr>
              <w:t>Symtuza</w:t>
            </w:r>
          </w:p>
          <w:p w:rsidR="0010463E" w:rsidRPr="001D4EB9" w:rsidRDefault="0010463E" w:rsidP="00621014">
            <w:pPr>
              <w:pStyle w:val="Tabletext"/>
              <w:keepNext/>
              <w:jc w:val="center"/>
              <w:rPr>
                <w:b/>
              </w:rPr>
            </w:pPr>
            <w:r w:rsidRPr="001D4EB9">
              <w:rPr>
                <w:b/>
              </w:rPr>
              <w:t>n/N (%)</w:t>
            </w:r>
          </w:p>
        </w:tc>
        <w:tc>
          <w:tcPr>
            <w:tcW w:w="1170" w:type="dxa"/>
            <w:vAlign w:val="center"/>
          </w:tcPr>
          <w:p w:rsidR="00BE0C4B" w:rsidRPr="001D4EB9" w:rsidRDefault="0010463E" w:rsidP="00621014">
            <w:pPr>
              <w:pStyle w:val="Tabletext"/>
              <w:keepNext/>
              <w:jc w:val="center"/>
              <w:rPr>
                <w:b/>
              </w:rPr>
            </w:pPr>
            <w:r w:rsidRPr="001D4EB9">
              <w:rPr>
                <w:b/>
              </w:rPr>
              <w:t xml:space="preserve">CAR or </w:t>
            </w:r>
            <w:r w:rsidR="00BE0C4B" w:rsidRPr="001D4EB9">
              <w:rPr>
                <w:b/>
              </w:rPr>
              <w:t xml:space="preserve">Prezcobix + Truvada </w:t>
            </w:r>
          </w:p>
          <w:p w:rsidR="0010463E" w:rsidRPr="001D4EB9" w:rsidRDefault="0010463E" w:rsidP="00621014">
            <w:pPr>
              <w:pStyle w:val="Tabletext"/>
              <w:keepNext/>
              <w:jc w:val="center"/>
              <w:rPr>
                <w:b/>
              </w:rPr>
            </w:pPr>
            <w:r w:rsidRPr="001D4EB9">
              <w:rPr>
                <w:b/>
              </w:rPr>
              <w:t>n/N (%)</w:t>
            </w:r>
          </w:p>
        </w:tc>
        <w:tc>
          <w:tcPr>
            <w:tcW w:w="1530" w:type="dxa"/>
            <w:vAlign w:val="center"/>
          </w:tcPr>
          <w:p w:rsidR="0010463E" w:rsidRPr="001D4EB9" w:rsidRDefault="0010463E" w:rsidP="00621014">
            <w:pPr>
              <w:pStyle w:val="Tabletext"/>
              <w:keepNext/>
              <w:jc w:val="center"/>
              <w:rPr>
                <w:b/>
              </w:rPr>
            </w:pPr>
            <w:r w:rsidRPr="001D4EB9">
              <w:rPr>
                <w:b/>
              </w:rPr>
              <w:t>RR</w:t>
            </w:r>
            <w:r w:rsidR="00BE0C4B" w:rsidRPr="001D4EB9">
              <w:rPr>
                <w:b/>
              </w:rPr>
              <w:t xml:space="preserve"> </w:t>
            </w:r>
            <w:r w:rsidRPr="001D4EB9">
              <w:rPr>
                <w:b/>
              </w:rPr>
              <w:t>(95% CI)</w:t>
            </w:r>
          </w:p>
        </w:tc>
        <w:tc>
          <w:tcPr>
            <w:tcW w:w="1710" w:type="dxa"/>
            <w:vAlign w:val="center"/>
          </w:tcPr>
          <w:p w:rsidR="0010463E" w:rsidRPr="001D4EB9" w:rsidRDefault="0010463E" w:rsidP="00621014">
            <w:pPr>
              <w:pStyle w:val="Tabletext"/>
              <w:keepNext/>
              <w:jc w:val="center"/>
              <w:rPr>
                <w:b/>
              </w:rPr>
            </w:pPr>
            <w:r w:rsidRPr="001D4EB9">
              <w:rPr>
                <w:b/>
              </w:rPr>
              <w:t>OR (95% CI)</w:t>
            </w:r>
          </w:p>
        </w:tc>
        <w:tc>
          <w:tcPr>
            <w:tcW w:w="1620" w:type="dxa"/>
            <w:vAlign w:val="center"/>
          </w:tcPr>
          <w:p w:rsidR="0010463E" w:rsidRPr="001D4EB9" w:rsidRDefault="0010463E" w:rsidP="00621014">
            <w:pPr>
              <w:pStyle w:val="Tabletext"/>
              <w:keepNext/>
              <w:jc w:val="center"/>
              <w:rPr>
                <w:b/>
              </w:rPr>
            </w:pPr>
            <w:r w:rsidRPr="001D4EB9">
              <w:rPr>
                <w:b/>
              </w:rPr>
              <w:t>RD (95% CI)</w:t>
            </w:r>
          </w:p>
        </w:tc>
      </w:tr>
      <w:tr w:rsidR="00BE0C4B" w:rsidRPr="001D4EB9" w:rsidTr="003830D9">
        <w:tc>
          <w:tcPr>
            <w:tcW w:w="9085" w:type="dxa"/>
            <w:gridSpan w:val="6"/>
          </w:tcPr>
          <w:p w:rsidR="00BE0C4B" w:rsidRPr="001D4EB9" w:rsidRDefault="00BE0C4B" w:rsidP="00621014">
            <w:pPr>
              <w:pStyle w:val="Tabletext"/>
              <w:keepNext/>
              <w:rPr>
                <w:b/>
              </w:rPr>
            </w:pPr>
            <w:r w:rsidRPr="001D4EB9">
              <w:rPr>
                <w:b/>
              </w:rPr>
              <w:t>EMERALD</w:t>
            </w:r>
          </w:p>
        </w:tc>
      </w:tr>
      <w:tr w:rsidR="0010463E" w:rsidRPr="001D4EB9" w:rsidTr="003830D9">
        <w:trPr>
          <w:trHeight w:val="70"/>
        </w:trPr>
        <w:tc>
          <w:tcPr>
            <w:tcW w:w="1880" w:type="dxa"/>
          </w:tcPr>
          <w:p w:rsidR="0010463E" w:rsidRPr="001D4EB9" w:rsidRDefault="0010463E" w:rsidP="00621014">
            <w:pPr>
              <w:pStyle w:val="TableText0"/>
              <w:spacing w:before="0" w:after="0"/>
            </w:pPr>
            <w:r w:rsidRPr="001D4EB9">
              <w:t xml:space="preserve">Any adverse event </w:t>
            </w:r>
          </w:p>
        </w:tc>
        <w:tc>
          <w:tcPr>
            <w:tcW w:w="1175" w:type="dxa"/>
            <w:vAlign w:val="center"/>
          </w:tcPr>
          <w:p w:rsidR="0010463E" w:rsidRPr="001D4EB9" w:rsidRDefault="0010463E" w:rsidP="00621014">
            <w:pPr>
              <w:pStyle w:val="TableText0"/>
              <w:spacing w:before="0" w:after="0"/>
              <w:jc w:val="center"/>
            </w:pPr>
            <w:r w:rsidRPr="001D4EB9">
              <w:t>625 (81.9)</w:t>
            </w:r>
          </w:p>
        </w:tc>
        <w:tc>
          <w:tcPr>
            <w:tcW w:w="1170" w:type="dxa"/>
            <w:vAlign w:val="center"/>
          </w:tcPr>
          <w:p w:rsidR="0010463E" w:rsidRPr="001D4EB9" w:rsidRDefault="0010463E" w:rsidP="00621014">
            <w:pPr>
              <w:pStyle w:val="TableText0"/>
              <w:spacing w:before="0" w:after="0"/>
              <w:jc w:val="center"/>
            </w:pPr>
            <w:r w:rsidRPr="001D4EB9">
              <w:t>311 (82.3)</w:t>
            </w:r>
          </w:p>
        </w:tc>
        <w:tc>
          <w:tcPr>
            <w:tcW w:w="1530" w:type="dxa"/>
            <w:vAlign w:val="center"/>
          </w:tcPr>
          <w:p w:rsidR="0010463E" w:rsidRPr="001D4EB9" w:rsidRDefault="00BE0C4B" w:rsidP="00621014">
            <w:pPr>
              <w:pStyle w:val="Tabletext"/>
              <w:keepNext/>
              <w:jc w:val="center"/>
            </w:pPr>
            <w:r w:rsidRPr="001D4EB9">
              <w:rPr>
                <w:rFonts w:cs="Arial"/>
                <w:szCs w:val="20"/>
              </w:rPr>
              <w:t>1.00 (0.94, 1.05)</w:t>
            </w:r>
          </w:p>
        </w:tc>
        <w:tc>
          <w:tcPr>
            <w:tcW w:w="1710" w:type="dxa"/>
            <w:vAlign w:val="center"/>
          </w:tcPr>
          <w:p w:rsidR="0010463E" w:rsidRPr="001D4EB9" w:rsidRDefault="0010463E" w:rsidP="00621014">
            <w:pPr>
              <w:pStyle w:val="Tabletext"/>
              <w:keepNext/>
              <w:jc w:val="center"/>
            </w:pPr>
            <w:r w:rsidRPr="001D4EB9">
              <w:rPr>
                <w:rFonts w:cs="Arial"/>
                <w:szCs w:val="20"/>
              </w:rPr>
              <w:t>0.98 (0.71, 1.35)</w:t>
            </w:r>
          </w:p>
        </w:tc>
        <w:tc>
          <w:tcPr>
            <w:tcW w:w="1620" w:type="dxa"/>
            <w:vAlign w:val="center"/>
          </w:tcPr>
          <w:p w:rsidR="0010463E" w:rsidRPr="001D4EB9" w:rsidRDefault="0010463E" w:rsidP="00621014">
            <w:pPr>
              <w:pStyle w:val="Tabletext"/>
              <w:keepNext/>
              <w:jc w:val="center"/>
            </w:pPr>
            <w:r w:rsidRPr="001D4EB9">
              <w:rPr>
                <w:rFonts w:cs="Arial"/>
                <w:szCs w:val="20"/>
              </w:rPr>
              <w:t>-0.00 (-0.05, 0.04)</w:t>
            </w:r>
          </w:p>
        </w:tc>
      </w:tr>
      <w:tr w:rsidR="0010463E" w:rsidRPr="001D4EB9" w:rsidTr="003830D9">
        <w:tc>
          <w:tcPr>
            <w:tcW w:w="1880" w:type="dxa"/>
          </w:tcPr>
          <w:p w:rsidR="0010463E" w:rsidRPr="001D4EB9" w:rsidRDefault="004E44F7" w:rsidP="00621014">
            <w:pPr>
              <w:pStyle w:val="TableText0"/>
              <w:keepNext w:val="0"/>
              <w:spacing w:before="0" w:after="0"/>
            </w:pPr>
            <w:r w:rsidRPr="001D4EB9">
              <w:t>Diarrhoea</w:t>
            </w:r>
          </w:p>
        </w:tc>
        <w:tc>
          <w:tcPr>
            <w:tcW w:w="1175" w:type="dxa"/>
            <w:vAlign w:val="center"/>
          </w:tcPr>
          <w:p w:rsidR="0010463E" w:rsidRPr="001D4EB9" w:rsidRDefault="0010463E" w:rsidP="00621014">
            <w:pPr>
              <w:pStyle w:val="TableText0"/>
              <w:keepNext w:val="0"/>
              <w:spacing w:before="0" w:after="0"/>
              <w:jc w:val="center"/>
            </w:pPr>
            <w:r w:rsidRPr="001D4EB9">
              <w:t>60 (7.9)</w:t>
            </w:r>
          </w:p>
        </w:tc>
        <w:tc>
          <w:tcPr>
            <w:tcW w:w="1170" w:type="dxa"/>
            <w:vAlign w:val="center"/>
          </w:tcPr>
          <w:p w:rsidR="0010463E" w:rsidRPr="001D4EB9" w:rsidRDefault="0010463E" w:rsidP="00621014">
            <w:pPr>
              <w:pStyle w:val="TableText0"/>
              <w:keepNext w:val="0"/>
              <w:spacing w:before="0" w:after="0"/>
              <w:jc w:val="center"/>
            </w:pPr>
            <w:r w:rsidRPr="001D4EB9">
              <w:t>16 (4.2)</w:t>
            </w:r>
          </w:p>
        </w:tc>
        <w:tc>
          <w:tcPr>
            <w:tcW w:w="1530" w:type="dxa"/>
            <w:vAlign w:val="center"/>
          </w:tcPr>
          <w:p w:rsidR="0010463E" w:rsidRPr="001D4EB9" w:rsidRDefault="0010463E" w:rsidP="00621014">
            <w:pPr>
              <w:pStyle w:val="Tabletext"/>
              <w:jc w:val="center"/>
            </w:pPr>
            <w:r w:rsidRPr="001D4EB9">
              <w:rPr>
                <w:rFonts w:cs="Arial"/>
                <w:b/>
                <w:szCs w:val="20"/>
              </w:rPr>
              <w:t>1.86 (1.09, 3.18)</w:t>
            </w:r>
          </w:p>
        </w:tc>
        <w:tc>
          <w:tcPr>
            <w:tcW w:w="1710" w:type="dxa"/>
            <w:vAlign w:val="center"/>
          </w:tcPr>
          <w:p w:rsidR="0010463E" w:rsidRPr="001D4EB9" w:rsidRDefault="0010463E" w:rsidP="00621014">
            <w:pPr>
              <w:pStyle w:val="Tabletext"/>
              <w:jc w:val="center"/>
            </w:pPr>
            <w:r w:rsidRPr="001D4EB9">
              <w:rPr>
                <w:rFonts w:cs="Arial"/>
                <w:b/>
                <w:szCs w:val="20"/>
              </w:rPr>
              <w:t>1.93 (1.10, 3.40)</w:t>
            </w:r>
          </w:p>
        </w:tc>
        <w:tc>
          <w:tcPr>
            <w:tcW w:w="1620" w:type="dxa"/>
            <w:vAlign w:val="center"/>
          </w:tcPr>
          <w:p w:rsidR="0010463E" w:rsidRPr="001D4EB9" w:rsidRDefault="0010463E" w:rsidP="00621014">
            <w:pPr>
              <w:pStyle w:val="Tabletext"/>
              <w:jc w:val="center"/>
            </w:pPr>
            <w:r w:rsidRPr="001D4EB9">
              <w:rPr>
                <w:rFonts w:cs="Arial"/>
                <w:b/>
                <w:szCs w:val="20"/>
              </w:rPr>
              <w:t>0.04 (0.01, 0.06)</w:t>
            </w:r>
          </w:p>
        </w:tc>
      </w:tr>
      <w:tr w:rsidR="0010463E" w:rsidRPr="001D4EB9" w:rsidTr="003830D9">
        <w:trPr>
          <w:trHeight w:val="70"/>
        </w:trPr>
        <w:tc>
          <w:tcPr>
            <w:tcW w:w="1880" w:type="dxa"/>
          </w:tcPr>
          <w:p w:rsidR="0010463E" w:rsidRPr="001D4EB9" w:rsidRDefault="0010463E" w:rsidP="00621014">
            <w:pPr>
              <w:pStyle w:val="TableText0"/>
              <w:keepNext w:val="0"/>
              <w:spacing w:before="0" w:after="0"/>
            </w:pPr>
            <w:r w:rsidRPr="001D4EB9">
              <w:t>Headache</w:t>
            </w:r>
          </w:p>
        </w:tc>
        <w:tc>
          <w:tcPr>
            <w:tcW w:w="1175" w:type="dxa"/>
            <w:vAlign w:val="center"/>
          </w:tcPr>
          <w:p w:rsidR="0010463E" w:rsidRPr="001D4EB9" w:rsidRDefault="0010463E" w:rsidP="00621014">
            <w:pPr>
              <w:pStyle w:val="TableText0"/>
              <w:keepNext w:val="0"/>
              <w:spacing w:before="0" w:after="0"/>
              <w:jc w:val="center"/>
            </w:pPr>
            <w:r w:rsidRPr="001D4EB9">
              <w:t>58 (7.6)</w:t>
            </w:r>
          </w:p>
        </w:tc>
        <w:tc>
          <w:tcPr>
            <w:tcW w:w="1170" w:type="dxa"/>
            <w:vAlign w:val="center"/>
          </w:tcPr>
          <w:p w:rsidR="0010463E" w:rsidRPr="001D4EB9" w:rsidRDefault="0010463E" w:rsidP="00621014">
            <w:pPr>
              <w:pStyle w:val="TableText0"/>
              <w:keepNext w:val="0"/>
              <w:spacing w:before="0" w:after="0"/>
              <w:jc w:val="center"/>
            </w:pPr>
            <w:r w:rsidRPr="001D4EB9">
              <w:t>16 (4.2)</w:t>
            </w:r>
          </w:p>
        </w:tc>
        <w:tc>
          <w:tcPr>
            <w:tcW w:w="1530" w:type="dxa"/>
            <w:vAlign w:val="center"/>
          </w:tcPr>
          <w:p w:rsidR="0010463E" w:rsidRPr="001D4EB9" w:rsidRDefault="0010463E" w:rsidP="00621014">
            <w:pPr>
              <w:pStyle w:val="Tabletext"/>
              <w:jc w:val="center"/>
            </w:pPr>
            <w:r w:rsidRPr="001D4EB9">
              <w:rPr>
                <w:rFonts w:cs="Arial"/>
                <w:b/>
                <w:szCs w:val="20"/>
              </w:rPr>
              <w:t>1.80 (1.05, 3.08)</w:t>
            </w:r>
          </w:p>
        </w:tc>
        <w:tc>
          <w:tcPr>
            <w:tcW w:w="1710" w:type="dxa"/>
            <w:vAlign w:val="center"/>
          </w:tcPr>
          <w:p w:rsidR="0010463E" w:rsidRPr="001D4EB9" w:rsidRDefault="0010463E" w:rsidP="00621014">
            <w:pPr>
              <w:pStyle w:val="Tabletext"/>
              <w:jc w:val="center"/>
            </w:pPr>
            <w:r w:rsidRPr="001D4EB9">
              <w:rPr>
                <w:rFonts w:cs="Arial"/>
                <w:b/>
                <w:szCs w:val="20"/>
              </w:rPr>
              <w:t>1.86 (1.05, 3.28)</w:t>
            </w:r>
          </w:p>
        </w:tc>
        <w:tc>
          <w:tcPr>
            <w:tcW w:w="1620" w:type="dxa"/>
            <w:vAlign w:val="center"/>
          </w:tcPr>
          <w:p w:rsidR="0010463E" w:rsidRPr="001D4EB9" w:rsidRDefault="0010463E" w:rsidP="00621014">
            <w:pPr>
              <w:pStyle w:val="Tabletext"/>
              <w:jc w:val="center"/>
            </w:pPr>
            <w:r w:rsidRPr="001D4EB9">
              <w:rPr>
                <w:rFonts w:cs="Arial"/>
                <w:b/>
                <w:szCs w:val="20"/>
              </w:rPr>
              <w:t>0.03 (0.01, 0.06)</w:t>
            </w:r>
          </w:p>
        </w:tc>
      </w:tr>
      <w:tr w:rsidR="00151B40" w:rsidRPr="001D4EB9" w:rsidTr="003830D9">
        <w:tc>
          <w:tcPr>
            <w:tcW w:w="9085" w:type="dxa"/>
            <w:gridSpan w:val="6"/>
          </w:tcPr>
          <w:p w:rsidR="00151B40" w:rsidRPr="001D4EB9" w:rsidRDefault="00151B40" w:rsidP="00621014">
            <w:pPr>
              <w:pStyle w:val="Tabletext"/>
              <w:rPr>
                <w:b/>
              </w:rPr>
            </w:pPr>
            <w:r w:rsidRPr="001D4EB9">
              <w:rPr>
                <w:b/>
              </w:rPr>
              <w:t>AMBER</w:t>
            </w:r>
          </w:p>
        </w:tc>
      </w:tr>
      <w:tr w:rsidR="0010463E" w:rsidRPr="001D4EB9" w:rsidTr="003830D9">
        <w:tc>
          <w:tcPr>
            <w:tcW w:w="1880" w:type="dxa"/>
          </w:tcPr>
          <w:p w:rsidR="0010463E" w:rsidRPr="001D4EB9" w:rsidRDefault="0010463E" w:rsidP="00621014">
            <w:pPr>
              <w:pStyle w:val="TableText0"/>
              <w:keepNext w:val="0"/>
              <w:spacing w:before="0" w:after="0"/>
            </w:pPr>
            <w:r w:rsidRPr="001D4EB9">
              <w:t>Any adverse event</w:t>
            </w:r>
          </w:p>
        </w:tc>
        <w:tc>
          <w:tcPr>
            <w:tcW w:w="1175" w:type="dxa"/>
            <w:vAlign w:val="center"/>
          </w:tcPr>
          <w:p w:rsidR="0010463E" w:rsidRPr="001D4EB9" w:rsidRDefault="0010463E" w:rsidP="00621014">
            <w:pPr>
              <w:pStyle w:val="TableText0"/>
              <w:keepNext w:val="0"/>
              <w:spacing w:before="0" w:after="0"/>
              <w:jc w:val="center"/>
            </w:pPr>
            <w:r w:rsidRPr="001D4EB9">
              <w:t>312 (86.2)</w:t>
            </w:r>
          </w:p>
        </w:tc>
        <w:tc>
          <w:tcPr>
            <w:tcW w:w="1170" w:type="dxa"/>
            <w:vAlign w:val="center"/>
          </w:tcPr>
          <w:p w:rsidR="0010463E" w:rsidRPr="001D4EB9" w:rsidRDefault="0010463E" w:rsidP="00621014">
            <w:pPr>
              <w:pStyle w:val="TableText0"/>
              <w:keepNext w:val="0"/>
              <w:spacing w:before="0" w:after="0"/>
              <w:jc w:val="center"/>
            </w:pPr>
            <w:r w:rsidRPr="001D4EB9">
              <w:t>307 (84.6)</w:t>
            </w:r>
          </w:p>
        </w:tc>
        <w:tc>
          <w:tcPr>
            <w:tcW w:w="1530" w:type="dxa"/>
            <w:vAlign w:val="center"/>
          </w:tcPr>
          <w:p w:rsidR="0010463E" w:rsidRPr="001D4EB9" w:rsidRDefault="0010463E" w:rsidP="00621014">
            <w:pPr>
              <w:pStyle w:val="Tabletext"/>
              <w:jc w:val="center"/>
            </w:pPr>
            <w:r w:rsidRPr="001D4EB9">
              <w:rPr>
                <w:rFonts w:cs="Arial"/>
                <w:szCs w:val="20"/>
              </w:rPr>
              <w:t>1.02 (0.96, 1.08)</w:t>
            </w:r>
          </w:p>
        </w:tc>
        <w:tc>
          <w:tcPr>
            <w:tcW w:w="1710" w:type="dxa"/>
            <w:vAlign w:val="center"/>
          </w:tcPr>
          <w:p w:rsidR="0010463E" w:rsidRPr="001D4EB9" w:rsidRDefault="0010463E" w:rsidP="00621014">
            <w:pPr>
              <w:pStyle w:val="Tabletext"/>
              <w:jc w:val="center"/>
            </w:pPr>
            <w:r w:rsidRPr="001D4EB9">
              <w:rPr>
                <w:rFonts w:cs="Arial"/>
                <w:szCs w:val="20"/>
              </w:rPr>
              <w:t>1.14 (0.75, 1.72)</w:t>
            </w:r>
          </w:p>
        </w:tc>
        <w:tc>
          <w:tcPr>
            <w:tcW w:w="1620" w:type="dxa"/>
            <w:vAlign w:val="center"/>
          </w:tcPr>
          <w:p w:rsidR="0010463E" w:rsidRPr="001D4EB9" w:rsidRDefault="0010463E" w:rsidP="00621014">
            <w:pPr>
              <w:pStyle w:val="Tabletext"/>
              <w:jc w:val="center"/>
            </w:pPr>
            <w:r w:rsidRPr="001D4EB9">
              <w:rPr>
                <w:rFonts w:cs="Arial"/>
                <w:szCs w:val="20"/>
              </w:rPr>
              <w:t>0.02 (-0.04, 0.07)</w:t>
            </w:r>
          </w:p>
        </w:tc>
      </w:tr>
      <w:tr w:rsidR="0010463E" w:rsidRPr="001D4EB9" w:rsidTr="003830D9">
        <w:tc>
          <w:tcPr>
            <w:tcW w:w="1880" w:type="dxa"/>
          </w:tcPr>
          <w:p w:rsidR="0010463E" w:rsidRPr="001D4EB9" w:rsidRDefault="0010463E" w:rsidP="00621014">
            <w:pPr>
              <w:pStyle w:val="TableText0"/>
              <w:keepNext w:val="0"/>
              <w:spacing w:before="0" w:after="0"/>
            </w:pPr>
            <w:r w:rsidRPr="001D4EB9">
              <w:t>Nausea</w:t>
            </w:r>
          </w:p>
        </w:tc>
        <w:tc>
          <w:tcPr>
            <w:tcW w:w="1175" w:type="dxa"/>
            <w:vAlign w:val="center"/>
          </w:tcPr>
          <w:p w:rsidR="0010463E" w:rsidRPr="001D4EB9" w:rsidRDefault="0010463E" w:rsidP="00621014">
            <w:pPr>
              <w:pStyle w:val="TableText0"/>
              <w:keepNext w:val="0"/>
              <w:spacing w:before="0" w:after="0"/>
              <w:jc w:val="center"/>
            </w:pPr>
            <w:r w:rsidRPr="001D4EB9">
              <w:t>28 (7.7)</w:t>
            </w:r>
          </w:p>
        </w:tc>
        <w:tc>
          <w:tcPr>
            <w:tcW w:w="1170" w:type="dxa"/>
            <w:vAlign w:val="center"/>
          </w:tcPr>
          <w:p w:rsidR="0010463E" w:rsidRPr="001D4EB9" w:rsidRDefault="0010463E" w:rsidP="00621014">
            <w:pPr>
              <w:pStyle w:val="TableText0"/>
              <w:keepNext w:val="0"/>
              <w:spacing w:before="0" w:after="0"/>
              <w:jc w:val="center"/>
            </w:pPr>
            <w:r w:rsidRPr="001D4EB9">
              <w:t>45 (12.4)</w:t>
            </w:r>
          </w:p>
        </w:tc>
        <w:tc>
          <w:tcPr>
            <w:tcW w:w="1530" w:type="dxa"/>
            <w:vAlign w:val="center"/>
          </w:tcPr>
          <w:p w:rsidR="0010463E" w:rsidRPr="001D4EB9" w:rsidRDefault="0010463E" w:rsidP="00621014">
            <w:pPr>
              <w:pStyle w:val="Tabletext"/>
              <w:jc w:val="center"/>
            </w:pPr>
            <w:r w:rsidRPr="001D4EB9">
              <w:rPr>
                <w:rFonts w:cs="Arial"/>
                <w:b/>
                <w:szCs w:val="20"/>
              </w:rPr>
              <w:t>0.62 (0.40, 0.98)</w:t>
            </w:r>
          </w:p>
        </w:tc>
        <w:tc>
          <w:tcPr>
            <w:tcW w:w="1710" w:type="dxa"/>
            <w:vAlign w:val="center"/>
          </w:tcPr>
          <w:p w:rsidR="0010463E" w:rsidRPr="001D4EB9" w:rsidRDefault="0010463E" w:rsidP="00621014">
            <w:pPr>
              <w:pStyle w:val="Tabletext"/>
              <w:jc w:val="center"/>
            </w:pPr>
            <w:r w:rsidRPr="001D4EB9">
              <w:rPr>
                <w:rFonts w:cs="Arial"/>
                <w:b/>
                <w:szCs w:val="20"/>
              </w:rPr>
              <w:t>0.59 (0.36, 0.97)</w:t>
            </w:r>
          </w:p>
        </w:tc>
        <w:tc>
          <w:tcPr>
            <w:tcW w:w="1620" w:type="dxa"/>
            <w:vAlign w:val="center"/>
          </w:tcPr>
          <w:p w:rsidR="0010463E" w:rsidRPr="001D4EB9" w:rsidRDefault="0010463E" w:rsidP="00621014">
            <w:pPr>
              <w:pStyle w:val="Tabletext"/>
              <w:jc w:val="center"/>
            </w:pPr>
            <w:r w:rsidRPr="001D4EB9">
              <w:rPr>
                <w:rFonts w:cs="Arial"/>
                <w:b/>
                <w:szCs w:val="20"/>
              </w:rPr>
              <w:t>-0.05 (-0.09, -0.00)</w:t>
            </w:r>
          </w:p>
        </w:tc>
      </w:tr>
      <w:tr w:rsidR="00151B40" w:rsidRPr="001D4EB9" w:rsidTr="003830D9">
        <w:trPr>
          <w:trHeight w:val="108"/>
        </w:trPr>
        <w:tc>
          <w:tcPr>
            <w:tcW w:w="9085" w:type="dxa"/>
            <w:gridSpan w:val="6"/>
          </w:tcPr>
          <w:p w:rsidR="00151B40" w:rsidRPr="001D4EB9" w:rsidRDefault="00151B40" w:rsidP="00621014">
            <w:pPr>
              <w:pStyle w:val="Tabletext"/>
              <w:rPr>
                <w:b/>
              </w:rPr>
            </w:pPr>
            <w:r w:rsidRPr="001D4EB9">
              <w:rPr>
                <w:b/>
              </w:rPr>
              <w:t>Mills 2015</w:t>
            </w:r>
          </w:p>
        </w:tc>
      </w:tr>
      <w:tr w:rsidR="0010463E" w:rsidRPr="001D4EB9" w:rsidTr="003830D9">
        <w:trPr>
          <w:trHeight w:val="108"/>
        </w:trPr>
        <w:tc>
          <w:tcPr>
            <w:tcW w:w="1880" w:type="dxa"/>
          </w:tcPr>
          <w:p w:rsidR="0010463E" w:rsidRPr="001D4EB9" w:rsidRDefault="0010463E" w:rsidP="009335CF">
            <w:pPr>
              <w:pStyle w:val="TableText0"/>
              <w:keepNext w:val="0"/>
              <w:spacing w:before="0" w:after="0"/>
            </w:pPr>
            <w:r w:rsidRPr="001D4EB9">
              <w:t>Any adverse event</w:t>
            </w:r>
          </w:p>
        </w:tc>
        <w:tc>
          <w:tcPr>
            <w:tcW w:w="1175" w:type="dxa"/>
            <w:vAlign w:val="center"/>
          </w:tcPr>
          <w:p w:rsidR="0010463E" w:rsidRPr="001D4EB9" w:rsidRDefault="0010463E" w:rsidP="00621014">
            <w:pPr>
              <w:pStyle w:val="TableText0"/>
              <w:keepNext w:val="0"/>
              <w:spacing w:before="0" w:after="0"/>
              <w:jc w:val="center"/>
            </w:pPr>
            <w:r w:rsidRPr="001D4EB9">
              <w:t>95 (92.2)</w:t>
            </w:r>
          </w:p>
        </w:tc>
        <w:tc>
          <w:tcPr>
            <w:tcW w:w="1170" w:type="dxa"/>
            <w:vAlign w:val="center"/>
          </w:tcPr>
          <w:p w:rsidR="0010463E" w:rsidRPr="001D4EB9" w:rsidRDefault="0010463E" w:rsidP="00621014">
            <w:pPr>
              <w:pStyle w:val="TableText0"/>
              <w:keepNext w:val="0"/>
              <w:spacing w:before="0" w:after="0"/>
              <w:jc w:val="center"/>
            </w:pPr>
            <w:r w:rsidRPr="001D4EB9">
              <w:t>47 (94.0)</w:t>
            </w:r>
          </w:p>
        </w:tc>
        <w:tc>
          <w:tcPr>
            <w:tcW w:w="1530" w:type="dxa"/>
            <w:vAlign w:val="center"/>
          </w:tcPr>
          <w:p w:rsidR="0010463E" w:rsidRPr="001D4EB9" w:rsidRDefault="0010463E" w:rsidP="00621014">
            <w:pPr>
              <w:pStyle w:val="TableText0"/>
              <w:keepNext w:val="0"/>
              <w:spacing w:before="0" w:after="0"/>
              <w:jc w:val="center"/>
            </w:pPr>
            <w:r w:rsidRPr="001D4EB9">
              <w:t>0.98 (0.90, 1.07)</w:t>
            </w:r>
          </w:p>
        </w:tc>
        <w:tc>
          <w:tcPr>
            <w:tcW w:w="1710" w:type="dxa"/>
            <w:vAlign w:val="center"/>
          </w:tcPr>
          <w:p w:rsidR="0010463E" w:rsidRPr="001D4EB9" w:rsidRDefault="0010463E" w:rsidP="00621014">
            <w:pPr>
              <w:pStyle w:val="TableText0"/>
              <w:keepNext w:val="0"/>
              <w:spacing w:before="0" w:after="0"/>
              <w:jc w:val="center"/>
            </w:pPr>
            <w:r w:rsidRPr="001D4EB9">
              <w:t>0.76 (0.19, 2.99)</w:t>
            </w:r>
          </w:p>
        </w:tc>
        <w:tc>
          <w:tcPr>
            <w:tcW w:w="1620" w:type="dxa"/>
            <w:vAlign w:val="center"/>
          </w:tcPr>
          <w:p w:rsidR="0010463E" w:rsidRPr="001D4EB9" w:rsidRDefault="0010463E" w:rsidP="00621014">
            <w:pPr>
              <w:pStyle w:val="TableText0"/>
              <w:keepNext w:val="0"/>
              <w:spacing w:before="0" w:after="0"/>
              <w:jc w:val="center"/>
            </w:pPr>
            <w:r w:rsidRPr="001D4EB9">
              <w:t>-0.02 (-0.10, 0.07</w:t>
            </w:r>
            <w:r w:rsidR="007820BC" w:rsidRPr="001D4EB9">
              <w:t>)</w:t>
            </w:r>
          </w:p>
        </w:tc>
      </w:tr>
      <w:tr w:rsidR="0010463E" w:rsidRPr="001D4EB9" w:rsidTr="003830D9">
        <w:trPr>
          <w:trHeight w:val="108"/>
        </w:trPr>
        <w:tc>
          <w:tcPr>
            <w:tcW w:w="1880" w:type="dxa"/>
          </w:tcPr>
          <w:p w:rsidR="0010463E" w:rsidRPr="001D4EB9" w:rsidRDefault="0010463E" w:rsidP="00621014">
            <w:pPr>
              <w:pStyle w:val="TableText0"/>
              <w:keepNext w:val="0"/>
              <w:spacing w:before="0" w:after="0"/>
            </w:pPr>
            <w:r w:rsidRPr="001D4EB9">
              <w:t>Vitamin D deficiency</w:t>
            </w:r>
          </w:p>
        </w:tc>
        <w:tc>
          <w:tcPr>
            <w:tcW w:w="1175" w:type="dxa"/>
            <w:vAlign w:val="center"/>
          </w:tcPr>
          <w:p w:rsidR="0010463E" w:rsidRPr="001D4EB9" w:rsidRDefault="0010463E" w:rsidP="00621014">
            <w:pPr>
              <w:pStyle w:val="TableText0"/>
              <w:keepNext w:val="0"/>
              <w:spacing w:before="0" w:after="0"/>
              <w:jc w:val="center"/>
            </w:pPr>
            <w:r w:rsidRPr="001D4EB9">
              <w:t>2 (1.9)</w:t>
            </w:r>
          </w:p>
        </w:tc>
        <w:tc>
          <w:tcPr>
            <w:tcW w:w="1170" w:type="dxa"/>
            <w:vAlign w:val="center"/>
          </w:tcPr>
          <w:p w:rsidR="0010463E" w:rsidRPr="001D4EB9" w:rsidRDefault="0010463E" w:rsidP="00621014">
            <w:pPr>
              <w:pStyle w:val="TableText0"/>
              <w:keepNext w:val="0"/>
              <w:spacing w:before="0" w:after="0"/>
              <w:jc w:val="center"/>
            </w:pPr>
            <w:r w:rsidRPr="001D4EB9">
              <w:t>5 (10.0)</w:t>
            </w:r>
          </w:p>
        </w:tc>
        <w:tc>
          <w:tcPr>
            <w:tcW w:w="1530" w:type="dxa"/>
            <w:vAlign w:val="center"/>
          </w:tcPr>
          <w:p w:rsidR="0010463E" w:rsidRPr="001D4EB9" w:rsidRDefault="0010463E" w:rsidP="00621014">
            <w:pPr>
              <w:pStyle w:val="TableText0"/>
              <w:keepNext w:val="0"/>
              <w:spacing w:before="0" w:after="0"/>
              <w:jc w:val="center"/>
            </w:pPr>
            <w:r w:rsidRPr="001D4EB9">
              <w:rPr>
                <w:b/>
              </w:rPr>
              <w:t>0.19 (0.04, 0.97)</w:t>
            </w:r>
          </w:p>
        </w:tc>
        <w:tc>
          <w:tcPr>
            <w:tcW w:w="1710" w:type="dxa"/>
            <w:vAlign w:val="center"/>
          </w:tcPr>
          <w:p w:rsidR="0010463E" w:rsidRPr="001D4EB9" w:rsidRDefault="0010463E" w:rsidP="00621014">
            <w:pPr>
              <w:pStyle w:val="TableText0"/>
              <w:keepNext w:val="0"/>
              <w:spacing w:before="0" w:after="0"/>
              <w:jc w:val="center"/>
            </w:pPr>
            <w:r w:rsidRPr="001D4EB9">
              <w:rPr>
                <w:b/>
              </w:rPr>
              <w:t>0.18 (0.03, 0.95)</w:t>
            </w:r>
          </w:p>
        </w:tc>
        <w:tc>
          <w:tcPr>
            <w:tcW w:w="1620" w:type="dxa"/>
            <w:vAlign w:val="center"/>
          </w:tcPr>
          <w:p w:rsidR="0010463E" w:rsidRPr="001D4EB9" w:rsidRDefault="0010463E" w:rsidP="00621014">
            <w:pPr>
              <w:pStyle w:val="TableText0"/>
              <w:keepNext w:val="0"/>
              <w:spacing w:before="0" w:after="0"/>
              <w:jc w:val="center"/>
            </w:pPr>
            <w:r w:rsidRPr="001D4EB9">
              <w:t>-0.08 (-0.17, 0.01</w:t>
            </w:r>
            <w:r w:rsidR="007820BC" w:rsidRPr="001D4EB9">
              <w:t>)</w:t>
            </w:r>
          </w:p>
        </w:tc>
      </w:tr>
      <w:tr w:rsidR="0010463E" w:rsidRPr="001D4EB9" w:rsidTr="003830D9">
        <w:trPr>
          <w:trHeight w:val="108"/>
        </w:trPr>
        <w:tc>
          <w:tcPr>
            <w:tcW w:w="1880" w:type="dxa"/>
          </w:tcPr>
          <w:p w:rsidR="0010463E" w:rsidRPr="001D4EB9" w:rsidRDefault="0010463E" w:rsidP="00621014">
            <w:pPr>
              <w:pStyle w:val="TableText0"/>
              <w:keepNext w:val="0"/>
              <w:spacing w:before="0" w:after="0"/>
            </w:pPr>
            <w:r w:rsidRPr="001D4EB9">
              <w:t>Arthralgia</w:t>
            </w:r>
          </w:p>
        </w:tc>
        <w:tc>
          <w:tcPr>
            <w:tcW w:w="1175" w:type="dxa"/>
            <w:vAlign w:val="center"/>
          </w:tcPr>
          <w:p w:rsidR="0010463E" w:rsidRPr="001D4EB9" w:rsidRDefault="0010463E" w:rsidP="00621014">
            <w:pPr>
              <w:pStyle w:val="TableText0"/>
              <w:keepNext w:val="0"/>
              <w:spacing w:before="0" w:after="0"/>
              <w:jc w:val="center"/>
            </w:pPr>
            <w:r w:rsidRPr="001D4EB9">
              <w:t>9 (8.7)</w:t>
            </w:r>
          </w:p>
        </w:tc>
        <w:tc>
          <w:tcPr>
            <w:tcW w:w="1170" w:type="dxa"/>
            <w:vAlign w:val="center"/>
          </w:tcPr>
          <w:p w:rsidR="0010463E" w:rsidRPr="001D4EB9" w:rsidRDefault="0010463E" w:rsidP="00621014">
            <w:pPr>
              <w:pStyle w:val="TableText0"/>
              <w:keepNext w:val="0"/>
              <w:spacing w:before="0" w:after="0"/>
              <w:jc w:val="center"/>
            </w:pPr>
            <w:r w:rsidRPr="001D4EB9">
              <w:t>0 (0)</w:t>
            </w:r>
          </w:p>
        </w:tc>
        <w:tc>
          <w:tcPr>
            <w:tcW w:w="1530" w:type="dxa"/>
            <w:vAlign w:val="center"/>
          </w:tcPr>
          <w:p w:rsidR="0010463E" w:rsidRPr="001D4EB9" w:rsidRDefault="00151B40" w:rsidP="00621014">
            <w:pPr>
              <w:pStyle w:val="TableText0"/>
              <w:keepNext w:val="0"/>
              <w:spacing w:before="0" w:after="0"/>
              <w:jc w:val="center"/>
            </w:pPr>
            <w:r w:rsidRPr="001D4EB9">
              <w:t>9.32 (0.55, 156.9</w:t>
            </w:r>
            <w:r w:rsidR="0010463E" w:rsidRPr="001D4EB9">
              <w:t>)</w:t>
            </w:r>
          </w:p>
        </w:tc>
        <w:tc>
          <w:tcPr>
            <w:tcW w:w="1710" w:type="dxa"/>
            <w:vAlign w:val="center"/>
          </w:tcPr>
          <w:p w:rsidR="0010463E" w:rsidRPr="001D4EB9" w:rsidRDefault="0010463E" w:rsidP="00621014">
            <w:pPr>
              <w:pStyle w:val="TableText0"/>
              <w:keepNext w:val="0"/>
              <w:spacing w:before="0" w:after="0"/>
              <w:jc w:val="center"/>
            </w:pPr>
            <w:r w:rsidRPr="001D4EB9">
              <w:t>10.15 (0.58, 178.05)</w:t>
            </w:r>
          </w:p>
        </w:tc>
        <w:tc>
          <w:tcPr>
            <w:tcW w:w="1620" w:type="dxa"/>
            <w:vAlign w:val="center"/>
          </w:tcPr>
          <w:p w:rsidR="0010463E" w:rsidRPr="001D4EB9" w:rsidRDefault="0010463E" w:rsidP="00621014">
            <w:pPr>
              <w:pStyle w:val="TableText0"/>
              <w:keepNext w:val="0"/>
              <w:spacing w:before="0" w:after="0"/>
              <w:jc w:val="center"/>
            </w:pPr>
            <w:r w:rsidRPr="001D4EB9">
              <w:rPr>
                <w:b/>
              </w:rPr>
              <w:t>0.09 (0.03, 0.15</w:t>
            </w:r>
            <w:r w:rsidR="007820BC" w:rsidRPr="001D4EB9">
              <w:rPr>
                <w:b/>
              </w:rPr>
              <w:t>)</w:t>
            </w:r>
          </w:p>
        </w:tc>
      </w:tr>
    </w:tbl>
    <w:p w:rsidR="0010463E" w:rsidRPr="001D4EB9" w:rsidRDefault="0010463E" w:rsidP="00621014">
      <w:pPr>
        <w:pStyle w:val="TableFooter"/>
        <w:widowControl/>
        <w:rPr>
          <w:sz w:val="20"/>
        </w:rPr>
      </w:pPr>
      <w:r w:rsidRPr="001D4EB9">
        <w:t>Source: Tables 2.31, and 2.32, p 96-101 of the submission.</w:t>
      </w:r>
    </w:p>
    <w:p w:rsidR="0010463E" w:rsidRPr="001D4EB9" w:rsidRDefault="0010463E" w:rsidP="00621014">
      <w:pPr>
        <w:pStyle w:val="TableFooter"/>
        <w:widowControl/>
        <w:rPr>
          <w:rFonts w:eastAsia="Calibri"/>
        </w:rPr>
      </w:pPr>
      <w:r w:rsidRPr="001D4EB9">
        <w:rPr>
          <w:rFonts w:eastAsia="Calibri"/>
        </w:rPr>
        <w:t>CI = confidence interval; n = number of participants reporting data; N = total participants in group; RD = risk difference; RR = relative risk</w:t>
      </w:r>
    </w:p>
    <w:p w:rsidR="0010463E" w:rsidRPr="001D4EB9" w:rsidRDefault="0010463E" w:rsidP="00621014">
      <w:pPr>
        <w:pStyle w:val="TableFooter"/>
        <w:widowControl/>
        <w:rPr>
          <w:b/>
        </w:rPr>
      </w:pPr>
      <w:r w:rsidRPr="001D4EB9">
        <w:rPr>
          <w:b/>
        </w:rPr>
        <w:t xml:space="preserve">Bold </w:t>
      </w:r>
      <w:r w:rsidRPr="001D4EB9">
        <w:t>statistical values denote statistically significant results</w:t>
      </w:r>
      <w:r w:rsidRPr="001D4EB9">
        <w:rPr>
          <w:b/>
        </w:rPr>
        <w:t xml:space="preserve">. </w:t>
      </w:r>
    </w:p>
    <w:p w:rsidR="0010463E" w:rsidRPr="001D4EB9" w:rsidRDefault="0010463E" w:rsidP="00621014">
      <w:pPr>
        <w:pStyle w:val="TableFooter"/>
        <w:widowControl/>
        <w:rPr>
          <w:b/>
        </w:rPr>
      </w:pPr>
    </w:p>
    <w:p w:rsidR="0010463E" w:rsidRPr="001D4EB9" w:rsidRDefault="00243D8E" w:rsidP="00621014">
      <w:pPr>
        <w:pStyle w:val="ListParagraph"/>
        <w:widowControl/>
        <w:numPr>
          <w:ilvl w:val="1"/>
          <w:numId w:val="1"/>
        </w:numPr>
      </w:pPr>
      <w:r w:rsidRPr="001D4EB9">
        <w:t xml:space="preserve">The incidence of </w:t>
      </w:r>
      <w:r w:rsidR="006E3DC4" w:rsidRPr="001D4EB9">
        <w:t xml:space="preserve">serious TEAEs </w:t>
      </w:r>
      <w:r w:rsidRPr="001D4EB9">
        <w:t xml:space="preserve">was </w:t>
      </w:r>
      <w:r w:rsidR="00151B40" w:rsidRPr="001D4EB9">
        <w:t xml:space="preserve">low and similar in the Symtuza </w:t>
      </w:r>
      <w:r w:rsidRPr="001D4EB9">
        <w:t xml:space="preserve">and CAR arms in EMERALD: 4.6% v 4.8%, respectively (RR=0.96 [95% CI: 0.55, 1.68]); and between the Symtuza and Prezcobix + Truvada arms in AMBER=4.7% V 5.8%, (RR: 0.81 [95% CI: 0.44, 1.51]). The incidence of Grade 3 or higher AEs were low and consistent across the treatment groups. </w:t>
      </w:r>
    </w:p>
    <w:p w:rsidR="0010463E" w:rsidRPr="001D4EB9" w:rsidRDefault="0010463E" w:rsidP="00621014">
      <w:pPr>
        <w:pStyle w:val="Heading2"/>
        <w:widowControl/>
        <w:rPr>
          <w:i w:val="0"/>
        </w:rPr>
      </w:pPr>
      <w:bookmarkStart w:id="21" w:name="_Toc19538905"/>
      <w:r w:rsidRPr="001D4EB9">
        <w:rPr>
          <w:i w:val="0"/>
        </w:rPr>
        <w:t>Clinical claim</w:t>
      </w:r>
      <w:bookmarkEnd w:id="21"/>
    </w:p>
    <w:p w:rsidR="00243D8E" w:rsidRPr="001D4EB9" w:rsidRDefault="00243D8E" w:rsidP="00621014">
      <w:pPr>
        <w:pStyle w:val="ListParagraph"/>
        <w:widowControl/>
        <w:numPr>
          <w:ilvl w:val="1"/>
          <w:numId w:val="1"/>
        </w:numPr>
      </w:pPr>
      <w:r w:rsidRPr="001D4EB9">
        <w:t xml:space="preserve">The submission </w:t>
      </w:r>
      <w:r w:rsidR="006E3DC4" w:rsidRPr="001D4EB9">
        <w:t xml:space="preserve">claimed that </w:t>
      </w:r>
      <w:r w:rsidRPr="001D4EB9">
        <w:t xml:space="preserve">the efficacy of Symtuza is non-inferior to boosted darunavir co-administered with </w:t>
      </w:r>
      <w:r w:rsidR="00AD1C62" w:rsidRPr="001D4EB9">
        <w:t>FTC</w:t>
      </w:r>
      <w:r w:rsidRPr="001D4EB9">
        <w:t>/tenofovir (both TDF and TAF), as assessed by the clinically relevant outcomes of viral rebound, virologic response and change in CD4+ cell count. Additionally, Symtuza is bioequivalent to concomitant administration of its components, and therefore is non-inferior in efficacy and safety</w:t>
      </w:r>
      <w:r w:rsidR="001D4EB9">
        <w:t xml:space="preserve">. </w:t>
      </w:r>
      <w:r w:rsidRPr="001D4EB9">
        <w:t xml:space="preserve"> </w:t>
      </w:r>
    </w:p>
    <w:p w:rsidR="00243D8E" w:rsidRPr="001D4EB9" w:rsidRDefault="00243D8E" w:rsidP="00621014">
      <w:pPr>
        <w:pStyle w:val="ListParagraph"/>
        <w:widowControl/>
        <w:numPr>
          <w:ilvl w:val="1"/>
          <w:numId w:val="1"/>
        </w:numPr>
      </w:pPr>
      <w:r w:rsidRPr="001D4EB9">
        <w:t xml:space="preserve">The submission stated Symtuza has a non-inferior safety profile compared with boosted darunavir co-administered with </w:t>
      </w:r>
      <w:r w:rsidR="00AD1C62" w:rsidRPr="001D4EB9">
        <w:t>FTC</w:t>
      </w:r>
      <w:r w:rsidRPr="001D4EB9">
        <w:t>/tenofovir (both TDF and TAF).</w:t>
      </w:r>
    </w:p>
    <w:p w:rsidR="0010463E" w:rsidRPr="001D4EB9" w:rsidRDefault="00243D8E" w:rsidP="00621014">
      <w:pPr>
        <w:pStyle w:val="ListParagraph"/>
        <w:widowControl/>
        <w:numPr>
          <w:ilvl w:val="1"/>
          <w:numId w:val="1"/>
        </w:numPr>
      </w:pPr>
      <w:r w:rsidRPr="001D4EB9">
        <w:t xml:space="preserve">The </w:t>
      </w:r>
      <w:r w:rsidR="006E3DC4" w:rsidRPr="001D4EB9">
        <w:t xml:space="preserve">ESC considered that the </w:t>
      </w:r>
      <w:r w:rsidRPr="001D4EB9">
        <w:t>therapeutic conclusi</w:t>
      </w:r>
      <w:r w:rsidR="00151B40" w:rsidRPr="001D4EB9">
        <w:t>on presented in the submission wa</w:t>
      </w:r>
      <w:r w:rsidRPr="001D4EB9">
        <w:t>s adequately supported by the evidence presented in the submission.</w:t>
      </w:r>
    </w:p>
    <w:p w:rsidR="00771C2A" w:rsidRPr="001D4EB9" w:rsidRDefault="00771C2A" w:rsidP="00621014">
      <w:pPr>
        <w:pStyle w:val="ListParagraph"/>
        <w:widowControl/>
        <w:numPr>
          <w:ilvl w:val="1"/>
          <w:numId w:val="1"/>
        </w:numPr>
      </w:pPr>
      <w:r w:rsidRPr="001D4EB9">
        <w:t>The PBAC considered that the claim of non-inferior comparative effectiveness</w:t>
      </w:r>
      <w:r w:rsidR="00F90FAE" w:rsidRPr="001D4EB9">
        <w:t xml:space="preserve"> to</w:t>
      </w:r>
      <w:r w:rsidR="00E97656" w:rsidRPr="001D4EB9">
        <w:t xml:space="preserve"> </w:t>
      </w:r>
      <w:r w:rsidR="009E08D0" w:rsidRPr="001D4EB9">
        <w:t>boosted darunavir co-administered with FTC/tenofovir (both TDF and TAF)</w:t>
      </w:r>
      <w:r w:rsidR="002C4A14" w:rsidRPr="001D4EB9">
        <w:t xml:space="preserve"> </w:t>
      </w:r>
      <w:r w:rsidRPr="001D4EB9">
        <w:t>was reasonable.</w:t>
      </w:r>
    </w:p>
    <w:p w:rsidR="00771C2A" w:rsidRPr="001D4EB9" w:rsidRDefault="00771C2A" w:rsidP="00621014">
      <w:pPr>
        <w:pStyle w:val="ListParagraph"/>
        <w:widowControl/>
        <w:numPr>
          <w:ilvl w:val="1"/>
          <w:numId w:val="1"/>
        </w:numPr>
      </w:pPr>
      <w:r w:rsidRPr="001D4EB9">
        <w:t>The PBAC considered that the claim of non-inferior comparative safety</w:t>
      </w:r>
      <w:r w:rsidR="00F90FAE" w:rsidRPr="001D4EB9">
        <w:t xml:space="preserve"> to </w:t>
      </w:r>
      <w:r w:rsidR="009E08D0" w:rsidRPr="001D4EB9">
        <w:t>boosted darunavir co-administered with FTC/tenofovir (both TDF and TAF)</w:t>
      </w:r>
      <w:r w:rsidRPr="001D4EB9">
        <w:t xml:space="preserve"> was reasonable</w:t>
      </w:r>
      <w:r w:rsidR="00F90FAE" w:rsidRPr="001D4EB9">
        <w:t>.</w:t>
      </w:r>
    </w:p>
    <w:p w:rsidR="0010463E" w:rsidRPr="001D4EB9" w:rsidRDefault="0010463E" w:rsidP="00621014">
      <w:pPr>
        <w:pStyle w:val="Heading2"/>
        <w:widowControl/>
        <w:rPr>
          <w:i w:val="0"/>
        </w:rPr>
      </w:pPr>
      <w:bookmarkStart w:id="22" w:name="_Toc19538906"/>
      <w:r w:rsidRPr="001D4EB9">
        <w:rPr>
          <w:i w:val="0"/>
        </w:rPr>
        <w:t>Economic analysis</w:t>
      </w:r>
      <w:bookmarkEnd w:id="22"/>
      <w:r w:rsidRPr="001D4EB9">
        <w:rPr>
          <w:i w:val="0"/>
        </w:rPr>
        <w:t xml:space="preserve"> </w:t>
      </w:r>
    </w:p>
    <w:p w:rsidR="0010463E" w:rsidRPr="001D4EB9" w:rsidRDefault="00151B40" w:rsidP="00621014">
      <w:pPr>
        <w:pStyle w:val="ListParagraph"/>
        <w:widowControl/>
        <w:numPr>
          <w:ilvl w:val="1"/>
          <w:numId w:val="1"/>
        </w:numPr>
        <w:rPr>
          <w:color w:val="000000" w:themeColor="text1"/>
        </w:rPr>
      </w:pPr>
      <w:r w:rsidRPr="001D4EB9">
        <w:rPr>
          <w:rFonts w:cs="Calibri"/>
          <w:snapToGrid/>
          <w:color w:val="000000" w:themeColor="text1"/>
          <w:szCs w:val="24"/>
          <w:lang w:eastAsia="en-AU"/>
        </w:rPr>
        <w:t xml:space="preserve">Table 8 </w:t>
      </w:r>
      <w:r w:rsidR="0010463E" w:rsidRPr="001D4EB9">
        <w:rPr>
          <w:rFonts w:cs="Calibri"/>
          <w:snapToGrid/>
          <w:color w:val="000000" w:themeColor="text1"/>
          <w:szCs w:val="24"/>
          <w:lang w:eastAsia="en-AU"/>
        </w:rPr>
        <w:t xml:space="preserve">presents a summary of the submission’s approach to </w:t>
      </w:r>
      <w:r w:rsidR="00466E06" w:rsidRPr="001D4EB9">
        <w:rPr>
          <w:rFonts w:cs="Calibri"/>
          <w:snapToGrid/>
          <w:color w:val="000000" w:themeColor="text1"/>
          <w:szCs w:val="24"/>
          <w:lang w:eastAsia="en-AU"/>
        </w:rPr>
        <w:t>the</w:t>
      </w:r>
      <w:r w:rsidR="0010463E" w:rsidRPr="001D4EB9">
        <w:rPr>
          <w:rFonts w:cs="Calibri"/>
          <w:snapToGrid/>
          <w:color w:val="000000" w:themeColor="text1"/>
          <w:szCs w:val="24"/>
          <w:lang w:eastAsia="en-AU"/>
        </w:rPr>
        <w:t xml:space="preserve"> cost minimisation analysis</w:t>
      </w:r>
      <w:r w:rsidR="00B31925" w:rsidRPr="001D4EB9">
        <w:rPr>
          <w:rFonts w:cs="Calibri"/>
          <w:snapToGrid/>
          <w:color w:val="000000" w:themeColor="text1"/>
          <w:szCs w:val="24"/>
          <w:lang w:eastAsia="en-AU"/>
        </w:rPr>
        <w:t xml:space="preserve"> (CMA)</w:t>
      </w:r>
      <w:r w:rsidR="00466E06" w:rsidRPr="001D4EB9">
        <w:rPr>
          <w:rFonts w:cs="Calibri"/>
          <w:snapToGrid/>
          <w:color w:val="000000" w:themeColor="text1"/>
          <w:szCs w:val="24"/>
          <w:lang w:eastAsia="en-AU"/>
        </w:rPr>
        <w:t>.</w:t>
      </w:r>
    </w:p>
    <w:p w:rsidR="00243D8E" w:rsidRPr="001D4EB9" w:rsidRDefault="0010463E" w:rsidP="00621014">
      <w:pPr>
        <w:keepNext/>
        <w:widowControl/>
        <w:rPr>
          <w:rStyle w:val="CommentReference"/>
        </w:rPr>
      </w:pPr>
      <w:bookmarkStart w:id="23" w:name="_Ref18938070"/>
      <w:r w:rsidRPr="001D4EB9">
        <w:rPr>
          <w:rStyle w:val="CommentReference"/>
        </w:rPr>
        <w:lastRenderedPageBreak/>
        <w:t xml:space="preserve">Table </w:t>
      </w:r>
      <w:r w:rsidR="00FE6890" w:rsidRPr="001D4EB9">
        <w:rPr>
          <w:rStyle w:val="CommentReference"/>
        </w:rPr>
        <w:t>8</w:t>
      </w:r>
      <w:bookmarkEnd w:id="23"/>
      <w:r w:rsidRPr="001D4EB9">
        <w:rPr>
          <w:rStyle w:val="CommentReference"/>
        </w:rPr>
        <w:t xml:space="preserve">: </w:t>
      </w:r>
      <w:r w:rsidR="00243D8E" w:rsidRPr="001D4EB9">
        <w:rPr>
          <w:rStyle w:val="CommentReference"/>
        </w:rPr>
        <w:t>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8: Key components and assumptions of the cost-minimisation analysis"/>
      </w:tblPr>
      <w:tblGrid>
        <w:gridCol w:w="1952"/>
        <w:gridCol w:w="7065"/>
      </w:tblGrid>
      <w:tr w:rsidR="00243D8E" w:rsidRPr="001D4EB9" w:rsidTr="003830D9">
        <w:tc>
          <w:tcPr>
            <w:tcW w:w="1975" w:type="dxa"/>
            <w:vAlign w:val="center"/>
          </w:tcPr>
          <w:p w:rsidR="00243D8E" w:rsidRPr="001D4EB9" w:rsidRDefault="00243D8E" w:rsidP="00621014">
            <w:pPr>
              <w:pStyle w:val="Tabletext"/>
              <w:keepNext/>
              <w:rPr>
                <w:b/>
              </w:rPr>
            </w:pPr>
            <w:r w:rsidRPr="001D4EB9">
              <w:rPr>
                <w:b/>
              </w:rPr>
              <w:t>Component</w:t>
            </w:r>
          </w:p>
        </w:tc>
        <w:tc>
          <w:tcPr>
            <w:tcW w:w="7205" w:type="dxa"/>
            <w:vAlign w:val="center"/>
          </w:tcPr>
          <w:p w:rsidR="00243D8E" w:rsidRPr="001D4EB9" w:rsidRDefault="00243D8E" w:rsidP="00621014">
            <w:pPr>
              <w:pStyle w:val="Tabletext"/>
              <w:keepNext/>
              <w:jc w:val="center"/>
              <w:rPr>
                <w:b/>
              </w:rPr>
            </w:pPr>
            <w:r w:rsidRPr="001D4EB9">
              <w:rPr>
                <w:b/>
              </w:rPr>
              <w:t>Claim or assumption</w:t>
            </w:r>
          </w:p>
        </w:tc>
      </w:tr>
      <w:tr w:rsidR="00243D8E" w:rsidRPr="001D4EB9" w:rsidTr="003830D9">
        <w:tc>
          <w:tcPr>
            <w:tcW w:w="1975" w:type="dxa"/>
            <w:vAlign w:val="center"/>
          </w:tcPr>
          <w:p w:rsidR="00243D8E" w:rsidRPr="001D4EB9" w:rsidRDefault="00243D8E" w:rsidP="00621014">
            <w:pPr>
              <w:pStyle w:val="Tabletext"/>
            </w:pPr>
            <w:r w:rsidRPr="001D4EB9">
              <w:t>Therapeutic claim: effectiveness</w:t>
            </w:r>
          </w:p>
        </w:tc>
        <w:tc>
          <w:tcPr>
            <w:tcW w:w="7205" w:type="dxa"/>
            <w:vAlign w:val="center"/>
          </w:tcPr>
          <w:p w:rsidR="00243D8E" w:rsidRPr="001D4EB9" w:rsidRDefault="00243D8E" w:rsidP="00621014">
            <w:pPr>
              <w:pStyle w:val="Tabletext"/>
            </w:pPr>
            <w:r w:rsidRPr="001D4EB9">
              <w:t>Based on evidence presented in Section 2, effectiveness is assumed to be non-inferior</w:t>
            </w:r>
          </w:p>
        </w:tc>
      </w:tr>
      <w:tr w:rsidR="00243D8E" w:rsidRPr="001D4EB9" w:rsidTr="003830D9">
        <w:tc>
          <w:tcPr>
            <w:tcW w:w="1975" w:type="dxa"/>
            <w:vAlign w:val="center"/>
          </w:tcPr>
          <w:p w:rsidR="00243D8E" w:rsidRPr="001D4EB9" w:rsidRDefault="00243D8E" w:rsidP="00621014">
            <w:pPr>
              <w:pStyle w:val="Tabletext"/>
            </w:pPr>
            <w:r w:rsidRPr="001D4EB9">
              <w:t>Therapeutic claim: safety</w:t>
            </w:r>
          </w:p>
        </w:tc>
        <w:tc>
          <w:tcPr>
            <w:tcW w:w="7205" w:type="dxa"/>
            <w:vAlign w:val="center"/>
          </w:tcPr>
          <w:p w:rsidR="00243D8E" w:rsidRPr="001D4EB9" w:rsidRDefault="00243D8E" w:rsidP="00621014">
            <w:pPr>
              <w:pStyle w:val="Tabletext"/>
            </w:pPr>
            <w:r w:rsidRPr="001D4EB9">
              <w:t xml:space="preserve">Based on evidence presented in Section 2, safety is assumed to be non-inferior </w:t>
            </w:r>
          </w:p>
        </w:tc>
      </w:tr>
      <w:tr w:rsidR="00243D8E" w:rsidRPr="001D4EB9" w:rsidTr="003830D9">
        <w:tc>
          <w:tcPr>
            <w:tcW w:w="1975" w:type="dxa"/>
            <w:vAlign w:val="center"/>
          </w:tcPr>
          <w:p w:rsidR="00243D8E" w:rsidRPr="001D4EB9" w:rsidRDefault="00243D8E" w:rsidP="00621014">
            <w:pPr>
              <w:pStyle w:val="Tabletext"/>
            </w:pPr>
            <w:r w:rsidRPr="001D4EB9">
              <w:t>Evidence base</w:t>
            </w:r>
          </w:p>
        </w:tc>
        <w:tc>
          <w:tcPr>
            <w:tcW w:w="7205" w:type="dxa"/>
            <w:vAlign w:val="center"/>
          </w:tcPr>
          <w:p w:rsidR="00243D8E" w:rsidRPr="001D4EB9" w:rsidRDefault="00243D8E" w:rsidP="00621014">
            <w:pPr>
              <w:pStyle w:val="Tabletext"/>
            </w:pPr>
            <w:r w:rsidRPr="001D4EB9">
              <w:t xml:space="preserve">Direct comparison of Symtuza and CAR in EMERALD or Prezcobix +Truvada in AMBER and Mills 2015 trials </w:t>
            </w:r>
          </w:p>
        </w:tc>
      </w:tr>
      <w:tr w:rsidR="00243D8E" w:rsidRPr="001D4EB9" w:rsidTr="003830D9">
        <w:tc>
          <w:tcPr>
            <w:tcW w:w="1975" w:type="dxa"/>
            <w:vAlign w:val="center"/>
          </w:tcPr>
          <w:p w:rsidR="00243D8E" w:rsidRPr="001D4EB9" w:rsidRDefault="00243D8E" w:rsidP="00621014">
            <w:pPr>
              <w:pStyle w:val="Tabletext"/>
            </w:pPr>
            <w:r w:rsidRPr="001D4EB9">
              <w:t>Equi-effective doses</w:t>
            </w:r>
          </w:p>
        </w:tc>
        <w:tc>
          <w:tcPr>
            <w:tcW w:w="7205" w:type="dxa"/>
            <w:vAlign w:val="center"/>
          </w:tcPr>
          <w:p w:rsidR="00243D8E" w:rsidRPr="001D4EB9" w:rsidRDefault="00243D8E" w:rsidP="00621014">
            <w:pPr>
              <w:pStyle w:val="Tabletext"/>
            </w:pPr>
            <w:r w:rsidRPr="001D4EB9">
              <w:t>Symtuza (800mg darunavir/150mg cobicistat/ 200mg emtricitabine and 10mg Tenofovir alafenamide</w:t>
            </w:r>
            <w:r w:rsidR="008E30DA" w:rsidRPr="001D4EB9">
              <w:t>)</w:t>
            </w:r>
            <w:r w:rsidRPr="001D4EB9">
              <w:t xml:space="preserve"> = </w:t>
            </w:r>
          </w:p>
          <w:p w:rsidR="00243D8E" w:rsidRPr="001D4EB9" w:rsidRDefault="0058230C" w:rsidP="00621014">
            <w:pPr>
              <w:pStyle w:val="Tabletext"/>
              <w:numPr>
                <w:ilvl w:val="0"/>
                <w:numId w:val="7"/>
              </w:numPr>
              <w:ind w:left="144" w:hanging="144"/>
            </w:pPr>
            <w:r w:rsidRPr="001D4EB9">
              <w:t xml:space="preserve">1 x </w:t>
            </w:r>
            <w:r w:rsidR="00F242CD" w:rsidRPr="001D4EB9">
              <w:t>Prezcobix (DRV/c 800mg/</w:t>
            </w:r>
            <w:r w:rsidR="00243D8E" w:rsidRPr="001D4EB9">
              <w:t>150mg) co-</w:t>
            </w:r>
            <w:r w:rsidRPr="001D4EB9">
              <w:t>administered with 1 x Descovy (FTC/TAF 200mg/</w:t>
            </w:r>
            <w:r w:rsidR="00243D8E" w:rsidRPr="001D4EB9">
              <w:t>10mg)</w:t>
            </w:r>
          </w:p>
          <w:p w:rsidR="00243D8E" w:rsidRPr="001D4EB9" w:rsidRDefault="0058230C" w:rsidP="00621014">
            <w:pPr>
              <w:pStyle w:val="Tabletext"/>
              <w:numPr>
                <w:ilvl w:val="0"/>
                <w:numId w:val="7"/>
              </w:numPr>
              <w:ind w:left="144" w:hanging="144"/>
            </w:pPr>
            <w:r w:rsidRPr="001D4EB9">
              <w:t>1 x</w:t>
            </w:r>
            <w:r w:rsidR="00726447" w:rsidRPr="001D4EB9">
              <w:t xml:space="preserve"> </w:t>
            </w:r>
            <w:r w:rsidRPr="001D4EB9">
              <w:t>Prezcobix (DRV/c 800mg/</w:t>
            </w:r>
            <w:r w:rsidR="00243D8E" w:rsidRPr="001D4EB9">
              <w:t>150mg) co-adminis</w:t>
            </w:r>
            <w:r w:rsidRPr="001D4EB9">
              <w:t>tered with 1 x Truvada (FTC/TDF</w:t>
            </w:r>
            <w:r w:rsidR="00243D8E" w:rsidRPr="001D4EB9">
              <w:t xml:space="preserve"> 200mg</w:t>
            </w:r>
            <w:r w:rsidRPr="001D4EB9">
              <w:t>/</w:t>
            </w:r>
            <w:r w:rsidR="00243D8E" w:rsidRPr="001D4EB9">
              <w:t>300mg)</w:t>
            </w:r>
          </w:p>
          <w:p w:rsidR="00243D8E" w:rsidRPr="001D4EB9" w:rsidRDefault="0058230C" w:rsidP="00621014">
            <w:pPr>
              <w:pStyle w:val="Tabletext"/>
              <w:numPr>
                <w:ilvl w:val="0"/>
                <w:numId w:val="7"/>
              </w:numPr>
              <w:ind w:left="144" w:hanging="144"/>
            </w:pPr>
            <w:r w:rsidRPr="001D4EB9">
              <w:t>1x Prezista (DRV</w:t>
            </w:r>
            <w:r w:rsidR="00243D8E" w:rsidRPr="001D4EB9">
              <w:t xml:space="preserve"> 800mg), taken with 1 x ritonavir (100mg</w:t>
            </w:r>
            <w:r w:rsidRPr="001D4EB9">
              <w:t>) and 1 x Descovy (FTC/TAF 200mg/</w:t>
            </w:r>
            <w:r w:rsidR="00243D8E" w:rsidRPr="001D4EB9">
              <w:t>10mg)</w:t>
            </w:r>
          </w:p>
          <w:p w:rsidR="00243D8E" w:rsidRPr="001D4EB9" w:rsidRDefault="0058230C" w:rsidP="00621014">
            <w:pPr>
              <w:pStyle w:val="Tabletext"/>
              <w:numPr>
                <w:ilvl w:val="0"/>
                <w:numId w:val="7"/>
              </w:numPr>
              <w:ind w:left="144" w:hanging="144"/>
            </w:pPr>
            <w:r w:rsidRPr="001D4EB9">
              <w:t>1x Prezista (DRV</w:t>
            </w:r>
            <w:r w:rsidR="00243D8E" w:rsidRPr="001D4EB9">
              <w:t xml:space="preserve"> 800mg), taken with 1 x ritonavir (100mg) and 1 x Truvada </w:t>
            </w:r>
            <w:r w:rsidRPr="001D4EB9">
              <w:t>(FTC/TDF</w:t>
            </w:r>
            <w:r w:rsidR="00243D8E" w:rsidRPr="001D4EB9">
              <w:t xml:space="preserve"> 200mg</w:t>
            </w:r>
            <w:r w:rsidRPr="001D4EB9">
              <w:t>/</w:t>
            </w:r>
            <w:r w:rsidR="00243D8E" w:rsidRPr="001D4EB9">
              <w:t>300mg)</w:t>
            </w:r>
          </w:p>
        </w:tc>
      </w:tr>
      <w:tr w:rsidR="00243D8E" w:rsidRPr="001D4EB9" w:rsidTr="003830D9">
        <w:tc>
          <w:tcPr>
            <w:tcW w:w="1975" w:type="dxa"/>
            <w:vAlign w:val="center"/>
          </w:tcPr>
          <w:p w:rsidR="00243D8E" w:rsidRPr="001D4EB9" w:rsidRDefault="00243D8E" w:rsidP="00621014">
            <w:pPr>
              <w:pStyle w:val="Tabletext"/>
            </w:pPr>
            <w:r w:rsidRPr="001D4EB9">
              <w:t>Direct medicine costs</w:t>
            </w:r>
          </w:p>
        </w:tc>
        <w:tc>
          <w:tcPr>
            <w:tcW w:w="7205" w:type="dxa"/>
            <w:vAlign w:val="center"/>
          </w:tcPr>
          <w:p w:rsidR="00243D8E" w:rsidRPr="001D4EB9" w:rsidRDefault="00243D8E" w:rsidP="00621014">
            <w:pPr>
              <w:pStyle w:val="Tabletext"/>
            </w:pPr>
            <w:r w:rsidRPr="001D4EB9">
              <w:t>The price of Symtuza is equivalent to a weighted price of the submission’s nominated comparators</w:t>
            </w:r>
          </w:p>
        </w:tc>
      </w:tr>
      <w:tr w:rsidR="00243D8E" w:rsidRPr="001D4EB9" w:rsidTr="003830D9">
        <w:tc>
          <w:tcPr>
            <w:tcW w:w="1975" w:type="dxa"/>
            <w:vAlign w:val="center"/>
          </w:tcPr>
          <w:p w:rsidR="00243D8E" w:rsidRPr="001D4EB9" w:rsidRDefault="00243D8E" w:rsidP="00621014">
            <w:pPr>
              <w:pStyle w:val="Tabletext"/>
            </w:pPr>
            <w:r w:rsidRPr="001D4EB9">
              <w:t>Other costs or cost offsets</w:t>
            </w:r>
          </w:p>
        </w:tc>
        <w:tc>
          <w:tcPr>
            <w:tcW w:w="7205" w:type="dxa"/>
            <w:vAlign w:val="center"/>
          </w:tcPr>
          <w:p w:rsidR="00243D8E" w:rsidRPr="001D4EB9" w:rsidRDefault="00243D8E" w:rsidP="00621014">
            <w:pPr>
              <w:pStyle w:val="Tabletext"/>
            </w:pPr>
            <w:r w:rsidRPr="001D4EB9">
              <w:t>None</w:t>
            </w:r>
          </w:p>
        </w:tc>
      </w:tr>
    </w:tbl>
    <w:p w:rsidR="00243D8E" w:rsidRPr="001D4EB9" w:rsidRDefault="00243D8E" w:rsidP="00621014">
      <w:pPr>
        <w:pStyle w:val="TableFooter"/>
        <w:widowControl/>
      </w:pPr>
      <w:r w:rsidRPr="001D4EB9">
        <w:t xml:space="preserve">Source: Table 3-1, p 114 of the submission. </w:t>
      </w:r>
    </w:p>
    <w:p w:rsidR="00243D8E" w:rsidRPr="001D4EB9" w:rsidRDefault="00243D8E" w:rsidP="00621014">
      <w:pPr>
        <w:pStyle w:val="TableFooter"/>
        <w:widowControl/>
        <w:rPr>
          <w:sz w:val="20"/>
        </w:rPr>
      </w:pPr>
      <w:r w:rsidRPr="001D4EB9">
        <w:t>CAR = current antiretroviral regimen</w:t>
      </w:r>
    </w:p>
    <w:p w:rsidR="0010463E" w:rsidRPr="001D4EB9" w:rsidRDefault="0010463E" w:rsidP="00621014">
      <w:pPr>
        <w:keepNext/>
        <w:widowControl/>
        <w:rPr>
          <w:color w:val="000000" w:themeColor="text1"/>
        </w:rPr>
      </w:pPr>
    </w:p>
    <w:p w:rsidR="00243D8E" w:rsidRPr="001D4EB9" w:rsidRDefault="00243D8E" w:rsidP="00621014">
      <w:pPr>
        <w:pStyle w:val="ListParagraph"/>
        <w:widowControl/>
        <w:numPr>
          <w:ilvl w:val="1"/>
          <w:numId w:val="1"/>
        </w:numPr>
      </w:pPr>
      <w:r w:rsidRPr="001D4EB9">
        <w:t>The submission based its c</w:t>
      </w:r>
      <w:r w:rsidR="00151B40" w:rsidRPr="001D4EB9">
        <w:t>onsideration of equi-</w:t>
      </w:r>
      <w:r w:rsidRPr="001D4EB9">
        <w:t xml:space="preserve">effective doses on the clinical demonstration of the non-inferiority of </w:t>
      </w:r>
      <w:r w:rsidR="00671189" w:rsidRPr="001D4EB9">
        <w:t>Symtuza to boosted DRV 800mg co</w:t>
      </w:r>
      <w:r w:rsidR="00671189" w:rsidRPr="001D4EB9">
        <w:noBreakHyphen/>
      </w:r>
      <w:r w:rsidRPr="001D4EB9">
        <w:t xml:space="preserve">administered with </w:t>
      </w:r>
      <w:r w:rsidR="00E11330" w:rsidRPr="001D4EB9">
        <w:t>FTC</w:t>
      </w:r>
      <w:r w:rsidRPr="001D4EB9">
        <w:t>/tenofovir after 48 weeks of treatment.</w:t>
      </w:r>
    </w:p>
    <w:p w:rsidR="00243D8E" w:rsidRPr="001D4EB9" w:rsidRDefault="00243D8E" w:rsidP="00621014">
      <w:pPr>
        <w:pStyle w:val="ListParagraph"/>
        <w:widowControl/>
        <w:numPr>
          <w:ilvl w:val="1"/>
          <w:numId w:val="1"/>
        </w:numPr>
        <w:spacing w:after="0"/>
      </w:pPr>
      <w:r w:rsidRPr="001D4EB9">
        <w:t xml:space="preserve">Based on </w:t>
      </w:r>
      <w:r w:rsidR="00671189" w:rsidRPr="001D4EB9">
        <w:t xml:space="preserve">the </w:t>
      </w:r>
      <w:r w:rsidRPr="001D4EB9">
        <w:t>therapeutic relativity sheets</w:t>
      </w:r>
      <w:r w:rsidR="00671189" w:rsidRPr="001D4EB9">
        <w:t xml:space="preserve"> (1 June 2019)</w:t>
      </w:r>
      <w:r w:rsidRPr="001D4EB9">
        <w:t xml:space="preserve">, the submission considered a single daily tablet of 800mg </w:t>
      </w:r>
      <w:r w:rsidR="00E11330" w:rsidRPr="001D4EB9">
        <w:t>DRV</w:t>
      </w:r>
      <w:r w:rsidRPr="001D4EB9">
        <w:t xml:space="preserve"> + 150 mg cobicistat + 200mg </w:t>
      </w:r>
      <w:r w:rsidR="00E11330" w:rsidRPr="001D4EB9">
        <w:t>FTC</w:t>
      </w:r>
      <w:r w:rsidRPr="001D4EB9">
        <w:t xml:space="preserve"> + 10mg </w:t>
      </w:r>
      <w:r w:rsidR="00E11330" w:rsidRPr="001D4EB9">
        <w:t>TAF</w:t>
      </w:r>
      <w:r w:rsidRPr="001D4EB9">
        <w:t xml:space="preserve"> was equi-effective to the following:</w:t>
      </w:r>
    </w:p>
    <w:p w:rsidR="0058230C" w:rsidRPr="001D4EB9" w:rsidRDefault="0058230C" w:rsidP="00621014">
      <w:pPr>
        <w:pStyle w:val="ListParagraph"/>
        <w:widowControl/>
        <w:numPr>
          <w:ilvl w:val="0"/>
          <w:numId w:val="11"/>
        </w:numPr>
        <w:spacing w:after="80"/>
        <w:ind w:left="993" w:hanging="284"/>
      </w:pPr>
      <w:r w:rsidRPr="001D4EB9">
        <w:t>1 x Prezcobix (DRV/c 800mg/150mg) co-administered with 1 x Descovy (FTC/TAF 200mg/10mg)</w:t>
      </w:r>
    </w:p>
    <w:p w:rsidR="0058230C" w:rsidRPr="001D4EB9" w:rsidRDefault="0058230C" w:rsidP="00621014">
      <w:pPr>
        <w:pStyle w:val="ListParagraph"/>
        <w:widowControl/>
        <w:numPr>
          <w:ilvl w:val="0"/>
          <w:numId w:val="11"/>
        </w:numPr>
        <w:spacing w:after="80"/>
        <w:ind w:left="993" w:hanging="284"/>
      </w:pPr>
      <w:r w:rsidRPr="001D4EB9">
        <w:t>1 x</w:t>
      </w:r>
      <w:r w:rsidR="00726447" w:rsidRPr="001D4EB9">
        <w:t xml:space="preserve"> </w:t>
      </w:r>
      <w:r w:rsidRPr="001D4EB9">
        <w:t>Prezcobix (DRV/c 800mg/150mg) co-administered with 1 x Truvada (FTC/TDF 200mg/300mg)</w:t>
      </w:r>
    </w:p>
    <w:p w:rsidR="0058230C" w:rsidRPr="001D4EB9" w:rsidRDefault="0058230C" w:rsidP="00621014">
      <w:pPr>
        <w:pStyle w:val="ListParagraph"/>
        <w:widowControl/>
        <w:numPr>
          <w:ilvl w:val="0"/>
          <w:numId w:val="11"/>
        </w:numPr>
        <w:spacing w:after="80"/>
        <w:ind w:left="993" w:hanging="284"/>
      </w:pPr>
      <w:r w:rsidRPr="001D4EB9">
        <w:t>1</w:t>
      </w:r>
      <w:r w:rsidR="00726447" w:rsidRPr="001D4EB9">
        <w:t xml:space="preserve"> </w:t>
      </w:r>
      <w:r w:rsidRPr="001D4EB9">
        <w:t>x Prezista (DRV 800mg), taken with 1 x ritonavir (100mg) and 1 x Descovy (FTC/TAF 200mg/10mg)</w:t>
      </w:r>
    </w:p>
    <w:p w:rsidR="0058230C" w:rsidRPr="001D4EB9" w:rsidRDefault="0058230C" w:rsidP="00621014">
      <w:pPr>
        <w:pStyle w:val="ListParagraph"/>
        <w:widowControl/>
        <w:numPr>
          <w:ilvl w:val="0"/>
          <w:numId w:val="11"/>
        </w:numPr>
        <w:spacing w:after="80"/>
        <w:ind w:left="993" w:hanging="284"/>
      </w:pPr>
      <w:r w:rsidRPr="001D4EB9">
        <w:t>1</w:t>
      </w:r>
      <w:r w:rsidR="00726447" w:rsidRPr="001D4EB9">
        <w:t xml:space="preserve"> </w:t>
      </w:r>
      <w:r w:rsidRPr="001D4EB9">
        <w:t>x Prezista (DRV 800mg), taken with 1 x ritonavir (100mg) and 1 x Truvada (FTC/TDF 200mg/300mg)</w:t>
      </w:r>
    </w:p>
    <w:p w:rsidR="00243D8E" w:rsidRPr="001D4EB9" w:rsidRDefault="00243D8E" w:rsidP="00621014">
      <w:pPr>
        <w:pStyle w:val="ListParagraph"/>
        <w:widowControl/>
        <w:numPr>
          <w:ilvl w:val="1"/>
          <w:numId w:val="1"/>
        </w:numPr>
      </w:pPr>
      <w:r w:rsidRPr="001D4EB9">
        <w:t>These equi-effective doses were reasonably supported. However, as noted</w:t>
      </w:r>
      <w:r w:rsidR="00DF113A" w:rsidRPr="001D4EB9">
        <w:t xml:space="preserve"> in paragraph 5.4</w:t>
      </w:r>
      <w:r w:rsidRPr="001D4EB9">
        <w:t xml:space="preserve"> </w:t>
      </w:r>
      <w:r w:rsidR="00151B40" w:rsidRPr="001D4EB9">
        <w:t>above</w:t>
      </w:r>
      <w:r w:rsidRPr="001D4EB9">
        <w:t>, these are not the only</w:t>
      </w:r>
      <w:r w:rsidR="007F1BF8" w:rsidRPr="001D4EB9">
        <w:t xml:space="preserve"> potential</w:t>
      </w:r>
      <w:r w:rsidRPr="001D4EB9">
        <w:t xml:space="preserve"> relevant alternatives. An approach consistent with the</w:t>
      </w:r>
      <w:r w:rsidRPr="001D4EB9">
        <w:rPr>
          <w:rFonts w:cs="Calibri"/>
          <w:iCs/>
          <w:snapToGrid/>
          <w:szCs w:val="24"/>
          <w:lang w:eastAsia="en-AU"/>
        </w:rPr>
        <w:t xml:space="preserve"> National Health Act 1953, Section 101(3B) could include other, less expensive comparators.</w:t>
      </w:r>
    </w:p>
    <w:p w:rsidR="00243D8E" w:rsidRPr="001D4EB9" w:rsidRDefault="0010463E" w:rsidP="00621014">
      <w:pPr>
        <w:pStyle w:val="ListParagraph"/>
        <w:widowControl/>
        <w:numPr>
          <w:ilvl w:val="1"/>
          <w:numId w:val="1"/>
        </w:numPr>
      </w:pPr>
      <w:r w:rsidRPr="001D4EB9">
        <w:rPr>
          <w:color w:val="000000" w:themeColor="text1"/>
        </w:rPr>
        <w:t>No additional costs or cost offsets were included. Given the non-inferiority of Symtuza and its comparators, and the absence of any notable differences in monitoring requirements, this is reasonable.</w:t>
      </w:r>
    </w:p>
    <w:p w:rsidR="00243D8E" w:rsidRPr="001D4EB9" w:rsidRDefault="00243D8E" w:rsidP="00621014">
      <w:pPr>
        <w:pStyle w:val="ListParagraph"/>
        <w:widowControl/>
        <w:numPr>
          <w:ilvl w:val="1"/>
          <w:numId w:val="1"/>
        </w:numPr>
      </w:pPr>
      <w:r w:rsidRPr="001D4EB9">
        <w:lastRenderedPageBreak/>
        <w:t xml:space="preserve">The submission conducted a </w:t>
      </w:r>
      <w:r w:rsidR="00B31925" w:rsidRPr="001D4EB9">
        <w:t>CMA</w:t>
      </w:r>
      <w:r w:rsidR="00FC1DC8" w:rsidRPr="001D4EB9">
        <w:t xml:space="preserve"> (see </w:t>
      </w:r>
      <w:r w:rsidR="00972D54" w:rsidRPr="001D4EB9">
        <w:t>Table 9</w:t>
      </w:r>
      <w:r w:rsidR="00FC1DC8" w:rsidRPr="001D4EB9">
        <w:t xml:space="preserve">) </w:t>
      </w:r>
      <w:r w:rsidRPr="001D4EB9">
        <w:t>based on weighting the total prices of each regimen by relative use based on a 10% PBS sample data from Prospection Pty Ltd.</w:t>
      </w:r>
      <w:r w:rsidR="00B20101" w:rsidRPr="001D4EB9">
        <w:t xml:space="preserve"> </w:t>
      </w:r>
      <w:r w:rsidRPr="001D4EB9">
        <w:t xml:space="preserve">The weighted analysis is inconsistent with </w:t>
      </w:r>
      <w:r w:rsidRPr="001D4EB9">
        <w:rPr>
          <w:rFonts w:cs="Calibri"/>
          <w:iCs/>
          <w:snapToGrid/>
          <w:szCs w:val="24"/>
          <w:lang w:eastAsia="en-AU"/>
        </w:rPr>
        <w:t>National Health Act 1953, Section 101(3B</w:t>
      </w:r>
      <w:r w:rsidR="00B20101" w:rsidRPr="001D4EB9">
        <w:rPr>
          <w:rFonts w:cs="Calibri"/>
          <w:iCs/>
          <w:snapToGrid/>
          <w:szCs w:val="24"/>
          <w:lang w:eastAsia="en-AU"/>
        </w:rPr>
        <w:t>)</w:t>
      </w:r>
      <w:r w:rsidR="00DF113A" w:rsidRPr="001D4EB9">
        <w:rPr>
          <w:rFonts w:cs="Calibri"/>
          <w:iCs/>
          <w:snapToGrid/>
          <w:szCs w:val="24"/>
          <w:lang w:eastAsia="en-AU"/>
        </w:rPr>
        <w:t>, which was acknowledged by the Sponsor in its PSCR</w:t>
      </w:r>
      <w:r w:rsidR="00B20101" w:rsidRPr="001D4EB9">
        <w:rPr>
          <w:rFonts w:cs="Calibri"/>
          <w:iCs/>
          <w:snapToGrid/>
          <w:szCs w:val="24"/>
          <w:lang w:eastAsia="en-AU"/>
        </w:rPr>
        <w:t xml:space="preserve">. </w:t>
      </w:r>
      <w:r w:rsidRPr="001D4EB9">
        <w:rPr>
          <w:rFonts w:cs="Calibri"/>
          <w:iCs/>
          <w:snapToGrid/>
          <w:szCs w:val="24"/>
          <w:lang w:eastAsia="en-AU"/>
        </w:rPr>
        <w:t>Furthermore, the weighted analysis assumes that only the four nominated comparators will be replaced. The submission’s financial estimates indicated that</w:t>
      </w:r>
      <w:r w:rsidR="00CB59A6" w:rsidRPr="001D4EB9">
        <w:rPr>
          <w:rFonts w:cs="Calibri"/>
          <w:iCs/>
          <w:snapToGrid/>
          <w:szCs w:val="24"/>
          <w:lang w:eastAsia="en-AU"/>
        </w:rPr>
        <w:t xml:space="preserve"> only</w:t>
      </w:r>
      <w:r w:rsidR="00E10DF6" w:rsidRPr="001D4EB9">
        <w:rPr>
          <w:rFonts w:cs="Calibri"/>
          <w:iCs/>
          <w:snapToGrid/>
          <w:szCs w:val="24"/>
          <w:lang w:eastAsia="en-AU"/>
        </w:rPr>
        <w:t xml:space="preserve"> 28.9% of</w:t>
      </w:r>
      <w:r w:rsidRPr="001D4EB9">
        <w:rPr>
          <w:rFonts w:cs="Calibri"/>
          <w:iCs/>
          <w:snapToGrid/>
          <w:szCs w:val="24"/>
          <w:lang w:eastAsia="en-AU"/>
        </w:rPr>
        <w:t xml:space="preserve"> Prezista</w:t>
      </w:r>
      <w:r w:rsidR="00E10DF6" w:rsidRPr="001D4EB9">
        <w:rPr>
          <w:rFonts w:cs="Calibri"/>
          <w:iCs/>
          <w:snapToGrid/>
          <w:szCs w:val="24"/>
          <w:lang w:eastAsia="en-AU"/>
        </w:rPr>
        <w:t xml:space="preserve"> and 45.2% of Prezcobix prescriptions</w:t>
      </w:r>
      <w:r w:rsidRPr="001D4EB9">
        <w:rPr>
          <w:rFonts w:cs="Calibri"/>
          <w:iCs/>
          <w:snapToGrid/>
          <w:szCs w:val="24"/>
          <w:lang w:eastAsia="en-AU"/>
        </w:rPr>
        <w:t xml:space="preserve"> w</w:t>
      </w:r>
      <w:r w:rsidR="00E10DF6" w:rsidRPr="001D4EB9">
        <w:rPr>
          <w:rFonts w:cs="Calibri"/>
          <w:iCs/>
          <w:snapToGrid/>
          <w:szCs w:val="24"/>
          <w:lang w:eastAsia="en-AU"/>
        </w:rPr>
        <w:t>ere in combination</w:t>
      </w:r>
      <w:r w:rsidR="0058230C" w:rsidRPr="001D4EB9">
        <w:rPr>
          <w:rFonts w:cs="Calibri"/>
          <w:iCs/>
          <w:snapToGrid/>
          <w:szCs w:val="24"/>
          <w:lang w:eastAsia="en-AU"/>
        </w:rPr>
        <w:t xml:space="preserve"> with FTC</w:t>
      </w:r>
      <w:r w:rsidR="00FC1DC8" w:rsidRPr="001D4EB9">
        <w:rPr>
          <w:rFonts w:cs="Calibri"/>
          <w:iCs/>
          <w:snapToGrid/>
          <w:szCs w:val="24"/>
          <w:lang w:eastAsia="en-AU"/>
        </w:rPr>
        <w:t>/</w:t>
      </w:r>
      <w:r w:rsidR="008E30DA" w:rsidRPr="001D4EB9">
        <w:rPr>
          <w:rFonts w:cs="Calibri"/>
          <w:iCs/>
          <w:snapToGrid/>
          <w:szCs w:val="24"/>
          <w:lang w:eastAsia="en-AU"/>
        </w:rPr>
        <w:t xml:space="preserve">tenofovir. </w:t>
      </w:r>
      <w:r w:rsidR="00FC1DC8" w:rsidRPr="001D4EB9">
        <w:rPr>
          <w:rFonts w:cs="Calibri"/>
          <w:iCs/>
          <w:snapToGrid/>
          <w:szCs w:val="24"/>
          <w:lang w:eastAsia="en-AU"/>
        </w:rPr>
        <w:t>T</w:t>
      </w:r>
      <w:r w:rsidRPr="001D4EB9">
        <w:rPr>
          <w:rFonts w:cs="Calibri"/>
          <w:iCs/>
          <w:snapToGrid/>
          <w:szCs w:val="24"/>
          <w:lang w:eastAsia="en-AU"/>
        </w:rPr>
        <w:t>his indicates</w:t>
      </w:r>
      <w:r w:rsidR="00FC1DC8" w:rsidRPr="001D4EB9">
        <w:rPr>
          <w:rFonts w:cs="Calibri"/>
          <w:iCs/>
          <w:snapToGrid/>
          <w:szCs w:val="24"/>
          <w:lang w:eastAsia="en-AU"/>
        </w:rPr>
        <w:t xml:space="preserve"> that the majority of darunavir-</w:t>
      </w:r>
      <w:r w:rsidRPr="001D4EB9">
        <w:rPr>
          <w:rFonts w:cs="Calibri"/>
          <w:iCs/>
          <w:snapToGrid/>
          <w:szCs w:val="24"/>
          <w:lang w:eastAsia="en-AU"/>
        </w:rPr>
        <w:t>containing regimens prescribed</w:t>
      </w:r>
      <w:r w:rsidR="0058230C" w:rsidRPr="001D4EB9">
        <w:rPr>
          <w:rFonts w:cs="Calibri"/>
          <w:iCs/>
          <w:snapToGrid/>
          <w:szCs w:val="24"/>
          <w:lang w:eastAsia="en-AU"/>
        </w:rPr>
        <w:t xml:space="preserve"> are not used with FTC</w:t>
      </w:r>
      <w:r w:rsidR="00FC1DC8" w:rsidRPr="001D4EB9">
        <w:rPr>
          <w:rFonts w:cs="Calibri"/>
          <w:iCs/>
          <w:snapToGrid/>
          <w:szCs w:val="24"/>
          <w:lang w:eastAsia="en-AU"/>
        </w:rPr>
        <w:t>/</w:t>
      </w:r>
      <w:r w:rsidRPr="001D4EB9">
        <w:rPr>
          <w:rFonts w:cs="Calibri"/>
          <w:iCs/>
          <w:snapToGrid/>
          <w:szCs w:val="24"/>
          <w:lang w:eastAsia="en-AU"/>
        </w:rPr>
        <w:t>tenofovir.</w:t>
      </w:r>
      <w:r w:rsidR="00E758B0" w:rsidRPr="001D4EB9">
        <w:rPr>
          <w:rFonts w:cs="Calibri"/>
          <w:iCs/>
          <w:snapToGrid/>
          <w:szCs w:val="24"/>
          <w:lang w:eastAsia="en-AU"/>
        </w:rPr>
        <w:t xml:space="preserve"> Therefore,</w:t>
      </w:r>
      <w:r w:rsidRPr="001D4EB9">
        <w:rPr>
          <w:rFonts w:cs="Calibri"/>
          <w:iCs/>
          <w:snapToGrid/>
          <w:szCs w:val="24"/>
          <w:lang w:eastAsia="en-AU"/>
        </w:rPr>
        <w:t xml:space="preserve"> </w:t>
      </w:r>
      <w:r w:rsidR="00E758B0" w:rsidRPr="001D4EB9">
        <w:rPr>
          <w:rFonts w:cs="Calibri"/>
          <w:iCs/>
          <w:snapToGrid/>
          <w:szCs w:val="24"/>
          <w:lang w:eastAsia="en-AU"/>
        </w:rPr>
        <w:t>i</w:t>
      </w:r>
      <w:r w:rsidRPr="001D4EB9">
        <w:rPr>
          <w:rFonts w:cs="Calibri"/>
          <w:iCs/>
          <w:snapToGrid/>
          <w:szCs w:val="24"/>
          <w:lang w:eastAsia="en-AU"/>
        </w:rPr>
        <w:t xml:space="preserve">t is likely </w:t>
      </w:r>
      <w:r w:rsidR="00671189" w:rsidRPr="001D4EB9">
        <w:rPr>
          <w:rFonts w:cs="Calibri"/>
          <w:iCs/>
          <w:snapToGrid/>
          <w:szCs w:val="24"/>
          <w:lang w:eastAsia="en-AU"/>
        </w:rPr>
        <w:t xml:space="preserve">that </w:t>
      </w:r>
      <w:r w:rsidRPr="001D4EB9">
        <w:rPr>
          <w:rFonts w:cs="Calibri"/>
          <w:iCs/>
          <w:snapToGrid/>
          <w:szCs w:val="24"/>
          <w:lang w:eastAsia="en-AU"/>
        </w:rPr>
        <w:t xml:space="preserve">other darunavir based regimens </w:t>
      </w:r>
      <w:r w:rsidR="00671189" w:rsidRPr="001D4EB9">
        <w:rPr>
          <w:rFonts w:cs="Calibri"/>
          <w:iCs/>
          <w:snapToGrid/>
          <w:szCs w:val="24"/>
          <w:lang w:eastAsia="en-AU"/>
        </w:rPr>
        <w:t xml:space="preserve">would </w:t>
      </w:r>
      <w:r w:rsidRPr="001D4EB9">
        <w:rPr>
          <w:rFonts w:cs="Calibri"/>
          <w:iCs/>
          <w:snapToGrid/>
          <w:szCs w:val="24"/>
          <w:lang w:eastAsia="en-AU"/>
        </w:rPr>
        <w:t>be replaced in practice. It was unclear from the submission which other regimens would be likely to be replaced.</w:t>
      </w:r>
    </w:p>
    <w:p w:rsidR="0010463E" w:rsidRPr="001D4EB9" w:rsidRDefault="00FC1DC8" w:rsidP="00621014">
      <w:pPr>
        <w:pStyle w:val="ListParagraph"/>
        <w:widowControl/>
        <w:numPr>
          <w:ilvl w:val="1"/>
          <w:numId w:val="1"/>
        </w:numPr>
      </w:pPr>
      <w:r w:rsidRPr="001D4EB9">
        <w:rPr>
          <w:rFonts w:cs="Calibri"/>
          <w:iCs/>
          <w:snapToGrid/>
          <w:szCs w:val="24"/>
          <w:lang w:eastAsia="en-AU"/>
        </w:rPr>
        <w:t xml:space="preserve">Further sensitivity analyses of this </w:t>
      </w:r>
      <w:r w:rsidR="00B31925" w:rsidRPr="001D4EB9">
        <w:rPr>
          <w:rFonts w:cs="Calibri"/>
          <w:iCs/>
          <w:snapToGrid/>
          <w:szCs w:val="24"/>
          <w:lang w:eastAsia="en-AU"/>
        </w:rPr>
        <w:t>CMA</w:t>
      </w:r>
      <w:r w:rsidR="00671189" w:rsidRPr="001D4EB9">
        <w:rPr>
          <w:rFonts w:cs="Calibri"/>
          <w:iCs/>
          <w:snapToGrid/>
          <w:szCs w:val="24"/>
          <w:lang w:eastAsia="en-AU"/>
        </w:rPr>
        <w:t xml:space="preserve"> conducted during the evaluation</w:t>
      </w:r>
      <w:r w:rsidR="00FE6890" w:rsidRPr="001D4EB9">
        <w:rPr>
          <w:rFonts w:cs="Calibri"/>
          <w:iCs/>
          <w:snapToGrid/>
          <w:szCs w:val="24"/>
          <w:lang w:eastAsia="en-AU"/>
        </w:rPr>
        <w:t xml:space="preserve">, with justification, </w:t>
      </w:r>
      <w:r w:rsidRPr="001D4EB9">
        <w:rPr>
          <w:rFonts w:cs="Calibri"/>
          <w:iCs/>
          <w:snapToGrid/>
          <w:szCs w:val="24"/>
          <w:lang w:eastAsia="en-AU"/>
        </w:rPr>
        <w:t xml:space="preserve">are also presented in Table 9. </w:t>
      </w:r>
    </w:p>
    <w:p w:rsidR="00243D8E" w:rsidRPr="001D4EB9" w:rsidRDefault="0010463E" w:rsidP="00312444">
      <w:pPr>
        <w:keepNext/>
        <w:widowControl/>
        <w:rPr>
          <w:rStyle w:val="CommentReference"/>
        </w:rPr>
      </w:pPr>
      <w:bookmarkStart w:id="24" w:name="_Ref18938428"/>
      <w:r w:rsidRPr="001D4EB9">
        <w:rPr>
          <w:rStyle w:val="CommentReference"/>
        </w:rPr>
        <w:t xml:space="preserve">Table </w:t>
      </w:r>
      <w:r w:rsidR="00FE6890" w:rsidRPr="001D4EB9">
        <w:rPr>
          <w:rStyle w:val="CommentReference"/>
        </w:rPr>
        <w:t>9</w:t>
      </w:r>
      <w:bookmarkEnd w:id="24"/>
      <w:r w:rsidRPr="001D4EB9">
        <w:rPr>
          <w:rStyle w:val="CommentReference"/>
        </w:rPr>
        <w:t xml:space="preserve">:  </w:t>
      </w:r>
      <w:r w:rsidR="00243D8E" w:rsidRPr="001D4EB9">
        <w:rPr>
          <w:rStyle w:val="CommentReference"/>
        </w:rPr>
        <w:t>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Table 9:  Results of the cost-minimisation analysis"/>
      </w:tblPr>
      <w:tblGrid>
        <w:gridCol w:w="3288"/>
        <w:gridCol w:w="1951"/>
        <w:gridCol w:w="1702"/>
        <w:gridCol w:w="2076"/>
      </w:tblGrid>
      <w:tr w:rsidR="00243D8E" w:rsidRPr="001D4EB9" w:rsidTr="0013307A">
        <w:trPr>
          <w:trHeight w:val="134"/>
          <w:tblHeader/>
        </w:trPr>
        <w:tc>
          <w:tcPr>
            <w:tcW w:w="1823" w:type="pct"/>
            <w:shd w:val="clear" w:color="auto" w:fill="auto"/>
          </w:tcPr>
          <w:p w:rsidR="00243D8E" w:rsidRPr="001D4EB9" w:rsidRDefault="00243D8E" w:rsidP="00312444">
            <w:pPr>
              <w:pStyle w:val="TableParagraph"/>
              <w:keepNext/>
              <w:widowControl/>
              <w:kinsoku w:val="0"/>
              <w:overflowPunct w:val="0"/>
              <w:jc w:val="left"/>
              <w:rPr>
                <w:rFonts w:ascii="Arial Narrow" w:hAnsi="Arial Narrow" w:cs="Arial Narrow"/>
                <w:b/>
                <w:bCs/>
                <w:sz w:val="20"/>
                <w:szCs w:val="20"/>
              </w:rPr>
            </w:pPr>
            <w:r w:rsidRPr="001D4EB9">
              <w:rPr>
                <w:rFonts w:ascii="Arial Narrow" w:hAnsi="Arial Narrow" w:cs="Arial Narrow"/>
                <w:b/>
                <w:bCs/>
                <w:spacing w:val="-1"/>
                <w:sz w:val="20"/>
                <w:szCs w:val="20"/>
              </w:rPr>
              <w:t>Treatment</w:t>
            </w:r>
          </w:p>
        </w:tc>
        <w:tc>
          <w:tcPr>
            <w:tcW w:w="2026" w:type="pct"/>
            <w:gridSpan w:val="2"/>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cs="Arial Narrow"/>
                <w:b/>
                <w:bCs/>
                <w:spacing w:val="-1"/>
                <w:sz w:val="20"/>
                <w:szCs w:val="20"/>
              </w:rPr>
            </w:pPr>
            <w:r w:rsidRPr="001D4EB9">
              <w:rPr>
                <w:rFonts w:ascii="Arial Narrow" w:hAnsi="Arial Narrow" w:cs="Arial Narrow"/>
                <w:b/>
                <w:bCs/>
                <w:spacing w:val="-1"/>
                <w:sz w:val="20"/>
                <w:szCs w:val="20"/>
              </w:rPr>
              <w:t>Drug costs (AEMP) 30 days</w:t>
            </w:r>
          </w:p>
        </w:tc>
        <w:tc>
          <w:tcPr>
            <w:tcW w:w="1151" w:type="pct"/>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cs="Arial Narrow"/>
                <w:b/>
                <w:bCs/>
                <w:spacing w:val="-1"/>
                <w:sz w:val="20"/>
                <w:szCs w:val="20"/>
              </w:rPr>
            </w:pPr>
            <w:r w:rsidRPr="001D4EB9">
              <w:rPr>
                <w:rFonts w:ascii="Arial Narrow" w:hAnsi="Arial Narrow" w:cs="Arial Narrow"/>
                <w:b/>
                <w:bCs/>
                <w:spacing w:val="-1"/>
                <w:sz w:val="20"/>
                <w:szCs w:val="20"/>
              </w:rPr>
              <w:t>Weighting</w:t>
            </w:r>
          </w:p>
        </w:tc>
      </w:tr>
      <w:tr w:rsidR="00243D8E" w:rsidRPr="001D4EB9" w:rsidTr="0013307A">
        <w:trPr>
          <w:trHeight w:val="20"/>
        </w:trPr>
        <w:tc>
          <w:tcPr>
            <w:tcW w:w="5000" w:type="pct"/>
            <w:gridSpan w:val="4"/>
            <w:shd w:val="clear" w:color="auto" w:fill="auto"/>
          </w:tcPr>
          <w:p w:rsidR="00243D8E" w:rsidRPr="001D4EB9" w:rsidRDefault="00243D8E" w:rsidP="00312444">
            <w:pPr>
              <w:pStyle w:val="TableParagraph"/>
              <w:keepNext/>
              <w:widowControl/>
              <w:kinsoku w:val="0"/>
              <w:overflowPunct w:val="0"/>
              <w:jc w:val="left"/>
              <w:rPr>
                <w:rFonts w:ascii="Arial Narrow" w:hAnsi="Arial Narrow" w:cs="Arial Narrow"/>
                <w:b/>
                <w:bCs/>
                <w:spacing w:val="-1"/>
                <w:sz w:val="20"/>
                <w:szCs w:val="20"/>
              </w:rPr>
            </w:pPr>
            <w:r w:rsidRPr="001D4EB9">
              <w:rPr>
                <w:rFonts w:ascii="Arial Narrow" w:hAnsi="Arial Narrow" w:cs="Arial Narrow"/>
                <w:b/>
                <w:bCs/>
                <w:spacing w:val="-1"/>
                <w:sz w:val="20"/>
                <w:szCs w:val="20"/>
              </w:rPr>
              <w:t>Submission CMA</w:t>
            </w:r>
          </w:p>
        </w:tc>
      </w:tr>
      <w:tr w:rsidR="00243D8E" w:rsidRPr="001D4EB9" w:rsidTr="0013307A">
        <w:trPr>
          <w:trHeight w:val="20"/>
        </w:trPr>
        <w:tc>
          <w:tcPr>
            <w:tcW w:w="1823" w:type="pct"/>
            <w:shd w:val="clear" w:color="auto" w:fill="auto"/>
          </w:tcPr>
          <w:p w:rsidR="00243D8E" w:rsidRPr="001D4EB9" w:rsidRDefault="00243D8E" w:rsidP="00312444">
            <w:pPr>
              <w:pStyle w:val="TableParagraph"/>
              <w:keepNext/>
              <w:widowControl/>
              <w:kinsoku w:val="0"/>
              <w:overflowPunct w:val="0"/>
              <w:jc w:val="left"/>
              <w:rPr>
                <w:rFonts w:ascii="Arial Narrow" w:hAnsi="Arial Narrow"/>
                <w:sz w:val="20"/>
                <w:szCs w:val="20"/>
              </w:rPr>
            </w:pPr>
            <w:r w:rsidRPr="001D4EB9">
              <w:rPr>
                <w:rFonts w:ascii="Arial Narrow" w:hAnsi="Arial Narrow"/>
                <w:sz w:val="20"/>
                <w:szCs w:val="20"/>
              </w:rPr>
              <w:t>Prezcobix 900mg/150mg</w:t>
            </w:r>
          </w:p>
        </w:tc>
        <w:tc>
          <w:tcPr>
            <w:tcW w:w="1082" w:type="pct"/>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sz w:val="20"/>
                <w:szCs w:val="20"/>
              </w:rPr>
            </w:pPr>
            <w:r w:rsidRPr="001D4EB9">
              <w:rPr>
                <w:rFonts w:ascii="Arial Narrow" w:hAnsi="Arial Narrow"/>
                <w:sz w:val="20"/>
                <w:szCs w:val="20"/>
              </w:rPr>
              <w:t>$606.08</w:t>
            </w:r>
          </w:p>
        </w:tc>
        <w:tc>
          <w:tcPr>
            <w:tcW w:w="944" w:type="pct"/>
            <w:vMerge w:val="restart"/>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sz w:val="20"/>
                <w:szCs w:val="20"/>
              </w:rPr>
            </w:pPr>
            <w:r w:rsidRPr="001D4EB9">
              <w:rPr>
                <w:rFonts w:ascii="Arial Narrow" w:hAnsi="Arial Narrow"/>
                <w:sz w:val="20"/>
                <w:szCs w:val="20"/>
              </w:rPr>
              <w:t>$1,306.14</w:t>
            </w:r>
          </w:p>
        </w:tc>
        <w:tc>
          <w:tcPr>
            <w:tcW w:w="1151" w:type="pct"/>
            <w:vMerge w:val="restart"/>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sz w:val="20"/>
                <w:szCs w:val="20"/>
              </w:rPr>
            </w:pPr>
            <w:r w:rsidRPr="001D4EB9">
              <w:rPr>
                <w:rFonts w:ascii="Arial Narrow" w:hAnsi="Arial Narrow"/>
                <w:sz w:val="20"/>
                <w:szCs w:val="20"/>
              </w:rPr>
              <w:t>0.583</w:t>
            </w:r>
          </w:p>
        </w:tc>
      </w:tr>
      <w:tr w:rsidR="00243D8E" w:rsidRPr="001D4EB9" w:rsidTr="0013307A">
        <w:trPr>
          <w:trHeight w:val="20"/>
        </w:trPr>
        <w:tc>
          <w:tcPr>
            <w:tcW w:w="1823" w:type="pct"/>
            <w:shd w:val="clear" w:color="auto" w:fill="auto"/>
          </w:tcPr>
          <w:p w:rsidR="00243D8E" w:rsidRPr="001D4EB9" w:rsidRDefault="00243D8E" w:rsidP="00312444">
            <w:pPr>
              <w:pStyle w:val="TableParagraph"/>
              <w:keepNext/>
              <w:widowControl/>
              <w:kinsoku w:val="0"/>
              <w:overflowPunct w:val="0"/>
              <w:jc w:val="left"/>
              <w:rPr>
                <w:rFonts w:ascii="Arial Narrow" w:hAnsi="Arial Narrow"/>
                <w:sz w:val="20"/>
                <w:szCs w:val="20"/>
              </w:rPr>
            </w:pPr>
            <w:r w:rsidRPr="001D4EB9">
              <w:rPr>
                <w:rFonts w:ascii="Arial Narrow" w:hAnsi="Arial Narrow"/>
                <w:sz w:val="20"/>
                <w:szCs w:val="20"/>
              </w:rPr>
              <w:t>Descovy (200mg/10mg</w:t>
            </w:r>
            <w:r w:rsidR="004373B2" w:rsidRPr="001D4EB9">
              <w:rPr>
                <w:rFonts w:ascii="Arial Narrow" w:hAnsi="Arial Narrow"/>
                <w:sz w:val="20"/>
                <w:szCs w:val="20"/>
              </w:rPr>
              <w:t>)</w:t>
            </w:r>
          </w:p>
        </w:tc>
        <w:tc>
          <w:tcPr>
            <w:tcW w:w="1082" w:type="pct"/>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sz w:val="20"/>
                <w:szCs w:val="20"/>
              </w:rPr>
            </w:pPr>
            <w:r w:rsidRPr="001D4EB9">
              <w:rPr>
                <w:rFonts w:ascii="Arial Narrow" w:hAnsi="Arial Narrow"/>
                <w:sz w:val="20"/>
                <w:szCs w:val="20"/>
              </w:rPr>
              <w:t>$700.06</w:t>
            </w:r>
          </w:p>
        </w:tc>
        <w:tc>
          <w:tcPr>
            <w:tcW w:w="944" w:type="pct"/>
            <w:vMerge/>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sz w:val="20"/>
                <w:szCs w:val="20"/>
              </w:rPr>
            </w:pPr>
          </w:p>
        </w:tc>
        <w:tc>
          <w:tcPr>
            <w:tcW w:w="1151" w:type="pct"/>
            <w:vMerge/>
            <w:shd w:val="clear" w:color="auto" w:fill="auto"/>
            <w:vAlign w:val="center"/>
          </w:tcPr>
          <w:p w:rsidR="00243D8E" w:rsidRPr="001D4EB9" w:rsidRDefault="00243D8E" w:rsidP="00312444">
            <w:pPr>
              <w:pStyle w:val="TableParagraph"/>
              <w:keepNext/>
              <w:widowControl/>
              <w:kinsoku w:val="0"/>
              <w:overflowPunct w:val="0"/>
              <w:jc w:val="center"/>
              <w:rPr>
                <w:rFonts w:ascii="Arial Narrow" w:hAnsi="Arial Narrow"/>
                <w:sz w:val="20"/>
                <w:szCs w:val="20"/>
              </w:rPr>
            </w:pP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Prezcobix 900mg/150mg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$606.08</w:t>
            </w:r>
          </w:p>
        </w:tc>
        <w:tc>
          <w:tcPr>
            <w:tcW w:w="944" w:type="pct"/>
            <w:vMerge w:val="restar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$1,004.04</w:t>
            </w:r>
          </w:p>
        </w:tc>
        <w:tc>
          <w:tcPr>
            <w:tcW w:w="1151" w:type="pct"/>
            <w:vMerge w:val="restart"/>
            <w:shd w:val="clear" w:color="auto" w:fill="auto"/>
            <w:vAlign w:val="center"/>
          </w:tcPr>
          <w:p w:rsidR="00243D8E" w:rsidRPr="001D4EB9" w:rsidRDefault="00622927"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0.051</w:t>
            </w: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Truvada (300mg/200mg)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$397.96</w:t>
            </w:r>
          </w:p>
        </w:tc>
        <w:tc>
          <w:tcPr>
            <w:tcW w:w="944"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Prezista (800mg)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$597.76</w:t>
            </w:r>
          </w:p>
        </w:tc>
        <w:tc>
          <w:tcPr>
            <w:tcW w:w="944" w:type="pct"/>
            <w:vMerge w:val="restar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$1,331.08</w:t>
            </w:r>
          </w:p>
        </w:tc>
        <w:tc>
          <w:tcPr>
            <w:tcW w:w="1151" w:type="pct"/>
            <w:vMerge w:val="restart"/>
            <w:shd w:val="clear" w:color="auto" w:fill="auto"/>
            <w:vAlign w:val="center"/>
          </w:tcPr>
          <w:p w:rsidR="00243D8E" w:rsidRPr="001D4EB9" w:rsidRDefault="00622927"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0.233</w:t>
            </w: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Ritonavir (100mg)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$33.26</w:t>
            </w:r>
          </w:p>
        </w:tc>
        <w:tc>
          <w:tcPr>
            <w:tcW w:w="944"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Descovy (200mg/10mg</w:t>
            </w:r>
            <w:r w:rsidR="004373B2" w:rsidRPr="001D4EB9">
              <w:rPr>
                <w:rFonts w:ascii="Arial Narrow" w:hAnsi="Arial Narrow"/>
                <w:sz w:val="20"/>
                <w:szCs w:val="20"/>
              </w:rPr>
              <w:t>)</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$700.06</w:t>
            </w:r>
          </w:p>
        </w:tc>
        <w:tc>
          <w:tcPr>
            <w:tcW w:w="944"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Prezista (800mg)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$597.76</w:t>
            </w:r>
          </w:p>
        </w:tc>
        <w:tc>
          <w:tcPr>
            <w:tcW w:w="944" w:type="pct"/>
            <w:vMerge w:val="restart"/>
            <w:shd w:val="clear" w:color="auto" w:fill="auto"/>
            <w:vAlign w:val="center"/>
          </w:tcPr>
          <w:p w:rsidR="00243D8E" w:rsidRPr="001D4EB9" w:rsidRDefault="00243D8E" w:rsidP="0031244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$1,028.98</w:t>
            </w:r>
          </w:p>
        </w:tc>
        <w:tc>
          <w:tcPr>
            <w:tcW w:w="1151" w:type="pct"/>
            <w:vMerge w:val="restart"/>
            <w:shd w:val="clear" w:color="auto" w:fill="auto"/>
            <w:vAlign w:val="center"/>
          </w:tcPr>
          <w:p w:rsidR="00243D8E" w:rsidRPr="001D4EB9" w:rsidRDefault="00622927"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0.133</w:t>
            </w: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Ritonavir (100mg)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$33.26</w:t>
            </w:r>
          </w:p>
        </w:tc>
        <w:tc>
          <w:tcPr>
            <w:tcW w:w="944"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1823" w:type="pct"/>
            <w:shd w:val="clear" w:color="auto" w:fill="auto"/>
          </w:tcPr>
          <w:p w:rsidR="00243D8E" w:rsidRPr="001D4EB9" w:rsidRDefault="00243D8E"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Truvada (300mg/200mg)</w:t>
            </w:r>
          </w:p>
        </w:tc>
        <w:tc>
          <w:tcPr>
            <w:tcW w:w="1082" w:type="pct"/>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$397.96</w:t>
            </w:r>
          </w:p>
        </w:tc>
        <w:tc>
          <w:tcPr>
            <w:tcW w:w="944"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243D8E" w:rsidRPr="001D4EB9" w:rsidRDefault="00243D8E"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5000" w:type="pct"/>
            <w:gridSpan w:val="4"/>
            <w:shd w:val="clear" w:color="auto" w:fill="auto"/>
            <w:vAlign w:val="center"/>
          </w:tcPr>
          <w:p w:rsidR="00AF2C80" w:rsidRPr="001D4EB9" w:rsidRDefault="00622927" w:rsidP="00621014">
            <w:pPr>
              <w:pStyle w:val="TableParagraph"/>
              <w:widowControl/>
              <w:kinsoku w:val="0"/>
              <w:overflowPunct w:val="0"/>
              <w:jc w:val="right"/>
              <w:rPr>
                <w:rFonts w:ascii="Arial Narrow" w:hAnsi="Arial Narrow"/>
                <w:b/>
                <w:sz w:val="20"/>
                <w:szCs w:val="20"/>
              </w:rPr>
            </w:pPr>
            <w:r w:rsidRPr="001D4EB9">
              <w:rPr>
                <w:rFonts w:ascii="Arial Narrow" w:hAnsi="Arial Narrow"/>
                <w:b/>
                <w:sz w:val="20"/>
                <w:szCs w:val="20"/>
              </w:rPr>
              <w:t>$1259.68</w:t>
            </w:r>
          </w:p>
        </w:tc>
      </w:tr>
      <w:tr w:rsidR="00243D8E" w:rsidRPr="001D4EB9" w:rsidTr="0013307A">
        <w:trPr>
          <w:trHeight w:val="20"/>
        </w:trPr>
        <w:tc>
          <w:tcPr>
            <w:tcW w:w="5000" w:type="pct"/>
            <w:gridSpan w:val="4"/>
            <w:shd w:val="clear" w:color="auto" w:fill="auto"/>
          </w:tcPr>
          <w:p w:rsidR="00243D8E" w:rsidRPr="001D4EB9" w:rsidRDefault="00243D8E" w:rsidP="00621014">
            <w:pPr>
              <w:pStyle w:val="TableParagraph"/>
              <w:widowControl/>
              <w:kinsoku w:val="0"/>
              <w:overflowPunct w:val="0"/>
              <w:jc w:val="left"/>
              <w:rPr>
                <w:rFonts w:ascii="Arial Narrow" w:hAnsi="Arial Narrow"/>
                <w:b/>
                <w:sz w:val="20"/>
                <w:szCs w:val="20"/>
              </w:rPr>
            </w:pPr>
            <w:r w:rsidRPr="001D4EB9">
              <w:rPr>
                <w:rFonts w:ascii="Arial Narrow" w:hAnsi="Arial Narrow"/>
                <w:b/>
                <w:sz w:val="20"/>
                <w:szCs w:val="20"/>
              </w:rPr>
              <w:t>Alternat</w:t>
            </w:r>
            <w:r w:rsidR="00FC1DC8" w:rsidRPr="001D4EB9">
              <w:rPr>
                <w:rFonts w:ascii="Arial Narrow" w:hAnsi="Arial Narrow"/>
                <w:b/>
                <w:sz w:val="20"/>
                <w:szCs w:val="20"/>
              </w:rPr>
              <w:t>ive CMA 1: Excluding ritonavir-</w:t>
            </w:r>
            <w:r w:rsidRPr="001D4EB9">
              <w:rPr>
                <w:rFonts w:ascii="Arial Narrow" w:hAnsi="Arial Narrow"/>
                <w:b/>
                <w:sz w:val="20"/>
                <w:szCs w:val="20"/>
              </w:rPr>
              <w:t xml:space="preserve">based regimens </w:t>
            </w:r>
          </w:p>
          <w:p w:rsidR="00FC1DC8" w:rsidRPr="001D4EB9" w:rsidRDefault="00FC1DC8"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 xml:space="preserve">Although the total DPMQ for Prezista + Norvir + Descovy/Truvada is greater than Prezcobix + Descovy/Truvada (see above), the therapeutic relativity sheets indicate that cobicistat 150mg and ritonavir 100mg are non-inferior in combination with atazanavir or darunavir. Thus, there is no basis for the price premium associated </w:t>
            </w:r>
            <w:r w:rsidR="00671189" w:rsidRPr="001D4EB9">
              <w:rPr>
                <w:rFonts w:ascii="Arial Narrow" w:hAnsi="Arial Narrow"/>
                <w:sz w:val="20"/>
                <w:szCs w:val="20"/>
              </w:rPr>
              <w:t xml:space="preserve">with </w:t>
            </w:r>
            <w:r w:rsidRPr="001D4EB9">
              <w:rPr>
                <w:rFonts w:ascii="Arial Narrow" w:hAnsi="Arial Narrow"/>
                <w:sz w:val="20"/>
                <w:szCs w:val="20"/>
              </w:rPr>
              <w:t xml:space="preserve">ritonavir boosted regimens and these </w:t>
            </w:r>
            <w:r w:rsidR="00FE6890" w:rsidRPr="001D4EB9">
              <w:rPr>
                <w:rFonts w:ascii="Arial Narrow" w:hAnsi="Arial Narrow"/>
                <w:sz w:val="20"/>
                <w:szCs w:val="20"/>
              </w:rPr>
              <w:t>were</w:t>
            </w:r>
            <w:r w:rsidRPr="001D4EB9">
              <w:rPr>
                <w:rFonts w:ascii="Arial Narrow" w:hAnsi="Arial Narrow"/>
                <w:sz w:val="20"/>
                <w:szCs w:val="20"/>
              </w:rPr>
              <w:t xml:space="preserve"> excluded from the weighting.</w:t>
            </w:r>
          </w:p>
        </w:tc>
      </w:tr>
      <w:tr w:rsidR="00FE6890" w:rsidRPr="001D4EB9" w:rsidTr="0013307A">
        <w:trPr>
          <w:trHeight w:val="20"/>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Prezcobix 900mg/150mg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$606.08</w:t>
            </w:r>
          </w:p>
        </w:tc>
        <w:tc>
          <w:tcPr>
            <w:tcW w:w="944" w:type="pct"/>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$1,306.14</w:t>
            </w:r>
          </w:p>
        </w:tc>
        <w:tc>
          <w:tcPr>
            <w:tcW w:w="1151" w:type="pct"/>
            <w:vMerge w:val="restart"/>
            <w:shd w:val="clear" w:color="auto" w:fill="auto"/>
            <w:vAlign w:val="center"/>
          </w:tcPr>
          <w:p w:rsidR="00FE6890" w:rsidRPr="001D4EB9" w:rsidRDefault="00FE2E57"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0.816</w:t>
            </w:r>
          </w:p>
        </w:tc>
      </w:tr>
      <w:tr w:rsidR="00FE6890" w:rsidRPr="001D4EB9" w:rsidTr="0013307A">
        <w:trPr>
          <w:trHeight w:val="20"/>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Descovy (200mg/10mg</w:t>
            </w:r>
            <w:r w:rsidR="004373B2" w:rsidRPr="001D4EB9">
              <w:rPr>
                <w:rFonts w:ascii="Arial Narrow" w:hAnsi="Arial Narrow"/>
                <w:sz w:val="20"/>
                <w:szCs w:val="20"/>
              </w:rPr>
              <w:t>)</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$700.06</w:t>
            </w:r>
          </w:p>
        </w:tc>
        <w:tc>
          <w:tcPr>
            <w:tcW w:w="944"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r>
      <w:tr w:rsidR="00FE6890" w:rsidRPr="001D4EB9" w:rsidTr="0013307A">
        <w:trPr>
          <w:trHeight w:val="20"/>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Prezcobix 900mg/150mg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$606.08</w:t>
            </w:r>
          </w:p>
        </w:tc>
        <w:tc>
          <w:tcPr>
            <w:tcW w:w="944" w:type="pct"/>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$1,004.04</w:t>
            </w:r>
          </w:p>
        </w:tc>
        <w:tc>
          <w:tcPr>
            <w:tcW w:w="1151" w:type="pct"/>
            <w:vMerge w:val="restart"/>
            <w:shd w:val="clear" w:color="auto" w:fill="auto"/>
            <w:vAlign w:val="center"/>
          </w:tcPr>
          <w:p w:rsidR="00FE6890" w:rsidRPr="001D4EB9" w:rsidRDefault="00F763DE"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0.184</w:t>
            </w:r>
          </w:p>
        </w:tc>
      </w:tr>
      <w:tr w:rsidR="00FE6890" w:rsidRPr="001D4EB9" w:rsidTr="0013307A">
        <w:trPr>
          <w:trHeight w:val="20"/>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Truvada (300mg/200mg)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$397.96</w:t>
            </w:r>
          </w:p>
        </w:tc>
        <w:tc>
          <w:tcPr>
            <w:tcW w:w="944"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5"/>
        </w:trPr>
        <w:tc>
          <w:tcPr>
            <w:tcW w:w="5000" w:type="pct"/>
            <w:gridSpan w:val="4"/>
            <w:shd w:val="clear" w:color="auto" w:fill="auto"/>
            <w:vAlign w:val="center"/>
          </w:tcPr>
          <w:p w:rsidR="00243D8E" w:rsidRPr="001D4EB9" w:rsidRDefault="00243D8E" w:rsidP="00621014">
            <w:pPr>
              <w:pStyle w:val="TableParagraph"/>
              <w:widowControl/>
              <w:kinsoku w:val="0"/>
              <w:overflowPunct w:val="0"/>
              <w:jc w:val="right"/>
              <w:rPr>
                <w:rFonts w:ascii="Arial Narrow" w:hAnsi="Arial Narrow"/>
                <w:b/>
                <w:sz w:val="20"/>
                <w:szCs w:val="20"/>
              </w:rPr>
            </w:pPr>
            <w:r w:rsidRPr="001D4EB9">
              <w:rPr>
                <w:rFonts w:ascii="Arial Narrow" w:hAnsi="Arial Narrow"/>
                <w:b/>
                <w:sz w:val="20"/>
                <w:szCs w:val="20"/>
              </w:rPr>
              <w:t>$1,2</w:t>
            </w:r>
            <w:r w:rsidR="00F763DE" w:rsidRPr="001D4EB9">
              <w:rPr>
                <w:rFonts w:ascii="Arial Narrow" w:hAnsi="Arial Narrow"/>
                <w:b/>
                <w:sz w:val="20"/>
                <w:szCs w:val="20"/>
              </w:rPr>
              <w:t>50.55</w:t>
            </w:r>
          </w:p>
        </w:tc>
      </w:tr>
      <w:tr w:rsidR="00243D8E" w:rsidRPr="001D4EB9" w:rsidTr="0013307A">
        <w:trPr>
          <w:trHeight w:val="20"/>
        </w:trPr>
        <w:tc>
          <w:tcPr>
            <w:tcW w:w="5000" w:type="pct"/>
            <w:gridSpan w:val="4"/>
            <w:shd w:val="clear" w:color="auto" w:fill="auto"/>
          </w:tcPr>
          <w:p w:rsidR="00243D8E" w:rsidRPr="001D4EB9" w:rsidRDefault="00243D8E" w:rsidP="00621014">
            <w:pPr>
              <w:pStyle w:val="TableParagraph"/>
              <w:widowControl/>
              <w:kinsoku w:val="0"/>
              <w:overflowPunct w:val="0"/>
              <w:jc w:val="left"/>
              <w:rPr>
                <w:rFonts w:ascii="Arial Narrow" w:hAnsi="Arial Narrow"/>
                <w:b/>
                <w:sz w:val="20"/>
                <w:szCs w:val="20"/>
              </w:rPr>
            </w:pPr>
            <w:r w:rsidRPr="001D4EB9">
              <w:rPr>
                <w:rFonts w:ascii="Arial Narrow" w:hAnsi="Arial Narrow"/>
                <w:b/>
                <w:sz w:val="20"/>
                <w:szCs w:val="20"/>
              </w:rPr>
              <w:t xml:space="preserve">Alternative CMA 2: </w:t>
            </w:r>
            <w:r w:rsidR="00FC1DC8" w:rsidRPr="001D4EB9">
              <w:rPr>
                <w:rFonts w:ascii="Arial Narrow" w:hAnsi="Arial Narrow"/>
                <w:b/>
                <w:sz w:val="20"/>
                <w:szCs w:val="20"/>
              </w:rPr>
              <w:t xml:space="preserve">Excluding ritonavir and </w:t>
            </w:r>
            <w:r w:rsidR="00B91319" w:rsidRPr="001D4EB9">
              <w:rPr>
                <w:rFonts w:ascii="Arial Narrow" w:hAnsi="Arial Narrow"/>
                <w:b/>
                <w:sz w:val="20"/>
                <w:szCs w:val="20"/>
              </w:rPr>
              <w:t>94:6</w:t>
            </w:r>
            <w:r w:rsidRPr="001D4EB9">
              <w:rPr>
                <w:rFonts w:ascii="Arial Narrow" w:hAnsi="Arial Narrow"/>
                <w:b/>
                <w:sz w:val="20"/>
                <w:szCs w:val="20"/>
              </w:rPr>
              <w:t xml:space="preserve"> TDF/TAF weighting </w:t>
            </w:r>
          </w:p>
          <w:p w:rsidR="00FC1DC8" w:rsidRPr="001D4EB9" w:rsidRDefault="00FC1DC8"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The PBAC previously noted that Australian data on renal impairment, as defined by an estimated glomerular filtration rate (eGFR) of &lt;60 mL/min, in HIV patients estimated approximately 6% of patients have an eGFR below this level, and would therefore be ineligible to receive TDF</w:t>
            </w:r>
            <w:r w:rsidRPr="001D4EB9">
              <w:rPr>
                <w:rFonts w:ascii="Cambria Math" w:hAnsi="Cambria Math" w:cs="Cambria Math"/>
                <w:sz w:val="20"/>
                <w:szCs w:val="20"/>
              </w:rPr>
              <w:t>‐</w:t>
            </w:r>
            <w:r w:rsidRPr="001D4EB9">
              <w:rPr>
                <w:rFonts w:ascii="Arial Narrow" w:hAnsi="Arial Narrow"/>
                <w:sz w:val="20"/>
                <w:szCs w:val="20"/>
              </w:rPr>
              <w:t>based regimens. Consequently, this analysis selects the least expensive TAF regimen and the least expensive TDF regimen and weights them at a 94:6 ratio</w:t>
            </w:r>
            <w:r w:rsidR="00EA4C7F" w:rsidRPr="001D4EB9">
              <w:rPr>
                <w:rFonts w:ascii="Arial Narrow" w:hAnsi="Arial Narrow"/>
                <w:sz w:val="20"/>
                <w:szCs w:val="20"/>
              </w:rPr>
              <w:t xml:space="preserve"> (based on the </w:t>
            </w:r>
            <w:r w:rsidR="00283828" w:rsidRPr="001D4EB9">
              <w:rPr>
                <w:rFonts w:ascii="Arial Narrow" w:hAnsi="Arial Narrow"/>
                <w:sz w:val="20"/>
                <w:szCs w:val="20"/>
              </w:rPr>
              <w:t>d</w:t>
            </w:r>
            <w:r w:rsidR="00EA4C7F" w:rsidRPr="001D4EB9">
              <w:rPr>
                <w:rFonts w:ascii="Arial Narrow" w:hAnsi="Arial Narrow"/>
                <w:sz w:val="20"/>
                <w:szCs w:val="20"/>
              </w:rPr>
              <w:t>ol</w:t>
            </w:r>
            <w:r w:rsidR="00283828" w:rsidRPr="001D4EB9">
              <w:rPr>
                <w:rFonts w:ascii="Arial Narrow" w:hAnsi="Arial Narrow"/>
                <w:sz w:val="20"/>
                <w:szCs w:val="20"/>
              </w:rPr>
              <w:t>u</w:t>
            </w:r>
            <w:r w:rsidR="00EA4C7F" w:rsidRPr="001D4EB9">
              <w:rPr>
                <w:rFonts w:ascii="Arial Narrow" w:hAnsi="Arial Narrow"/>
                <w:sz w:val="20"/>
                <w:szCs w:val="20"/>
              </w:rPr>
              <w:t>tegravir/rilpivirine (Juluca) Public Summary Document, July 2018 PBAC)</w:t>
            </w:r>
            <w:r w:rsidRPr="001D4EB9">
              <w:rPr>
                <w:rFonts w:ascii="Arial Narrow" w:hAnsi="Arial Narrow"/>
                <w:sz w:val="20"/>
                <w:szCs w:val="20"/>
              </w:rPr>
              <w:t>.</w:t>
            </w:r>
          </w:p>
        </w:tc>
      </w:tr>
      <w:tr w:rsidR="00FE6890" w:rsidRPr="001D4EB9" w:rsidTr="0013307A">
        <w:trPr>
          <w:trHeight w:val="20"/>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Prezcobix (800mg/150mg)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$606.08</w:t>
            </w:r>
          </w:p>
        </w:tc>
        <w:tc>
          <w:tcPr>
            <w:tcW w:w="944" w:type="pct"/>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$1,306.14</w:t>
            </w:r>
          </w:p>
        </w:tc>
        <w:tc>
          <w:tcPr>
            <w:tcW w:w="1151" w:type="pct"/>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0.06</w:t>
            </w:r>
          </w:p>
        </w:tc>
      </w:tr>
      <w:tr w:rsidR="00FE6890" w:rsidRPr="001D4EB9" w:rsidTr="0013307A">
        <w:trPr>
          <w:trHeight w:val="42"/>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lastRenderedPageBreak/>
              <w:t>Descovy (200mg/10mg)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$700.06</w:t>
            </w:r>
          </w:p>
        </w:tc>
        <w:tc>
          <w:tcPr>
            <w:tcW w:w="944"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r>
      <w:tr w:rsidR="00FE6890" w:rsidRPr="001D4EB9" w:rsidTr="0013307A">
        <w:trPr>
          <w:trHeight w:val="20"/>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Prezcobix (800mg/150mg)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$606.08</w:t>
            </w:r>
          </w:p>
        </w:tc>
        <w:tc>
          <w:tcPr>
            <w:tcW w:w="944" w:type="pct"/>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$1,004.04</w:t>
            </w:r>
          </w:p>
        </w:tc>
        <w:tc>
          <w:tcPr>
            <w:tcW w:w="1151" w:type="pct"/>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0.94</w:t>
            </w:r>
          </w:p>
        </w:tc>
      </w:tr>
      <w:tr w:rsidR="00FE6890" w:rsidRPr="001D4EB9" w:rsidTr="0013307A">
        <w:trPr>
          <w:trHeight w:val="42"/>
        </w:trPr>
        <w:tc>
          <w:tcPr>
            <w:tcW w:w="1823" w:type="pct"/>
            <w:shd w:val="clear" w:color="auto" w:fill="auto"/>
          </w:tcPr>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Truvada (300mg/200mg)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$397.96</w:t>
            </w:r>
          </w:p>
        </w:tc>
        <w:tc>
          <w:tcPr>
            <w:tcW w:w="944"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c>
          <w:tcPr>
            <w:tcW w:w="1151" w:type="pct"/>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5000" w:type="pct"/>
            <w:gridSpan w:val="4"/>
            <w:shd w:val="clear" w:color="auto" w:fill="auto"/>
            <w:vAlign w:val="center"/>
          </w:tcPr>
          <w:p w:rsidR="00243D8E" w:rsidRPr="001D4EB9" w:rsidRDefault="00243D8E" w:rsidP="00621014">
            <w:pPr>
              <w:pStyle w:val="TableParagraph"/>
              <w:widowControl/>
              <w:kinsoku w:val="0"/>
              <w:overflowPunct w:val="0"/>
              <w:jc w:val="right"/>
              <w:rPr>
                <w:rFonts w:ascii="Arial Narrow" w:hAnsi="Arial Narrow"/>
                <w:sz w:val="20"/>
                <w:szCs w:val="20"/>
              </w:rPr>
            </w:pPr>
            <w:r w:rsidRPr="001D4EB9">
              <w:rPr>
                <w:rFonts w:ascii="Arial Narrow" w:hAnsi="Arial Narrow"/>
                <w:b/>
                <w:sz w:val="20"/>
                <w:szCs w:val="20"/>
              </w:rPr>
              <w:t>$1,022.17</w:t>
            </w:r>
          </w:p>
        </w:tc>
      </w:tr>
      <w:tr w:rsidR="00243D8E" w:rsidRPr="001D4EB9" w:rsidTr="0013307A">
        <w:trPr>
          <w:trHeight w:val="20"/>
        </w:trPr>
        <w:tc>
          <w:tcPr>
            <w:tcW w:w="5000" w:type="pct"/>
            <w:gridSpan w:val="4"/>
            <w:shd w:val="clear" w:color="auto" w:fill="auto"/>
          </w:tcPr>
          <w:p w:rsidR="00243D8E" w:rsidRPr="001D4EB9" w:rsidRDefault="00DF113A" w:rsidP="00621014">
            <w:pPr>
              <w:pStyle w:val="TableParagraph"/>
              <w:widowControl/>
              <w:kinsoku w:val="0"/>
              <w:overflowPunct w:val="0"/>
              <w:jc w:val="left"/>
              <w:rPr>
                <w:rFonts w:ascii="Arial Narrow" w:hAnsi="Arial Narrow"/>
                <w:b/>
                <w:sz w:val="20"/>
                <w:szCs w:val="20"/>
              </w:rPr>
            </w:pPr>
            <w:r w:rsidRPr="001D4EB9">
              <w:rPr>
                <w:rFonts w:ascii="Arial Narrow" w:hAnsi="Arial Narrow"/>
                <w:b/>
                <w:sz w:val="20"/>
                <w:szCs w:val="20"/>
              </w:rPr>
              <w:t xml:space="preserve">Alternative CMA 3: </w:t>
            </w:r>
            <w:r w:rsidR="00FC1DC8" w:rsidRPr="001D4EB9">
              <w:rPr>
                <w:rFonts w:ascii="Arial Narrow" w:hAnsi="Arial Narrow"/>
                <w:b/>
                <w:sz w:val="20"/>
                <w:szCs w:val="20"/>
              </w:rPr>
              <w:t>Versus</w:t>
            </w:r>
            <w:r w:rsidR="00243D8E" w:rsidRPr="001D4EB9">
              <w:rPr>
                <w:rFonts w:ascii="Arial Narrow" w:hAnsi="Arial Narrow"/>
                <w:b/>
                <w:sz w:val="20"/>
                <w:szCs w:val="20"/>
              </w:rPr>
              <w:t xml:space="preserve"> atazanavir combinations (excluding ritonavir, </w:t>
            </w:r>
            <w:r w:rsidR="00A172BA" w:rsidRPr="001D4EB9">
              <w:rPr>
                <w:rFonts w:ascii="Arial Narrow" w:hAnsi="Arial Narrow"/>
                <w:b/>
                <w:sz w:val="20"/>
                <w:szCs w:val="20"/>
              </w:rPr>
              <w:t>94:6</w:t>
            </w:r>
            <w:r w:rsidR="00FC1DC8" w:rsidRPr="001D4EB9">
              <w:rPr>
                <w:rFonts w:ascii="Arial Narrow" w:hAnsi="Arial Narrow"/>
                <w:b/>
                <w:sz w:val="20"/>
                <w:szCs w:val="20"/>
              </w:rPr>
              <w:t xml:space="preserve"> TDF/TAF weighting)</w:t>
            </w:r>
          </w:p>
          <w:p w:rsidR="00FE6890" w:rsidRPr="001D4EB9" w:rsidRDefault="00FE6890" w:rsidP="00621014">
            <w:pPr>
              <w:pStyle w:val="TableParagraph"/>
              <w:widowControl/>
              <w:kinsoku w:val="0"/>
              <w:overflowPunct w:val="0"/>
              <w:jc w:val="left"/>
              <w:rPr>
                <w:rFonts w:ascii="Arial Narrow" w:hAnsi="Arial Narrow"/>
                <w:sz w:val="20"/>
                <w:szCs w:val="20"/>
              </w:rPr>
            </w:pPr>
            <w:r w:rsidRPr="001D4EB9">
              <w:rPr>
                <w:rFonts w:ascii="Arial Narrow" w:hAnsi="Arial Narrow"/>
                <w:sz w:val="20"/>
                <w:szCs w:val="20"/>
              </w:rPr>
              <w:t>Darunavir and atazanavir regimens are included in recommended regimens in ‘certain clinical situation</w:t>
            </w:r>
            <w:r w:rsidR="00283828" w:rsidRPr="001D4EB9">
              <w:rPr>
                <w:rFonts w:ascii="Arial Narrow" w:hAnsi="Arial Narrow"/>
                <w:sz w:val="20"/>
                <w:szCs w:val="20"/>
              </w:rPr>
              <w:t>s</w:t>
            </w:r>
            <w:r w:rsidRPr="001D4EB9">
              <w:rPr>
                <w:rFonts w:ascii="Arial Narrow" w:hAnsi="Arial Narrow"/>
                <w:sz w:val="20"/>
                <w:szCs w:val="20"/>
              </w:rPr>
              <w:t>’ (p22 of submission). This is further supported by the fact that nearly 30% of patients treated with PI’s access either atazanavir (Reyataz) or the boosted atazanavir (Evotaz) FDC, suggesting that for a substantial proportion of patients, atazanavir-based regimens are used and thus could be considered a relevant lower cost comparator.</w:t>
            </w:r>
            <w:r w:rsidR="00595A84">
              <w:rPr>
                <w:rFonts w:ascii="Arial Narrow" w:hAnsi="Arial Narrow"/>
                <w:sz w:val="20"/>
                <w:szCs w:val="20"/>
              </w:rPr>
              <w:t xml:space="preserve"> The PSCR</w:t>
            </w:r>
            <w:r w:rsidR="00DF113A" w:rsidRPr="001D4EB9">
              <w:rPr>
                <w:rFonts w:ascii="Arial Narrow" w:hAnsi="Arial Narrow"/>
                <w:sz w:val="20"/>
                <w:szCs w:val="20"/>
              </w:rPr>
              <w:t xml:space="preserve"> argued regimens containing atazanavir were not relevant comparators as they were unlikely to be replaced in practice.</w:t>
            </w:r>
          </w:p>
        </w:tc>
      </w:tr>
      <w:tr w:rsidR="00FE6890" w:rsidRPr="001D4EB9" w:rsidTr="0013307A">
        <w:trPr>
          <w:trHeight w:val="20"/>
        </w:trPr>
        <w:tc>
          <w:tcPr>
            <w:tcW w:w="1823" w:type="pct"/>
            <w:shd w:val="clear" w:color="auto" w:fill="auto"/>
          </w:tcPr>
          <w:p w:rsidR="00FE6890" w:rsidRPr="001D4EB9" w:rsidRDefault="00FE6890" w:rsidP="00621014">
            <w:pPr>
              <w:pStyle w:val="Tabletext"/>
              <w:rPr>
                <w:szCs w:val="20"/>
              </w:rPr>
            </w:pPr>
            <w:r w:rsidRPr="001D4EB9">
              <w:rPr>
                <w:szCs w:val="20"/>
              </w:rPr>
              <w:t>Evotaz  (300mg/150mg)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$373.57</w:t>
            </w:r>
          </w:p>
        </w:tc>
        <w:tc>
          <w:tcPr>
            <w:tcW w:w="2095" w:type="pct"/>
            <w:gridSpan w:val="2"/>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$771.53</w:t>
            </w:r>
          </w:p>
        </w:tc>
      </w:tr>
      <w:tr w:rsidR="00FE6890" w:rsidRPr="001D4EB9" w:rsidTr="0013307A">
        <w:trPr>
          <w:trHeight w:val="20"/>
        </w:trPr>
        <w:tc>
          <w:tcPr>
            <w:tcW w:w="1823" w:type="pct"/>
            <w:shd w:val="clear" w:color="auto" w:fill="auto"/>
          </w:tcPr>
          <w:p w:rsidR="00FE6890" w:rsidRPr="001D4EB9" w:rsidRDefault="00FE6890" w:rsidP="00621014">
            <w:pPr>
              <w:pStyle w:val="Tabletext"/>
              <w:rPr>
                <w:szCs w:val="20"/>
              </w:rPr>
            </w:pPr>
            <w:r w:rsidRPr="001D4EB9">
              <w:rPr>
                <w:szCs w:val="20"/>
              </w:rPr>
              <w:t>Truvada (300mg/200mg)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$397.96</w:t>
            </w:r>
          </w:p>
        </w:tc>
        <w:tc>
          <w:tcPr>
            <w:tcW w:w="2095" w:type="pct"/>
            <w:gridSpan w:val="2"/>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r>
      <w:tr w:rsidR="00FE6890" w:rsidRPr="001D4EB9" w:rsidTr="0013307A">
        <w:trPr>
          <w:trHeight w:val="20"/>
        </w:trPr>
        <w:tc>
          <w:tcPr>
            <w:tcW w:w="1823" w:type="pct"/>
            <w:shd w:val="clear" w:color="auto" w:fill="auto"/>
          </w:tcPr>
          <w:p w:rsidR="00FE6890" w:rsidRPr="001D4EB9" w:rsidRDefault="00FE6890" w:rsidP="00621014">
            <w:pPr>
              <w:pStyle w:val="Tabletext"/>
              <w:rPr>
                <w:szCs w:val="20"/>
              </w:rPr>
            </w:pPr>
            <w:r w:rsidRPr="001D4EB9">
              <w:rPr>
                <w:szCs w:val="20"/>
              </w:rPr>
              <w:t>Evotaz (300mg/150mg)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$373.57</w:t>
            </w:r>
          </w:p>
        </w:tc>
        <w:tc>
          <w:tcPr>
            <w:tcW w:w="2095" w:type="pct"/>
            <w:gridSpan w:val="2"/>
            <w:vMerge w:val="restar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$1,073.63</w:t>
            </w:r>
          </w:p>
        </w:tc>
      </w:tr>
      <w:tr w:rsidR="00FE6890" w:rsidRPr="001D4EB9" w:rsidTr="0013307A">
        <w:trPr>
          <w:trHeight w:val="20"/>
        </w:trPr>
        <w:tc>
          <w:tcPr>
            <w:tcW w:w="1823" w:type="pct"/>
            <w:shd w:val="clear" w:color="auto" w:fill="auto"/>
          </w:tcPr>
          <w:p w:rsidR="00FE6890" w:rsidRPr="001D4EB9" w:rsidRDefault="00FE6890" w:rsidP="00621014">
            <w:pPr>
              <w:pStyle w:val="Tabletext"/>
              <w:rPr>
                <w:szCs w:val="20"/>
              </w:rPr>
            </w:pPr>
            <w:r w:rsidRPr="001D4EB9">
              <w:rPr>
                <w:szCs w:val="20"/>
              </w:rPr>
              <w:t>Descovy (200mg/10mg)</w:t>
            </w:r>
          </w:p>
        </w:tc>
        <w:tc>
          <w:tcPr>
            <w:tcW w:w="1082" w:type="pct"/>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r w:rsidRPr="001D4EB9">
              <w:rPr>
                <w:rFonts w:ascii="Arial Narrow" w:hAnsi="Arial Narrow"/>
                <w:sz w:val="20"/>
                <w:szCs w:val="20"/>
              </w:rPr>
              <w:t>$700.06</w:t>
            </w:r>
          </w:p>
        </w:tc>
        <w:tc>
          <w:tcPr>
            <w:tcW w:w="2095" w:type="pct"/>
            <w:gridSpan w:val="2"/>
            <w:vMerge/>
            <w:shd w:val="clear" w:color="auto" w:fill="auto"/>
            <w:vAlign w:val="center"/>
          </w:tcPr>
          <w:p w:rsidR="00FE6890" w:rsidRPr="001D4EB9" w:rsidRDefault="00FE6890" w:rsidP="00621014">
            <w:pPr>
              <w:pStyle w:val="TableParagraph"/>
              <w:widowControl/>
              <w:kinsoku w:val="0"/>
              <w:overflowPunct w:val="0"/>
              <w:jc w:val="center"/>
              <w:rPr>
                <w:rFonts w:ascii="Arial Narrow" w:hAnsi="Arial Narrow"/>
                <w:sz w:val="20"/>
                <w:szCs w:val="20"/>
              </w:rPr>
            </w:pPr>
          </w:p>
        </w:tc>
      </w:tr>
      <w:tr w:rsidR="00243D8E" w:rsidRPr="001D4EB9" w:rsidTr="0013307A">
        <w:trPr>
          <w:trHeight w:val="20"/>
        </w:trPr>
        <w:tc>
          <w:tcPr>
            <w:tcW w:w="5000" w:type="pct"/>
            <w:gridSpan w:val="4"/>
            <w:shd w:val="clear" w:color="auto" w:fill="auto"/>
            <w:vAlign w:val="center"/>
          </w:tcPr>
          <w:p w:rsidR="00243D8E" w:rsidRPr="001D4EB9" w:rsidRDefault="00243D8E" w:rsidP="00621014">
            <w:pPr>
              <w:pStyle w:val="TableParagraph"/>
              <w:widowControl/>
              <w:kinsoku w:val="0"/>
              <w:overflowPunct w:val="0"/>
              <w:jc w:val="right"/>
              <w:rPr>
                <w:rFonts w:ascii="Arial Narrow" w:hAnsi="Arial Narrow"/>
                <w:b/>
                <w:sz w:val="20"/>
                <w:szCs w:val="20"/>
              </w:rPr>
            </w:pPr>
            <w:r w:rsidRPr="001D4EB9">
              <w:rPr>
                <w:rFonts w:ascii="Arial Narrow" w:hAnsi="Arial Narrow"/>
                <w:b/>
                <w:sz w:val="20"/>
                <w:szCs w:val="20"/>
              </w:rPr>
              <w:t>$7</w:t>
            </w:r>
            <w:r w:rsidR="0058053F" w:rsidRPr="001D4EB9">
              <w:rPr>
                <w:rFonts w:ascii="Arial Narrow" w:hAnsi="Arial Narrow"/>
                <w:b/>
                <w:sz w:val="20"/>
                <w:szCs w:val="20"/>
              </w:rPr>
              <w:t>89.66</w:t>
            </w:r>
          </w:p>
        </w:tc>
      </w:tr>
    </w:tbl>
    <w:p w:rsidR="00243D8E" w:rsidRPr="001D4EB9" w:rsidRDefault="00243D8E" w:rsidP="00621014">
      <w:pPr>
        <w:pStyle w:val="TableFooter"/>
        <w:widowControl/>
      </w:pPr>
      <w:r w:rsidRPr="001D4EB9">
        <w:t>Source: Tables 3-2 and 3-3 of the submission</w:t>
      </w:r>
    </w:p>
    <w:p w:rsidR="00243D8E" w:rsidRPr="001D4EB9" w:rsidRDefault="00243D8E" w:rsidP="00621014">
      <w:pPr>
        <w:pStyle w:val="TableFooter"/>
        <w:widowControl/>
      </w:pPr>
      <w:r w:rsidRPr="001D4EB9">
        <w:t>Evotaz = Atazanavir/ cobicistat FDC</w:t>
      </w:r>
    </w:p>
    <w:p w:rsidR="008F62D9" w:rsidRPr="001D4EB9" w:rsidRDefault="008F62D9" w:rsidP="00621014">
      <w:pPr>
        <w:pStyle w:val="TableFooter"/>
        <w:widowControl/>
      </w:pPr>
    </w:p>
    <w:p w:rsidR="00E72D6F" w:rsidRPr="002C24ED" w:rsidRDefault="00E72D6F" w:rsidP="008371D8">
      <w:pPr>
        <w:pStyle w:val="ListParagraph"/>
        <w:widowControl/>
        <w:numPr>
          <w:ilvl w:val="1"/>
          <w:numId w:val="1"/>
        </w:numPr>
        <w:rPr>
          <w:color w:val="000000" w:themeColor="text1"/>
        </w:rPr>
      </w:pPr>
      <w:r w:rsidRPr="001D4EB9">
        <w:rPr>
          <w:color w:val="000000" w:themeColor="text1"/>
        </w:rPr>
        <w:t xml:space="preserve">The ESC considered the relative price weighting of </w:t>
      </w:r>
      <w:r w:rsidR="00463387" w:rsidRPr="001D4EB9">
        <w:rPr>
          <w:color w:val="000000" w:themeColor="text1"/>
        </w:rPr>
        <w:t>TDF</w:t>
      </w:r>
      <w:r w:rsidRPr="001D4EB9">
        <w:rPr>
          <w:color w:val="000000" w:themeColor="text1"/>
        </w:rPr>
        <w:t xml:space="preserve"> with FTC [Truvada] and </w:t>
      </w:r>
      <w:r w:rsidR="00463387" w:rsidRPr="001D4EB9">
        <w:rPr>
          <w:color w:val="000000" w:themeColor="text1"/>
        </w:rPr>
        <w:t>TAF</w:t>
      </w:r>
      <w:r w:rsidRPr="001D4EB9">
        <w:rPr>
          <w:color w:val="000000" w:themeColor="text1"/>
        </w:rPr>
        <w:t xml:space="preserve"> with FTC [Descovy] of 94:6 (Alternative CMA 2) to account for patients unable to use TDF due to poor renal function (Juluca, </w:t>
      </w:r>
      <w:r w:rsidR="008371D8">
        <w:rPr>
          <w:color w:val="000000" w:themeColor="text1"/>
        </w:rPr>
        <w:t xml:space="preserve">PSD, </w:t>
      </w:r>
      <w:r w:rsidR="00B844EB" w:rsidRPr="002C24ED">
        <w:rPr>
          <w:color w:val="000000" w:themeColor="text1"/>
        </w:rPr>
        <w:t>July 2018</w:t>
      </w:r>
      <w:r w:rsidRPr="002C24ED">
        <w:rPr>
          <w:color w:val="000000" w:themeColor="text1"/>
        </w:rPr>
        <w:t>) remained appropriate.</w:t>
      </w:r>
    </w:p>
    <w:p w:rsidR="008F62D9" w:rsidRPr="001D4EB9" w:rsidRDefault="008F62D9" w:rsidP="00621014">
      <w:pPr>
        <w:pStyle w:val="ListParagraph"/>
        <w:widowControl/>
        <w:numPr>
          <w:ilvl w:val="1"/>
          <w:numId w:val="1"/>
        </w:numPr>
        <w:rPr>
          <w:color w:val="000000" w:themeColor="text1"/>
        </w:rPr>
      </w:pPr>
      <w:r w:rsidRPr="001D4EB9">
        <w:rPr>
          <w:color w:val="000000" w:themeColor="text1"/>
        </w:rPr>
        <w:t>The ESC considered it was appropriate to consider potential replacement of a range of alternative therapies</w:t>
      </w:r>
      <w:r w:rsidR="00DF113A" w:rsidRPr="001D4EB9">
        <w:rPr>
          <w:color w:val="000000" w:themeColor="text1"/>
        </w:rPr>
        <w:t>, including atazanavir</w:t>
      </w:r>
      <w:r w:rsidR="008929B8" w:rsidRPr="001D4EB9">
        <w:rPr>
          <w:color w:val="000000" w:themeColor="text1"/>
        </w:rPr>
        <w:t xml:space="preserve"> to</w:t>
      </w:r>
      <w:r w:rsidR="00291B4B" w:rsidRPr="001D4EB9">
        <w:rPr>
          <w:color w:val="000000" w:themeColor="text1"/>
        </w:rPr>
        <w:t xml:space="preserve"> ensure </w:t>
      </w:r>
      <w:r w:rsidR="007E42E2" w:rsidRPr="001D4EB9">
        <w:rPr>
          <w:color w:val="000000" w:themeColor="text1"/>
        </w:rPr>
        <w:t xml:space="preserve">listing Symtuza would be </w:t>
      </w:r>
      <w:r w:rsidR="00291B4B" w:rsidRPr="001D4EB9">
        <w:rPr>
          <w:color w:val="000000" w:themeColor="text1"/>
        </w:rPr>
        <w:t xml:space="preserve">cost-neutral or cost-saving </w:t>
      </w:r>
      <w:r w:rsidR="007E42E2" w:rsidRPr="001D4EB9">
        <w:rPr>
          <w:color w:val="000000" w:themeColor="text1"/>
        </w:rPr>
        <w:t>for Government</w:t>
      </w:r>
      <w:r w:rsidRPr="001D4EB9">
        <w:rPr>
          <w:color w:val="000000" w:themeColor="text1"/>
        </w:rPr>
        <w:t>.</w:t>
      </w:r>
      <w:r w:rsidR="00CE2733" w:rsidRPr="001D4EB9">
        <w:rPr>
          <w:color w:val="000000" w:themeColor="text1"/>
        </w:rPr>
        <w:t xml:space="preserve"> The Pre-PBAC Response </w:t>
      </w:r>
      <w:r w:rsidR="00020FAF" w:rsidRPr="001D4EB9">
        <w:rPr>
          <w:color w:val="000000" w:themeColor="text1"/>
        </w:rPr>
        <w:t>argued alternative CMA 3 was not reasonable as ATV was not a relevant comparator (</w:t>
      </w:r>
      <w:r w:rsidR="009534D6" w:rsidRPr="001D4EB9">
        <w:rPr>
          <w:color w:val="000000" w:themeColor="text1"/>
        </w:rPr>
        <w:t xml:space="preserve">refer to </w:t>
      </w:r>
      <w:r w:rsidR="00020FAF" w:rsidRPr="001D4EB9">
        <w:rPr>
          <w:color w:val="000000" w:themeColor="text1"/>
        </w:rPr>
        <w:t>paragraph 5.5).</w:t>
      </w:r>
    </w:p>
    <w:p w:rsidR="0010463E" w:rsidRPr="001D4EB9" w:rsidRDefault="0010463E" w:rsidP="00621014">
      <w:pPr>
        <w:pStyle w:val="Heading2"/>
        <w:widowControl/>
        <w:rPr>
          <w:i w:val="0"/>
        </w:rPr>
      </w:pPr>
      <w:bookmarkStart w:id="25" w:name="_Toc19538907"/>
      <w:r w:rsidRPr="001D4EB9">
        <w:rPr>
          <w:i w:val="0"/>
        </w:rPr>
        <w:t>Drug cost/patient/year</w:t>
      </w:r>
      <w:bookmarkEnd w:id="25"/>
      <w:r w:rsidR="006F7CDD" w:rsidRPr="001D4EB9">
        <w:rPr>
          <w:i w:val="0"/>
        </w:rPr>
        <w:t>: $</w:t>
      </w:r>
      <w:r w:rsidR="00940AB6">
        <w:rPr>
          <w:i w:val="0"/>
          <w:noProof/>
          <w:color w:val="000000"/>
          <w:highlight w:val="black"/>
        </w:rPr>
        <w:t>'''''''''''''''''''</w:t>
      </w:r>
    </w:p>
    <w:p w:rsidR="0010463E" w:rsidRPr="001D4EB9" w:rsidRDefault="0010463E" w:rsidP="00621014">
      <w:pPr>
        <w:pStyle w:val="ListParagraph"/>
        <w:keepNext/>
        <w:widowControl/>
        <w:numPr>
          <w:ilvl w:val="1"/>
          <w:numId w:val="1"/>
        </w:numPr>
        <w:spacing w:after="120"/>
        <w:rPr>
          <w:rFonts w:asciiTheme="minorHAnsi" w:hAnsiTheme="minorHAnsi" w:cstheme="minorHAnsi"/>
          <w:color w:val="000000" w:themeColor="text1"/>
          <w:szCs w:val="24"/>
          <w:lang w:eastAsia="en-AU"/>
        </w:rPr>
      </w:pPr>
      <w:r w:rsidRPr="001D4EB9">
        <w:rPr>
          <w:color w:val="000000" w:themeColor="text1"/>
        </w:rPr>
        <w:t>The drug cost of Symtuza per patient per year is $</w:t>
      </w:r>
      <w:r w:rsidR="00940AB6">
        <w:rPr>
          <w:noProof/>
          <w:color w:val="000000"/>
          <w:highlight w:val="black"/>
        </w:rPr>
        <w:t>''''''''''''''''''''</w:t>
      </w:r>
      <w:r w:rsidR="00FE6890" w:rsidRPr="001D4EB9">
        <w:rPr>
          <w:color w:val="000000" w:themeColor="text1"/>
        </w:rPr>
        <w:t xml:space="preserve"> based on </w:t>
      </w:r>
      <w:r w:rsidR="00AF2C80" w:rsidRPr="001D4EB9">
        <w:rPr>
          <w:color w:val="000000" w:themeColor="text1"/>
        </w:rPr>
        <w:t>the requested dispensed price for maximum quantity (DPMQ) of $</w:t>
      </w:r>
      <w:r w:rsidR="00940AB6">
        <w:rPr>
          <w:noProof/>
          <w:color w:val="000000"/>
          <w:highlight w:val="black"/>
        </w:rPr>
        <w:t>'''''''''''''''''</w:t>
      </w:r>
      <w:r w:rsidR="00E15ED7" w:rsidRPr="001D4EB9">
        <w:rPr>
          <w:color w:val="000000" w:themeColor="text1"/>
        </w:rPr>
        <w:t xml:space="preserve"> (based on the Sponsor requested price)</w:t>
      </w:r>
      <w:r w:rsidR="00AF2C80" w:rsidRPr="001D4EB9">
        <w:rPr>
          <w:color w:val="000000" w:themeColor="text1"/>
        </w:rPr>
        <w:t xml:space="preserve"> for two months’ supply and six </w:t>
      </w:r>
      <w:r w:rsidR="00A25421" w:rsidRPr="001D4EB9">
        <w:rPr>
          <w:color w:val="000000" w:themeColor="text1"/>
        </w:rPr>
        <w:t>dispensing’s</w:t>
      </w:r>
      <w:r w:rsidR="00AF2C80" w:rsidRPr="001D4EB9">
        <w:rPr>
          <w:color w:val="000000" w:themeColor="text1"/>
        </w:rPr>
        <w:t xml:space="preserve"> per year.</w:t>
      </w:r>
      <w:r w:rsidRPr="001D4EB9">
        <w:rPr>
          <w:color w:val="000000" w:themeColor="text1"/>
        </w:rPr>
        <w:t xml:space="preserve"> </w:t>
      </w:r>
    </w:p>
    <w:p w:rsidR="0010463E" w:rsidRPr="001D4EB9" w:rsidRDefault="0010463E" w:rsidP="00621014">
      <w:pPr>
        <w:pStyle w:val="ListParagraph"/>
        <w:widowControl/>
        <w:numPr>
          <w:ilvl w:val="1"/>
          <w:numId w:val="1"/>
        </w:numPr>
        <w:spacing w:after="120"/>
        <w:rPr>
          <w:rFonts w:asciiTheme="minorHAnsi" w:hAnsiTheme="minorHAnsi" w:cstheme="minorHAnsi"/>
          <w:szCs w:val="24"/>
          <w:lang w:eastAsia="en-AU"/>
        </w:rPr>
      </w:pPr>
      <w:r w:rsidRPr="001D4EB9">
        <w:rPr>
          <w:rFonts w:asciiTheme="minorHAnsi" w:hAnsiTheme="minorHAnsi" w:cstheme="minorHAnsi"/>
          <w:color w:val="000000" w:themeColor="text1"/>
          <w:szCs w:val="24"/>
        </w:rPr>
        <w:t>The manner in which all of the regimen costs were calcul</w:t>
      </w:r>
      <w:r w:rsidR="00FE6890" w:rsidRPr="001D4EB9">
        <w:rPr>
          <w:rFonts w:asciiTheme="minorHAnsi" w:hAnsiTheme="minorHAnsi" w:cstheme="minorHAnsi"/>
          <w:color w:val="000000" w:themeColor="text1"/>
          <w:szCs w:val="24"/>
        </w:rPr>
        <w:t>ated was consistent</w:t>
      </w:r>
      <w:r w:rsidRPr="001D4EB9">
        <w:rPr>
          <w:rFonts w:asciiTheme="minorHAnsi" w:hAnsiTheme="minorHAnsi" w:cstheme="minorHAnsi"/>
          <w:color w:val="000000" w:themeColor="text1"/>
          <w:szCs w:val="24"/>
        </w:rPr>
        <w:t xml:space="preserve">. </w:t>
      </w:r>
      <w:r w:rsidR="005D489E" w:rsidRPr="001D4EB9">
        <w:rPr>
          <w:rFonts w:asciiTheme="minorHAnsi" w:hAnsiTheme="minorHAnsi" w:cstheme="minorHAnsi"/>
          <w:color w:val="000000" w:themeColor="text1"/>
          <w:szCs w:val="24"/>
        </w:rPr>
        <w:t>T</w:t>
      </w:r>
      <w:r w:rsidRPr="001D4EB9">
        <w:rPr>
          <w:rFonts w:asciiTheme="minorHAnsi" w:hAnsiTheme="minorHAnsi" w:cstheme="minorHAnsi"/>
          <w:color w:val="000000" w:themeColor="text1"/>
          <w:szCs w:val="24"/>
        </w:rPr>
        <w:t xml:space="preserve">he CMA was based on ex-manufacturer prices, while the financial estimates were based on </w:t>
      </w:r>
      <w:r w:rsidR="00FC42DB" w:rsidRPr="001D4EB9">
        <w:rPr>
          <w:rFonts w:asciiTheme="minorHAnsi" w:hAnsiTheme="minorHAnsi" w:cstheme="minorHAnsi"/>
          <w:color w:val="000000" w:themeColor="text1"/>
          <w:szCs w:val="24"/>
        </w:rPr>
        <w:t>DPMQ</w:t>
      </w:r>
      <w:r w:rsidRPr="001D4EB9">
        <w:rPr>
          <w:rFonts w:asciiTheme="minorHAnsi" w:hAnsiTheme="minorHAnsi" w:cstheme="minorHAnsi"/>
          <w:color w:val="000000" w:themeColor="text1"/>
          <w:szCs w:val="24"/>
        </w:rPr>
        <w:t>. The financial estimates did not calculate per patient costs, but rather estimated number of scripts expected, and proportions of individual</w:t>
      </w:r>
      <w:r w:rsidR="00FE6890" w:rsidRPr="001D4EB9">
        <w:rPr>
          <w:rFonts w:asciiTheme="minorHAnsi" w:hAnsiTheme="minorHAnsi" w:cstheme="minorHAnsi"/>
          <w:color w:val="000000" w:themeColor="text1"/>
          <w:szCs w:val="24"/>
        </w:rPr>
        <w:t xml:space="preserve"> comparator regimens replaced. </w:t>
      </w:r>
      <w:r w:rsidRPr="001D4EB9">
        <w:rPr>
          <w:rFonts w:asciiTheme="minorHAnsi" w:hAnsiTheme="minorHAnsi" w:cstheme="minorHAnsi"/>
          <w:color w:val="000000" w:themeColor="text1"/>
          <w:szCs w:val="24"/>
        </w:rPr>
        <w:t>This approach was generally consistent with the CMA</w:t>
      </w:r>
      <w:r w:rsidR="00FE6890" w:rsidRPr="001D4EB9">
        <w:rPr>
          <w:rFonts w:asciiTheme="minorHAnsi" w:hAnsiTheme="minorHAnsi" w:cstheme="minorHAnsi"/>
          <w:color w:val="000000" w:themeColor="text1"/>
          <w:szCs w:val="24"/>
        </w:rPr>
        <w:t>.</w:t>
      </w:r>
    </w:p>
    <w:p w:rsidR="0010463E" w:rsidRPr="001D4EB9" w:rsidRDefault="0010463E" w:rsidP="00621014">
      <w:pPr>
        <w:pStyle w:val="Heading2"/>
        <w:widowControl/>
        <w:rPr>
          <w:i w:val="0"/>
        </w:rPr>
      </w:pPr>
      <w:bookmarkStart w:id="26" w:name="_Toc19538908"/>
      <w:r w:rsidRPr="001D4EB9">
        <w:rPr>
          <w:i w:val="0"/>
        </w:rPr>
        <w:t>Estimated PBS usage &amp; financial implications</w:t>
      </w:r>
      <w:bookmarkEnd w:id="26"/>
    </w:p>
    <w:p w:rsidR="005A7067" w:rsidRPr="001D4EB9" w:rsidRDefault="0010463E" w:rsidP="00621014">
      <w:pPr>
        <w:pStyle w:val="ListParagraph"/>
        <w:widowControl/>
        <w:numPr>
          <w:ilvl w:val="1"/>
          <w:numId w:val="1"/>
        </w:numPr>
      </w:pPr>
      <w:r w:rsidRPr="001D4EB9">
        <w:t xml:space="preserve">This submission </w:t>
      </w:r>
      <w:r w:rsidR="005A7067" w:rsidRPr="001D4EB9">
        <w:t>was not</w:t>
      </w:r>
      <w:r w:rsidRPr="001D4EB9">
        <w:t xml:space="preserve"> </w:t>
      </w:r>
      <w:r w:rsidR="007D1380" w:rsidRPr="001D4EB9">
        <w:t xml:space="preserve">considered by </w:t>
      </w:r>
      <w:r w:rsidRPr="001D4EB9">
        <w:t xml:space="preserve">DUSC. </w:t>
      </w:r>
    </w:p>
    <w:p w:rsidR="0010463E" w:rsidRPr="001D4EB9" w:rsidRDefault="0010463E" w:rsidP="00621014">
      <w:pPr>
        <w:pStyle w:val="ListParagraph"/>
        <w:widowControl/>
        <w:numPr>
          <w:ilvl w:val="1"/>
          <w:numId w:val="1"/>
        </w:numPr>
      </w:pPr>
      <w:r w:rsidRPr="001D4EB9">
        <w:t>The submission used a market share approach to estimate the utilisation and financial impact of listing Symtuza. Th</w:t>
      </w:r>
      <w:r w:rsidR="00B31925" w:rsidRPr="001D4EB9">
        <w:t>e evaluation considered this</w:t>
      </w:r>
      <w:r w:rsidRPr="001D4EB9">
        <w:t xml:space="preserve"> was appropriate.</w:t>
      </w:r>
    </w:p>
    <w:p w:rsidR="0010463E" w:rsidRPr="001D4EB9" w:rsidRDefault="00FE6890" w:rsidP="00DD09F9">
      <w:pPr>
        <w:keepNext/>
        <w:widowControl/>
        <w:rPr>
          <w:rStyle w:val="CommentReference"/>
        </w:rPr>
      </w:pPr>
      <w:r w:rsidRPr="001D4EB9">
        <w:rPr>
          <w:rStyle w:val="CommentReference"/>
        </w:rPr>
        <w:lastRenderedPageBreak/>
        <w:t xml:space="preserve">Table </w:t>
      </w:r>
      <w:r w:rsidR="00DD09F9">
        <w:rPr>
          <w:rStyle w:val="CommentReference"/>
        </w:rPr>
        <w:t>10</w:t>
      </w:r>
      <w:r w:rsidRPr="001D4EB9">
        <w:rPr>
          <w:rStyle w:val="CommentReference"/>
        </w:rPr>
        <w:t>:</w:t>
      </w:r>
      <w:r w:rsidR="0010463E" w:rsidRPr="001D4EB9">
        <w:rPr>
          <w:rStyle w:val="CommentReference"/>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Estimated use and financial implications"/>
      </w:tblPr>
      <w:tblGrid>
        <w:gridCol w:w="2017"/>
        <w:gridCol w:w="1167"/>
        <w:gridCol w:w="1167"/>
        <w:gridCol w:w="1167"/>
        <w:gridCol w:w="1167"/>
        <w:gridCol w:w="1167"/>
        <w:gridCol w:w="1165"/>
      </w:tblGrid>
      <w:tr w:rsidR="0010463E" w:rsidRPr="001D4EB9" w:rsidTr="003830D9">
        <w:trPr>
          <w:tblHeader/>
        </w:trPr>
        <w:tc>
          <w:tcPr>
            <w:tcW w:w="1119" w:type="pct"/>
            <w:shd w:val="clear" w:color="auto" w:fill="auto"/>
            <w:vAlign w:val="center"/>
          </w:tcPr>
          <w:p w:rsidR="0010463E" w:rsidRPr="001D4EB9" w:rsidRDefault="0010463E" w:rsidP="00DD09F9">
            <w:pPr>
              <w:pStyle w:val="Tabletext"/>
              <w:keepNext/>
            </w:pPr>
          </w:p>
        </w:tc>
        <w:tc>
          <w:tcPr>
            <w:tcW w:w="647" w:type="pct"/>
            <w:shd w:val="clear" w:color="auto" w:fill="auto"/>
            <w:vAlign w:val="center"/>
          </w:tcPr>
          <w:p w:rsidR="0010463E" w:rsidRPr="001D4EB9" w:rsidRDefault="0010463E" w:rsidP="00DD09F9">
            <w:pPr>
              <w:pStyle w:val="Tabletext"/>
              <w:keepNext/>
              <w:jc w:val="center"/>
              <w:rPr>
                <w:b/>
              </w:rPr>
            </w:pPr>
            <w:r w:rsidRPr="001D4EB9">
              <w:rPr>
                <w:b/>
              </w:rPr>
              <w:t>Year 1</w:t>
            </w:r>
          </w:p>
        </w:tc>
        <w:tc>
          <w:tcPr>
            <w:tcW w:w="647" w:type="pct"/>
            <w:shd w:val="clear" w:color="auto" w:fill="auto"/>
            <w:vAlign w:val="center"/>
          </w:tcPr>
          <w:p w:rsidR="0010463E" w:rsidRPr="001D4EB9" w:rsidRDefault="0010463E" w:rsidP="00DD09F9">
            <w:pPr>
              <w:pStyle w:val="Tabletext"/>
              <w:keepNext/>
              <w:jc w:val="center"/>
              <w:rPr>
                <w:b/>
              </w:rPr>
            </w:pPr>
            <w:r w:rsidRPr="001D4EB9">
              <w:rPr>
                <w:b/>
              </w:rPr>
              <w:t>Year 2</w:t>
            </w:r>
          </w:p>
        </w:tc>
        <w:tc>
          <w:tcPr>
            <w:tcW w:w="647" w:type="pct"/>
            <w:shd w:val="clear" w:color="auto" w:fill="auto"/>
            <w:vAlign w:val="center"/>
          </w:tcPr>
          <w:p w:rsidR="0010463E" w:rsidRPr="001D4EB9" w:rsidRDefault="0010463E" w:rsidP="00DD09F9">
            <w:pPr>
              <w:pStyle w:val="Tabletext"/>
              <w:keepNext/>
              <w:jc w:val="center"/>
              <w:rPr>
                <w:b/>
              </w:rPr>
            </w:pPr>
            <w:r w:rsidRPr="001D4EB9">
              <w:rPr>
                <w:b/>
              </w:rPr>
              <w:t>Year 3</w:t>
            </w:r>
          </w:p>
        </w:tc>
        <w:tc>
          <w:tcPr>
            <w:tcW w:w="647" w:type="pct"/>
            <w:shd w:val="clear" w:color="auto" w:fill="auto"/>
            <w:vAlign w:val="center"/>
          </w:tcPr>
          <w:p w:rsidR="0010463E" w:rsidRPr="001D4EB9" w:rsidRDefault="0010463E" w:rsidP="00DD09F9">
            <w:pPr>
              <w:pStyle w:val="Tabletext"/>
              <w:keepNext/>
              <w:jc w:val="center"/>
              <w:rPr>
                <w:b/>
              </w:rPr>
            </w:pPr>
            <w:r w:rsidRPr="001D4EB9">
              <w:rPr>
                <w:b/>
              </w:rPr>
              <w:t>Year 4</w:t>
            </w:r>
          </w:p>
        </w:tc>
        <w:tc>
          <w:tcPr>
            <w:tcW w:w="647" w:type="pct"/>
            <w:shd w:val="clear" w:color="auto" w:fill="auto"/>
            <w:vAlign w:val="center"/>
          </w:tcPr>
          <w:p w:rsidR="0010463E" w:rsidRPr="001D4EB9" w:rsidRDefault="0010463E" w:rsidP="00DD09F9">
            <w:pPr>
              <w:pStyle w:val="Tabletext"/>
              <w:keepNext/>
              <w:jc w:val="center"/>
              <w:rPr>
                <w:b/>
              </w:rPr>
            </w:pPr>
            <w:r w:rsidRPr="001D4EB9">
              <w:rPr>
                <w:b/>
              </w:rPr>
              <w:t>Year 5</w:t>
            </w:r>
          </w:p>
        </w:tc>
        <w:tc>
          <w:tcPr>
            <w:tcW w:w="646" w:type="pct"/>
          </w:tcPr>
          <w:p w:rsidR="0010463E" w:rsidRPr="001D4EB9" w:rsidRDefault="0010463E" w:rsidP="00DD09F9">
            <w:pPr>
              <w:pStyle w:val="Tabletext"/>
              <w:keepNext/>
              <w:jc w:val="center"/>
              <w:rPr>
                <w:b/>
              </w:rPr>
            </w:pPr>
            <w:r w:rsidRPr="001D4EB9">
              <w:rPr>
                <w:b/>
              </w:rPr>
              <w:t>Year 6</w:t>
            </w:r>
          </w:p>
        </w:tc>
      </w:tr>
      <w:tr w:rsidR="0010463E" w:rsidRPr="001D4EB9" w:rsidTr="003830D9">
        <w:tc>
          <w:tcPr>
            <w:tcW w:w="5000" w:type="pct"/>
            <w:gridSpan w:val="7"/>
            <w:shd w:val="clear" w:color="auto" w:fill="auto"/>
            <w:vAlign w:val="center"/>
          </w:tcPr>
          <w:p w:rsidR="0010463E" w:rsidRPr="001D4EB9" w:rsidRDefault="0010463E" w:rsidP="00DD09F9">
            <w:pPr>
              <w:pStyle w:val="Tabletext"/>
              <w:keepNext/>
              <w:rPr>
                <w:b/>
                <w:bCs/>
                <w:color w:val="000000"/>
              </w:rPr>
            </w:pPr>
            <w:r w:rsidRPr="001D4EB9">
              <w:rPr>
                <w:b/>
                <w:bCs/>
                <w:color w:val="000000"/>
              </w:rPr>
              <w:t>Estimated extent of use</w:t>
            </w:r>
          </w:p>
        </w:tc>
      </w:tr>
      <w:tr w:rsidR="0010463E" w:rsidRPr="001D4EB9" w:rsidTr="003830D9">
        <w:tc>
          <w:tcPr>
            <w:tcW w:w="1119" w:type="pct"/>
            <w:shd w:val="clear" w:color="auto" w:fill="auto"/>
            <w:vAlign w:val="center"/>
          </w:tcPr>
          <w:p w:rsidR="0010463E" w:rsidRPr="001D4EB9" w:rsidRDefault="0010463E" w:rsidP="00DD09F9">
            <w:pPr>
              <w:pStyle w:val="Tabletext"/>
              <w:keepNext/>
              <w:rPr>
                <w:rFonts w:ascii="Times" w:hAnsi="Times"/>
              </w:rPr>
            </w:pPr>
            <w:r w:rsidRPr="001D4EB9">
              <w:t>Number of scripts dispensed</w:t>
            </w:r>
          </w:p>
        </w:tc>
        <w:tc>
          <w:tcPr>
            <w:tcW w:w="647" w:type="pct"/>
            <w:shd w:val="clear" w:color="auto" w:fill="auto"/>
            <w:vAlign w:val="center"/>
          </w:tcPr>
          <w:p w:rsidR="0010463E" w:rsidRPr="00940AB6" w:rsidRDefault="00940AB6" w:rsidP="00DD09F9">
            <w:pPr>
              <w:pStyle w:val="Tabletext"/>
              <w:keepNext/>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10463E" w:rsidRPr="00940AB6" w:rsidRDefault="00940AB6" w:rsidP="00DD09F9">
            <w:pPr>
              <w:pStyle w:val="Tabletext"/>
              <w:keepNext/>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10463E" w:rsidRPr="00940AB6" w:rsidRDefault="00940AB6" w:rsidP="00DD09F9">
            <w:pPr>
              <w:pStyle w:val="Tabletext"/>
              <w:keepNext/>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10463E" w:rsidRPr="00940AB6" w:rsidRDefault="00940AB6" w:rsidP="00DD09F9">
            <w:pPr>
              <w:pStyle w:val="Tabletext"/>
              <w:keepNext/>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10463E" w:rsidRPr="00940AB6" w:rsidRDefault="00940AB6" w:rsidP="00DD09F9">
            <w:pPr>
              <w:pStyle w:val="Tabletext"/>
              <w:keepNext/>
              <w:jc w:val="center"/>
              <w:rPr>
                <w:bCs/>
                <w:color w:val="000000"/>
                <w:highlight w:val="black"/>
              </w:rPr>
            </w:pPr>
            <w:r>
              <w:rPr>
                <w:rFonts w:cs="Arial"/>
                <w:noProof/>
                <w:color w:val="000000"/>
                <w:szCs w:val="20"/>
                <w:highlight w:val="black"/>
              </w:rPr>
              <w:t>''''''''''''</w:t>
            </w:r>
          </w:p>
        </w:tc>
        <w:tc>
          <w:tcPr>
            <w:tcW w:w="646" w:type="pct"/>
            <w:vAlign w:val="center"/>
          </w:tcPr>
          <w:p w:rsidR="0010463E" w:rsidRPr="00940AB6" w:rsidRDefault="00940AB6" w:rsidP="00DD09F9">
            <w:pPr>
              <w:pStyle w:val="Tabletext"/>
              <w:keepNext/>
              <w:jc w:val="center"/>
              <w:rPr>
                <w:bCs/>
                <w:color w:val="000000"/>
                <w:highlight w:val="black"/>
              </w:rPr>
            </w:pPr>
            <w:r>
              <w:rPr>
                <w:rFonts w:cs="Arial"/>
                <w:noProof/>
                <w:color w:val="000000"/>
                <w:szCs w:val="20"/>
                <w:highlight w:val="black"/>
              </w:rPr>
              <w:t>''''''''''''</w:t>
            </w:r>
          </w:p>
        </w:tc>
      </w:tr>
      <w:tr w:rsidR="0010463E" w:rsidRPr="001D4EB9" w:rsidTr="003830D9">
        <w:tc>
          <w:tcPr>
            <w:tcW w:w="5000" w:type="pct"/>
            <w:gridSpan w:val="7"/>
            <w:shd w:val="clear" w:color="auto" w:fill="auto"/>
            <w:vAlign w:val="center"/>
          </w:tcPr>
          <w:p w:rsidR="0010463E" w:rsidRPr="001D4EB9" w:rsidRDefault="0010463E" w:rsidP="00DD09F9">
            <w:pPr>
              <w:pStyle w:val="Tabletext"/>
              <w:keepNext/>
              <w:rPr>
                <w:b/>
                <w:bCs/>
                <w:color w:val="000000"/>
              </w:rPr>
            </w:pPr>
            <w:r w:rsidRPr="001D4EB9">
              <w:rPr>
                <w:b/>
                <w:bCs/>
                <w:color w:val="000000"/>
              </w:rPr>
              <w:t xml:space="preserve">Estimated financial implications of </w:t>
            </w:r>
            <w:r w:rsidR="00243D8E" w:rsidRPr="001D4EB9">
              <w:rPr>
                <w:b/>
                <w:bCs/>
                <w:color w:val="000000"/>
              </w:rPr>
              <w:t>Symtuza</w:t>
            </w:r>
          </w:p>
        </w:tc>
      </w:tr>
      <w:tr w:rsidR="0010463E" w:rsidRPr="001D4EB9" w:rsidTr="003830D9">
        <w:tc>
          <w:tcPr>
            <w:tcW w:w="1119" w:type="pct"/>
            <w:shd w:val="clear" w:color="auto" w:fill="auto"/>
            <w:vAlign w:val="center"/>
          </w:tcPr>
          <w:p w:rsidR="0010463E" w:rsidRPr="001D4EB9" w:rsidRDefault="0010463E" w:rsidP="00DD09F9">
            <w:pPr>
              <w:pStyle w:val="Tabletext"/>
              <w:keepNext/>
              <w:rPr>
                <w:rFonts w:ascii="Times" w:hAnsi="Times"/>
              </w:rPr>
            </w:pPr>
            <w:r w:rsidRPr="001D4EB9">
              <w:rPr>
                <w:sz w:val="19"/>
                <w:szCs w:val="19"/>
              </w:rPr>
              <w:t>Cost to PBS/RPBS</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6" w:type="pct"/>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r>
      <w:tr w:rsidR="006E750B" w:rsidRPr="001D4EB9" w:rsidTr="003830D9">
        <w:tc>
          <w:tcPr>
            <w:tcW w:w="1119" w:type="pct"/>
            <w:shd w:val="clear" w:color="auto" w:fill="auto"/>
            <w:vAlign w:val="center"/>
          </w:tcPr>
          <w:p w:rsidR="006E750B" w:rsidRPr="001D4EB9" w:rsidRDefault="006E750B" w:rsidP="00DD09F9">
            <w:pPr>
              <w:pStyle w:val="Tabletext"/>
              <w:keepNext/>
              <w:rPr>
                <w:sz w:val="19"/>
                <w:szCs w:val="19"/>
              </w:rPr>
            </w:pPr>
            <w:r w:rsidRPr="001D4EB9">
              <w:rPr>
                <w:sz w:val="19"/>
                <w:szCs w:val="19"/>
              </w:rPr>
              <w:t>Copayments</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6" w:type="pct"/>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r>
      <w:tr w:rsidR="0010463E" w:rsidRPr="001D4EB9" w:rsidTr="003830D9">
        <w:tc>
          <w:tcPr>
            <w:tcW w:w="1119" w:type="pct"/>
            <w:shd w:val="clear" w:color="auto" w:fill="auto"/>
            <w:vAlign w:val="center"/>
          </w:tcPr>
          <w:p w:rsidR="0010463E" w:rsidRPr="001D4EB9" w:rsidRDefault="0010463E" w:rsidP="00DD09F9">
            <w:pPr>
              <w:pStyle w:val="Tabletext"/>
              <w:keepNext/>
              <w:rPr>
                <w:sz w:val="19"/>
                <w:szCs w:val="19"/>
              </w:rPr>
            </w:pPr>
            <w:r w:rsidRPr="001D4EB9">
              <w:rPr>
                <w:sz w:val="19"/>
                <w:szCs w:val="19"/>
              </w:rPr>
              <w:t>Cost to PBS/RPBS less copayments</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6" w:type="pct"/>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r>
      <w:tr w:rsidR="0010463E" w:rsidRPr="001D4EB9" w:rsidTr="003830D9">
        <w:tc>
          <w:tcPr>
            <w:tcW w:w="5000" w:type="pct"/>
            <w:gridSpan w:val="7"/>
            <w:shd w:val="clear" w:color="auto" w:fill="auto"/>
            <w:vAlign w:val="center"/>
          </w:tcPr>
          <w:p w:rsidR="0010463E" w:rsidRPr="001D4EB9" w:rsidRDefault="0010463E" w:rsidP="00DD09F9">
            <w:pPr>
              <w:pStyle w:val="Tabletext"/>
              <w:keepNext/>
              <w:rPr>
                <w:bCs/>
                <w:color w:val="000000"/>
              </w:rPr>
            </w:pPr>
            <w:r w:rsidRPr="001D4EB9">
              <w:rPr>
                <w:b/>
                <w:bCs/>
                <w:color w:val="000000"/>
              </w:rPr>
              <w:t>Estimated financial implications for other ART regimens displaced</w:t>
            </w:r>
          </w:p>
        </w:tc>
      </w:tr>
      <w:tr w:rsidR="0010463E" w:rsidRPr="001D4EB9" w:rsidTr="003830D9">
        <w:tc>
          <w:tcPr>
            <w:tcW w:w="1119" w:type="pct"/>
            <w:shd w:val="clear" w:color="auto" w:fill="auto"/>
            <w:vAlign w:val="center"/>
          </w:tcPr>
          <w:p w:rsidR="0010463E" w:rsidRPr="001D4EB9" w:rsidRDefault="0010463E" w:rsidP="00DD09F9">
            <w:pPr>
              <w:pStyle w:val="Tabletext"/>
              <w:keepNext/>
              <w:rPr>
                <w:sz w:val="19"/>
                <w:szCs w:val="19"/>
              </w:rPr>
            </w:pPr>
            <w:r w:rsidRPr="001D4EB9">
              <w:rPr>
                <w:sz w:val="19"/>
                <w:szCs w:val="19"/>
              </w:rPr>
              <w:t>Cost to PBS/RPBS</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6" w:type="pct"/>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r>
      <w:tr w:rsidR="006E750B" w:rsidRPr="001D4EB9" w:rsidTr="003830D9">
        <w:tc>
          <w:tcPr>
            <w:tcW w:w="1119" w:type="pct"/>
            <w:shd w:val="clear" w:color="auto" w:fill="auto"/>
            <w:vAlign w:val="center"/>
          </w:tcPr>
          <w:p w:rsidR="006E750B" w:rsidRPr="001D4EB9" w:rsidRDefault="006E750B" w:rsidP="00DD09F9">
            <w:pPr>
              <w:pStyle w:val="Tabletext"/>
              <w:keepNext/>
              <w:rPr>
                <w:sz w:val="19"/>
                <w:szCs w:val="19"/>
              </w:rPr>
            </w:pPr>
            <w:r w:rsidRPr="001D4EB9">
              <w:rPr>
                <w:sz w:val="19"/>
                <w:szCs w:val="19"/>
              </w:rPr>
              <w:t>Copayments</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7" w:type="pct"/>
            <w:shd w:val="clear" w:color="auto" w:fill="auto"/>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c>
          <w:tcPr>
            <w:tcW w:w="646" w:type="pct"/>
          </w:tcPr>
          <w:p w:rsidR="006E750B" w:rsidRPr="001D4EB9" w:rsidRDefault="006E750B" w:rsidP="00DD09F9">
            <w:pPr>
              <w:pStyle w:val="Tabletext"/>
              <w:keepNext/>
              <w:jc w:val="center"/>
              <w:rPr>
                <w:bCs/>
                <w:color w:val="000000"/>
              </w:rPr>
            </w:pPr>
            <w:r w:rsidRPr="001D4EB9">
              <w:t>$</w:t>
            </w:r>
            <w:r w:rsidR="00940AB6">
              <w:rPr>
                <w:noProof/>
                <w:color w:val="000000"/>
                <w:highlight w:val="black"/>
              </w:rPr>
              <w:t>'''''''''''''''''''</w:t>
            </w:r>
            <w:r w:rsidRPr="001D4EB9">
              <w:t xml:space="preserve"> </w:t>
            </w:r>
          </w:p>
        </w:tc>
      </w:tr>
      <w:tr w:rsidR="0010463E" w:rsidRPr="001D4EB9" w:rsidTr="003830D9">
        <w:tc>
          <w:tcPr>
            <w:tcW w:w="1119" w:type="pct"/>
            <w:shd w:val="clear" w:color="auto" w:fill="auto"/>
            <w:vAlign w:val="center"/>
          </w:tcPr>
          <w:p w:rsidR="0010463E" w:rsidRPr="001D4EB9" w:rsidRDefault="0010463E" w:rsidP="00DD09F9">
            <w:pPr>
              <w:pStyle w:val="Tabletext"/>
              <w:keepNext/>
              <w:rPr>
                <w:sz w:val="19"/>
                <w:szCs w:val="19"/>
              </w:rPr>
            </w:pPr>
            <w:r w:rsidRPr="001D4EB9">
              <w:rPr>
                <w:sz w:val="19"/>
                <w:szCs w:val="19"/>
              </w:rPr>
              <w:t>Cost to PBS/RPBS less copayments</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7" w:type="pct"/>
            <w:shd w:val="clear" w:color="auto" w:fill="auto"/>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c>
          <w:tcPr>
            <w:tcW w:w="646" w:type="pct"/>
            <w:vAlign w:val="center"/>
          </w:tcPr>
          <w:p w:rsidR="0010463E" w:rsidRPr="001D4EB9" w:rsidRDefault="0010463E" w:rsidP="00DD09F9">
            <w:pPr>
              <w:pStyle w:val="Tabletext"/>
              <w:keepNext/>
              <w:jc w:val="center"/>
              <w:rPr>
                <w:bCs/>
                <w:color w:val="000000"/>
              </w:rPr>
            </w:pPr>
            <w:r w:rsidRPr="001D4EB9">
              <w:rPr>
                <w:rFonts w:cs="Arial"/>
                <w:bCs/>
                <w:color w:val="000000"/>
                <w:szCs w:val="20"/>
              </w:rPr>
              <w:t>$</w:t>
            </w:r>
            <w:r w:rsidR="00940AB6">
              <w:rPr>
                <w:rFonts w:cs="Arial"/>
                <w:bCs/>
                <w:noProof/>
                <w:color w:val="000000"/>
                <w:szCs w:val="20"/>
                <w:highlight w:val="black"/>
              </w:rPr>
              <w:t>''''''''''''''''''''''''</w:t>
            </w:r>
          </w:p>
        </w:tc>
      </w:tr>
      <w:tr w:rsidR="0010463E" w:rsidRPr="001D4EB9" w:rsidTr="003830D9">
        <w:tc>
          <w:tcPr>
            <w:tcW w:w="5000" w:type="pct"/>
            <w:gridSpan w:val="7"/>
            <w:shd w:val="clear" w:color="auto" w:fill="auto"/>
            <w:vAlign w:val="center"/>
          </w:tcPr>
          <w:p w:rsidR="0010463E" w:rsidRPr="001D4EB9" w:rsidRDefault="0010463E" w:rsidP="00DD09F9">
            <w:pPr>
              <w:pStyle w:val="Tabletext"/>
              <w:keepNext/>
              <w:rPr>
                <w:b/>
                <w:bCs/>
                <w:color w:val="000000"/>
              </w:rPr>
            </w:pPr>
            <w:r w:rsidRPr="001D4EB9">
              <w:rPr>
                <w:b/>
                <w:bCs/>
                <w:color w:val="000000"/>
              </w:rPr>
              <w:t>Net financial implications</w:t>
            </w:r>
            <w:r w:rsidRPr="001D4EB9">
              <w:rPr>
                <w:b/>
                <w:bCs/>
                <w:color w:val="4BACC6" w:themeColor="accent5"/>
              </w:rPr>
              <w:t xml:space="preserve"> </w:t>
            </w:r>
          </w:p>
        </w:tc>
      </w:tr>
      <w:tr w:rsidR="0010463E" w:rsidRPr="001D4EB9" w:rsidTr="003830D9">
        <w:tc>
          <w:tcPr>
            <w:tcW w:w="1119" w:type="pct"/>
            <w:shd w:val="clear" w:color="auto" w:fill="auto"/>
            <w:vAlign w:val="center"/>
          </w:tcPr>
          <w:p w:rsidR="0010463E" w:rsidRPr="001D4EB9" w:rsidRDefault="0010463E" w:rsidP="00DD09F9">
            <w:pPr>
              <w:pStyle w:val="Tabletext"/>
              <w:keepNext/>
              <w:rPr>
                <w:sz w:val="19"/>
                <w:szCs w:val="19"/>
              </w:rPr>
            </w:pPr>
            <w:r w:rsidRPr="001D4EB9">
              <w:rPr>
                <w:sz w:val="19"/>
                <w:szCs w:val="19"/>
              </w:rPr>
              <w:t>Net cost to PBS/RPBS</w:t>
            </w:r>
          </w:p>
        </w:tc>
        <w:tc>
          <w:tcPr>
            <w:tcW w:w="647" w:type="pct"/>
            <w:shd w:val="clear" w:color="auto" w:fill="auto"/>
          </w:tcPr>
          <w:p w:rsidR="0010463E" w:rsidRPr="001D4EB9" w:rsidRDefault="0010463E" w:rsidP="00DD09F9">
            <w:pPr>
              <w:pStyle w:val="Tabletext"/>
              <w:keepNext/>
              <w:jc w:val="center"/>
              <w:rPr>
                <w:bCs/>
                <w:color w:val="000000"/>
              </w:rPr>
            </w:pPr>
            <w:r w:rsidRPr="001D4EB9">
              <w:rPr>
                <w:rFonts w:cs="Arial"/>
                <w:bCs/>
                <w:color w:val="000000" w:themeColor="text1"/>
                <w:szCs w:val="20"/>
              </w:rPr>
              <w:t>-$</w:t>
            </w:r>
            <w:r w:rsidR="00940AB6">
              <w:rPr>
                <w:rFonts w:cs="Arial"/>
                <w:bCs/>
                <w:noProof/>
                <w:color w:val="000000"/>
                <w:szCs w:val="20"/>
                <w:highlight w:val="black"/>
              </w:rPr>
              <w:t>'''''''''''''''</w:t>
            </w:r>
          </w:p>
        </w:tc>
        <w:tc>
          <w:tcPr>
            <w:tcW w:w="647" w:type="pct"/>
            <w:shd w:val="clear" w:color="auto" w:fill="auto"/>
          </w:tcPr>
          <w:p w:rsidR="0010463E" w:rsidRPr="001D4EB9" w:rsidRDefault="0010463E" w:rsidP="00DD09F9">
            <w:pPr>
              <w:pStyle w:val="Tabletext"/>
              <w:keepNext/>
              <w:jc w:val="center"/>
              <w:rPr>
                <w:bCs/>
                <w:color w:val="000000"/>
              </w:rPr>
            </w:pPr>
            <w:r w:rsidRPr="001D4EB9">
              <w:rPr>
                <w:rFonts w:cs="Arial"/>
                <w:bCs/>
                <w:color w:val="000000" w:themeColor="text1"/>
                <w:szCs w:val="20"/>
              </w:rPr>
              <w:t>-$</w:t>
            </w:r>
            <w:r w:rsidR="00940AB6">
              <w:rPr>
                <w:rFonts w:cs="Arial"/>
                <w:bCs/>
                <w:noProof/>
                <w:color w:val="000000"/>
                <w:szCs w:val="20"/>
                <w:highlight w:val="black"/>
              </w:rPr>
              <w:t>''''''''''''''''</w:t>
            </w:r>
          </w:p>
        </w:tc>
        <w:tc>
          <w:tcPr>
            <w:tcW w:w="647" w:type="pct"/>
            <w:shd w:val="clear" w:color="auto" w:fill="auto"/>
          </w:tcPr>
          <w:p w:rsidR="0010463E" w:rsidRPr="001D4EB9" w:rsidRDefault="0010463E" w:rsidP="00DD09F9">
            <w:pPr>
              <w:pStyle w:val="Tabletext"/>
              <w:keepNext/>
              <w:jc w:val="center"/>
              <w:rPr>
                <w:bCs/>
                <w:color w:val="000000"/>
              </w:rPr>
            </w:pPr>
            <w:r w:rsidRPr="001D4EB9">
              <w:rPr>
                <w:rFonts w:cs="Arial"/>
                <w:bCs/>
                <w:color w:val="000000" w:themeColor="text1"/>
                <w:szCs w:val="20"/>
              </w:rPr>
              <w:t>-$</w:t>
            </w:r>
            <w:r w:rsidR="00940AB6">
              <w:rPr>
                <w:rFonts w:cs="Arial"/>
                <w:bCs/>
                <w:noProof/>
                <w:color w:val="000000"/>
                <w:szCs w:val="20"/>
                <w:highlight w:val="black"/>
              </w:rPr>
              <w:t>'''''''''''''''</w:t>
            </w:r>
          </w:p>
        </w:tc>
        <w:tc>
          <w:tcPr>
            <w:tcW w:w="647" w:type="pct"/>
            <w:shd w:val="clear" w:color="auto" w:fill="auto"/>
          </w:tcPr>
          <w:p w:rsidR="0010463E" w:rsidRPr="001D4EB9" w:rsidRDefault="0010463E" w:rsidP="00DD09F9">
            <w:pPr>
              <w:pStyle w:val="Tabletext"/>
              <w:keepNext/>
              <w:jc w:val="center"/>
              <w:rPr>
                <w:bCs/>
                <w:color w:val="000000"/>
              </w:rPr>
            </w:pPr>
            <w:r w:rsidRPr="001D4EB9">
              <w:rPr>
                <w:rFonts w:cs="Arial"/>
                <w:bCs/>
                <w:color w:val="000000" w:themeColor="text1"/>
                <w:szCs w:val="20"/>
              </w:rPr>
              <w:t>-$</w:t>
            </w:r>
            <w:r w:rsidR="00940AB6">
              <w:rPr>
                <w:rFonts w:cs="Arial"/>
                <w:bCs/>
                <w:noProof/>
                <w:color w:val="000000"/>
                <w:szCs w:val="20"/>
                <w:highlight w:val="black"/>
              </w:rPr>
              <w:t>''''''''''''''''</w:t>
            </w:r>
          </w:p>
        </w:tc>
        <w:tc>
          <w:tcPr>
            <w:tcW w:w="647" w:type="pct"/>
            <w:shd w:val="clear" w:color="auto" w:fill="auto"/>
          </w:tcPr>
          <w:p w:rsidR="0010463E" w:rsidRPr="001D4EB9" w:rsidRDefault="0010463E" w:rsidP="00DD09F9">
            <w:pPr>
              <w:pStyle w:val="Tabletext"/>
              <w:keepNext/>
              <w:jc w:val="center"/>
              <w:rPr>
                <w:bCs/>
                <w:color w:val="000000"/>
              </w:rPr>
            </w:pPr>
            <w:r w:rsidRPr="001D4EB9">
              <w:rPr>
                <w:rFonts w:cs="Arial"/>
                <w:bCs/>
                <w:color w:val="000000" w:themeColor="text1"/>
                <w:szCs w:val="20"/>
              </w:rPr>
              <w:t>-$</w:t>
            </w:r>
            <w:r w:rsidR="00940AB6">
              <w:rPr>
                <w:rFonts w:cs="Arial"/>
                <w:bCs/>
                <w:noProof/>
                <w:color w:val="000000"/>
                <w:szCs w:val="20"/>
                <w:highlight w:val="black"/>
              </w:rPr>
              <w:t>''''''''''''''''''</w:t>
            </w:r>
          </w:p>
        </w:tc>
        <w:tc>
          <w:tcPr>
            <w:tcW w:w="646" w:type="pct"/>
          </w:tcPr>
          <w:p w:rsidR="0010463E" w:rsidRPr="001D4EB9" w:rsidRDefault="0010463E" w:rsidP="00DD09F9">
            <w:pPr>
              <w:pStyle w:val="Tabletext"/>
              <w:keepNext/>
              <w:jc w:val="center"/>
              <w:rPr>
                <w:bCs/>
                <w:color w:val="000000"/>
              </w:rPr>
            </w:pPr>
            <w:r w:rsidRPr="001D4EB9">
              <w:rPr>
                <w:rFonts w:cs="Arial"/>
                <w:bCs/>
                <w:color w:val="000000" w:themeColor="text1"/>
                <w:szCs w:val="20"/>
              </w:rPr>
              <w:t>-$</w:t>
            </w:r>
            <w:r w:rsidR="00940AB6">
              <w:rPr>
                <w:rFonts w:cs="Arial"/>
                <w:bCs/>
                <w:noProof/>
                <w:color w:val="000000"/>
                <w:szCs w:val="20"/>
                <w:highlight w:val="black"/>
              </w:rPr>
              <w:t>'''''''''''''''</w:t>
            </w:r>
          </w:p>
        </w:tc>
      </w:tr>
      <w:tr w:rsidR="0010463E" w:rsidRPr="001D4EB9" w:rsidTr="003830D9">
        <w:tc>
          <w:tcPr>
            <w:tcW w:w="1119" w:type="pct"/>
            <w:shd w:val="clear" w:color="auto" w:fill="auto"/>
            <w:vAlign w:val="center"/>
          </w:tcPr>
          <w:p w:rsidR="0010463E" w:rsidRPr="001D4EB9" w:rsidRDefault="0010463E" w:rsidP="00DD09F9">
            <w:pPr>
              <w:pStyle w:val="Tabletext"/>
              <w:keepNext/>
              <w:rPr>
                <w:rFonts w:ascii="Times" w:hAnsi="Times"/>
              </w:rPr>
            </w:pPr>
            <w:r w:rsidRPr="001D4EB9">
              <w:rPr>
                <w:sz w:val="19"/>
                <w:szCs w:val="19"/>
              </w:rPr>
              <w:t>Net cost to MBS/DHS</w:t>
            </w:r>
          </w:p>
        </w:tc>
        <w:tc>
          <w:tcPr>
            <w:tcW w:w="3881" w:type="pct"/>
            <w:gridSpan w:val="6"/>
            <w:shd w:val="clear" w:color="auto" w:fill="auto"/>
            <w:vAlign w:val="center"/>
          </w:tcPr>
          <w:p w:rsidR="0010463E" w:rsidRPr="001D4EB9" w:rsidRDefault="0010463E" w:rsidP="00DD09F9">
            <w:pPr>
              <w:pStyle w:val="Tabletext"/>
              <w:keepNext/>
              <w:jc w:val="center"/>
              <w:rPr>
                <w:bCs/>
                <w:color w:val="000000"/>
              </w:rPr>
            </w:pPr>
            <w:r w:rsidRPr="001D4EB9">
              <w:rPr>
                <w:bCs/>
                <w:color w:val="000000"/>
              </w:rPr>
              <w:t xml:space="preserve">None. </w:t>
            </w:r>
          </w:p>
        </w:tc>
      </w:tr>
    </w:tbl>
    <w:p w:rsidR="0010463E" w:rsidRPr="001D4EB9" w:rsidRDefault="0010463E" w:rsidP="00621014">
      <w:pPr>
        <w:pStyle w:val="TableFooter"/>
        <w:widowControl/>
        <w:rPr>
          <w:rStyle w:val="CommentReference"/>
        </w:rPr>
      </w:pPr>
      <w:r w:rsidRPr="001D4EB9">
        <w:t>Source: Tables 4.8 - 4.13, p130 -135 of the submission.</w:t>
      </w:r>
    </w:p>
    <w:p w:rsidR="0010463E" w:rsidRPr="001D4EB9" w:rsidRDefault="0010463E" w:rsidP="00621014">
      <w:pPr>
        <w:widowControl/>
      </w:pPr>
    </w:p>
    <w:p w:rsidR="0010463E" w:rsidRPr="001D4EB9" w:rsidRDefault="0010463E" w:rsidP="00621014">
      <w:pPr>
        <w:pStyle w:val="ListParagraph"/>
        <w:widowControl/>
        <w:numPr>
          <w:ilvl w:val="1"/>
          <w:numId w:val="1"/>
        </w:numPr>
      </w:pPr>
      <w:r w:rsidRPr="001D4EB9">
        <w:t>The submission assumed that Symtuza will only be used in patients appropriate for, or already maintained on, treatment with 800</w:t>
      </w:r>
      <w:r w:rsidR="006E750B" w:rsidRPr="001D4EB9">
        <w:t xml:space="preserve"> </w:t>
      </w:r>
      <w:r w:rsidRPr="001D4EB9">
        <w:t xml:space="preserve">mg of darunavir </w:t>
      </w:r>
      <w:r w:rsidR="006E750B" w:rsidRPr="001D4EB9">
        <w:t xml:space="preserve">(assuming DRV 800 = 28.9% and DRV/c = 45.2%, based on Prospection analysis of PBS 10% sample data) </w:t>
      </w:r>
      <w:r w:rsidRPr="001D4EB9">
        <w:t>which is co-administered with a</w:t>
      </w:r>
      <w:r w:rsidR="006E750B" w:rsidRPr="001D4EB9">
        <w:t>n</w:t>
      </w:r>
      <w:r w:rsidRPr="001D4EB9">
        <w:t xml:space="preserve"> </w:t>
      </w:r>
      <w:r w:rsidR="0058230C" w:rsidRPr="001D4EB9">
        <w:t>FTC</w:t>
      </w:r>
      <w:r w:rsidR="006E750B" w:rsidRPr="001D4EB9">
        <w:t xml:space="preserve">/tenofovir backbone. </w:t>
      </w:r>
      <w:r w:rsidRPr="001D4EB9">
        <w:t>The submission therefore only considered darunavir-based regimens utilised at this dose as the relevant market.</w:t>
      </w:r>
    </w:p>
    <w:p w:rsidR="0010463E" w:rsidRPr="001D4EB9" w:rsidRDefault="008916A8" w:rsidP="00621014">
      <w:pPr>
        <w:pStyle w:val="ListParagraph"/>
        <w:widowControl/>
        <w:numPr>
          <w:ilvl w:val="1"/>
          <w:numId w:val="1"/>
        </w:numPr>
      </w:pPr>
      <w:r w:rsidRPr="001D4EB9">
        <w:t>The submission claimed</w:t>
      </w:r>
      <w:r w:rsidR="0010463E" w:rsidRPr="001D4EB9">
        <w:t xml:space="preserve"> </w:t>
      </w:r>
      <w:r w:rsidR="00B661F2" w:rsidRPr="001D4EB9">
        <w:t>that</w:t>
      </w:r>
      <w:r w:rsidR="0010463E" w:rsidRPr="001D4EB9">
        <w:t xml:space="preserve"> the majority of the regimens replace</w:t>
      </w:r>
      <w:r w:rsidR="006E750B" w:rsidRPr="001D4EB9">
        <w:t xml:space="preserve">d by Symtuza would be </w:t>
      </w:r>
      <w:r w:rsidR="004C3B61" w:rsidRPr="001D4EB9">
        <w:t>DRV</w:t>
      </w:r>
      <w:r w:rsidR="006E750B" w:rsidRPr="001D4EB9">
        <w:t>-</w:t>
      </w:r>
      <w:r w:rsidR="0010463E" w:rsidRPr="001D4EB9">
        <w:t>based regimens</w:t>
      </w:r>
      <w:r w:rsidRPr="001D4EB9">
        <w:t xml:space="preserve"> with a</w:t>
      </w:r>
      <w:r w:rsidR="004C3B61" w:rsidRPr="001D4EB9">
        <w:t>n</w:t>
      </w:r>
      <w:r w:rsidRPr="001D4EB9">
        <w:t xml:space="preserve"> </w:t>
      </w:r>
      <w:r w:rsidR="004C3B61" w:rsidRPr="001D4EB9">
        <w:t xml:space="preserve">FTC/tenofovir </w:t>
      </w:r>
      <w:r w:rsidRPr="001D4EB9">
        <w:t>backbone.</w:t>
      </w:r>
      <w:r w:rsidR="00FE2E57" w:rsidRPr="001D4EB9">
        <w:t xml:space="preserve"> </w:t>
      </w:r>
    </w:p>
    <w:p w:rsidR="0010463E" w:rsidRPr="001D4EB9" w:rsidRDefault="0010463E" w:rsidP="00621014">
      <w:pPr>
        <w:pStyle w:val="ListParagraph"/>
        <w:widowControl/>
        <w:numPr>
          <w:ilvl w:val="1"/>
          <w:numId w:val="1"/>
        </w:numPr>
      </w:pPr>
      <w:r w:rsidRPr="001D4EB9">
        <w:rPr>
          <w:color w:val="000000" w:themeColor="text1"/>
        </w:rPr>
        <w:t xml:space="preserve">The submission further adjusted the population </w:t>
      </w:r>
      <w:r w:rsidR="006E750B" w:rsidRPr="001D4EB9">
        <w:rPr>
          <w:color w:val="000000" w:themeColor="text1"/>
        </w:rPr>
        <w:t xml:space="preserve">by applying rates of darunavir </w:t>
      </w:r>
      <w:r w:rsidRPr="001D4EB9">
        <w:rPr>
          <w:color w:val="000000" w:themeColor="text1"/>
        </w:rPr>
        <w:t xml:space="preserve">and </w:t>
      </w:r>
      <w:r w:rsidR="0058230C" w:rsidRPr="001D4EB9">
        <w:rPr>
          <w:color w:val="000000" w:themeColor="text1"/>
        </w:rPr>
        <w:t>FTC</w:t>
      </w:r>
      <w:r w:rsidR="006E750B" w:rsidRPr="001D4EB9">
        <w:rPr>
          <w:color w:val="000000" w:themeColor="text1"/>
        </w:rPr>
        <w:t>/</w:t>
      </w:r>
      <w:r w:rsidRPr="001D4EB9">
        <w:rPr>
          <w:color w:val="000000" w:themeColor="text1"/>
        </w:rPr>
        <w:t xml:space="preserve">tenofovir treated patients who will elect to switch to the Symtuza FDC. The </w:t>
      </w:r>
      <w:r w:rsidR="00CA11EF" w:rsidRPr="001D4EB9">
        <w:rPr>
          <w:color w:val="000000" w:themeColor="text1"/>
        </w:rPr>
        <w:t xml:space="preserve">evaluation considered that </w:t>
      </w:r>
      <w:r w:rsidRPr="001D4EB9">
        <w:rPr>
          <w:color w:val="000000" w:themeColor="text1"/>
        </w:rPr>
        <w:t xml:space="preserve">uptake in the first years of listing appeared to </w:t>
      </w:r>
      <w:r w:rsidR="00CA11EF" w:rsidRPr="001D4EB9">
        <w:rPr>
          <w:color w:val="000000" w:themeColor="text1"/>
        </w:rPr>
        <w:t xml:space="preserve">have </w:t>
      </w:r>
      <w:r w:rsidRPr="001D4EB9">
        <w:rPr>
          <w:color w:val="000000" w:themeColor="text1"/>
        </w:rPr>
        <w:t>be</w:t>
      </w:r>
      <w:r w:rsidR="00CA11EF" w:rsidRPr="001D4EB9">
        <w:rPr>
          <w:color w:val="000000" w:themeColor="text1"/>
        </w:rPr>
        <w:t>en</w:t>
      </w:r>
      <w:r w:rsidRPr="001D4EB9">
        <w:rPr>
          <w:color w:val="000000" w:themeColor="text1"/>
        </w:rPr>
        <w:t xml:space="preserve"> underestimated. </w:t>
      </w:r>
    </w:p>
    <w:p w:rsidR="000E7048" w:rsidRPr="001D4EB9" w:rsidRDefault="00A16831" w:rsidP="00621014">
      <w:pPr>
        <w:pStyle w:val="ListParagraph"/>
        <w:widowControl/>
        <w:numPr>
          <w:ilvl w:val="1"/>
          <w:numId w:val="1"/>
        </w:numPr>
        <w:rPr>
          <w:color w:val="000000" w:themeColor="text1"/>
        </w:rPr>
      </w:pPr>
      <w:r>
        <w:rPr>
          <w:color w:val="000000" w:themeColor="text1"/>
        </w:rPr>
        <w:t>At Y</w:t>
      </w:r>
      <w:r w:rsidR="000E7048" w:rsidRPr="001D4EB9">
        <w:rPr>
          <w:color w:val="000000" w:themeColor="text1"/>
        </w:rPr>
        <w:t xml:space="preserve">ear 6, the estimated number of patients was </w:t>
      </w:r>
      <w:r>
        <w:rPr>
          <w:color w:val="000000" w:themeColor="text1"/>
        </w:rPr>
        <w:t>less than 10,000</w:t>
      </w:r>
      <w:r w:rsidRPr="001D4EB9">
        <w:rPr>
          <w:color w:val="000000" w:themeColor="text1"/>
        </w:rPr>
        <w:t xml:space="preserve"> </w:t>
      </w:r>
      <w:r w:rsidR="000E7048" w:rsidRPr="001D4EB9">
        <w:rPr>
          <w:color w:val="000000" w:themeColor="text1"/>
        </w:rPr>
        <w:t xml:space="preserve">and the net save to the PBS would be </w:t>
      </w:r>
      <w:r>
        <w:rPr>
          <w:color w:val="000000" w:themeColor="text1"/>
        </w:rPr>
        <w:t xml:space="preserve">less than </w:t>
      </w:r>
      <w:r w:rsidR="000E7048" w:rsidRPr="001D4EB9">
        <w:rPr>
          <w:color w:val="000000" w:themeColor="text1"/>
        </w:rPr>
        <w:t>$</w:t>
      </w:r>
      <w:r>
        <w:rPr>
          <w:color w:val="000000" w:themeColor="text1"/>
        </w:rPr>
        <w:t>10 million</w:t>
      </w:r>
      <w:r w:rsidR="000E7048" w:rsidRPr="001D4EB9">
        <w:rPr>
          <w:color w:val="000000" w:themeColor="text1"/>
        </w:rPr>
        <w:t>.</w:t>
      </w:r>
    </w:p>
    <w:p w:rsidR="0010463E" w:rsidRPr="001D4EB9" w:rsidRDefault="0010463E" w:rsidP="00621014">
      <w:pPr>
        <w:pStyle w:val="Heading2"/>
        <w:widowControl/>
        <w:rPr>
          <w:i w:val="0"/>
        </w:rPr>
      </w:pPr>
      <w:bookmarkStart w:id="27" w:name="_Toc19538909"/>
      <w:r w:rsidRPr="001D4EB9">
        <w:rPr>
          <w:i w:val="0"/>
        </w:rPr>
        <w:t>Quality Use of Medicines</w:t>
      </w:r>
      <w:bookmarkEnd w:id="27"/>
    </w:p>
    <w:p w:rsidR="0010463E" w:rsidRPr="001D4EB9" w:rsidRDefault="0010463E" w:rsidP="00621014">
      <w:pPr>
        <w:pStyle w:val="ListParagraph"/>
        <w:widowControl/>
        <w:numPr>
          <w:ilvl w:val="1"/>
          <w:numId w:val="1"/>
        </w:numPr>
        <w:rPr>
          <w:color w:val="000000" w:themeColor="text1"/>
        </w:rPr>
      </w:pPr>
      <w:r w:rsidRPr="001D4EB9">
        <w:rPr>
          <w:color w:val="000000" w:themeColor="text1"/>
        </w:rPr>
        <w:t xml:space="preserve">The submission briefly described potential education for patients, prescribers and dispensers. </w:t>
      </w:r>
    </w:p>
    <w:p w:rsidR="004C41D7" w:rsidRPr="001D4EB9" w:rsidRDefault="004C41D7" w:rsidP="00621014">
      <w:pPr>
        <w:pStyle w:val="ListParagraph"/>
        <w:widowControl/>
        <w:ind w:left="709"/>
        <w:rPr>
          <w:rFonts w:asciiTheme="minorHAnsi" w:hAnsiTheme="minorHAnsi"/>
          <w:i/>
        </w:rPr>
      </w:pPr>
      <w:bookmarkStart w:id="28" w:name="_Toc19538912"/>
      <w:r w:rsidRPr="001D4EB9">
        <w:rPr>
          <w:rFonts w:asciiTheme="minorHAnsi" w:hAnsiTheme="minorHAnsi"/>
          <w:i/>
        </w:rPr>
        <w:t>For more detail on PBAC’s view, see section 7 PBAC outcome.</w:t>
      </w:r>
    </w:p>
    <w:p w:rsidR="00771C2A" w:rsidRPr="001D4EB9" w:rsidRDefault="00771C2A" w:rsidP="00621014">
      <w:pPr>
        <w:keepNext/>
        <w:widowControl/>
        <w:numPr>
          <w:ilvl w:val="0"/>
          <w:numId w:val="1"/>
        </w:numPr>
        <w:spacing w:before="240" w:after="120"/>
        <w:outlineLvl w:val="0"/>
        <w:rPr>
          <w:rFonts w:asciiTheme="minorHAnsi" w:hAnsiTheme="minorHAnsi"/>
          <w:b/>
          <w:bCs/>
          <w:sz w:val="32"/>
        </w:rPr>
      </w:pPr>
      <w:r w:rsidRPr="001D4EB9">
        <w:rPr>
          <w:rFonts w:asciiTheme="minorHAnsi" w:hAnsiTheme="minorHAnsi"/>
          <w:b/>
          <w:bCs/>
          <w:sz w:val="32"/>
        </w:rPr>
        <w:t>PBAC Outcome</w:t>
      </w:r>
    </w:p>
    <w:p w:rsidR="00366330" w:rsidRPr="00EA10D1" w:rsidRDefault="00771C2A" w:rsidP="00EA10D1">
      <w:pPr>
        <w:pStyle w:val="ListParagraph"/>
        <w:widowControl/>
        <w:numPr>
          <w:ilvl w:val="1"/>
          <w:numId w:val="1"/>
        </w:numPr>
        <w:rPr>
          <w:color w:val="000000" w:themeColor="text1"/>
        </w:rPr>
      </w:pPr>
      <w:r w:rsidRPr="00EA10D1">
        <w:rPr>
          <w:color w:val="000000" w:themeColor="text1"/>
        </w:rPr>
        <w:t>The PBAC recommended the</w:t>
      </w:r>
      <w:r w:rsidR="00AE33E2" w:rsidRPr="00EA10D1">
        <w:rPr>
          <w:color w:val="000000" w:themeColor="text1"/>
        </w:rPr>
        <w:t xml:space="preserve"> Authority Required (STREAMLINED)</w:t>
      </w:r>
      <w:r w:rsidRPr="00EA10D1">
        <w:rPr>
          <w:color w:val="000000" w:themeColor="text1"/>
        </w:rPr>
        <w:t xml:space="preserve"> listing of</w:t>
      </w:r>
      <w:r w:rsidR="00AE33E2" w:rsidRPr="00EA10D1">
        <w:rPr>
          <w:color w:val="000000" w:themeColor="text1"/>
        </w:rPr>
        <w:t xml:space="preserve"> the combination drug darunavir with cobicistat with emtricitabine and tenofovir alafenamide (DRV/c/FTC/TAF</w:t>
      </w:r>
      <w:r w:rsidR="00366330" w:rsidRPr="00EA10D1">
        <w:rPr>
          <w:color w:val="000000" w:themeColor="text1"/>
        </w:rPr>
        <w:t>, Symtuza</w:t>
      </w:r>
      <w:r w:rsidR="00AE33E2" w:rsidRPr="00EA10D1">
        <w:rPr>
          <w:color w:val="000000" w:themeColor="text1"/>
        </w:rPr>
        <w:t>)</w:t>
      </w:r>
      <w:r w:rsidR="00366330" w:rsidRPr="00EA10D1">
        <w:rPr>
          <w:color w:val="000000" w:themeColor="text1"/>
        </w:rPr>
        <w:t xml:space="preserve"> for the treatment of HIV infection, on the </w:t>
      </w:r>
      <w:r w:rsidR="00366330" w:rsidRPr="00EA10D1">
        <w:rPr>
          <w:color w:val="000000" w:themeColor="text1"/>
        </w:rPr>
        <w:lastRenderedPageBreak/>
        <w:t>basis that it should be available only under special arrangements under Section 100 (Highly Specialised Drugs Program – Community Access).</w:t>
      </w:r>
    </w:p>
    <w:p w:rsidR="00AE33E2" w:rsidRPr="001D4EB9" w:rsidRDefault="00366330" w:rsidP="00621014">
      <w:pPr>
        <w:widowControl/>
        <w:numPr>
          <w:ilvl w:val="1"/>
          <w:numId w:val="1"/>
        </w:numPr>
        <w:spacing w:after="120"/>
        <w:rPr>
          <w:rFonts w:asciiTheme="minorHAnsi" w:hAnsiTheme="minorHAnsi"/>
          <w:bCs/>
        </w:rPr>
      </w:pPr>
      <w:r w:rsidRPr="001D4EB9">
        <w:rPr>
          <w:rFonts w:asciiTheme="minorHAnsi" w:hAnsiTheme="minorHAnsi"/>
          <w:bCs/>
        </w:rPr>
        <w:t>The PBAC’s recommendation for listing was based on, among other matters, it’s assessment that the cost-effectiveness of Symtuza would be acceptable if it were cost-minimised against the following</w:t>
      </w:r>
      <w:r w:rsidR="00F90FAE" w:rsidRPr="001D4EB9">
        <w:rPr>
          <w:rFonts w:asciiTheme="minorHAnsi" w:hAnsiTheme="minorHAnsi"/>
          <w:bCs/>
        </w:rPr>
        <w:t>:</w:t>
      </w:r>
    </w:p>
    <w:p w:rsidR="00AE33E2" w:rsidRPr="001D4EB9" w:rsidRDefault="003C43C7" w:rsidP="00DD09F9">
      <w:pPr>
        <w:pStyle w:val="ListParagraph"/>
        <w:widowControl/>
        <w:numPr>
          <w:ilvl w:val="0"/>
          <w:numId w:val="19"/>
        </w:numPr>
        <w:spacing w:after="120"/>
        <w:ind w:left="1077" w:hanging="357"/>
        <w:rPr>
          <w:rFonts w:asciiTheme="minorHAnsi" w:hAnsiTheme="minorHAnsi"/>
          <w:bCs/>
        </w:rPr>
      </w:pPr>
      <w:r w:rsidRPr="001D4EB9">
        <w:rPr>
          <w:rFonts w:asciiTheme="minorHAnsi" w:hAnsiTheme="minorHAnsi"/>
          <w:bCs/>
        </w:rPr>
        <w:t>Prezcobix</w:t>
      </w:r>
      <w:r w:rsidR="00AE33E2" w:rsidRPr="001D4EB9">
        <w:rPr>
          <w:rFonts w:asciiTheme="minorHAnsi" w:hAnsiTheme="minorHAnsi"/>
          <w:bCs/>
        </w:rPr>
        <w:t xml:space="preserve"> (</w:t>
      </w:r>
      <w:r w:rsidR="00641CB2" w:rsidRPr="001D4EB9">
        <w:rPr>
          <w:rFonts w:asciiTheme="minorHAnsi" w:hAnsiTheme="minorHAnsi"/>
          <w:bCs/>
        </w:rPr>
        <w:t>DRV/c</w:t>
      </w:r>
      <w:r w:rsidRPr="001D4EB9" w:rsidDel="003C43C7">
        <w:rPr>
          <w:rFonts w:asciiTheme="minorHAnsi" w:hAnsiTheme="minorHAnsi"/>
          <w:bCs/>
        </w:rPr>
        <w:t xml:space="preserve"> </w:t>
      </w:r>
      <w:r w:rsidR="00AE33E2" w:rsidRPr="001D4EB9">
        <w:rPr>
          <w:rFonts w:asciiTheme="minorHAnsi" w:hAnsiTheme="minorHAnsi"/>
          <w:bCs/>
        </w:rPr>
        <w:t xml:space="preserve">); </w:t>
      </w:r>
      <w:r w:rsidR="004C3B61" w:rsidRPr="001D4EB9">
        <w:rPr>
          <w:rFonts w:asciiTheme="minorHAnsi" w:hAnsiTheme="minorHAnsi"/>
          <w:bCs/>
        </w:rPr>
        <w:t>with</w:t>
      </w:r>
    </w:p>
    <w:p w:rsidR="00AE33E2" w:rsidRPr="001D4EB9" w:rsidRDefault="00366330" w:rsidP="00DD09F9">
      <w:pPr>
        <w:pStyle w:val="ListParagraph"/>
        <w:widowControl/>
        <w:numPr>
          <w:ilvl w:val="0"/>
          <w:numId w:val="19"/>
        </w:numPr>
        <w:spacing w:after="120"/>
        <w:ind w:left="1077" w:hanging="357"/>
        <w:rPr>
          <w:rFonts w:asciiTheme="minorHAnsi" w:hAnsiTheme="minorHAnsi"/>
          <w:bCs/>
        </w:rPr>
      </w:pPr>
      <w:r w:rsidRPr="001D4EB9">
        <w:rPr>
          <w:rFonts w:asciiTheme="minorHAnsi" w:hAnsiTheme="minorHAnsi"/>
          <w:bCs/>
        </w:rPr>
        <w:t>A mixed comparator of</w:t>
      </w:r>
      <w:r w:rsidR="00AE33E2" w:rsidRPr="001D4EB9">
        <w:rPr>
          <w:rFonts w:asciiTheme="minorHAnsi" w:hAnsiTheme="minorHAnsi"/>
          <w:bCs/>
        </w:rPr>
        <w:t xml:space="preserve"> </w:t>
      </w:r>
      <w:r w:rsidR="003C43C7" w:rsidRPr="001D4EB9">
        <w:rPr>
          <w:rFonts w:asciiTheme="minorHAnsi" w:hAnsiTheme="minorHAnsi"/>
          <w:bCs/>
        </w:rPr>
        <w:t>Truvada</w:t>
      </w:r>
      <w:r w:rsidR="00AE33E2" w:rsidRPr="001D4EB9">
        <w:rPr>
          <w:rFonts w:asciiTheme="minorHAnsi" w:hAnsiTheme="minorHAnsi"/>
          <w:bCs/>
        </w:rPr>
        <w:t xml:space="preserve"> (</w:t>
      </w:r>
      <w:r w:rsidR="00D87508" w:rsidRPr="001D4EB9">
        <w:rPr>
          <w:rFonts w:asciiTheme="minorHAnsi" w:hAnsiTheme="minorHAnsi"/>
          <w:bCs/>
        </w:rPr>
        <w:t>FTC/TDF</w:t>
      </w:r>
      <w:r w:rsidR="00AE33E2" w:rsidRPr="001D4EB9">
        <w:rPr>
          <w:rFonts w:asciiTheme="minorHAnsi" w:hAnsiTheme="minorHAnsi"/>
          <w:bCs/>
        </w:rPr>
        <w:t xml:space="preserve">) and </w:t>
      </w:r>
      <w:r w:rsidR="003C43C7" w:rsidRPr="001D4EB9">
        <w:rPr>
          <w:rFonts w:asciiTheme="minorHAnsi" w:hAnsiTheme="minorHAnsi"/>
          <w:bCs/>
        </w:rPr>
        <w:t>Descovy</w:t>
      </w:r>
      <w:r w:rsidR="00AE33E2" w:rsidRPr="001D4EB9">
        <w:rPr>
          <w:rFonts w:asciiTheme="minorHAnsi" w:hAnsiTheme="minorHAnsi"/>
          <w:bCs/>
        </w:rPr>
        <w:t xml:space="preserve"> (</w:t>
      </w:r>
      <w:r w:rsidR="00D87508" w:rsidRPr="001D4EB9">
        <w:rPr>
          <w:rFonts w:asciiTheme="minorHAnsi" w:hAnsiTheme="minorHAnsi"/>
          <w:bCs/>
        </w:rPr>
        <w:t>FTC/TAF</w:t>
      </w:r>
      <w:r w:rsidRPr="001D4EB9">
        <w:rPr>
          <w:rFonts w:asciiTheme="minorHAnsi" w:hAnsiTheme="minorHAnsi"/>
          <w:bCs/>
        </w:rPr>
        <w:t xml:space="preserve">) at a relative weighting of 94:6, the latter accounting for a small patient population (6% of the total population) </w:t>
      </w:r>
      <w:r w:rsidR="004C3B61" w:rsidRPr="001D4EB9">
        <w:rPr>
          <w:rFonts w:asciiTheme="minorHAnsi" w:hAnsiTheme="minorHAnsi"/>
          <w:bCs/>
        </w:rPr>
        <w:t xml:space="preserve">who are </w:t>
      </w:r>
      <w:r w:rsidRPr="001D4EB9">
        <w:rPr>
          <w:rFonts w:asciiTheme="minorHAnsi" w:hAnsiTheme="minorHAnsi"/>
          <w:bCs/>
        </w:rPr>
        <w:t>ineligible to receive a TDF-based regimen due to moderate or severe renal impairment for which TDF-based regimens are not recommended. The PBAC recalled it previously considered this weighting as part of its consideration of Juluca at its July 2018 meeting and reaffirmed t</w:t>
      </w:r>
      <w:r w:rsidR="001A7509" w:rsidRPr="001D4EB9">
        <w:rPr>
          <w:rFonts w:asciiTheme="minorHAnsi" w:hAnsiTheme="minorHAnsi"/>
          <w:bCs/>
        </w:rPr>
        <w:t xml:space="preserve">hese relativities remained appropriate. </w:t>
      </w:r>
    </w:p>
    <w:p w:rsidR="00771C2A" w:rsidRPr="001D4EB9" w:rsidRDefault="00C67C9A" w:rsidP="00621014">
      <w:pPr>
        <w:widowControl/>
        <w:numPr>
          <w:ilvl w:val="1"/>
          <w:numId w:val="1"/>
        </w:numPr>
        <w:spacing w:after="120"/>
        <w:rPr>
          <w:rFonts w:asciiTheme="minorHAnsi" w:hAnsiTheme="minorHAnsi"/>
          <w:bCs/>
        </w:rPr>
      </w:pPr>
      <w:r w:rsidRPr="001D4EB9">
        <w:rPr>
          <w:rFonts w:asciiTheme="minorHAnsi" w:hAnsiTheme="minorHAnsi"/>
          <w:bCs/>
        </w:rPr>
        <w:t xml:space="preserve">The </w:t>
      </w:r>
      <w:r w:rsidR="001A7509" w:rsidRPr="001D4EB9">
        <w:rPr>
          <w:rFonts w:asciiTheme="minorHAnsi" w:hAnsiTheme="minorHAnsi"/>
          <w:bCs/>
        </w:rPr>
        <w:t>equi-effective doses are one tablet of Symtuza (DRV</w:t>
      </w:r>
      <w:r w:rsidR="00641CB2" w:rsidRPr="001D4EB9">
        <w:rPr>
          <w:rFonts w:asciiTheme="minorHAnsi" w:hAnsiTheme="minorHAnsi"/>
          <w:bCs/>
        </w:rPr>
        <w:t>/c/FTC/TAF 800mg/150mg/200mg/10</w:t>
      </w:r>
      <w:r w:rsidR="001A7509" w:rsidRPr="001D4EB9">
        <w:rPr>
          <w:rFonts w:asciiTheme="minorHAnsi" w:hAnsiTheme="minorHAnsi"/>
          <w:bCs/>
        </w:rPr>
        <w:t>mg) once daily and either: o</w:t>
      </w:r>
      <w:r w:rsidR="00D87508" w:rsidRPr="001D4EB9">
        <w:rPr>
          <w:rFonts w:asciiTheme="minorHAnsi" w:hAnsiTheme="minorHAnsi"/>
          <w:bCs/>
        </w:rPr>
        <w:t>ne tablet of Prezcobix (DRV</w:t>
      </w:r>
      <w:r w:rsidR="00641CB2" w:rsidRPr="001D4EB9">
        <w:rPr>
          <w:rFonts w:asciiTheme="minorHAnsi" w:hAnsiTheme="minorHAnsi"/>
          <w:bCs/>
        </w:rPr>
        <w:t>/c 800mg/</w:t>
      </w:r>
      <w:r w:rsidR="001A7509" w:rsidRPr="001D4EB9">
        <w:rPr>
          <w:rFonts w:asciiTheme="minorHAnsi" w:hAnsiTheme="minorHAnsi"/>
          <w:bCs/>
        </w:rPr>
        <w:t>150mg) and one tablet of Truvada (</w:t>
      </w:r>
      <w:r w:rsidR="00D87508" w:rsidRPr="001D4EB9">
        <w:rPr>
          <w:rFonts w:asciiTheme="minorHAnsi" w:hAnsiTheme="minorHAnsi"/>
          <w:bCs/>
        </w:rPr>
        <w:t>FTC</w:t>
      </w:r>
      <w:r w:rsidR="00641CB2" w:rsidRPr="001D4EB9">
        <w:rPr>
          <w:rFonts w:asciiTheme="minorHAnsi" w:hAnsiTheme="minorHAnsi"/>
          <w:bCs/>
        </w:rPr>
        <w:t>/</w:t>
      </w:r>
      <w:r w:rsidR="00B661F2" w:rsidRPr="001D4EB9">
        <w:rPr>
          <w:rFonts w:asciiTheme="minorHAnsi" w:hAnsiTheme="minorHAnsi"/>
          <w:bCs/>
        </w:rPr>
        <w:t>T</w:t>
      </w:r>
      <w:r w:rsidR="00641CB2" w:rsidRPr="001D4EB9">
        <w:rPr>
          <w:rFonts w:asciiTheme="minorHAnsi" w:hAnsiTheme="minorHAnsi"/>
          <w:bCs/>
        </w:rPr>
        <w:t>DF 200mg/</w:t>
      </w:r>
      <w:r w:rsidR="00D87508" w:rsidRPr="001D4EB9">
        <w:rPr>
          <w:rFonts w:asciiTheme="minorHAnsi" w:hAnsiTheme="minorHAnsi"/>
          <w:bCs/>
        </w:rPr>
        <w:t>300mg</w:t>
      </w:r>
      <w:r w:rsidR="001A7509" w:rsidRPr="001D4EB9">
        <w:rPr>
          <w:rFonts w:asciiTheme="minorHAnsi" w:hAnsiTheme="minorHAnsi"/>
          <w:bCs/>
        </w:rPr>
        <w:t>)</w:t>
      </w:r>
      <w:r w:rsidR="004C3B61" w:rsidRPr="001D4EB9">
        <w:rPr>
          <w:rFonts w:asciiTheme="minorHAnsi" w:hAnsiTheme="minorHAnsi"/>
          <w:bCs/>
        </w:rPr>
        <w:t xml:space="preserve"> once daily</w:t>
      </w:r>
      <w:r w:rsidR="001A7509" w:rsidRPr="001D4EB9">
        <w:rPr>
          <w:rFonts w:asciiTheme="minorHAnsi" w:hAnsiTheme="minorHAnsi"/>
          <w:bCs/>
        </w:rPr>
        <w:t>; or, in patients with renal impairment,</w:t>
      </w:r>
      <w:r w:rsidR="005E719D" w:rsidRPr="001D4EB9">
        <w:rPr>
          <w:rFonts w:asciiTheme="minorHAnsi" w:hAnsiTheme="minorHAnsi"/>
          <w:bCs/>
        </w:rPr>
        <w:t xml:space="preserve"> one tablet of Prezcobix (DRV</w:t>
      </w:r>
      <w:r w:rsidR="00641CB2" w:rsidRPr="001D4EB9">
        <w:rPr>
          <w:rFonts w:asciiTheme="minorHAnsi" w:hAnsiTheme="minorHAnsi"/>
          <w:bCs/>
        </w:rPr>
        <w:t>/c 800 mg/</w:t>
      </w:r>
      <w:r w:rsidR="005E719D" w:rsidRPr="001D4EB9">
        <w:rPr>
          <w:rFonts w:asciiTheme="minorHAnsi" w:hAnsiTheme="minorHAnsi"/>
          <w:bCs/>
        </w:rPr>
        <w:t>150mg) and</w:t>
      </w:r>
      <w:r w:rsidR="001A7509" w:rsidRPr="001D4EB9">
        <w:rPr>
          <w:rFonts w:asciiTheme="minorHAnsi" w:hAnsiTheme="minorHAnsi"/>
          <w:bCs/>
        </w:rPr>
        <w:t xml:space="preserve"> one tablet of Descovy (</w:t>
      </w:r>
      <w:r w:rsidR="00D87508" w:rsidRPr="001D4EB9">
        <w:rPr>
          <w:rFonts w:asciiTheme="minorHAnsi" w:hAnsiTheme="minorHAnsi"/>
          <w:bCs/>
        </w:rPr>
        <w:t>FTC</w:t>
      </w:r>
      <w:r w:rsidR="00641CB2" w:rsidRPr="001D4EB9">
        <w:rPr>
          <w:rFonts w:asciiTheme="minorHAnsi" w:hAnsiTheme="minorHAnsi"/>
          <w:bCs/>
        </w:rPr>
        <w:t>/TAF 200mg/10</w:t>
      </w:r>
      <w:r w:rsidR="00D87508" w:rsidRPr="001D4EB9">
        <w:rPr>
          <w:rFonts w:asciiTheme="minorHAnsi" w:hAnsiTheme="minorHAnsi"/>
          <w:bCs/>
        </w:rPr>
        <w:t>mg</w:t>
      </w:r>
      <w:r w:rsidR="001A7509" w:rsidRPr="001D4EB9">
        <w:rPr>
          <w:rFonts w:asciiTheme="minorHAnsi" w:hAnsiTheme="minorHAnsi"/>
          <w:bCs/>
        </w:rPr>
        <w:t>) once daily.</w:t>
      </w:r>
    </w:p>
    <w:p w:rsidR="00771C2A" w:rsidRPr="001D4EB9" w:rsidRDefault="00C67C9A" w:rsidP="00621014">
      <w:pPr>
        <w:widowControl/>
        <w:numPr>
          <w:ilvl w:val="1"/>
          <w:numId w:val="1"/>
        </w:numPr>
        <w:spacing w:after="120"/>
        <w:rPr>
          <w:rFonts w:asciiTheme="minorHAnsi" w:hAnsiTheme="minorHAnsi"/>
          <w:bCs/>
        </w:rPr>
      </w:pPr>
      <w:r w:rsidRPr="001D4EB9">
        <w:rPr>
          <w:rFonts w:asciiTheme="minorHAnsi" w:hAnsiTheme="minorHAnsi"/>
          <w:bCs/>
        </w:rPr>
        <w:t>The PBAC considered the requested listing should broadly align with the current listings for Prezcobix, with removal of the criterion, ‘The treatment must be in combination with other antiretroviral agents’, as Symtuza is a complete regimen for the treatment of HIV infection. The PBAC also advised that maximum quantities and repeats should be aligned with current listings for HIV infection to permit two months’ therapy per prescription with five repeats.</w:t>
      </w:r>
      <w:r w:rsidR="0058053F" w:rsidRPr="001D4EB9">
        <w:rPr>
          <w:rFonts w:asciiTheme="minorHAnsi" w:hAnsiTheme="minorHAnsi"/>
          <w:bCs/>
        </w:rPr>
        <w:t xml:space="preserve"> The PBAC also advised the separate virologic failure restriction could be combined with the initial treatment restriction.</w:t>
      </w:r>
    </w:p>
    <w:p w:rsidR="00771C2A" w:rsidRPr="001D4EB9" w:rsidRDefault="001A7509" w:rsidP="00621014">
      <w:pPr>
        <w:widowControl/>
        <w:numPr>
          <w:ilvl w:val="1"/>
          <w:numId w:val="1"/>
        </w:numPr>
        <w:spacing w:after="120"/>
        <w:rPr>
          <w:rFonts w:asciiTheme="minorHAnsi" w:hAnsiTheme="minorHAnsi"/>
          <w:bCs/>
        </w:rPr>
      </w:pPr>
      <w:r w:rsidRPr="001D4EB9">
        <w:rPr>
          <w:rFonts w:asciiTheme="minorHAnsi" w:hAnsiTheme="minorHAnsi"/>
          <w:bCs/>
        </w:rPr>
        <w:t xml:space="preserve">The PBAC considered there was a clinical place for Symtuza as a complete single-tablet </w:t>
      </w:r>
      <w:r w:rsidR="004C3B61" w:rsidRPr="001D4EB9">
        <w:rPr>
          <w:rFonts w:asciiTheme="minorHAnsi" w:hAnsiTheme="minorHAnsi"/>
          <w:bCs/>
        </w:rPr>
        <w:t>PI</w:t>
      </w:r>
      <w:r w:rsidR="009B3557" w:rsidRPr="001D4EB9">
        <w:rPr>
          <w:rFonts w:asciiTheme="minorHAnsi" w:hAnsiTheme="minorHAnsi"/>
          <w:bCs/>
        </w:rPr>
        <w:t xml:space="preserve"> containing regimen</w:t>
      </w:r>
      <w:r w:rsidR="00731A20" w:rsidRPr="001D4EB9">
        <w:rPr>
          <w:rFonts w:asciiTheme="minorHAnsi" w:hAnsiTheme="minorHAnsi"/>
          <w:bCs/>
        </w:rPr>
        <w:t xml:space="preserve"> which would reduce the cost to patients currently prescribed the individual components of the FDC</w:t>
      </w:r>
      <w:r w:rsidR="006B38B5" w:rsidRPr="001D4EB9">
        <w:rPr>
          <w:rFonts w:asciiTheme="minorHAnsi" w:hAnsiTheme="minorHAnsi"/>
          <w:bCs/>
        </w:rPr>
        <w:t>;</w:t>
      </w:r>
      <w:r w:rsidR="00F90FAE" w:rsidRPr="001D4EB9">
        <w:rPr>
          <w:rFonts w:asciiTheme="minorHAnsi" w:hAnsiTheme="minorHAnsi"/>
          <w:bCs/>
        </w:rPr>
        <w:t xml:space="preserve"> however the clinical need for a new combination therapy containing already</w:t>
      </w:r>
      <w:r w:rsidR="006B38B5" w:rsidRPr="001D4EB9">
        <w:rPr>
          <w:rFonts w:asciiTheme="minorHAnsi" w:hAnsiTheme="minorHAnsi"/>
          <w:bCs/>
        </w:rPr>
        <w:t xml:space="preserve"> </w:t>
      </w:r>
      <w:r w:rsidR="00F90FAE" w:rsidRPr="001D4EB9">
        <w:rPr>
          <w:rFonts w:asciiTheme="minorHAnsi" w:hAnsiTheme="minorHAnsi"/>
          <w:bCs/>
        </w:rPr>
        <w:t>listed drugs was low.</w:t>
      </w:r>
    </w:p>
    <w:p w:rsidR="00765A45" w:rsidRPr="001D4EB9" w:rsidRDefault="00C67C9A" w:rsidP="00621014">
      <w:pPr>
        <w:widowControl/>
        <w:numPr>
          <w:ilvl w:val="1"/>
          <w:numId w:val="1"/>
        </w:numPr>
        <w:spacing w:after="120"/>
        <w:rPr>
          <w:rFonts w:asciiTheme="minorHAnsi" w:hAnsiTheme="minorHAnsi"/>
          <w:bCs/>
        </w:rPr>
      </w:pPr>
      <w:r w:rsidRPr="001D4EB9">
        <w:rPr>
          <w:rFonts w:asciiTheme="minorHAnsi" w:hAnsiTheme="minorHAnsi"/>
          <w:bCs/>
        </w:rPr>
        <w:t xml:space="preserve">The PBAC considered the nominated comparators of the alternative regimens </w:t>
      </w:r>
      <w:r w:rsidR="00F14B48" w:rsidRPr="001D4EB9">
        <w:rPr>
          <w:rFonts w:asciiTheme="minorHAnsi" w:hAnsiTheme="minorHAnsi"/>
          <w:bCs/>
        </w:rPr>
        <w:t>(</w:t>
      </w:r>
      <w:r w:rsidRPr="001D4EB9">
        <w:rPr>
          <w:rFonts w:asciiTheme="minorHAnsi" w:hAnsiTheme="minorHAnsi"/>
          <w:bCs/>
        </w:rPr>
        <w:t>Prezcobix + Descovy; Prezista + Norvir Descovy; Prezcobix + Truvada; and Prezista + Norvir + Truvada</w:t>
      </w:r>
      <w:r w:rsidR="00F14B48" w:rsidRPr="001D4EB9">
        <w:rPr>
          <w:rFonts w:asciiTheme="minorHAnsi" w:hAnsiTheme="minorHAnsi"/>
          <w:bCs/>
        </w:rPr>
        <w:t>)</w:t>
      </w:r>
      <w:r w:rsidRPr="001D4EB9">
        <w:rPr>
          <w:rFonts w:asciiTheme="minorHAnsi" w:hAnsiTheme="minorHAnsi"/>
          <w:bCs/>
        </w:rPr>
        <w:t xml:space="preserve"> were appropriate. </w:t>
      </w:r>
    </w:p>
    <w:p w:rsidR="003751A7" w:rsidRPr="001D4EB9" w:rsidRDefault="00C67C9A" w:rsidP="00621014">
      <w:pPr>
        <w:widowControl/>
        <w:numPr>
          <w:ilvl w:val="1"/>
          <w:numId w:val="1"/>
        </w:numPr>
        <w:spacing w:after="120"/>
        <w:rPr>
          <w:rFonts w:asciiTheme="minorHAnsi" w:hAnsiTheme="minorHAnsi"/>
          <w:bCs/>
        </w:rPr>
      </w:pPr>
      <w:r w:rsidRPr="001D4EB9">
        <w:rPr>
          <w:rFonts w:asciiTheme="minorHAnsi" w:hAnsiTheme="minorHAnsi"/>
          <w:bCs/>
        </w:rPr>
        <w:t>The PBAC noted the ESC advised it may be appropriate to consider alternative therapies as potential comparators. The PBAC</w:t>
      </w:r>
      <w:r w:rsidR="005E719D" w:rsidRPr="001D4EB9">
        <w:rPr>
          <w:rFonts w:asciiTheme="minorHAnsi" w:hAnsiTheme="minorHAnsi"/>
          <w:bCs/>
        </w:rPr>
        <w:t xml:space="preserve"> recalled it has previously considered that tenofovir and non-tenofovir based regimens </w:t>
      </w:r>
      <w:r w:rsidR="00F30792" w:rsidRPr="001D4EB9">
        <w:rPr>
          <w:rFonts w:asciiTheme="minorHAnsi" w:hAnsiTheme="minorHAnsi"/>
          <w:bCs/>
        </w:rPr>
        <w:t xml:space="preserve">are generally not comparable </w:t>
      </w:r>
      <w:r w:rsidR="005E719D" w:rsidRPr="001D4EB9">
        <w:rPr>
          <w:rFonts w:asciiTheme="minorHAnsi" w:hAnsiTheme="minorHAnsi"/>
          <w:bCs/>
        </w:rPr>
        <w:t>when it considered Descovy at its July 2016 meeting and re-affirmed its position that non-tenofovir containing regimens were not likely to be replaced and were therefore not relevant comparators.</w:t>
      </w:r>
    </w:p>
    <w:p w:rsidR="00C67C9A" w:rsidRPr="001D4EB9" w:rsidRDefault="00F30792" w:rsidP="00621014">
      <w:pPr>
        <w:widowControl/>
        <w:numPr>
          <w:ilvl w:val="1"/>
          <w:numId w:val="1"/>
        </w:numPr>
        <w:spacing w:after="120"/>
        <w:rPr>
          <w:rFonts w:asciiTheme="minorHAnsi" w:hAnsiTheme="minorHAnsi"/>
          <w:bCs/>
        </w:rPr>
      </w:pPr>
      <w:r w:rsidRPr="001D4EB9">
        <w:rPr>
          <w:rFonts w:asciiTheme="minorHAnsi" w:hAnsiTheme="minorHAnsi"/>
          <w:bCs/>
        </w:rPr>
        <w:lastRenderedPageBreak/>
        <w:t>The PBAC also noted</w:t>
      </w:r>
      <w:r w:rsidR="00C67C9A" w:rsidRPr="001D4EB9">
        <w:rPr>
          <w:rFonts w:asciiTheme="minorHAnsi" w:hAnsiTheme="minorHAnsi"/>
          <w:bCs/>
        </w:rPr>
        <w:t xml:space="preserve"> that </w:t>
      </w:r>
      <w:r w:rsidR="00E8565F" w:rsidRPr="001D4EB9">
        <w:rPr>
          <w:rFonts w:asciiTheme="minorHAnsi" w:hAnsiTheme="minorHAnsi"/>
          <w:bCs/>
        </w:rPr>
        <w:t xml:space="preserve">the </w:t>
      </w:r>
      <w:r w:rsidR="00C67C9A" w:rsidRPr="001D4EB9">
        <w:rPr>
          <w:rFonts w:asciiTheme="minorHAnsi" w:hAnsiTheme="minorHAnsi"/>
          <w:bCs/>
        </w:rPr>
        <w:t xml:space="preserve">current Australian treatment guidelines </w:t>
      </w:r>
      <w:r w:rsidR="003751A7" w:rsidRPr="001D4EB9">
        <w:rPr>
          <w:rFonts w:asciiTheme="minorHAnsi" w:hAnsiTheme="minorHAnsi"/>
          <w:bCs/>
        </w:rPr>
        <w:t>from</w:t>
      </w:r>
      <w:r w:rsidR="00C67C9A" w:rsidRPr="001D4EB9">
        <w:rPr>
          <w:rFonts w:asciiTheme="minorHAnsi" w:hAnsiTheme="minorHAnsi"/>
          <w:bCs/>
        </w:rPr>
        <w:t xml:space="preserve"> the Australasian Society for HIV, Viral Hepatitis and Sexual Health Medicine (</w:t>
      </w:r>
      <w:r w:rsidR="00765A45" w:rsidRPr="001D4EB9">
        <w:rPr>
          <w:rFonts w:asciiTheme="minorHAnsi" w:hAnsiTheme="minorHAnsi"/>
          <w:bCs/>
        </w:rPr>
        <w:t>ASHM)</w:t>
      </w:r>
      <w:r w:rsidR="00765A45" w:rsidRPr="001D4EB9">
        <w:rPr>
          <w:rStyle w:val="FootnoteReference"/>
          <w:rFonts w:asciiTheme="minorHAnsi" w:hAnsiTheme="minorHAnsi"/>
          <w:bCs/>
        </w:rPr>
        <w:footnoteReference w:id="2"/>
      </w:r>
      <w:r w:rsidR="00765A45" w:rsidRPr="001D4EB9">
        <w:rPr>
          <w:rFonts w:asciiTheme="minorHAnsi" w:hAnsiTheme="minorHAnsi"/>
          <w:bCs/>
        </w:rPr>
        <w:t xml:space="preserve"> </w:t>
      </w:r>
      <w:r w:rsidR="00E8565F" w:rsidRPr="001D4EB9">
        <w:rPr>
          <w:rFonts w:asciiTheme="minorHAnsi" w:hAnsiTheme="minorHAnsi"/>
          <w:bCs/>
        </w:rPr>
        <w:t xml:space="preserve">state </w:t>
      </w:r>
      <w:r w:rsidR="00765A45" w:rsidRPr="001D4EB9">
        <w:rPr>
          <w:rFonts w:asciiTheme="minorHAnsi" w:hAnsiTheme="minorHAnsi"/>
          <w:bCs/>
        </w:rPr>
        <w:t xml:space="preserve">that in general, </w:t>
      </w:r>
      <w:r w:rsidR="006B38B5" w:rsidRPr="001D4EB9">
        <w:rPr>
          <w:rFonts w:asciiTheme="minorHAnsi" w:hAnsiTheme="minorHAnsi"/>
          <w:bCs/>
        </w:rPr>
        <w:t xml:space="preserve">PI </w:t>
      </w:r>
      <w:r w:rsidR="00765A45" w:rsidRPr="001D4EB9">
        <w:rPr>
          <w:rFonts w:asciiTheme="minorHAnsi" w:hAnsiTheme="minorHAnsi"/>
          <w:bCs/>
        </w:rPr>
        <w:t xml:space="preserve">containing regimens </w:t>
      </w:r>
      <w:r w:rsidR="006B38B5" w:rsidRPr="001D4EB9">
        <w:rPr>
          <w:rFonts w:asciiTheme="minorHAnsi" w:hAnsiTheme="minorHAnsi"/>
          <w:bCs/>
        </w:rPr>
        <w:t xml:space="preserve">(specifically boosted DRV or ATV) </w:t>
      </w:r>
      <w:r w:rsidR="00765A45" w:rsidRPr="001D4EB9">
        <w:rPr>
          <w:rFonts w:asciiTheme="minorHAnsi" w:hAnsiTheme="minorHAnsi"/>
          <w:bCs/>
        </w:rPr>
        <w:t>are only recommended as initial regimens in certain clinical situations</w:t>
      </w:r>
      <w:r w:rsidR="003751A7" w:rsidRPr="001D4EB9">
        <w:rPr>
          <w:rFonts w:asciiTheme="minorHAnsi" w:hAnsiTheme="minorHAnsi"/>
          <w:bCs/>
        </w:rPr>
        <w:t xml:space="preserve"> and integrase strand inhibitor</w:t>
      </w:r>
      <w:r w:rsidR="005E719D" w:rsidRPr="001D4EB9">
        <w:rPr>
          <w:rFonts w:asciiTheme="minorHAnsi" w:hAnsiTheme="minorHAnsi"/>
          <w:bCs/>
        </w:rPr>
        <w:t xml:space="preserve"> </w:t>
      </w:r>
      <w:r w:rsidR="003751A7" w:rsidRPr="001D4EB9">
        <w:rPr>
          <w:rFonts w:asciiTheme="minorHAnsi" w:hAnsiTheme="minorHAnsi"/>
          <w:bCs/>
        </w:rPr>
        <w:t>based regimens</w:t>
      </w:r>
      <w:r w:rsidR="00765A45" w:rsidRPr="001D4EB9">
        <w:rPr>
          <w:rFonts w:asciiTheme="minorHAnsi" w:hAnsiTheme="minorHAnsi"/>
          <w:bCs/>
        </w:rPr>
        <w:t xml:space="preserve"> are</w:t>
      </w:r>
      <w:r w:rsidR="003751A7" w:rsidRPr="001D4EB9">
        <w:rPr>
          <w:rFonts w:asciiTheme="minorHAnsi" w:hAnsiTheme="minorHAnsi"/>
          <w:bCs/>
        </w:rPr>
        <w:t xml:space="preserve"> preferred initial regimens for most patients</w:t>
      </w:r>
      <w:r w:rsidRPr="001D4EB9">
        <w:rPr>
          <w:rFonts w:asciiTheme="minorHAnsi" w:hAnsiTheme="minorHAnsi"/>
          <w:bCs/>
        </w:rPr>
        <w:t>. The PBAC further noted the guidelines state</w:t>
      </w:r>
      <w:r w:rsidR="00765A45" w:rsidRPr="001D4EB9">
        <w:rPr>
          <w:rFonts w:asciiTheme="minorHAnsi" w:hAnsiTheme="minorHAnsi"/>
          <w:bCs/>
        </w:rPr>
        <w:t xml:space="preserve"> that in general, boosted DRV is preferred over boosted ATV</w:t>
      </w:r>
      <w:r w:rsidR="00236C0C" w:rsidRPr="001D4EB9">
        <w:rPr>
          <w:rFonts w:asciiTheme="minorHAnsi" w:hAnsiTheme="minorHAnsi"/>
          <w:bCs/>
        </w:rPr>
        <w:t xml:space="preserve"> and</w:t>
      </w:r>
      <w:r w:rsidRPr="001D4EB9">
        <w:rPr>
          <w:rFonts w:asciiTheme="minorHAnsi" w:hAnsiTheme="minorHAnsi"/>
          <w:bCs/>
        </w:rPr>
        <w:t xml:space="preserve"> that</w:t>
      </w:r>
      <w:r w:rsidR="00236C0C" w:rsidRPr="001D4EB9">
        <w:rPr>
          <w:rFonts w:asciiTheme="minorHAnsi" w:hAnsiTheme="minorHAnsi"/>
          <w:bCs/>
        </w:rPr>
        <w:t xml:space="preserve"> the use of other </w:t>
      </w:r>
      <w:r w:rsidR="006B38B5" w:rsidRPr="001D4EB9">
        <w:rPr>
          <w:rFonts w:asciiTheme="minorHAnsi" w:hAnsiTheme="minorHAnsi"/>
          <w:bCs/>
        </w:rPr>
        <w:t>PIs</w:t>
      </w:r>
      <w:r w:rsidR="005E719D" w:rsidRPr="001D4EB9">
        <w:rPr>
          <w:rFonts w:asciiTheme="minorHAnsi" w:hAnsiTheme="minorHAnsi"/>
          <w:bCs/>
        </w:rPr>
        <w:t xml:space="preserve"> was</w:t>
      </w:r>
      <w:r w:rsidR="00236C0C" w:rsidRPr="001D4EB9">
        <w:rPr>
          <w:rFonts w:asciiTheme="minorHAnsi" w:hAnsiTheme="minorHAnsi"/>
          <w:bCs/>
        </w:rPr>
        <w:t xml:space="preserve"> </w:t>
      </w:r>
      <w:r w:rsidR="00223197" w:rsidRPr="001D4EB9">
        <w:rPr>
          <w:rFonts w:asciiTheme="minorHAnsi" w:hAnsiTheme="minorHAnsi"/>
          <w:bCs/>
        </w:rPr>
        <w:t>low in the Australian setting</w:t>
      </w:r>
      <w:r w:rsidR="00236C0C" w:rsidRPr="001D4EB9">
        <w:rPr>
          <w:rFonts w:asciiTheme="minorHAnsi" w:hAnsiTheme="minorHAnsi"/>
          <w:bCs/>
        </w:rPr>
        <w:t>. On that basis, the PBAC considered that</w:t>
      </w:r>
      <w:r w:rsidR="005E719D" w:rsidRPr="001D4EB9">
        <w:rPr>
          <w:rFonts w:asciiTheme="minorHAnsi" w:hAnsiTheme="minorHAnsi"/>
          <w:bCs/>
        </w:rPr>
        <w:t xml:space="preserve"> regimens that do n</w:t>
      </w:r>
      <w:r w:rsidR="002372D9" w:rsidRPr="001D4EB9">
        <w:rPr>
          <w:rFonts w:asciiTheme="minorHAnsi" w:hAnsiTheme="minorHAnsi"/>
          <w:bCs/>
        </w:rPr>
        <w:t xml:space="preserve">ot contain a </w:t>
      </w:r>
      <w:r w:rsidR="006B38B5" w:rsidRPr="001D4EB9">
        <w:rPr>
          <w:rFonts w:asciiTheme="minorHAnsi" w:hAnsiTheme="minorHAnsi"/>
          <w:bCs/>
        </w:rPr>
        <w:t>PI</w:t>
      </w:r>
      <w:r w:rsidR="005E719D" w:rsidRPr="001D4EB9">
        <w:rPr>
          <w:rFonts w:asciiTheme="minorHAnsi" w:hAnsiTheme="minorHAnsi"/>
          <w:bCs/>
        </w:rPr>
        <w:t xml:space="preserve"> as well as</w:t>
      </w:r>
      <w:r w:rsidR="00236C0C" w:rsidRPr="001D4EB9">
        <w:rPr>
          <w:rFonts w:asciiTheme="minorHAnsi" w:hAnsiTheme="minorHAnsi"/>
          <w:bCs/>
        </w:rPr>
        <w:t xml:space="preserve"> other </w:t>
      </w:r>
      <w:r w:rsidR="006B38B5" w:rsidRPr="001D4EB9">
        <w:rPr>
          <w:rFonts w:asciiTheme="minorHAnsi" w:hAnsiTheme="minorHAnsi"/>
          <w:bCs/>
        </w:rPr>
        <w:t>PI</w:t>
      </w:r>
      <w:r w:rsidR="00236C0C" w:rsidRPr="001D4EB9">
        <w:rPr>
          <w:rFonts w:asciiTheme="minorHAnsi" w:hAnsiTheme="minorHAnsi"/>
          <w:bCs/>
        </w:rPr>
        <w:t>-based regimens, including ATV</w:t>
      </w:r>
      <w:r w:rsidR="005E719D" w:rsidRPr="001D4EB9">
        <w:rPr>
          <w:rFonts w:asciiTheme="minorHAnsi" w:hAnsiTheme="minorHAnsi"/>
          <w:bCs/>
        </w:rPr>
        <w:t>,</w:t>
      </w:r>
      <w:r w:rsidR="00236C0C" w:rsidRPr="001D4EB9">
        <w:rPr>
          <w:rFonts w:asciiTheme="minorHAnsi" w:hAnsiTheme="minorHAnsi"/>
          <w:bCs/>
        </w:rPr>
        <w:t xml:space="preserve"> were not relevant comparators.</w:t>
      </w:r>
    </w:p>
    <w:p w:rsidR="00E8565F" w:rsidRPr="001D4EB9" w:rsidRDefault="00E8565F" w:rsidP="00621014">
      <w:pPr>
        <w:widowControl/>
        <w:numPr>
          <w:ilvl w:val="1"/>
          <w:numId w:val="1"/>
        </w:numPr>
        <w:spacing w:after="120"/>
        <w:rPr>
          <w:rFonts w:asciiTheme="minorHAnsi" w:hAnsiTheme="minorHAnsi"/>
          <w:bCs/>
        </w:rPr>
      </w:pPr>
      <w:r w:rsidRPr="001D4EB9">
        <w:rPr>
          <w:rFonts w:asciiTheme="minorHAnsi" w:hAnsiTheme="minorHAnsi"/>
          <w:bCs/>
        </w:rPr>
        <w:t xml:space="preserve">The PBAC noted the Pre-PBAC Response included additional evidence from a Phase III Study of efficacy and tolerability of DRV, ATV and raltegravir (Lennox </w:t>
      </w:r>
      <w:r w:rsidRPr="001D4EB9">
        <w:rPr>
          <w:rFonts w:asciiTheme="minorHAnsi" w:hAnsiTheme="minorHAnsi"/>
          <w:bCs/>
          <w:i/>
        </w:rPr>
        <w:t>et al</w:t>
      </w:r>
      <w:r w:rsidRPr="001D4EB9">
        <w:rPr>
          <w:rFonts w:asciiTheme="minorHAnsi" w:hAnsiTheme="minorHAnsi"/>
          <w:bCs/>
        </w:rPr>
        <w:t xml:space="preserve"> 2014). The PBAC noted that while these results were not evaluated, there was a body of evidence available which supported a claim that DRV may offer an improvement in tolerability and reduction in toxicity over ATV. Based on the available evidence, the PBAC considered it was unlikely patients would switch from DRV-containing regimens to ATV-containing regimens, which further supported a conclusion that ATV-based regimens were not a relevant comparator to Symtuza.</w:t>
      </w:r>
    </w:p>
    <w:p w:rsidR="00771C2A" w:rsidRPr="001D4EB9" w:rsidRDefault="00223197" w:rsidP="00621014">
      <w:pPr>
        <w:widowControl/>
        <w:numPr>
          <w:ilvl w:val="1"/>
          <w:numId w:val="1"/>
        </w:numPr>
        <w:spacing w:after="120"/>
        <w:rPr>
          <w:rFonts w:asciiTheme="minorHAnsi" w:hAnsiTheme="minorHAnsi"/>
          <w:bCs/>
        </w:rPr>
      </w:pPr>
      <w:r w:rsidRPr="001D4EB9">
        <w:rPr>
          <w:rFonts w:asciiTheme="minorHAnsi" w:hAnsiTheme="minorHAnsi"/>
          <w:bCs/>
        </w:rPr>
        <w:t xml:space="preserve">The PBAC noted the submission was supported by two </w:t>
      </w:r>
      <w:r w:rsidR="00D906E7" w:rsidRPr="001D4EB9">
        <w:rPr>
          <w:rFonts w:asciiTheme="minorHAnsi" w:hAnsiTheme="minorHAnsi"/>
          <w:bCs/>
        </w:rPr>
        <w:t>randomised controlled Phase III studies in treatment-naïve patients (AMBER) and treatment experienced patients (EMERALD), a Phase II randomised study (Mills 2015) and an open-label bioequivalence study comparing Symtuza with its individual components. The PBAC considered the evidence supported a conclusion of therapeutic equivalence between Symtuza and its component drugs administered concomitantly.</w:t>
      </w:r>
    </w:p>
    <w:p w:rsidR="00771C2A" w:rsidRPr="001D4EB9" w:rsidRDefault="000A4D73" w:rsidP="00621014">
      <w:pPr>
        <w:widowControl/>
        <w:numPr>
          <w:ilvl w:val="1"/>
          <w:numId w:val="1"/>
        </w:numPr>
        <w:spacing w:after="120"/>
        <w:rPr>
          <w:rFonts w:asciiTheme="minorHAnsi" w:hAnsiTheme="minorHAnsi"/>
          <w:bCs/>
        </w:rPr>
      </w:pPr>
      <w:r w:rsidRPr="001D4EB9">
        <w:rPr>
          <w:rFonts w:asciiTheme="minorHAnsi" w:hAnsiTheme="minorHAnsi"/>
          <w:bCs/>
        </w:rPr>
        <w:t xml:space="preserve">The PBAC considered the clinical evidence </w:t>
      </w:r>
      <w:r w:rsidR="009B3557" w:rsidRPr="001D4EB9">
        <w:rPr>
          <w:rFonts w:asciiTheme="minorHAnsi" w:hAnsiTheme="minorHAnsi"/>
          <w:bCs/>
        </w:rPr>
        <w:t>in the</w:t>
      </w:r>
      <w:r w:rsidRPr="001D4EB9">
        <w:rPr>
          <w:rFonts w:asciiTheme="minorHAnsi" w:hAnsiTheme="minorHAnsi"/>
          <w:bCs/>
        </w:rPr>
        <w:t xml:space="preserve"> trials supported a conclusion that </w:t>
      </w:r>
      <w:r w:rsidR="003751A7" w:rsidRPr="001D4EB9">
        <w:rPr>
          <w:rFonts w:asciiTheme="minorHAnsi" w:hAnsiTheme="minorHAnsi"/>
          <w:bCs/>
        </w:rPr>
        <w:t>the safety profile of Symtuza was</w:t>
      </w:r>
      <w:r w:rsidRPr="001D4EB9">
        <w:rPr>
          <w:rFonts w:asciiTheme="minorHAnsi" w:hAnsiTheme="minorHAnsi"/>
          <w:bCs/>
        </w:rPr>
        <w:t xml:space="preserve"> similar to the known profiles of its component drugs.</w:t>
      </w:r>
    </w:p>
    <w:p w:rsidR="00771C2A" w:rsidRPr="001D4EB9" w:rsidRDefault="00D906E7" w:rsidP="00621014">
      <w:pPr>
        <w:widowControl/>
        <w:numPr>
          <w:ilvl w:val="1"/>
          <w:numId w:val="1"/>
        </w:numPr>
        <w:spacing w:after="120"/>
        <w:rPr>
          <w:rFonts w:asciiTheme="minorHAnsi" w:hAnsiTheme="minorHAnsi"/>
          <w:bCs/>
        </w:rPr>
      </w:pPr>
      <w:r w:rsidRPr="001D4EB9">
        <w:rPr>
          <w:rFonts w:asciiTheme="minorHAnsi" w:hAnsiTheme="minorHAnsi"/>
          <w:bCs/>
        </w:rPr>
        <w:t>The PBAC noted the submission cost</w:t>
      </w:r>
      <w:r w:rsidR="00A16831">
        <w:rPr>
          <w:rFonts w:asciiTheme="minorHAnsi" w:hAnsiTheme="minorHAnsi"/>
          <w:bCs/>
        </w:rPr>
        <w:t>-</w:t>
      </w:r>
      <w:r w:rsidRPr="001D4EB9">
        <w:rPr>
          <w:rFonts w:asciiTheme="minorHAnsi" w:hAnsiTheme="minorHAnsi"/>
          <w:bCs/>
        </w:rPr>
        <w:t xml:space="preserve">minimisation proposal was based on expected substitution of the four nominated comparator regimens. </w:t>
      </w:r>
      <w:r w:rsidR="00153B7C" w:rsidRPr="001D4EB9">
        <w:rPr>
          <w:rFonts w:asciiTheme="minorHAnsi" w:hAnsiTheme="minorHAnsi"/>
          <w:bCs/>
        </w:rPr>
        <w:t>The PBAC agreed with the alternati</w:t>
      </w:r>
      <w:r w:rsidR="003751A7" w:rsidRPr="001D4EB9">
        <w:rPr>
          <w:rFonts w:asciiTheme="minorHAnsi" w:hAnsiTheme="minorHAnsi"/>
          <w:bCs/>
        </w:rPr>
        <w:t xml:space="preserve">ve proposal put forward under Alternative CMA 2 </w:t>
      </w:r>
      <w:r w:rsidR="000A4D73" w:rsidRPr="001D4EB9">
        <w:rPr>
          <w:rFonts w:asciiTheme="minorHAnsi" w:hAnsiTheme="minorHAnsi"/>
          <w:bCs/>
        </w:rPr>
        <w:t>(Table </w:t>
      </w:r>
      <w:r w:rsidR="00153B7C" w:rsidRPr="001D4EB9">
        <w:rPr>
          <w:rFonts w:asciiTheme="minorHAnsi" w:hAnsiTheme="minorHAnsi"/>
          <w:bCs/>
        </w:rPr>
        <w:t>9) and considered an appropriate cost</w:t>
      </w:r>
      <w:r w:rsidR="00A16831">
        <w:rPr>
          <w:rFonts w:asciiTheme="minorHAnsi" w:hAnsiTheme="minorHAnsi"/>
          <w:bCs/>
        </w:rPr>
        <w:t>-</w:t>
      </w:r>
      <w:r w:rsidR="00153B7C" w:rsidRPr="001D4EB9">
        <w:rPr>
          <w:rFonts w:asciiTheme="minorHAnsi" w:hAnsiTheme="minorHAnsi"/>
          <w:bCs/>
        </w:rPr>
        <w:t>minimisation should include:</w:t>
      </w:r>
    </w:p>
    <w:p w:rsidR="00153B7C" w:rsidRPr="001D4EB9" w:rsidRDefault="00153B7C" w:rsidP="00DD09F9">
      <w:pPr>
        <w:pStyle w:val="ListParagraph"/>
        <w:widowControl/>
        <w:numPr>
          <w:ilvl w:val="0"/>
          <w:numId w:val="20"/>
        </w:numPr>
        <w:spacing w:after="120"/>
        <w:ind w:left="1077" w:hanging="357"/>
        <w:rPr>
          <w:rFonts w:asciiTheme="minorHAnsi" w:hAnsiTheme="minorHAnsi"/>
          <w:bCs/>
        </w:rPr>
      </w:pPr>
      <w:r w:rsidRPr="001D4EB9">
        <w:rPr>
          <w:rFonts w:asciiTheme="minorHAnsi" w:hAnsiTheme="minorHAnsi"/>
          <w:bCs/>
        </w:rPr>
        <w:t xml:space="preserve">No weighting for use </w:t>
      </w:r>
      <w:r w:rsidR="00085B2A" w:rsidRPr="001D4EB9">
        <w:rPr>
          <w:rFonts w:asciiTheme="minorHAnsi" w:hAnsiTheme="minorHAnsi"/>
          <w:bCs/>
        </w:rPr>
        <w:t>of a Prezista + Norvir</w:t>
      </w:r>
      <w:r w:rsidR="00FD74B0" w:rsidRPr="001D4EB9">
        <w:rPr>
          <w:rFonts w:asciiTheme="minorHAnsi" w:hAnsiTheme="minorHAnsi"/>
          <w:bCs/>
        </w:rPr>
        <w:t xml:space="preserve"> </w:t>
      </w:r>
      <w:r w:rsidRPr="001D4EB9">
        <w:rPr>
          <w:rFonts w:asciiTheme="minorHAnsi" w:hAnsiTheme="minorHAnsi"/>
          <w:bCs/>
        </w:rPr>
        <w:t xml:space="preserve">regimen, as </w:t>
      </w:r>
      <w:r w:rsidR="005D7BB2" w:rsidRPr="001D4EB9">
        <w:rPr>
          <w:rFonts w:asciiTheme="minorHAnsi" w:hAnsiTheme="minorHAnsi"/>
          <w:bCs/>
        </w:rPr>
        <w:t xml:space="preserve">Prezcobix </w:t>
      </w:r>
      <w:r w:rsidRPr="001D4EB9">
        <w:rPr>
          <w:rFonts w:asciiTheme="minorHAnsi" w:hAnsiTheme="minorHAnsi"/>
          <w:bCs/>
        </w:rPr>
        <w:t>represents the least costly boosted DRV regimen and ritonavir does not offer either an improvement in effectiveness or reduction in toxicity</w:t>
      </w:r>
      <w:r w:rsidR="00085B2A" w:rsidRPr="001D4EB9">
        <w:rPr>
          <w:rFonts w:asciiTheme="minorHAnsi" w:hAnsiTheme="minorHAnsi"/>
          <w:bCs/>
        </w:rPr>
        <w:t xml:space="preserve"> over a cobicistat boosted</w:t>
      </w:r>
      <w:r w:rsidR="002372D9" w:rsidRPr="001D4EB9">
        <w:rPr>
          <w:rFonts w:asciiTheme="minorHAnsi" w:hAnsiTheme="minorHAnsi"/>
          <w:bCs/>
        </w:rPr>
        <w:t xml:space="preserve"> DRV</w:t>
      </w:r>
      <w:r w:rsidR="00085B2A" w:rsidRPr="001D4EB9">
        <w:rPr>
          <w:rFonts w:asciiTheme="minorHAnsi" w:hAnsiTheme="minorHAnsi"/>
          <w:bCs/>
        </w:rPr>
        <w:t xml:space="preserve"> regimen</w:t>
      </w:r>
      <w:r w:rsidRPr="001D4EB9">
        <w:rPr>
          <w:rFonts w:asciiTheme="minorHAnsi" w:hAnsiTheme="minorHAnsi"/>
          <w:bCs/>
        </w:rPr>
        <w:t>; and</w:t>
      </w:r>
    </w:p>
    <w:p w:rsidR="00153B7C" w:rsidRPr="001D4EB9" w:rsidRDefault="00153B7C" w:rsidP="00DD09F9">
      <w:pPr>
        <w:pStyle w:val="ListParagraph"/>
        <w:widowControl/>
        <w:numPr>
          <w:ilvl w:val="0"/>
          <w:numId w:val="20"/>
        </w:numPr>
        <w:spacing w:after="120"/>
        <w:ind w:left="1077" w:hanging="357"/>
        <w:rPr>
          <w:rFonts w:asciiTheme="minorHAnsi" w:hAnsiTheme="minorHAnsi"/>
          <w:bCs/>
        </w:rPr>
      </w:pPr>
      <w:r w:rsidRPr="001D4EB9">
        <w:rPr>
          <w:rFonts w:asciiTheme="minorHAnsi" w:hAnsiTheme="minorHAnsi"/>
          <w:bCs/>
        </w:rPr>
        <w:t xml:space="preserve">A mixed comparator weighting of 94:6 for Truvada and Descovy </w:t>
      </w:r>
      <w:r w:rsidR="003751A7" w:rsidRPr="001D4EB9">
        <w:rPr>
          <w:rFonts w:asciiTheme="minorHAnsi" w:hAnsiTheme="minorHAnsi"/>
          <w:bCs/>
        </w:rPr>
        <w:t>for reasons outlined in paragraph 7.2</w:t>
      </w:r>
      <w:r w:rsidRPr="001D4EB9">
        <w:rPr>
          <w:rFonts w:asciiTheme="minorHAnsi" w:hAnsiTheme="minorHAnsi"/>
          <w:bCs/>
        </w:rPr>
        <w:t>.</w:t>
      </w:r>
    </w:p>
    <w:p w:rsidR="00771C2A" w:rsidRPr="001D4EB9" w:rsidRDefault="009B3557" w:rsidP="00621014">
      <w:pPr>
        <w:widowControl/>
        <w:numPr>
          <w:ilvl w:val="1"/>
          <w:numId w:val="1"/>
        </w:numPr>
        <w:spacing w:after="120"/>
      </w:pPr>
      <w:r w:rsidRPr="001D4EB9">
        <w:rPr>
          <w:rFonts w:asciiTheme="minorHAnsi" w:hAnsiTheme="minorHAnsi"/>
          <w:bCs/>
        </w:rPr>
        <w:lastRenderedPageBreak/>
        <w:t xml:space="preserve">The PBAC considered the listing </w:t>
      </w:r>
      <w:r w:rsidR="00085B2A" w:rsidRPr="001D4EB9">
        <w:rPr>
          <w:rFonts w:asciiTheme="minorHAnsi" w:hAnsiTheme="minorHAnsi"/>
          <w:bCs/>
        </w:rPr>
        <w:t xml:space="preserve">was likely to only substitute for the four comparator regimens containing Prezcobix or Prezista + Norvir and either Truvada or Descovy and </w:t>
      </w:r>
      <w:r w:rsidR="00E8565F" w:rsidRPr="001D4EB9">
        <w:rPr>
          <w:rFonts w:asciiTheme="minorHAnsi" w:hAnsiTheme="minorHAnsi"/>
          <w:bCs/>
        </w:rPr>
        <w:t>i</w:t>
      </w:r>
      <w:r w:rsidR="00085B2A" w:rsidRPr="001D4EB9">
        <w:rPr>
          <w:rFonts w:asciiTheme="minorHAnsi" w:hAnsiTheme="minorHAnsi"/>
          <w:bCs/>
        </w:rPr>
        <w:t>s not likely to grow the overall market. The PBAC advised the listing was likely to be cost neutral or modestly cost-</w:t>
      </w:r>
      <w:r w:rsidR="00F83F2F" w:rsidRPr="001D4EB9">
        <w:rPr>
          <w:rFonts w:asciiTheme="minorHAnsi" w:hAnsiTheme="minorHAnsi"/>
          <w:bCs/>
        </w:rPr>
        <w:t>saving,</w:t>
      </w:r>
      <w:r w:rsidR="00085B2A" w:rsidRPr="001D4EB9">
        <w:rPr>
          <w:rFonts w:asciiTheme="minorHAnsi" w:hAnsiTheme="minorHAnsi"/>
          <w:bCs/>
        </w:rPr>
        <w:t xml:space="preserve"> </w:t>
      </w:r>
      <w:r w:rsidR="00773F2A" w:rsidRPr="001D4EB9">
        <w:rPr>
          <w:rFonts w:asciiTheme="minorHAnsi" w:hAnsiTheme="minorHAnsi"/>
          <w:bCs/>
        </w:rPr>
        <w:t>as there will</w:t>
      </w:r>
      <w:r w:rsidR="00FD74B0" w:rsidRPr="001D4EB9">
        <w:rPr>
          <w:rFonts w:asciiTheme="minorHAnsi" w:hAnsiTheme="minorHAnsi"/>
          <w:bCs/>
        </w:rPr>
        <w:t xml:space="preserve"> likely</w:t>
      </w:r>
      <w:r w:rsidR="00773F2A" w:rsidRPr="001D4EB9">
        <w:rPr>
          <w:rFonts w:asciiTheme="minorHAnsi" w:hAnsiTheme="minorHAnsi"/>
          <w:bCs/>
        </w:rPr>
        <w:t xml:space="preserve"> be some</w:t>
      </w:r>
      <w:r w:rsidR="00FD74B0" w:rsidRPr="001D4EB9">
        <w:rPr>
          <w:rFonts w:asciiTheme="minorHAnsi" w:hAnsiTheme="minorHAnsi"/>
          <w:bCs/>
        </w:rPr>
        <w:t xml:space="preserve"> limited</w:t>
      </w:r>
      <w:r w:rsidR="00773F2A" w:rsidRPr="001D4EB9">
        <w:rPr>
          <w:rFonts w:asciiTheme="minorHAnsi" w:hAnsiTheme="minorHAnsi"/>
          <w:bCs/>
        </w:rPr>
        <w:t xml:space="preserve"> replacement of more costly regimens containing concomitant Norvir.</w:t>
      </w:r>
    </w:p>
    <w:p w:rsidR="005D7BB2" w:rsidRPr="001D4EB9" w:rsidRDefault="000A4D73" w:rsidP="00E02F47">
      <w:pPr>
        <w:pStyle w:val="ListParagraph"/>
        <w:widowControl/>
        <w:numPr>
          <w:ilvl w:val="1"/>
          <w:numId w:val="1"/>
        </w:numPr>
        <w:spacing w:after="120"/>
        <w:contextualSpacing/>
        <w:rPr>
          <w:rFonts w:asciiTheme="minorHAnsi" w:hAnsiTheme="minorHAnsi"/>
          <w:bCs/>
        </w:rPr>
      </w:pPr>
      <w:r w:rsidRPr="001D4EB9">
        <w:rPr>
          <w:rFonts w:asciiTheme="minorHAnsi" w:hAnsiTheme="minorHAnsi"/>
          <w:bCs/>
        </w:rPr>
        <w:t>The PBAC</w:t>
      </w:r>
      <w:r w:rsidR="009B3557" w:rsidRPr="001D4EB9">
        <w:rPr>
          <w:rFonts w:asciiTheme="minorHAnsi" w:hAnsiTheme="minorHAnsi"/>
          <w:bCs/>
        </w:rPr>
        <w:t xml:space="preserve"> noted the treatment landscape of HIV had changed substantially in recent years with a proliferation of treatment options and changing treatment guidelines, and</w:t>
      </w:r>
      <w:r w:rsidRPr="001D4EB9">
        <w:rPr>
          <w:rFonts w:asciiTheme="minorHAnsi" w:hAnsiTheme="minorHAnsi"/>
          <w:bCs/>
        </w:rPr>
        <w:t xml:space="preserve"> recommended the Drug Utilisation Sub-Committee (DUSC) undertake a future review of</w:t>
      </w:r>
      <w:r w:rsidR="009B3557" w:rsidRPr="001D4EB9">
        <w:rPr>
          <w:rFonts w:asciiTheme="minorHAnsi" w:hAnsiTheme="minorHAnsi"/>
          <w:bCs/>
        </w:rPr>
        <w:t xml:space="preserve"> the utilisation</w:t>
      </w:r>
      <w:r w:rsidR="00FD74B0" w:rsidRPr="001D4EB9">
        <w:rPr>
          <w:rFonts w:asciiTheme="minorHAnsi" w:hAnsiTheme="minorHAnsi"/>
          <w:bCs/>
        </w:rPr>
        <w:t xml:space="preserve"> and costs</w:t>
      </w:r>
      <w:r w:rsidR="009B3557" w:rsidRPr="001D4EB9">
        <w:rPr>
          <w:rFonts w:asciiTheme="minorHAnsi" w:hAnsiTheme="minorHAnsi"/>
          <w:bCs/>
        </w:rPr>
        <w:t xml:space="preserve"> of</w:t>
      </w:r>
      <w:r w:rsidRPr="001D4EB9">
        <w:rPr>
          <w:rFonts w:asciiTheme="minorHAnsi" w:hAnsiTheme="minorHAnsi"/>
          <w:bCs/>
        </w:rPr>
        <w:t xml:space="preserve"> anti-retroviral therapies</w:t>
      </w:r>
      <w:r w:rsidR="009B3557" w:rsidRPr="001D4EB9">
        <w:rPr>
          <w:rFonts w:asciiTheme="minorHAnsi" w:hAnsiTheme="minorHAnsi"/>
          <w:bCs/>
        </w:rPr>
        <w:t xml:space="preserve"> used in the treatment of</w:t>
      </w:r>
      <w:r w:rsidRPr="001D4EB9">
        <w:rPr>
          <w:rFonts w:asciiTheme="minorHAnsi" w:hAnsiTheme="minorHAnsi"/>
          <w:bCs/>
        </w:rPr>
        <w:t xml:space="preserve"> </w:t>
      </w:r>
      <w:r w:rsidR="009B3557" w:rsidRPr="001D4EB9">
        <w:rPr>
          <w:rFonts w:asciiTheme="minorHAnsi" w:hAnsiTheme="minorHAnsi"/>
          <w:bCs/>
        </w:rPr>
        <w:t>HIV infection.</w:t>
      </w:r>
    </w:p>
    <w:p w:rsidR="009B3557" w:rsidRPr="001D4EB9" w:rsidRDefault="009B3557" w:rsidP="00621014">
      <w:pPr>
        <w:widowControl/>
        <w:numPr>
          <w:ilvl w:val="1"/>
          <w:numId w:val="1"/>
        </w:numPr>
        <w:spacing w:after="120"/>
        <w:rPr>
          <w:rFonts w:asciiTheme="minorHAnsi" w:hAnsiTheme="minorHAnsi"/>
          <w:bCs/>
        </w:rPr>
      </w:pPr>
      <w:r w:rsidRPr="001D4EB9">
        <w:rPr>
          <w:rFonts w:asciiTheme="minorHAnsi" w:hAnsiTheme="minorHAnsi"/>
          <w:bCs/>
        </w:rPr>
        <w:t>The PBAC advised Symtuza</w:t>
      </w:r>
      <w:r w:rsidR="00085B2A" w:rsidRPr="001D4EB9">
        <w:rPr>
          <w:rFonts w:asciiTheme="minorHAnsi" w:hAnsiTheme="minorHAnsi"/>
          <w:bCs/>
        </w:rPr>
        <w:t xml:space="preserve"> should be</w:t>
      </w:r>
      <w:r w:rsidRPr="001D4EB9">
        <w:rPr>
          <w:rFonts w:asciiTheme="minorHAnsi" w:hAnsiTheme="minorHAnsi"/>
          <w:bCs/>
        </w:rPr>
        <w:t xml:space="preserve"> included in the list of medicines eligible for prescribing by Nurse Practitioners when such a recommendation is able to be implemented</w:t>
      </w:r>
      <w:r w:rsidR="00553759" w:rsidRPr="001D4EB9">
        <w:rPr>
          <w:rFonts w:asciiTheme="minorHAnsi" w:hAnsiTheme="minorHAnsi"/>
          <w:bCs/>
        </w:rPr>
        <w:t>.</w:t>
      </w:r>
    </w:p>
    <w:p w:rsidR="00771C2A" w:rsidRPr="001D4EB9" w:rsidRDefault="00771C2A" w:rsidP="00621014">
      <w:pPr>
        <w:widowControl/>
        <w:numPr>
          <w:ilvl w:val="1"/>
          <w:numId w:val="1"/>
        </w:numPr>
        <w:spacing w:after="120"/>
        <w:rPr>
          <w:rFonts w:asciiTheme="minorHAnsi" w:hAnsiTheme="minorHAnsi"/>
          <w:bCs/>
        </w:rPr>
      </w:pPr>
      <w:r w:rsidRPr="001D4EB9">
        <w:rPr>
          <w:rFonts w:asciiTheme="minorHAnsi" w:hAnsiTheme="minorHAnsi"/>
          <w:bCs/>
        </w:rPr>
        <w:t>The PBAC recommended that the Ear</w:t>
      </w:r>
      <w:r w:rsidR="00085B2A" w:rsidRPr="001D4EB9">
        <w:rPr>
          <w:rFonts w:asciiTheme="minorHAnsi" w:hAnsiTheme="minorHAnsi"/>
          <w:bCs/>
        </w:rPr>
        <w:t>ly Supply Rule should</w:t>
      </w:r>
      <w:r w:rsidRPr="001D4EB9">
        <w:rPr>
          <w:rFonts w:asciiTheme="minorHAnsi" w:hAnsiTheme="minorHAnsi"/>
          <w:bCs/>
        </w:rPr>
        <w:t xml:space="preserve"> apply</w:t>
      </w:r>
      <w:r w:rsidR="003703F3" w:rsidRPr="001D4EB9">
        <w:rPr>
          <w:rFonts w:asciiTheme="minorHAnsi" w:hAnsiTheme="minorHAnsi"/>
          <w:bCs/>
        </w:rPr>
        <w:t>, similar to other antiretroviral listings for the treatment of HIV infection</w:t>
      </w:r>
      <w:r w:rsidRPr="001D4EB9">
        <w:rPr>
          <w:rFonts w:asciiTheme="minorHAnsi" w:hAnsiTheme="minorHAnsi"/>
          <w:bCs/>
        </w:rPr>
        <w:t xml:space="preserve">. </w:t>
      </w:r>
    </w:p>
    <w:p w:rsidR="00085B2A" w:rsidRPr="001D4EB9" w:rsidRDefault="00771C2A" w:rsidP="00621014">
      <w:pPr>
        <w:widowControl/>
        <w:numPr>
          <w:ilvl w:val="1"/>
          <w:numId w:val="1"/>
        </w:numPr>
        <w:spacing w:after="120"/>
        <w:rPr>
          <w:rFonts w:asciiTheme="minorHAnsi" w:hAnsiTheme="minorHAnsi"/>
          <w:bCs/>
          <w:i/>
        </w:rPr>
      </w:pPr>
      <w:r w:rsidRPr="001D4EB9">
        <w:rPr>
          <w:rFonts w:asciiTheme="minorHAnsi" w:hAnsiTheme="minorHAnsi"/>
          <w:bCs/>
        </w:rPr>
        <w:t>The PBAC note</w:t>
      </w:r>
      <w:r w:rsidR="00085B2A" w:rsidRPr="001D4EB9">
        <w:rPr>
          <w:rFonts w:asciiTheme="minorHAnsi" w:hAnsiTheme="minorHAnsi"/>
          <w:bCs/>
        </w:rPr>
        <w:t>d that this submission is not</w:t>
      </w:r>
      <w:r w:rsidRPr="001D4EB9">
        <w:rPr>
          <w:rFonts w:asciiTheme="minorHAnsi" w:hAnsiTheme="minorHAnsi"/>
          <w:bCs/>
        </w:rPr>
        <w:t xml:space="preserve"> eligible for an Independent Review</w:t>
      </w:r>
      <w:r w:rsidR="00085B2A" w:rsidRPr="001D4EB9">
        <w:rPr>
          <w:rFonts w:asciiTheme="minorHAnsi" w:hAnsiTheme="minorHAnsi"/>
          <w:bCs/>
        </w:rPr>
        <w:t xml:space="preserve"> as it received a positive recommendation</w:t>
      </w:r>
      <w:r w:rsidRPr="001D4EB9">
        <w:rPr>
          <w:rFonts w:asciiTheme="minorHAnsi" w:hAnsiTheme="minorHAnsi"/>
          <w:bCs/>
        </w:rPr>
        <w:t xml:space="preserve">. </w:t>
      </w:r>
    </w:p>
    <w:p w:rsidR="006F514B" w:rsidRPr="001D4EB9" w:rsidRDefault="006F514B" w:rsidP="00621014">
      <w:pPr>
        <w:widowControl/>
        <w:numPr>
          <w:ilvl w:val="1"/>
          <w:numId w:val="1"/>
        </w:numPr>
        <w:spacing w:after="120"/>
        <w:rPr>
          <w:rFonts w:asciiTheme="minorHAnsi" w:hAnsiTheme="minorHAnsi"/>
          <w:bCs/>
          <w:i/>
        </w:rPr>
      </w:pPr>
      <w:r w:rsidRPr="001D4EB9">
        <w:rPr>
          <w:rFonts w:asciiTheme="minorHAnsi" w:hAnsiTheme="minorHAnsi"/>
          <w:bCs/>
        </w:rPr>
        <w:t>The PBAC noted that its recommendation was on a cost-minimisation basis and advised that, because Symtuza is not expected to provide a substantial and clinically relevant improvement in efficacy, or reduction of toxicity, over its component drugs, or not expected to address a high and urgent unmet clinical need given the presence of an alternative therapy, the criteria prescribed by the National Health (Pharmaceuticals and Vaccines – Cost Recovery) Regulations 2009 for Pricing Pathway A were not met.</w:t>
      </w:r>
    </w:p>
    <w:p w:rsidR="00771C2A" w:rsidRPr="001D4EB9" w:rsidRDefault="00771C2A" w:rsidP="00621014">
      <w:pPr>
        <w:widowControl/>
        <w:spacing w:before="240"/>
        <w:rPr>
          <w:rFonts w:asciiTheme="minorHAnsi" w:hAnsiTheme="minorHAnsi"/>
          <w:b/>
          <w:bCs/>
        </w:rPr>
      </w:pPr>
      <w:r w:rsidRPr="001D4EB9">
        <w:rPr>
          <w:rFonts w:asciiTheme="minorHAnsi" w:hAnsiTheme="minorHAnsi"/>
          <w:b/>
          <w:bCs/>
        </w:rPr>
        <w:t>Outcome:</w:t>
      </w:r>
    </w:p>
    <w:p w:rsidR="00771C2A" w:rsidRPr="00312444" w:rsidRDefault="00085B2A" w:rsidP="00621014">
      <w:pPr>
        <w:widowControl/>
        <w:rPr>
          <w:rFonts w:asciiTheme="minorHAnsi" w:hAnsiTheme="minorHAnsi"/>
          <w:bCs/>
        </w:rPr>
      </w:pPr>
      <w:r w:rsidRPr="001D4EB9">
        <w:rPr>
          <w:rFonts w:asciiTheme="minorHAnsi" w:hAnsiTheme="minorHAnsi"/>
          <w:bCs/>
        </w:rPr>
        <w:t>Recommended</w:t>
      </w:r>
    </w:p>
    <w:p w:rsidR="00771C2A" w:rsidRPr="001D4EB9" w:rsidRDefault="00771C2A" w:rsidP="00621014">
      <w:pPr>
        <w:keepNext/>
        <w:widowControl/>
        <w:numPr>
          <w:ilvl w:val="0"/>
          <w:numId w:val="1"/>
        </w:numPr>
        <w:spacing w:before="240" w:after="120"/>
        <w:outlineLvl w:val="0"/>
        <w:rPr>
          <w:rFonts w:asciiTheme="minorHAnsi" w:hAnsiTheme="minorHAnsi"/>
          <w:b/>
          <w:bCs/>
          <w:i/>
          <w:sz w:val="32"/>
        </w:rPr>
      </w:pPr>
      <w:r w:rsidRPr="001D4EB9">
        <w:rPr>
          <w:rFonts w:asciiTheme="minorHAnsi" w:hAnsiTheme="minorHAnsi"/>
          <w:b/>
          <w:bCs/>
          <w:sz w:val="32"/>
        </w:rPr>
        <w:t>Recommended listing</w:t>
      </w:r>
    </w:p>
    <w:p w:rsidR="00771C2A" w:rsidRPr="004D6976" w:rsidRDefault="00771C2A" w:rsidP="00621014">
      <w:pPr>
        <w:widowControl/>
        <w:numPr>
          <w:ilvl w:val="1"/>
          <w:numId w:val="1"/>
        </w:numPr>
        <w:spacing w:after="120"/>
        <w:rPr>
          <w:rFonts w:asciiTheme="minorHAnsi" w:hAnsiTheme="minorHAnsi"/>
          <w:b/>
          <w:bCs/>
        </w:rPr>
      </w:pPr>
      <w:r w:rsidRPr="001D4EB9">
        <w:rPr>
          <w:rFonts w:asciiTheme="minorHAnsi" w:hAnsiTheme="minorHAnsi"/>
          <w:bCs/>
        </w:rPr>
        <w:t>Add new item</w:t>
      </w:r>
      <w:r w:rsidR="003B52D1" w:rsidRPr="001D4EB9">
        <w:rPr>
          <w:rFonts w:asciiTheme="minorHAnsi" w:hAnsiTheme="minorHAnsi"/>
          <w:bCs/>
        </w:rPr>
        <w:t>s</w:t>
      </w:r>
      <w:r w:rsidRPr="001D4EB9">
        <w:rPr>
          <w:rFonts w:asciiTheme="minorHAnsi" w:hAnsiTheme="minorHAnsi"/>
          <w:bCs/>
        </w:rPr>
        <w:t>:</w:t>
      </w:r>
    </w:p>
    <w:p w:rsidR="00020FAF" w:rsidRPr="001D4EB9" w:rsidRDefault="00020FAF" w:rsidP="00621014">
      <w:pPr>
        <w:widowControl/>
      </w:pPr>
    </w:p>
    <w:tbl>
      <w:tblPr>
        <w:tblW w:w="9214" w:type="dxa"/>
        <w:tblLayout w:type="fixed"/>
        <w:tblLook w:val="0000" w:firstRow="0" w:lastRow="0" w:firstColumn="0" w:lastColumn="0" w:noHBand="0" w:noVBand="0"/>
      </w:tblPr>
      <w:tblGrid>
        <w:gridCol w:w="1843"/>
        <w:gridCol w:w="1701"/>
        <w:gridCol w:w="709"/>
        <w:gridCol w:w="850"/>
        <w:gridCol w:w="284"/>
        <w:gridCol w:w="1417"/>
        <w:gridCol w:w="2410"/>
      </w:tblGrid>
      <w:tr w:rsidR="00020FAF" w:rsidRPr="001D4EB9" w:rsidTr="008E0379">
        <w:trPr>
          <w:cantSplit/>
          <w:trHeight w:val="471"/>
        </w:trPr>
        <w:tc>
          <w:tcPr>
            <w:tcW w:w="3544" w:type="dxa"/>
            <w:gridSpan w:val="2"/>
            <w:tcBorders>
              <w:bottom w:val="single" w:sz="4" w:space="0" w:color="auto"/>
            </w:tcBorders>
          </w:tcPr>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Name, Restriction,</w:t>
            </w:r>
          </w:p>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Manner of administration and form</w:t>
            </w:r>
          </w:p>
        </w:tc>
        <w:tc>
          <w:tcPr>
            <w:tcW w:w="709" w:type="dxa"/>
            <w:tcBorders>
              <w:bottom w:val="single" w:sz="4" w:space="0" w:color="auto"/>
            </w:tcBorders>
          </w:tcPr>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Max.</w:t>
            </w:r>
          </w:p>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Qty</w:t>
            </w:r>
          </w:p>
        </w:tc>
        <w:tc>
          <w:tcPr>
            <w:tcW w:w="850" w:type="dxa"/>
            <w:tcBorders>
              <w:bottom w:val="single" w:sz="4" w:space="0" w:color="auto"/>
            </w:tcBorders>
          </w:tcPr>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№.of</w:t>
            </w:r>
          </w:p>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Rpts</w:t>
            </w:r>
          </w:p>
        </w:tc>
        <w:tc>
          <w:tcPr>
            <w:tcW w:w="284" w:type="dxa"/>
            <w:tcBorders>
              <w:bottom w:val="single" w:sz="4" w:space="0" w:color="auto"/>
            </w:tcBorders>
          </w:tcPr>
          <w:p w:rsidR="00020FAF" w:rsidRPr="001D4EB9" w:rsidRDefault="00020FAF" w:rsidP="00621014">
            <w:pPr>
              <w:keepNext/>
              <w:widowControl/>
              <w:ind w:left="-108"/>
              <w:rPr>
                <w:rFonts w:ascii="Arial Narrow" w:hAnsi="Arial Narrow"/>
                <w:sz w:val="20"/>
                <w:szCs w:val="20"/>
              </w:rPr>
            </w:pPr>
          </w:p>
        </w:tc>
        <w:tc>
          <w:tcPr>
            <w:tcW w:w="3827" w:type="dxa"/>
            <w:gridSpan w:val="2"/>
            <w:tcBorders>
              <w:bottom w:val="single" w:sz="4" w:space="0" w:color="auto"/>
            </w:tcBorders>
          </w:tcPr>
          <w:p w:rsidR="00020FAF" w:rsidRPr="001D4EB9" w:rsidRDefault="00020FAF" w:rsidP="00621014">
            <w:pPr>
              <w:keepNext/>
              <w:widowControl/>
              <w:rPr>
                <w:rFonts w:ascii="Arial Narrow" w:hAnsi="Arial Narrow"/>
                <w:sz w:val="20"/>
                <w:szCs w:val="20"/>
              </w:rPr>
            </w:pPr>
            <w:r w:rsidRPr="001D4EB9">
              <w:rPr>
                <w:rFonts w:ascii="Arial Narrow" w:hAnsi="Arial Narrow"/>
                <w:sz w:val="20"/>
                <w:szCs w:val="20"/>
              </w:rPr>
              <w:t>Proprietary Name and Manufacturer</w:t>
            </w:r>
          </w:p>
        </w:tc>
      </w:tr>
      <w:tr w:rsidR="00020FAF" w:rsidRPr="001D4EB9" w:rsidTr="008E0379">
        <w:trPr>
          <w:cantSplit/>
          <w:trHeight w:val="577"/>
        </w:trPr>
        <w:tc>
          <w:tcPr>
            <w:tcW w:w="3544" w:type="dxa"/>
            <w:gridSpan w:val="2"/>
          </w:tcPr>
          <w:p w:rsidR="00020FAF" w:rsidRPr="001D4EB9" w:rsidRDefault="00020FAF" w:rsidP="00621014">
            <w:pPr>
              <w:keepNext/>
              <w:widowControl/>
              <w:ind w:left="-108" w:right="174"/>
              <w:rPr>
                <w:rFonts w:ascii="Arial Narrow" w:hAnsi="Arial Narrow"/>
                <w:sz w:val="20"/>
                <w:szCs w:val="20"/>
              </w:rPr>
            </w:pPr>
            <w:r w:rsidRPr="001D4EB9">
              <w:rPr>
                <w:rFonts w:ascii="Arial Narrow" w:hAnsi="Arial Narrow"/>
                <w:smallCaps/>
                <w:sz w:val="20"/>
                <w:szCs w:val="20"/>
              </w:rPr>
              <w:t>Darunavir with cobicistat with tenofovir alafenamide and emtricitabine</w:t>
            </w:r>
          </w:p>
          <w:p w:rsidR="00020FAF" w:rsidRPr="001D4EB9" w:rsidRDefault="00020FAF" w:rsidP="00621014">
            <w:pPr>
              <w:keepNext/>
              <w:widowControl/>
              <w:ind w:right="174"/>
              <w:rPr>
                <w:rFonts w:ascii="Arial Narrow" w:hAnsi="Arial Narrow"/>
                <w:color w:val="FF0000"/>
                <w:sz w:val="20"/>
                <w:szCs w:val="20"/>
              </w:rPr>
            </w:pPr>
            <w:r w:rsidRPr="001D4EB9">
              <w:rPr>
                <w:rFonts w:ascii="Arial Narrow" w:hAnsi="Arial Narrow"/>
                <w:sz w:val="20"/>
                <w:szCs w:val="20"/>
              </w:rPr>
              <w:t>Darunavir 800 mg + cobicistat 150 mg + tenofovir alafenamide 10 mg + emtricitabine 200 mg tablet, 30</w:t>
            </w:r>
          </w:p>
        </w:tc>
        <w:tc>
          <w:tcPr>
            <w:tcW w:w="709" w:type="dxa"/>
          </w:tcPr>
          <w:p w:rsidR="00020FAF" w:rsidRPr="001D4EB9" w:rsidRDefault="00020FAF" w:rsidP="00621014">
            <w:pPr>
              <w:keepNext/>
              <w:widowControl/>
              <w:ind w:left="-108"/>
              <w:rPr>
                <w:rFonts w:ascii="Arial Narrow" w:hAnsi="Arial Narrow"/>
                <w:sz w:val="20"/>
                <w:szCs w:val="20"/>
              </w:rPr>
            </w:pPr>
          </w:p>
          <w:p w:rsidR="003B52D1" w:rsidRPr="001D4EB9" w:rsidRDefault="003B52D1" w:rsidP="00621014">
            <w:pPr>
              <w:keepNext/>
              <w:widowControl/>
              <w:ind w:left="-108"/>
              <w:rPr>
                <w:rFonts w:ascii="Arial Narrow" w:hAnsi="Arial Narrow"/>
                <w:sz w:val="20"/>
                <w:szCs w:val="20"/>
              </w:rPr>
            </w:pPr>
          </w:p>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2</w:t>
            </w:r>
          </w:p>
        </w:tc>
        <w:tc>
          <w:tcPr>
            <w:tcW w:w="850" w:type="dxa"/>
          </w:tcPr>
          <w:p w:rsidR="00020FAF" w:rsidRPr="001D4EB9" w:rsidRDefault="00020FAF" w:rsidP="00621014">
            <w:pPr>
              <w:keepNext/>
              <w:widowControl/>
              <w:ind w:left="-108"/>
              <w:rPr>
                <w:rFonts w:ascii="Arial Narrow" w:hAnsi="Arial Narrow"/>
                <w:sz w:val="20"/>
                <w:szCs w:val="20"/>
              </w:rPr>
            </w:pPr>
          </w:p>
          <w:p w:rsidR="003B52D1" w:rsidRPr="001D4EB9" w:rsidRDefault="003B52D1" w:rsidP="00621014">
            <w:pPr>
              <w:keepNext/>
              <w:widowControl/>
              <w:ind w:left="-108"/>
              <w:rPr>
                <w:rFonts w:ascii="Arial Narrow" w:hAnsi="Arial Narrow"/>
                <w:sz w:val="20"/>
                <w:szCs w:val="20"/>
              </w:rPr>
            </w:pPr>
          </w:p>
          <w:p w:rsidR="00020FAF" w:rsidRPr="001D4EB9" w:rsidRDefault="00020FAF" w:rsidP="00621014">
            <w:pPr>
              <w:keepNext/>
              <w:widowControl/>
              <w:ind w:left="-108"/>
              <w:rPr>
                <w:rFonts w:ascii="Arial Narrow" w:hAnsi="Arial Narrow"/>
                <w:sz w:val="20"/>
                <w:szCs w:val="20"/>
              </w:rPr>
            </w:pPr>
            <w:r w:rsidRPr="001D4EB9">
              <w:rPr>
                <w:rFonts w:ascii="Arial Narrow" w:hAnsi="Arial Narrow"/>
                <w:sz w:val="20"/>
                <w:szCs w:val="20"/>
              </w:rPr>
              <w:t>5</w:t>
            </w:r>
          </w:p>
        </w:tc>
        <w:tc>
          <w:tcPr>
            <w:tcW w:w="284" w:type="dxa"/>
          </w:tcPr>
          <w:p w:rsidR="00020FAF" w:rsidRPr="001D4EB9" w:rsidRDefault="00020FAF" w:rsidP="00621014">
            <w:pPr>
              <w:keepNext/>
              <w:widowControl/>
              <w:ind w:left="-108"/>
              <w:rPr>
                <w:rFonts w:ascii="Arial Narrow" w:hAnsi="Arial Narrow"/>
                <w:sz w:val="20"/>
                <w:szCs w:val="20"/>
              </w:rPr>
            </w:pPr>
          </w:p>
        </w:tc>
        <w:tc>
          <w:tcPr>
            <w:tcW w:w="1417" w:type="dxa"/>
          </w:tcPr>
          <w:p w:rsidR="00020FAF" w:rsidRPr="001D4EB9" w:rsidRDefault="00020FAF" w:rsidP="00621014">
            <w:pPr>
              <w:keepNext/>
              <w:widowControl/>
              <w:rPr>
                <w:rFonts w:ascii="Arial Narrow" w:hAnsi="Arial Narrow"/>
                <w:sz w:val="20"/>
                <w:szCs w:val="20"/>
              </w:rPr>
            </w:pPr>
          </w:p>
          <w:p w:rsidR="00020FAF" w:rsidRPr="001D4EB9" w:rsidRDefault="00020FAF" w:rsidP="00621014">
            <w:pPr>
              <w:keepNext/>
              <w:widowControl/>
              <w:rPr>
                <w:rFonts w:ascii="Arial Narrow" w:hAnsi="Arial Narrow"/>
                <w:sz w:val="20"/>
                <w:szCs w:val="20"/>
                <w:vertAlign w:val="superscript"/>
              </w:rPr>
            </w:pPr>
            <w:r w:rsidRPr="001D4EB9">
              <w:rPr>
                <w:rFonts w:ascii="Arial Narrow" w:hAnsi="Arial Narrow"/>
                <w:sz w:val="20"/>
                <w:szCs w:val="20"/>
              </w:rPr>
              <w:t>Symtuza</w:t>
            </w:r>
            <w:r w:rsidRPr="001D4EB9">
              <w:rPr>
                <w:rFonts w:ascii="Arial Narrow" w:hAnsi="Arial Narrow"/>
                <w:sz w:val="20"/>
                <w:szCs w:val="20"/>
                <w:vertAlign w:val="superscript"/>
              </w:rPr>
              <w:t>®</w:t>
            </w:r>
          </w:p>
        </w:tc>
        <w:tc>
          <w:tcPr>
            <w:tcW w:w="2410" w:type="dxa"/>
          </w:tcPr>
          <w:p w:rsidR="00020FAF" w:rsidRPr="001D4EB9" w:rsidRDefault="00020FAF" w:rsidP="00621014">
            <w:pPr>
              <w:keepNext/>
              <w:widowControl/>
              <w:rPr>
                <w:rFonts w:ascii="Arial Narrow" w:hAnsi="Arial Narrow"/>
                <w:sz w:val="20"/>
                <w:szCs w:val="20"/>
              </w:rPr>
            </w:pPr>
          </w:p>
          <w:p w:rsidR="00020FAF" w:rsidRPr="001D4EB9" w:rsidRDefault="00020FAF" w:rsidP="00621014">
            <w:pPr>
              <w:keepNext/>
              <w:widowControl/>
              <w:rPr>
                <w:rFonts w:ascii="Arial Narrow" w:hAnsi="Arial Narrow"/>
                <w:sz w:val="20"/>
                <w:szCs w:val="20"/>
              </w:rPr>
            </w:pPr>
            <w:r w:rsidRPr="001D4EB9">
              <w:rPr>
                <w:rFonts w:ascii="Arial Narrow" w:hAnsi="Arial Narrow"/>
                <w:sz w:val="20"/>
                <w:szCs w:val="20"/>
              </w:rPr>
              <w:t>Janssen-Cilag Pty Ltd</w:t>
            </w:r>
          </w:p>
        </w:tc>
      </w:tr>
      <w:tr w:rsidR="00020FAF" w:rsidRPr="001D4EB9" w:rsidTr="008E0379">
        <w:trPr>
          <w:cantSplit/>
          <w:trHeight w:val="360"/>
        </w:trPr>
        <w:tc>
          <w:tcPr>
            <w:tcW w:w="9214" w:type="dxa"/>
            <w:gridSpan w:val="7"/>
            <w:tcBorders>
              <w:bottom w:val="single" w:sz="4" w:space="0" w:color="auto"/>
            </w:tcBorders>
          </w:tcPr>
          <w:p w:rsidR="00020FAF" w:rsidRPr="001D4EB9" w:rsidRDefault="00020FAF" w:rsidP="00621014">
            <w:pPr>
              <w:widowControl/>
              <w:rPr>
                <w:rFonts w:ascii="Arial Narrow" w:hAnsi="Arial Narrow"/>
                <w:sz w:val="20"/>
                <w:szCs w:val="20"/>
              </w:rPr>
            </w:pPr>
          </w:p>
          <w:p w:rsidR="0058053F" w:rsidRPr="001D4EB9" w:rsidRDefault="0058053F" w:rsidP="00621014">
            <w:pPr>
              <w:widowControl/>
              <w:rPr>
                <w:rFonts w:ascii="Arial Narrow" w:hAnsi="Arial Narrow"/>
                <w:sz w:val="20"/>
                <w:szCs w:val="20"/>
              </w:rPr>
            </w:pPr>
          </w:p>
        </w:tc>
      </w:tr>
      <w:tr w:rsidR="0058053F" w:rsidRPr="001D4EB9" w:rsidTr="00DD09F9">
        <w:trPr>
          <w:cantSplit/>
          <w:trHeight w:val="245"/>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DD09F9">
            <w:pPr>
              <w:widowControl/>
              <w:rPr>
                <w:rFonts w:ascii="Arial Narrow" w:hAnsi="Arial Narrow"/>
                <w:b/>
                <w:sz w:val="20"/>
                <w:szCs w:val="20"/>
              </w:rPr>
            </w:pPr>
            <w:r w:rsidRPr="001D4EB9">
              <w:rPr>
                <w:rFonts w:ascii="Arial Narrow" w:hAnsi="Arial Narrow"/>
                <w:b/>
                <w:sz w:val="20"/>
                <w:szCs w:val="20"/>
              </w:rPr>
              <w:t>Category/Program:</w:t>
            </w: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Section 100 – Highly Specialised Drugs Program {Community Access}</w:t>
            </w:r>
          </w:p>
        </w:tc>
      </w:tr>
      <w:tr w:rsidR="0058053F" w:rsidRPr="001D4EB9" w:rsidTr="00DD09F9">
        <w:trPr>
          <w:cantSplit/>
          <w:trHeight w:val="276"/>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1"/>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Dental  </w:t>
            </w:r>
            <w:r w:rsidRPr="001D4EB9">
              <w:rPr>
                <w:rFonts w:ascii="Arial Narrow" w:hAnsi="Arial Narrow"/>
                <w:sz w:val="20"/>
                <w:szCs w:val="20"/>
              </w:rPr>
              <w:fldChar w:fldCharType="begin">
                <w:ffData>
                  <w:name w:val=""/>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Medical Practitioners  </w:t>
            </w:r>
            <w:r w:rsidRPr="001D4EB9">
              <w:rPr>
                <w:rFonts w:ascii="Arial Narrow" w:hAnsi="Arial Narrow"/>
                <w:sz w:val="20"/>
                <w:szCs w:val="20"/>
              </w:rPr>
              <w:fldChar w:fldCharType="begin">
                <w:ffData>
                  <w:name w:val="Check3"/>
                  <w:enabled/>
                  <w:calcOnExit w:val="0"/>
                  <w:checkBox>
                    <w:sizeAuto/>
                    <w:default w:val="1"/>
                  </w:checkBox>
                </w:ffData>
              </w:fldChar>
            </w:r>
            <w:r w:rsidRPr="001D4EB9">
              <w:rPr>
                <w:rFonts w:ascii="Arial Narrow" w:hAnsi="Arial Narrow"/>
                <w:sz w:val="20"/>
                <w:szCs w:val="20"/>
              </w:rPr>
              <w:instrText xml:space="preserve"> </w:instrText>
            </w:r>
            <w:bookmarkStart w:id="29" w:name="Check3"/>
            <w:r w:rsidRPr="001D4EB9">
              <w:rPr>
                <w:rFonts w:ascii="Arial Narrow" w:hAnsi="Arial Narrow"/>
                <w:sz w:val="20"/>
                <w:szCs w:val="20"/>
              </w:rPr>
              <w:instrText xml:space="preserve">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bookmarkEnd w:id="29"/>
            <w:r w:rsidRPr="001D4EB9">
              <w:rPr>
                <w:rFonts w:ascii="Arial Narrow" w:hAnsi="Arial Narrow"/>
                <w:sz w:val="20"/>
                <w:szCs w:val="20"/>
              </w:rPr>
              <w:t xml:space="preserve">Nurse practitioners  </w:t>
            </w:r>
            <w:r w:rsidRPr="001D4EB9">
              <w:rPr>
                <w:rFonts w:ascii="Arial Narrow" w:hAnsi="Arial Narrow"/>
                <w:sz w:val="20"/>
                <w:szCs w:val="20"/>
              </w:rPr>
              <w:fldChar w:fldCharType="begin">
                <w:ffData>
                  <w:name w:val=""/>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Optometrists </w:t>
            </w:r>
            <w:r w:rsidRPr="001D4EB9">
              <w:rPr>
                <w:rFonts w:ascii="Arial Narrow" w:hAnsi="Arial Narrow"/>
                <w:sz w:val="20"/>
                <w:szCs w:val="20"/>
              </w:rPr>
              <w:fldChar w:fldCharType="begin">
                <w:ffData>
                  <w:name w:val="Check5"/>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Midwives</w:t>
            </w:r>
          </w:p>
        </w:tc>
      </w:tr>
      <w:tr w:rsidR="0058053F" w:rsidRPr="001D4EB9" w:rsidTr="00DD09F9">
        <w:trPr>
          <w:cantSplit/>
          <w:trHeight w:val="138"/>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lastRenderedPageBreak/>
              <w:t>Condition:</w:t>
            </w: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HIV infection</w:t>
            </w:r>
          </w:p>
        </w:tc>
      </w:tr>
      <w:tr w:rsidR="0058053F" w:rsidRPr="001D4EB9" w:rsidTr="00DD09F9">
        <w:trPr>
          <w:cantSplit/>
          <w:trHeight w:val="169"/>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HIV infection</w:t>
            </w:r>
          </w:p>
        </w:tc>
      </w:tr>
      <w:tr w:rsidR="0058053F" w:rsidRPr="001D4EB9" w:rsidTr="00DD09F9">
        <w:trPr>
          <w:cantSplit/>
          <w:trHeight w:val="215"/>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Initial treatment</w:t>
            </w:r>
          </w:p>
        </w:tc>
      </w:tr>
      <w:tr w:rsidR="0058053F" w:rsidRPr="001D4EB9" w:rsidTr="00DD09F9">
        <w:trPr>
          <w:cantSplit/>
          <w:trHeight w:val="970"/>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DD09F9">
            <w:pPr>
              <w:widowControl/>
              <w:jc w:val="left"/>
              <w:rPr>
                <w:rFonts w:ascii="Arial Narrow" w:hAnsi="Arial Narrow"/>
                <w:b/>
                <w:sz w:val="20"/>
                <w:szCs w:val="20"/>
              </w:rPr>
            </w:pPr>
            <w:r w:rsidRPr="001D4EB9">
              <w:rPr>
                <w:rFonts w:ascii="Arial Narrow" w:hAnsi="Arial Narrow"/>
                <w:b/>
                <w:sz w:val="20"/>
                <w:szCs w:val="20"/>
              </w:rPr>
              <w:t>Restriction Level/ Method:</w:t>
            </w:r>
          </w:p>
          <w:p w:rsidR="0058053F" w:rsidRPr="001D4EB9" w:rsidRDefault="0058053F" w:rsidP="0058053F">
            <w:pPr>
              <w:widowControl/>
              <w:rPr>
                <w:rFonts w:ascii="Arial Narrow" w:hAnsi="Arial Narrow"/>
                <w:sz w:val="20"/>
                <w:szCs w:val="20"/>
              </w:rPr>
            </w:pPr>
          </w:p>
          <w:p w:rsidR="0058053F" w:rsidRPr="001D4EB9" w:rsidRDefault="0058053F" w:rsidP="0058053F">
            <w:pPr>
              <w:widowControl/>
              <w:rPr>
                <w:rFonts w:ascii="Arial Narrow" w:hAnsi="Arial Narrow"/>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1"/>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Restricted benefit</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Authority Required – In Writing</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3"/>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Authority Required – Telephone/Electronic/Emergency</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5"/>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Streamlined</w:t>
            </w:r>
          </w:p>
        </w:tc>
      </w:tr>
      <w:tr w:rsidR="0058053F" w:rsidRPr="001D4EB9" w:rsidTr="008E0379">
        <w:trPr>
          <w:cantSplit/>
          <w:trHeight w:val="360"/>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rPr>
                <w:rFonts w:ascii="Arial Narrow" w:hAnsi="Arial Narrow"/>
                <w:b/>
                <w:sz w:val="20"/>
                <w:szCs w:val="20"/>
              </w:rPr>
            </w:pPr>
            <w:r w:rsidRPr="001D4EB9">
              <w:rPr>
                <w:rFonts w:ascii="Arial Narrow" w:hAnsi="Arial Narrow"/>
                <w:b/>
                <w:sz w:val="20"/>
                <w:szCs w:val="20"/>
              </w:rPr>
              <w:t>Treatment criteria:</w:t>
            </w:r>
          </w:p>
          <w:p w:rsidR="0058053F" w:rsidRPr="001D4EB9" w:rsidRDefault="0058053F" w:rsidP="0058053F">
            <w:pPr>
              <w:rPr>
                <w:rFonts w:ascii="Arial Narrow" w:hAnsi="Arial Narrow"/>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rPr>
                <w:rFonts w:ascii="Arial Narrow" w:hAnsi="Arial Narrow"/>
                <w:sz w:val="20"/>
                <w:szCs w:val="20"/>
              </w:rPr>
            </w:pPr>
            <w:r w:rsidRPr="001D4EB9">
              <w:rPr>
                <w:rFonts w:ascii="Arial Narrow" w:hAnsi="Arial Narrow"/>
                <w:sz w:val="20"/>
                <w:szCs w:val="20"/>
              </w:rPr>
              <w:t xml:space="preserve">Must be treated by a medical practitioner or an authorised nurse practitioner in consultation with a medical practitioner. </w:t>
            </w:r>
          </w:p>
        </w:tc>
      </w:tr>
      <w:tr w:rsidR="0058053F" w:rsidRPr="001D4EB9" w:rsidTr="008E0379">
        <w:trPr>
          <w:cantSplit/>
          <w:trHeight w:val="657"/>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Clinical criteria:</w:t>
            </w:r>
          </w:p>
          <w:p w:rsidR="0058053F" w:rsidRPr="001D4EB9" w:rsidRDefault="0058053F" w:rsidP="0058053F">
            <w:pPr>
              <w:widowControl/>
              <w:rPr>
                <w:rFonts w:ascii="Arial Narrow" w:hAnsi="Arial Narrow"/>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Patient must be antiretroviral treatment naïve</w:t>
            </w:r>
          </w:p>
          <w:p w:rsidR="0058053F" w:rsidRPr="001D4EB9" w:rsidRDefault="0058053F" w:rsidP="0058053F">
            <w:pPr>
              <w:widowControl/>
              <w:rPr>
                <w:rFonts w:ascii="Arial Narrow" w:hAnsi="Arial Narrow"/>
                <w:i/>
                <w:sz w:val="20"/>
                <w:szCs w:val="20"/>
              </w:rPr>
            </w:pPr>
            <w:r w:rsidRPr="001D4EB9">
              <w:rPr>
                <w:rFonts w:ascii="Arial Narrow" w:hAnsi="Arial Narrow"/>
                <w:i/>
                <w:sz w:val="20"/>
                <w:szCs w:val="20"/>
              </w:rPr>
              <w:t>OR</w:t>
            </w:r>
          </w:p>
          <w:p w:rsidR="0058053F" w:rsidRPr="001D4EB9" w:rsidRDefault="0058053F" w:rsidP="0058053F">
            <w:pPr>
              <w:widowControl/>
              <w:rPr>
                <w:rFonts w:ascii="Arial Narrow" w:hAnsi="Arial Narrow"/>
                <w:i/>
                <w:sz w:val="20"/>
                <w:szCs w:val="20"/>
              </w:rPr>
            </w:pPr>
            <w:r w:rsidRPr="001D4EB9">
              <w:rPr>
                <w:rFonts w:ascii="Arial Narrow" w:hAnsi="Arial Narrow"/>
                <w:i/>
                <w:sz w:val="20"/>
                <w:szCs w:val="20"/>
              </w:rPr>
              <w:t>Patient must have experienced virological failure or clinical failure or genotypic resistance after at least one antiretroviral regimen</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t>AND</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t>The treatment must not be in combination with ritonavir</w:t>
            </w:r>
          </w:p>
        </w:tc>
      </w:tr>
      <w:tr w:rsidR="0058053F" w:rsidRPr="001D4EB9" w:rsidTr="008E0379">
        <w:trPr>
          <w:cantSplit/>
          <w:trHeight w:val="360"/>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Prescriber Instructions:</w:t>
            </w:r>
          </w:p>
          <w:p w:rsidR="0058053F" w:rsidRPr="001D4EB9" w:rsidRDefault="0058053F" w:rsidP="0058053F">
            <w:pPr>
              <w:widowControl/>
              <w:rPr>
                <w:rFonts w:ascii="Arial Narrow" w:hAnsi="Arial Narrow"/>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i/>
                <w:sz w:val="20"/>
                <w:szCs w:val="20"/>
              </w:rPr>
              <w:t>Virological failure is defined as a viral load greater than 400 copies per mL on two consecutive occasions, while clinical failure is linked to emerging signs and symptoms of progressing HIV infection or treatment-limiting toxicity.</w:t>
            </w:r>
          </w:p>
        </w:tc>
      </w:tr>
    </w:tbl>
    <w:p w:rsidR="00020FAF" w:rsidRPr="001D4EB9" w:rsidRDefault="00020FAF" w:rsidP="00621014">
      <w:pPr>
        <w:widowControl/>
        <w:rPr>
          <w:rFonts w:asciiTheme="minorHAnsi" w:hAnsiTheme="minorHAnsi" w:cstheme="minorHAnsi"/>
          <w:color w:val="0070C0"/>
          <w:u w:val="single"/>
        </w:rPr>
      </w:pPr>
    </w:p>
    <w:tbl>
      <w:tblPr>
        <w:tblW w:w="9219" w:type="dxa"/>
        <w:tblInd w:w="-5" w:type="dxa"/>
        <w:tblLayout w:type="fixed"/>
        <w:tblLook w:val="0000" w:firstRow="0" w:lastRow="0" w:firstColumn="0" w:lastColumn="0" w:noHBand="0" w:noVBand="0"/>
      </w:tblPr>
      <w:tblGrid>
        <w:gridCol w:w="1843"/>
        <w:gridCol w:w="7376"/>
      </w:tblGrid>
      <w:tr w:rsidR="0058053F" w:rsidRPr="001D4EB9" w:rsidTr="00DD09F9">
        <w:trPr>
          <w:cantSplit/>
          <w:trHeight w:val="117"/>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DD09F9">
            <w:pPr>
              <w:widowControl/>
              <w:rPr>
                <w:rFonts w:ascii="Arial Narrow" w:hAnsi="Arial Narrow"/>
                <w:b/>
                <w:sz w:val="20"/>
                <w:szCs w:val="20"/>
              </w:rPr>
            </w:pPr>
            <w:r w:rsidRPr="001D4EB9">
              <w:rPr>
                <w:rFonts w:ascii="Arial Narrow" w:hAnsi="Arial Narrow"/>
                <w:b/>
                <w:sz w:val="20"/>
                <w:szCs w:val="20"/>
              </w:rPr>
              <w:t>Category/Program:</w:t>
            </w: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Section 100 – Highly Specialised Drugs Program {Community Access}</w:t>
            </w:r>
          </w:p>
        </w:tc>
      </w:tr>
      <w:tr w:rsidR="0058053F" w:rsidRPr="001D4EB9" w:rsidTr="00DD09F9">
        <w:trPr>
          <w:cantSplit/>
          <w:trHeight w:val="163"/>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Prescriber type:</w:t>
            </w: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1"/>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Dental  </w:t>
            </w:r>
            <w:r w:rsidRPr="001D4EB9">
              <w:rPr>
                <w:rFonts w:ascii="Arial Narrow" w:hAnsi="Arial Narrow"/>
                <w:sz w:val="20"/>
                <w:szCs w:val="20"/>
              </w:rPr>
              <w:fldChar w:fldCharType="begin">
                <w:ffData>
                  <w:name w:val=""/>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Medical Practitioners  </w:t>
            </w:r>
            <w:r w:rsidRPr="001D4EB9">
              <w:rPr>
                <w:rFonts w:ascii="Arial Narrow" w:hAnsi="Arial Narrow"/>
                <w:sz w:val="20"/>
                <w:szCs w:val="20"/>
              </w:rPr>
              <w:fldChar w:fldCharType="begin">
                <w:ffData>
                  <w:name w:val=""/>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Nurse practitioners  </w:t>
            </w:r>
            <w:r w:rsidRPr="001D4EB9">
              <w:rPr>
                <w:rFonts w:ascii="Arial Narrow" w:hAnsi="Arial Narrow"/>
                <w:sz w:val="20"/>
                <w:szCs w:val="20"/>
              </w:rPr>
              <w:fldChar w:fldCharType="begin">
                <w:ffData>
                  <w:name w:val=""/>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 xml:space="preserve">Optometrists </w:t>
            </w:r>
            <w:r w:rsidRPr="001D4EB9">
              <w:rPr>
                <w:rFonts w:ascii="Arial Narrow" w:hAnsi="Arial Narrow"/>
                <w:sz w:val="20"/>
                <w:szCs w:val="20"/>
              </w:rPr>
              <w:fldChar w:fldCharType="begin">
                <w:ffData>
                  <w:name w:val="Check5"/>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Midwives</w:t>
            </w:r>
          </w:p>
        </w:tc>
      </w:tr>
      <w:tr w:rsidR="0058053F" w:rsidRPr="001D4EB9" w:rsidTr="00DD09F9">
        <w:trPr>
          <w:cantSplit/>
          <w:trHeight w:val="195"/>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Condition:</w:t>
            </w: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HIV infection</w:t>
            </w:r>
          </w:p>
        </w:tc>
      </w:tr>
      <w:tr w:rsidR="0058053F" w:rsidRPr="001D4EB9" w:rsidTr="00DD09F9">
        <w:trPr>
          <w:cantSplit/>
          <w:trHeight w:val="241"/>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PBS Indication:</w:t>
            </w: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HIV infection</w:t>
            </w:r>
          </w:p>
        </w:tc>
      </w:tr>
      <w:tr w:rsidR="0058053F" w:rsidRPr="001D4EB9" w:rsidTr="00DD09F9">
        <w:trPr>
          <w:cantSplit/>
          <w:trHeight w:val="53"/>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Treatment phase:</w:t>
            </w: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Continuing treatment</w:t>
            </w:r>
          </w:p>
        </w:tc>
      </w:tr>
      <w:tr w:rsidR="0058053F" w:rsidRPr="001D4EB9" w:rsidTr="0058053F">
        <w:trPr>
          <w:cantSplit/>
          <w:trHeight w:val="360"/>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DD09F9">
            <w:pPr>
              <w:widowControl/>
              <w:jc w:val="left"/>
              <w:rPr>
                <w:rFonts w:ascii="Arial Narrow" w:hAnsi="Arial Narrow"/>
                <w:b/>
                <w:sz w:val="20"/>
                <w:szCs w:val="20"/>
              </w:rPr>
            </w:pPr>
            <w:r w:rsidRPr="001D4EB9">
              <w:rPr>
                <w:rFonts w:ascii="Arial Narrow" w:hAnsi="Arial Narrow"/>
                <w:b/>
                <w:sz w:val="20"/>
                <w:szCs w:val="20"/>
              </w:rPr>
              <w:t>Restriction Level/ Method:</w:t>
            </w:r>
          </w:p>
          <w:p w:rsidR="0058053F" w:rsidRPr="001D4EB9" w:rsidRDefault="0058053F" w:rsidP="0058053F">
            <w:pPr>
              <w:widowControl/>
              <w:rPr>
                <w:rFonts w:ascii="Arial Narrow" w:hAnsi="Arial Narrow"/>
                <w:sz w:val="20"/>
                <w:szCs w:val="20"/>
              </w:rPr>
            </w:pPr>
          </w:p>
          <w:p w:rsidR="0058053F" w:rsidRPr="001D4EB9" w:rsidRDefault="0058053F" w:rsidP="0058053F">
            <w:pPr>
              <w:widowControl/>
              <w:rPr>
                <w:rFonts w:ascii="Arial Narrow" w:hAnsi="Arial Narrow"/>
                <w:sz w:val="20"/>
                <w:szCs w:val="20"/>
              </w:rPr>
            </w:pP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1"/>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Restricted benefit</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Authority Required – In Writing</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3"/>
                  <w:enabled/>
                  <w:calcOnExit w:val="0"/>
                  <w:checkBox>
                    <w:sizeAuto/>
                    <w:default w:val="0"/>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Authority Required – Telephone/Electronic/Emergency</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fldChar w:fldCharType="begin">
                <w:ffData>
                  <w:name w:val="Check5"/>
                  <w:enabled/>
                  <w:calcOnExit w:val="0"/>
                  <w:checkBox>
                    <w:sizeAuto/>
                    <w:default w:val="1"/>
                  </w:checkBox>
                </w:ffData>
              </w:fldChar>
            </w:r>
            <w:r w:rsidRPr="001D4EB9">
              <w:rPr>
                <w:rFonts w:ascii="Arial Narrow" w:hAnsi="Arial Narrow"/>
                <w:sz w:val="20"/>
                <w:szCs w:val="20"/>
              </w:rPr>
              <w:instrText xml:space="preserve"> FORMCHECKBOX </w:instrText>
            </w:r>
            <w:r w:rsidR="00E46806">
              <w:rPr>
                <w:rFonts w:ascii="Arial Narrow" w:hAnsi="Arial Narrow"/>
                <w:sz w:val="20"/>
                <w:szCs w:val="20"/>
              </w:rPr>
            </w:r>
            <w:r w:rsidR="00E46806">
              <w:rPr>
                <w:rFonts w:ascii="Arial Narrow" w:hAnsi="Arial Narrow"/>
                <w:sz w:val="20"/>
                <w:szCs w:val="20"/>
              </w:rPr>
              <w:fldChar w:fldCharType="separate"/>
            </w:r>
            <w:r w:rsidRPr="001D4EB9">
              <w:rPr>
                <w:rFonts w:ascii="Arial Narrow" w:hAnsi="Arial Narrow"/>
                <w:sz w:val="20"/>
                <w:szCs w:val="20"/>
              </w:rPr>
              <w:fldChar w:fldCharType="end"/>
            </w:r>
            <w:r w:rsidRPr="001D4EB9">
              <w:rPr>
                <w:rFonts w:ascii="Arial Narrow" w:hAnsi="Arial Narrow"/>
                <w:sz w:val="20"/>
                <w:szCs w:val="20"/>
              </w:rPr>
              <w:t>Streamlined</w:t>
            </w:r>
          </w:p>
        </w:tc>
      </w:tr>
      <w:tr w:rsidR="0058053F" w:rsidRPr="001D4EB9" w:rsidTr="0058053F">
        <w:trPr>
          <w:cantSplit/>
          <w:trHeight w:val="360"/>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rPr>
                <w:rFonts w:ascii="Arial Narrow" w:hAnsi="Arial Narrow"/>
                <w:b/>
                <w:sz w:val="20"/>
                <w:szCs w:val="20"/>
              </w:rPr>
            </w:pPr>
            <w:r w:rsidRPr="001D4EB9">
              <w:rPr>
                <w:rFonts w:ascii="Arial Narrow" w:hAnsi="Arial Narrow"/>
                <w:b/>
                <w:sz w:val="20"/>
                <w:szCs w:val="20"/>
              </w:rPr>
              <w:t>Treatment criteria:</w:t>
            </w:r>
          </w:p>
          <w:p w:rsidR="0058053F" w:rsidRPr="001D4EB9" w:rsidRDefault="0058053F" w:rsidP="0058053F">
            <w:pPr>
              <w:rPr>
                <w:rFonts w:ascii="Arial Narrow" w:hAnsi="Arial Narrow"/>
                <w:b/>
                <w:sz w:val="20"/>
                <w:szCs w:val="20"/>
              </w:rPr>
            </w:pP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rPr>
                <w:rFonts w:ascii="Arial Narrow" w:hAnsi="Arial Narrow"/>
                <w:sz w:val="20"/>
                <w:szCs w:val="20"/>
              </w:rPr>
            </w:pPr>
            <w:r w:rsidRPr="001D4EB9">
              <w:rPr>
                <w:rFonts w:ascii="Arial Narrow" w:hAnsi="Arial Narrow"/>
                <w:sz w:val="20"/>
                <w:szCs w:val="20"/>
              </w:rPr>
              <w:t xml:space="preserve">Must be treated by a medical practitioner or an authorised nurse practitioner in consultation with a medical practitioner. </w:t>
            </w:r>
          </w:p>
        </w:tc>
      </w:tr>
      <w:tr w:rsidR="0058053F" w:rsidRPr="001D4EB9" w:rsidTr="0058053F">
        <w:trPr>
          <w:cantSplit/>
          <w:trHeight w:val="657"/>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Clinical criteria:</w:t>
            </w:r>
          </w:p>
          <w:p w:rsidR="0058053F" w:rsidRPr="001D4EB9" w:rsidRDefault="0058053F" w:rsidP="0058053F">
            <w:pPr>
              <w:widowControl/>
              <w:rPr>
                <w:rFonts w:ascii="Arial Narrow" w:hAnsi="Arial Narrow"/>
                <w:b/>
                <w:sz w:val="20"/>
                <w:szCs w:val="20"/>
              </w:rPr>
            </w:pP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Patient must have previously received PBS-subsidised therapy for HIV infection</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t>AND</w:t>
            </w:r>
          </w:p>
          <w:p w:rsidR="0058053F" w:rsidRPr="001D4EB9" w:rsidRDefault="0058053F" w:rsidP="0058053F">
            <w:pPr>
              <w:widowControl/>
              <w:rPr>
                <w:rFonts w:ascii="Arial Narrow" w:hAnsi="Arial Narrow"/>
                <w:sz w:val="20"/>
                <w:szCs w:val="20"/>
              </w:rPr>
            </w:pPr>
            <w:r w:rsidRPr="001D4EB9">
              <w:rPr>
                <w:rFonts w:ascii="Arial Narrow" w:hAnsi="Arial Narrow"/>
                <w:sz w:val="20"/>
                <w:szCs w:val="20"/>
              </w:rPr>
              <w:t>The treatment must not be in combination with ritonavir</w:t>
            </w:r>
          </w:p>
        </w:tc>
      </w:tr>
      <w:tr w:rsidR="0058053F" w:rsidRPr="001D4EB9" w:rsidTr="0058053F">
        <w:trPr>
          <w:cantSplit/>
          <w:trHeight w:val="360"/>
        </w:trPr>
        <w:tc>
          <w:tcPr>
            <w:tcW w:w="1843"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b/>
                <w:sz w:val="20"/>
                <w:szCs w:val="20"/>
              </w:rPr>
            </w:pPr>
            <w:r w:rsidRPr="001D4EB9">
              <w:rPr>
                <w:rFonts w:ascii="Arial Narrow" w:hAnsi="Arial Narrow"/>
                <w:b/>
                <w:sz w:val="20"/>
                <w:szCs w:val="20"/>
              </w:rPr>
              <w:t>Administrative Advice:</w:t>
            </w:r>
          </w:p>
        </w:tc>
        <w:tc>
          <w:tcPr>
            <w:tcW w:w="7376" w:type="dxa"/>
            <w:tcBorders>
              <w:top w:val="single" w:sz="4" w:space="0" w:color="auto"/>
              <w:left w:val="single" w:sz="4" w:space="0" w:color="auto"/>
              <w:bottom w:val="single" w:sz="4" w:space="0" w:color="auto"/>
              <w:right w:val="single" w:sz="4" w:space="0" w:color="auto"/>
            </w:tcBorders>
          </w:tcPr>
          <w:p w:rsidR="0058053F" w:rsidRPr="001D4EB9" w:rsidRDefault="0058053F" w:rsidP="0058053F">
            <w:pPr>
              <w:widowControl/>
              <w:rPr>
                <w:rFonts w:ascii="Arial Narrow" w:hAnsi="Arial Narrow"/>
                <w:sz w:val="20"/>
                <w:szCs w:val="20"/>
              </w:rPr>
            </w:pPr>
            <w:r w:rsidRPr="001D4EB9">
              <w:rPr>
                <w:rFonts w:ascii="Arial Narrow" w:hAnsi="Arial Narrow"/>
                <w:sz w:val="20"/>
                <w:szCs w:val="20"/>
              </w:rPr>
              <w:t>The cobicistat component of the darunavir + cobicistat combination product provides the necessary pharmacokinetic enhancement of darunavir to achieve therapeutic levels of darunavir.</w:t>
            </w:r>
          </w:p>
        </w:tc>
      </w:tr>
    </w:tbl>
    <w:p w:rsidR="00020FAF" w:rsidRPr="001D4EB9" w:rsidRDefault="00020FAF" w:rsidP="00621014">
      <w:pPr>
        <w:widowControl/>
        <w:rPr>
          <w:rFonts w:asciiTheme="minorHAnsi" w:hAnsiTheme="minorHAnsi" w:cstheme="minorHAnsi"/>
          <w:color w:val="0070C0"/>
          <w:u w:val="single"/>
        </w:rPr>
      </w:pPr>
    </w:p>
    <w:p w:rsidR="004D6976" w:rsidRPr="004D6976" w:rsidRDefault="00F81603" w:rsidP="004D6976">
      <w:pPr>
        <w:pStyle w:val="Bodytextitalics"/>
        <w:tabs>
          <w:tab w:val="clear" w:pos="360"/>
          <w:tab w:val="left" w:pos="720"/>
        </w:tabs>
        <w:rPr>
          <w:rFonts w:eastAsia="Calibri"/>
          <w:u w:val="single"/>
        </w:rPr>
      </w:pPr>
      <w:r w:rsidRPr="001D4EB9">
        <w:t>This restriction may be subject to further review. Should there be any changes made to the restriction the Sponsor will be informed.</w:t>
      </w:r>
      <w:bookmarkEnd w:id="0"/>
      <w:bookmarkEnd w:id="1"/>
      <w:bookmarkEnd w:id="2"/>
      <w:bookmarkEnd w:id="3"/>
      <w:bookmarkEnd w:id="4"/>
      <w:bookmarkEnd w:id="28"/>
      <w:r w:rsidR="00CF71F5" w:rsidRPr="001D4EB9">
        <w:rPr>
          <w:rFonts w:eastAsia="Calibri"/>
          <w:u w:val="single"/>
        </w:rPr>
        <w:t xml:space="preserve"> </w:t>
      </w:r>
    </w:p>
    <w:p w:rsidR="004D6976" w:rsidRPr="004D6976" w:rsidRDefault="004D6976" w:rsidP="004D6976">
      <w:pPr>
        <w:keepNext/>
        <w:widowControl/>
        <w:numPr>
          <w:ilvl w:val="0"/>
          <w:numId w:val="1"/>
        </w:numPr>
        <w:spacing w:before="240" w:after="120"/>
        <w:outlineLvl w:val="0"/>
        <w:rPr>
          <w:rFonts w:asciiTheme="minorHAnsi" w:hAnsiTheme="minorHAnsi"/>
          <w:b/>
          <w:bCs/>
          <w:sz w:val="32"/>
        </w:rPr>
      </w:pPr>
      <w:r w:rsidRPr="004D6976">
        <w:rPr>
          <w:rFonts w:asciiTheme="minorHAnsi" w:hAnsiTheme="minorHAnsi"/>
          <w:b/>
          <w:bCs/>
          <w:sz w:val="32"/>
        </w:rPr>
        <w:t>Context for Decision</w:t>
      </w:r>
    </w:p>
    <w:p w:rsidR="002C5099" w:rsidRPr="004D6976" w:rsidRDefault="002919F3" w:rsidP="004D6976">
      <w:pPr>
        <w:widowControl/>
        <w:spacing w:line="276" w:lineRule="auto"/>
        <w:rPr>
          <w:rFonts w:asciiTheme="minorHAnsi" w:eastAsiaTheme="minorHAnsi" w:hAnsiTheme="minorHAnsi"/>
          <w:snapToGrid/>
        </w:rPr>
      </w:pPr>
      <w:r w:rsidRPr="002919F3">
        <w:rPr>
          <w:rFonts w:asciiTheme="minorHAnsi" w:eastAsiaTheme="minorHAnsi" w:hAnsiTheme="minorHAnsi"/>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D6976" w:rsidRPr="004D6976" w:rsidRDefault="004D6976" w:rsidP="004D6976">
      <w:pPr>
        <w:keepNext/>
        <w:widowControl/>
        <w:numPr>
          <w:ilvl w:val="0"/>
          <w:numId w:val="1"/>
        </w:numPr>
        <w:spacing w:before="240" w:after="120"/>
        <w:outlineLvl w:val="0"/>
        <w:rPr>
          <w:rFonts w:asciiTheme="minorHAnsi" w:hAnsiTheme="minorHAnsi"/>
          <w:b/>
          <w:bCs/>
          <w:sz w:val="32"/>
        </w:rPr>
      </w:pPr>
      <w:r w:rsidRPr="004D6976">
        <w:rPr>
          <w:rFonts w:asciiTheme="minorHAnsi" w:hAnsiTheme="minorHAnsi"/>
          <w:b/>
          <w:bCs/>
          <w:sz w:val="32"/>
        </w:rPr>
        <w:lastRenderedPageBreak/>
        <w:t>Sponsor’s Comment</w:t>
      </w:r>
    </w:p>
    <w:p w:rsidR="004D6976" w:rsidRPr="007B69BC" w:rsidRDefault="004D6976" w:rsidP="007B69BC">
      <w:pPr>
        <w:widowControl/>
        <w:spacing w:after="120" w:line="276" w:lineRule="auto"/>
        <w:rPr>
          <w:rFonts w:asciiTheme="minorHAnsi" w:eastAsiaTheme="minorHAnsi" w:hAnsiTheme="minorHAnsi"/>
          <w:bCs/>
          <w:snapToGrid/>
        </w:rPr>
      </w:pPr>
      <w:r w:rsidRPr="004D6976">
        <w:rPr>
          <w:rFonts w:asciiTheme="minorHAnsi" w:eastAsiaTheme="minorHAnsi" w:hAnsiTheme="minorHAnsi"/>
          <w:bCs/>
          <w:snapToGrid/>
        </w:rPr>
        <w:t>The sponsor had no comment.</w:t>
      </w:r>
    </w:p>
    <w:sectPr w:rsidR="004D6976" w:rsidRPr="007B69BC" w:rsidSect="00E2135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B6" w:rsidRDefault="00940AB6" w:rsidP="00124A51">
      <w:r>
        <w:separator/>
      </w:r>
    </w:p>
    <w:p w:rsidR="00940AB6" w:rsidRDefault="00940AB6"/>
  </w:endnote>
  <w:endnote w:type="continuationSeparator" w:id="0">
    <w:p w:rsidR="00940AB6" w:rsidRDefault="00940AB6" w:rsidP="00124A51">
      <w:r>
        <w:continuationSeparator/>
      </w:r>
    </w:p>
    <w:p w:rsidR="00940AB6" w:rsidRDefault="0094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F" w:rsidRDefault="00933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56" w:rsidRDefault="00743656" w:rsidP="00290780">
    <w:pPr>
      <w:ind w:right="360"/>
      <w:jc w:val="center"/>
      <w:rPr>
        <w:szCs w:val="24"/>
      </w:rPr>
    </w:pPr>
  </w:p>
  <w:p w:rsidR="00743656" w:rsidRPr="00290780" w:rsidRDefault="00743656" w:rsidP="004C41D7">
    <w:pPr>
      <w:ind w:right="360"/>
      <w:jc w:val="center"/>
      <w:rPr>
        <w:szCs w:val="24"/>
      </w:rPr>
    </w:pPr>
    <w:r w:rsidRPr="00836F75">
      <w:rPr>
        <w:b/>
      </w:rPr>
      <w:fldChar w:fldCharType="begin"/>
    </w:r>
    <w:r w:rsidRPr="00836F75">
      <w:rPr>
        <w:b/>
      </w:rPr>
      <w:instrText xml:space="preserve"> PAGE   \* MERGEFORMAT </w:instrText>
    </w:r>
    <w:r w:rsidRPr="00836F75">
      <w:rPr>
        <w:b/>
      </w:rPr>
      <w:fldChar w:fldCharType="separate"/>
    </w:r>
    <w:r w:rsidR="00E46806">
      <w:rPr>
        <w:b/>
        <w:noProof/>
      </w:rPr>
      <w:t>20</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F" w:rsidRDefault="0093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B6" w:rsidRDefault="00940AB6" w:rsidP="00124A51">
      <w:r>
        <w:separator/>
      </w:r>
    </w:p>
    <w:p w:rsidR="00940AB6" w:rsidRDefault="00940AB6"/>
  </w:footnote>
  <w:footnote w:type="continuationSeparator" w:id="0">
    <w:p w:rsidR="00940AB6" w:rsidRDefault="00940AB6" w:rsidP="00124A51">
      <w:r>
        <w:continuationSeparator/>
      </w:r>
    </w:p>
    <w:p w:rsidR="00940AB6" w:rsidRDefault="00940AB6"/>
  </w:footnote>
  <w:footnote w:id="1">
    <w:p w:rsidR="00743656" w:rsidRDefault="00743656">
      <w:pPr>
        <w:pStyle w:val="FootnoteText"/>
      </w:pPr>
      <w:r>
        <w:rPr>
          <w:rStyle w:val="FootnoteReference"/>
        </w:rPr>
        <w:footnoteRef/>
      </w:r>
      <w:r>
        <w:t xml:space="preserve"> </w:t>
      </w:r>
      <w:r w:rsidRPr="004C2BD1">
        <w:t xml:space="preserve">Lennox, J. L., Landovitz, R. J., </w:t>
      </w:r>
      <w:r>
        <w:rPr>
          <w:i/>
        </w:rPr>
        <w:t xml:space="preserve">et </w:t>
      </w:r>
      <w:r w:rsidRPr="004C2BD1">
        <w:t>al</w:t>
      </w:r>
      <w:r>
        <w:t xml:space="preserve"> (</w:t>
      </w:r>
      <w:r w:rsidRPr="004C2BD1">
        <w:t>ACTG A5257 Team</w:t>
      </w:r>
      <w:r>
        <w:t>)</w:t>
      </w:r>
      <w:r w:rsidRPr="004C2BD1">
        <w:t xml:space="preserve"> (2014). Efficacy and tolerability of 3 nonnucleoside reverse transcriptase inhibitor-sparing antiretroviral regimens for treatment-naive volunteers infected with HIV-1: a randomized, controlled equivalence trial. Annals of internal medicine, 161(7), 461–471. doi:10.7326/M14-1084</w:t>
      </w:r>
    </w:p>
  </w:footnote>
  <w:footnote w:id="2">
    <w:p w:rsidR="00743656" w:rsidRPr="00765A45" w:rsidRDefault="00743656">
      <w:pPr>
        <w:pStyle w:val="FootnoteText"/>
        <w:rPr>
          <w:lang w:val="en-US"/>
        </w:rPr>
      </w:pPr>
      <w:r>
        <w:rPr>
          <w:rStyle w:val="FootnoteReference"/>
        </w:rPr>
        <w:footnoteRef/>
      </w:r>
      <w:r>
        <w:t xml:space="preserve"> </w:t>
      </w:r>
      <w:r>
        <w:rPr>
          <w:lang w:val="en-US"/>
        </w:rPr>
        <w:t xml:space="preserve">Australasian Society for HIV, Viral Hepatitis and Sexual Health Medicine (ASHM) (2019). </w:t>
      </w:r>
      <w:r>
        <w:rPr>
          <w:i/>
          <w:lang w:val="en-US"/>
        </w:rPr>
        <w:t>Antiretroviral Guidelines: US DHHS Guidelines with Australian Commentary.</w:t>
      </w:r>
      <w:r>
        <w:rPr>
          <w:lang w:val="en-US"/>
        </w:rPr>
        <w:t xml:space="preserve"> Current version October 25, 2018. Accessed 6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F" w:rsidRDefault="00933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56" w:rsidRPr="00056684" w:rsidRDefault="00073A98" w:rsidP="004C41D7">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00743656" w:rsidRPr="00056684">
      <w:rPr>
        <w:rFonts w:asciiTheme="minorHAnsi" w:hAnsiTheme="minorHAnsi"/>
        <w:i/>
        <w:color w:val="808080"/>
      </w:rPr>
      <w:t xml:space="preserve">– </w:t>
    </w:r>
    <w:r w:rsidR="00743656">
      <w:rPr>
        <w:rFonts w:asciiTheme="minorHAnsi" w:hAnsiTheme="minorHAnsi"/>
        <w:i/>
        <w:color w:val="808080"/>
      </w:rPr>
      <w:t>November 2019</w:t>
    </w:r>
    <w:r w:rsidR="00743656" w:rsidRPr="00056684">
      <w:rPr>
        <w:rFonts w:asciiTheme="minorHAnsi" w:hAnsiTheme="minorHAnsi"/>
        <w:i/>
        <w:color w:val="808080"/>
      </w:rPr>
      <w:t xml:space="preserve"> PBAC Meeting</w:t>
    </w:r>
  </w:p>
  <w:p w:rsidR="00743656" w:rsidRDefault="0074365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F" w:rsidRDefault="0093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661DD"/>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148A9"/>
    <w:multiLevelType w:val="hybridMultilevel"/>
    <w:tmpl w:val="65C25A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F63D1A"/>
    <w:multiLevelType w:val="hybridMultilevel"/>
    <w:tmpl w:val="9234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86AB5"/>
    <w:multiLevelType w:val="hybridMultilevel"/>
    <w:tmpl w:val="EF7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A32A4"/>
    <w:multiLevelType w:val="hybridMultilevel"/>
    <w:tmpl w:val="E030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323F9"/>
    <w:multiLevelType w:val="hybridMultilevel"/>
    <w:tmpl w:val="6DC0F74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53638"/>
    <w:multiLevelType w:val="hybridMultilevel"/>
    <w:tmpl w:val="3518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058E1"/>
    <w:multiLevelType w:val="hybridMultilevel"/>
    <w:tmpl w:val="D7B036A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147B5"/>
    <w:multiLevelType w:val="hybridMultilevel"/>
    <w:tmpl w:val="4B0463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FA59E3"/>
    <w:multiLevelType w:val="hybridMultilevel"/>
    <w:tmpl w:val="50AAE2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9F04DD9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5064A3"/>
    <w:multiLevelType w:val="hybridMultilevel"/>
    <w:tmpl w:val="08480B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9"/>
  </w:num>
  <w:num w:numId="2">
    <w:abstractNumId w:val="12"/>
  </w:num>
  <w:num w:numId="3">
    <w:abstractNumId w:val="10"/>
  </w:num>
  <w:num w:numId="4">
    <w:abstractNumId w:val="13"/>
  </w:num>
  <w:num w:numId="5">
    <w:abstractNumId w:val="14"/>
  </w:num>
  <w:num w:numId="6">
    <w:abstractNumId w:val="11"/>
  </w:num>
  <w:num w:numId="7">
    <w:abstractNumId w:val="9"/>
  </w:num>
  <w:num w:numId="8">
    <w:abstractNumId w:val="20"/>
  </w:num>
  <w:num w:numId="9">
    <w:abstractNumId w:val="5"/>
  </w:num>
  <w:num w:numId="10">
    <w:abstractNumId w:val="1"/>
  </w:num>
  <w:num w:numId="11">
    <w:abstractNumId w:val="7"/>
  </w:num>
  <w:num w:numId="12">
    <w:abstractNumId w:val="15"/>
  </w:num>
  <w:num w:numId="13">
    <w:abstractNumId w:val="16"/>
  </w:num>
  <w:num w:numId="14">
    <w:abstractNumId w:val="2"/>
  </w:num>
  <w:num w:numId="15">
    <w:abstractNumId w:val="0"/>
  </w:num>
  <w:num w:numId="16">
    <w:abstractNumId w:val="6"/>
  </w:num>
  <w:num w:numId="17">
    <w:abstractNumId w:val="8"/>
  </w:num>
  <w:num w:numId="18">
    <w:abstractNumId w:val="4"/>
  </w:num>
  <w:num w:numId="19">
    <w:abstractNumId w:val="3"/>
  </w:num>
  <w:num w:numId="20">
    <w:abstractNumId w:val="18"/>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12C96"/>
    <w:rsid w:val="00013247"/>
    <w:rsid w:val="00013772"/>
    <w:rsid w:val="00015886"/>
    <w:rsid w:val="000162EF"/>
    <w:rsid w:val="00016855"/>
    <w:rsid w:val="00020FAF"/>
    <w:rsid w:val="00021A65"/>
    <w:rsid w:val="0002225F"/>
    <w:rsid w:val="00023763"/>
    <w:rsid w:val="00026EC3"/>
    <w:rsid w:val="00030FA7"/>
    <w:rsid w:val="000311B3"/>
    <w:rsid w:val="00033863"/>
    <w:rsid w:val="00034C04"/>
    <w:rsid w:val="00035DC0"/>
    <w:rsid w:val="00036829"/>
    <w:rsid w:val="00040895"/>
    <w:rsid w:val="00042D8F"/>
    <w:rsid w:val="00043C37"/>
    <w:rsid w:val="00045017"/>
    <w:rsid w:val="00045A2B"/>
    <w:rsid w:val="0004698F"/>
    <w:rsid w:val="000539D0"/>
    <w:rsid w:val="00054621"/>
    <w:rsid w:val="000546D7"/>
    <w:rsid w:val="000612C0"/>
    <w:rsid w:val="000620A2"/>
    <w:rsid w:val="00066360"/>
    <w:rsid w:val="0007029D"/>
    <w:rsid w:val="00071248"/>
    <w:rsid w:val="000720B9"/>
    <w:rsid w:val="00073320"/>
    <w:rsid w:val="000737F7"/>
    <w:rsid w:val="00073A98"/>
    <w:rsid w:val="0007672F"/>
    <w:rsid w:val="000774F0"/>
    <w:rsid w:val="00080909"/>
    <w:rsid w:val="000812CA"/>
    <w:rsid w:val="0008258D"/>
    <w:rsid w:val="00083E99"/>
    <w:rsid w:val="000856C5"/>
    <w:rsid w:val="00085B2A"/>
    <w:rsid w:val="00090C7E"/>
    <w:rsid w:val="000914AE"/>
    <w:rsid w:val="00092600"/>
    <w:rsid w:val="0009262B"/>
    <w:rsid w:val="00093310"/>
    <w:rsid w:val="0009445C"/>
    <w:rsid w:val="00095FE5"/>
    <w:rsid w:val="00096284"/>
    <w:rsid w:val="0009799F"/>
    <w:rsid w:val="000A35DB"/>
    <w:rsid w:val="000A4D73"/>
    <w:rsid w:val="000A7D08"/>
    <w:rsid w:val="000B0670"/>
    <w:rsid w:val="000B0E75"/>
    <w:rsid w:val="000B3394"/>
    <w:rsid w:val="000B6CAC"/>
    <w:rsid w:val="000B7612"/>
    <w:rsid w:val="000B7A3C"/>
    <w:rsid w:val="000C0B34"/>
    <w:rsid w:val="000C3DF9"/>
    <w:rsid w:val="000C6713"/>
    <w:rsid w:val="000C77DA"/>
    <w:rsid w:val="000D0252"/>
    <w:rsid w:val="000D1BFC"/>
    <w:rsid w:val="000D281A"/>
    <w:rsid w:val="000D326A"/>
    <w:rsid w:val="000D51FB"/>
    <w:rsid w:val="000E135D"/>
    <w:rsid w:val="000E7048"/>
    <w:rsid w:val="000F00BA"/>
    <w:rsid w:val="000F316A"/>
    <w:rsid w:val="000F3C74"/>
    <w:rsid w:val="000F4BB8"/>
    <w:rsid w:val="000F5447"/>
    <w:rsid w:val="000F7127"/>
    <w:rsid w:val="00100063"/>
    <w:rsid w:val="00100F8A"/>
    <w:rsid w:val="0010463E"/>
    <w:rsid w:val="00105AE2"/>
    <w:rsid w:val="00106B80"/>
    <w:rsid w:val="0011032E"/>
    <w:rsid w:val="0011348B"/>
    <w:rsid w:val="00115982"/>
    <w:rsid w:val="00116C53"/>
    <w:rsid w:val="00121799"/>
    <w:rsid w:val="001222FC"/>
    <w:rsid w:val="001229B3"/>
    <w:rsid w:val="00124A51"/>
    <w:rsid w:val="00126621"/>
    <w:rsid w:val="00127F53"/>
    <w:rsid w:val="001301E9"/>
    <w:rsid w:val="00131D82"/>
    <w:rsid w:val="0013307A"/>
    <w:rsid w:val="00133D36"/>
    <w:rsid w:val="00137645"/>
    <w:rsid w:val="0014015A"/>
    <w:rsid w:val="00140E99"/>
    <w:rsid w:val="0014445D"/>
    <w:rsid w:val="00145540"/>
    <w:rsid w:val="001456B0"/>
    <w:rsid w:val="001472B4"/>
    <w:rsid w:val="00147381"/>
    <w:rsid w:val="00151640"/>
    <w:rsid w:val="00151B40"/>
    <w:rsid w:val="00153B7C"/>
    <w:rsid w:val="00157130"/>
    <w:rsid w:val="001576B1"/>
    <w:rsid w:val="00160A4C"/>
    <w:rsid w:val="00162913"/>
    <w:rsid w:val="00163EFF"/>
    <w:rsid w:val="001661FB"/>
    <w:rsid w:val="001703A0"/>
    <w:rsid w:val="00173565"/>
    <w:rsid w:val="00173B07"/>
    <w:rsid w:val="00181D9C"/>
    <w:rsid w:val="00182E6E"/>
    <w:rsid w:val="00187359"/>
    <w:rsid w:val="0018752F"/>
    <w:rsid w:val="00191815"/>
    <w:rsid w:val="00193F47"/>
    <w:rsid w:val="00195222"/>
    <w:rsid w:val="00196174"/>
    <w:rsid w:val="001975D8"/>
    <w:rsid w:val="001A43FA"/>
    <w:rsid w:val="001A4CE3"/>
    <w:rsid w:val="001A59FB"/>
    <w:rsid w:val="001A6354"/>
    <w:rsid w:val="001A7509"/>
    <w:rsid w:val="001A7AE8"/>
    <w:rsid w:val="001B204E"/>
    <w:rsid w:val="001B3443"/>
    <w:rsid w:val="001B376F"/>
    <w:rsid w:val="001B4D20"/>
    <w:rsid w:val="001C2713"/>
    <w:rsid w:val="001C2A9B"/>
    <w:rsid w:val="001C4299"/>
    <w:rsid w:val="001C57F9"/>
    <w:rsid w:val="001C5F94"/>
    <w:rsid w:val="001C6E66"/>
    <w:rsid w:val="001D23A9"/>
    <w:rsid w:val="001D4EB9"/>
    <w:rsid w:val="001E238E"/>
    <w:rsid w:val="001E2483"/>
    <w:rsid w:val="001E2668"/>
    <w:rsid w:val="001E2B1E"/>
    <w:rsid w:val="001E30D4"/>
    <w:rsid w:val="001E52EB"/>
    <w:rsid w:val="001E61D2"/>
    <w:rsid w:val="001E740C"/>
    <w:rsid w:val="001F0292"/>
    <w:rsid w:val="001F1235"/>
    <w:rsid w:val="001F1CB3"/>
    <w:rsid w:val="001F38B5"/>
    <w:rsid w:val="001F67D5"/>
    <w:rsid w:val="001F7361"/>
    <w:rsid w:val="001F79D2"/>
    <w:rsid w:val="002011B0"/>
    <w:rsid w:val="00203181"/>
    <w:rsid w:val="00203626"/>
    <w:rsid w:val="00203783"/>
    <w:rsid w:val="0020385F"/>
    <w:rsid w:val="00203BD2"/>
    <w:rsid w:val="00203DFB"/>
    <w:rsid w:val="00207021"/>
    <w:rsid w:val="0020732F"/>
    <w:rsid w:val="00207D00"/>
    <w:rsid w:val="002105C1"/>
    <w:rsid w:val="00210916"/>
    <w:rsid w:val="0021114C"/>
    <w:rsid w:val="00223197"/>
    <w:rsid w:val="00223B49"/>
    <w:rsid w:val="00224DD4"/>
    <w:rsid w:val="002261E8"/>
    <w:rsid w:val="00226939"/>
    <w:rsid w:val="002309CC"/>
    <w:rsid w:val="0023209F"/>
    <w:rsid w:val="002323A8"/>
    <w:rsid w:val="0023629D"/>
    <w:rsid w:val="00236C0C"/>
    <w:rsid w:val="00237255"/>
    <w:rsid w:val="002372D9"/>
    <w:rsid w:val="002424AF"/>
    <w:rsid w:val="002439DC"/>
    <w:rsid w:val="00243D8E"/>
    <w:rsid w:val="00244DC8"/>
    <w:rsid w:val="002458BA"/>
    <w:rsid w:val="0024636C"/>
    <w:rsid w:val="00247925"/>
    <w:rsid w:val="002514E1"/>
    <w:rsid w:val="0025184C"/>
    <w:rsid w:val="00254DCF"/>
    <w:rsid w:val="0025534B"/>
    <w:rsid w:val="00255BB7"/>
    <w:rsid w:val="00257541"/>
    <w:rsid w:val="00257763"/>
    <w:rsid w:val="002625CB"/>
    <w:rsid w:val="00262A1A"/>
    <w:rsid w:val="00262A87"/>
    <w:rsid w:val="00263CD2"/>
    <w:rsid w:val="00264D26"/>
    <w:rsid w:val="00266EE5"/>
    <w:rsid w:val="00267642"/>
    <w:rsid w:val="00267AEA"/>
    <w:rsid w:val="002700E6"/>
    <w:rsid w:val="00270171"/>
    <w:rsid w:val="0027222C"/>
    <w:rsid w:val="0027294B"/>
    <w:rsid w:val="002736B7"/>
    <w:rsid w:val="00275C5A"/>
    <w:rsid w:val="00281014"/>
    <w:rsid w:val="00283828"/>
    <w:rsid w:val="00285042"/>
    <w:rsid w:val="00285BE6"/>
    <w:rsid w:val="00290160"/>
    <w:rsid w:val="00290780"/>
    <w:rsid w:val="002919F3"/>
    <w:rsid w:val="00291B4B"/>
    <w:rsid w:val="00294F36"/>
    <w:rsid w:val="002A0BFB"/>
    <w:rsid w:val="002A14AB"/>
    <w:rsid w:val="002A2F50"/>
    <w:rsid w:val="002A53B4"/>
    <w:rsid w:val="002A75CC"/>
    <w:rsid w:val="002B09A4"/>
    <w:rsid w:val="002B1C1F"/>
    <w:rsid w:val="002B432F"/>
    <w:rsid w:val="002B4391"/>
    <w:rsid w:val="002B62B3"/>
    <w:rsid w:val="002B6754"/>
    <w:rsid w:val="002B6CCE"/>
    <w:rsid w:val="002C21E5"/>
    <w:rsid w:val="002C24ED"/>
    <w:rsid w:val="002C2510"/>
    <w:rsid w:val="002C2775"/>
    <w:rsid w:val="002C27C1"/>
    <w:rsid w:val="002C46EF"/>
    <w:rsid w:val="002C4A14"/>
    <w:rsid w:val="002C5099"/>
    <w:rsid w:val="002C5889"/>
    <w:rsid w:val="002C71CE"/>
    <w:rsid w:val="002D2CC4"/>
    <w:rsid w:val="002D577C"/>
    <w:rsid w:val="002E0DB0"/>
    <w:rsid w:val="002E15B9"/>
    <w:rsid w:val="002E1703"/>
    <w:rsid w:val="002E2158"/>
    <w:rsid w:val="002E2953"/>
    <w:rsid w:val="002E7722"/>
    <w:rsid w:val="002E7900"/>
    <w:rsid w:val="002F07BA"/>
    <w:rsid w:val="002F0C48"/>
    <w:rsid w:val="002F0DA9"/>
    <w:rsid w:val="002F643C"/>
    <w:rsid w:val="002F71C0"/>
    <w:rsid w:val="00301017"/>
    <w:rsid w:val="0030155F"/>
    <w:rsid w:val="0030587B"/>
    <w:rsid w:val="00306D98"/>
    <w:rsid w:val="0030786C"/>
    <w:rsid w:val="0031031A"/>
    <w:rsid w:val="00310981"/>
    <w:rsid w:val="00312444"/>
    <w:rsid w:val="0031448F"/>
    <w:rsid w:val="00315498"/>
    <w:rsid w:val="00317C4F"/>
    <w:rsid w:val="00320221"/>
    <w:rsid w:val="00322107"/>
    <w:rsid w:val="00322846"/>
    <w:rsid w:val="00326DA7"/>
    <w:rsid w:val="003270E4"/>
    <w:rsid w:val="00330F5C"/>
    <w:rsid w:val="00331D71"/>
    <w:rsid w:val="0033554E"/>
    <w:rsid w:val="003366C9"/>
    <w:rsid w:val="003371B0"/>
    <w:rsid w:val="00337ECC"/>
    <w:rsid w:val="00340047"/>
    <w:rsid w:val="00340DF1"/>
    <w:rsid w:val="003427AC"/>
    <w:rsid w:val="003517F9"/>
    <w:rsid w:val="003555EA"/>
    <w:rsid w:val="0035620E"/>
    <w:rsid w:val="00357E13"/>
    <w:rsid w:val="003624C4"/>
    <w:rsid w:val="00363CFF"/>
    <w:rsid w:val="003654AC"/>
    <w:rsid w:val="00366330"/>
    <w:rsid w:val="003703F3"/>
    <w:rsid w:val="003710CF"/>
    <w:rsid w:val="0037358A"/>
    <w:rsid w:val="003750F6"/>
    <w:rsid w:val="003751A7"/>
    <w:rsid w:val="003760FC"/>
    <w:rsid w:val="003767C6"/>
    <w:rsid w:val="00381C05"/>
    <w:rsid w:val="003830D9"/>
    <w:rsid w:val="0038365C"/>
    <w:rsid w:val="0038369B"/>
    <w:rsid w:val="00383B78"/>
    <w:rsid w:val="003848EC"/>
    <w:rsid w:val="00385A9D"/>
    <w:rsid w:val="003902B1"/>
    <w:rsid w:val="0039135F"/>
    <w:rsid w:val="00396080"/>
    <w:rsid w:val="00396896"/>
    <w:rsid w:val="00396FD0"/>
    <w:rsid w:val="003A1A7A"/>
    <w:rsid w:val="003A2392"/>
    <w:rsid w:val="003A2831"/>
    <w:rsid w:val="003A3ED1"/>
    <w:rsid w:val="003B1A28"/>
    <w:rsid w:val="003B2413"/>
    <w:rsid w:val="003B52D1"/>
    <w:rsid w:val="003B5B61"/>
    <w:rsid w:val="003B6FF6"/>
    <w:rsid w:val="003C078F"/>
    <w:rsid w:val="003C1654"/>
    <w:rsid w:val="003C21CC"/>
    <w:rsid w:val="003C3263"/>
    <w:rsid w:val="003C43C7"/>
    <w:rsid w:val="003C6AE3"/>
    <w:rsid w:val="003C7D19"/>
    <w:rsid w:val="003D13A4"/>
    <w:rsid w:val="003D1828"/>
    <w:rsid w:val="003D1DE4"/>
    <w:rsid w:val="003D2422"/>
    <w:rsid w:val="003D39A1"/>
    <w:rsid w:val="003D3FBF"/>
    <w:rsid w:val="003D4A30"/>
    <w:rsid w:val="003D79BB"/>
    <w:rsid w:val="003D7C98"/>
    <w:rsid w:val="003E012D"/>
    <w:rsid w:val="003E0543"/>
    <w:rsid w:val="003E1BE9"/>
    <w:rsid w:val="003E6772"/>
    <w:rsid w:val="003F0EB1"/>
    <w:rsid w:val="003F4156"/>
    <w:rsid w:val="00400B29"/>
    <w:rsid w:val="004012F0"/>
    <w:rsid w:val="0040257C"/>
    <w:rsid w:val="00404E34"/>
    <w:rsid w:val="0040504B"/>
    <w:rsid w:val="00406413"/>
    <w:rsid w:val="00410708"/>
    <w:rsid w:val="00410EC7"/>
    <w:rsid w:val="00411B39"/>
    <w:rsid w:val="00413A1E"/>
    <w:rsid w:val="00414476"/>
    <w:rsid w:val="00414C2E"/>
    <w:rsid w:val="004151CF"/>
    <w:rsid w:val="00416364"/>
    <w:rsid w:val="0041691A"/>
    <w:rsid w:val="0042001D"/>
    <w:rsid w:val="004201ED"/>
    <w:rsid w:val="00420AA6"/>
    <w:rsid w:val="00420B9F"/>
    <w:rsid w:val="00420F38"/>
    <w:rsid w:val="00421129"/>
    <w:rsid w:val="00422260"/>
    <w:rsid w:val="0042413F"/>
    <w:rsid w:val="0042656D"/>
    <w:rsid w:val="00430C6D"/>
    <w:rsid w:val="004319F8"/>
    <w:rsid w:val="00431B3D"/>
    <w:rsid w:val="00431E55"/>
    <w:rsid w:val="004321F6"/>
    <w:rsid w:val="00433044"/>
    <w:rsid w:val="0043672E"/>
    <w:rsid w:val="004373B2"/>
    <w:rsid w:val="004375B9"/>
    <w:rsid w:val="004428D0"/>
    <w:rsid w:val="00442FD6"/>
    <w:rsid w:val="004443A7"/>
    <w:rsid w:val="0044442C"/>
    <w:rsid w:val="00445941"/>
    <w:rsid w:val="004464EB"/>
    <w:rsid w:val="004478F5"/>
    <w:rsid w:val="00447D26"/>
    <w:rsid w:val="00450B83"/>
    <w:rsid w:val="0045591B"/>
    <w:rsid w:val="00455D1B"/>
    <w:rsid w:val="00455D45"/>
    <w:rsid w:val="00457330"/>
    <w:rsid w:val="00463387"/>
    <w:rsid w:val="00464595"/>
    <w:rsid w:val="00466E06"/>
    <w:rsid w:val="004723F3"/>
    <w:rsid w:val="00472A79"/>
    <w:rsid w:val="00473F19"/>
    <w:rsid w:val="0047561E"/>
    <w:rsid w:val="00475E22"/>
    <w:rsid w:val="0048088E"/>
    <w:rsid w:val="004826B4"/>
    <w:rsid w:val="00482720"/>
    <w:rsid w:val="004835E7"/>
    <w:rsid w:val="004867E2"/>
    <w:rsid w:val="00491B3A"/>
    <w:rsid w:val="0049212E"/>
    <w:rsid w:val="00492CFD"/>
    <w:rsid w:val="00493A53"/>
    <w:rsid w:val="00494DD5"/>
    <w:rsid w:val="004962D2"/>
    <w:rsid w:val="00496912"/>
    <w:rsid w:val="004A0DA1"/>
    <w:rsid w:val="004A185C"/>
    <w:rsid w:val="004A2F70"/>
    <w:rsid w:val="004A3FDD"/>
    <w:rsid w:val="004A52E9"/>
    <w:rsid w:val="004A6597"/>
    <w:rsid w:val="004A7848"/>
    <w:rsid w:val="004B1CB4"/>
    <w:rsid w:val="004B2F18"/>
    <w:rsid w:val="004B3DDB"/>
    <w:rsid w:val="004B44FD"/>
    <w:rsid w:val="004B5929"/>
    <w:rsid w:val="004B5CFC"/>
    <w:rsid w:val="004B708F"/>
    <w:rsid w:val="004B774D"/>
    <w:rsid w:val="004C09BE"/>
    <w:rsid w:val="004C2BD1"/>
    <w:rsid w:val="004C3828"/>
    <w:rsid w:val="004C3B61"/>
    <w:rsid w:val="004C41D7"/>
    <w:rsid w:val="004C4AED"/>
    <w:rsid w:val="004C5DD0"/>
    <w:rsid w:val="004D2BD5"/>
    <w:rsid w:val="004D2C2D"/>
    <w:rsid w:val="004D6976"/>
    <w:rsid w:val="004D69F9"/>
    <w:rsid w:val="004D7227"/>
    <w:rsid w:val="004E0E7F"/>
    <w:rsid w:val="004E0EB8"/>
    <w:rsid w:val="004E2ADC"/>
    <w:rsid w:val="004E43B2"/>
    <w:rsid w:val="004E44F7"/>
    <w:rsid w:val="004E526E"/>
    <w:rsid w:val="004F1D02"/>
    <w:rsid w:val="004F2679"/>
    <w:rsid w:val="004F2F21"/>
    <w:rsid w:val="004F6913"/>
    <w:rsid w:val="004F7865"/>
    <w:rsid w:val="0050219B"/>
    <w:rsid w:val="00503F17"/>
    <w:rsid w:val="00505268"/>
    <w:rsid w:val="00506928"/>
    <w:rsid w:val="00513018"/>
    <w:rsid w:val="00514EB2"/>
    <w:rsid w:val="005152B5"/>
    <w:rsid w:val="00521319"/>
    <w:rsid w:val="00522BC8"/>
    <w:rsid w:val="00523C28"/>
    <w:rsid w:val="00536F42"/>
    <w:rsid w:val="00537182"/>
    <w:rsid w:val="005375A6"/>
    <w:rsid w:val="005410F5"/>
    <w:rsid w:val="00542743"/>
    <w:rsid w:val="00542C2D"/>
    <w:rsid w:val="005449CD"/>
    <w:rsid w:val="005469F2"/>
    <w:rsid w:val="005473B0"/>
    <w:rsid w:val="00547F31"/>
    <w:rsid w:val="00551985"/>
    <w:rsid w:val="00552BD3"/>
    <w:rsid w:val="0055361C"/>
    <w:rsid w:val="00553759"/>
    <w:rsid w:val="00553816"/>
    <w:rsid w:val="00555109"/>
    <w:rsid w:val="00555FFD"/>
    <w:rsid w:val="00557795"/>
    <w:rsid w:val="00560096"/>
    <w:rsid w:val="005612C7"/>
    <w:rsid w:val="005616E3"/>
    <w:rsid w:val="005658C3"/>
    <w:rsid w:val="0056696F"/>
    <w:rsid w:val="00566A42"/>
    <w:rsid w:val="00572269"/>
    <w:rsid w:val="0057244A"/>
    <w:rsid w:val="00574F0D"/>
    <w:rsid w:val="00575D8D"/>
    <w:rsid w:val="00576390"/>
    <w:rsid w:val="00576537"/>
    <w:rsid w:val="00576972"/>
    <w:rsid w:val="0058053F"/>
    <w:rsid w:val="0058230C"/>
    <w:rsid w:val="00582973"/>
    <w:rsid w:val="00583699"/>
    <w:rsid w:val="00585CDD"/>
    <w:rsid w:val="00587058"/>
    <w:rsid w:val="00591957"/>
    <w:rsid w:val="00591B43"/>
    <w:rsid w:val="00593E92"/>
    <w:rsid w:val="00595A84"/>
    <w:rsid w:val="00597BF9"/>
    <w:rsid w:val="005A1757"/>
    <w:rsid w:val="005A373D"/>
    <w:rsid w:val="005A7067"/>
    <w:rsid w:val="005B5857"/>
    <w:rsid w:val="005C0A4B"/>
    <w:rsid w:val="005C1B83"/>
    <w:rsid w:val="005C2D55"/>
    <w:rsid w:val="005C346B"/>
    <w:rsid w:val="005C585F"/>
    <w:rsid w:val="005D044D"/>
    <w:rsid w:val="005D0ABD"/>
    <w:rsid w:val="005D18AD"/>
    <w:rsid w:val="005D26B4"/>
    <w:rsid w:val="005D489E"/>
    <w:rsid w:val="005D7BB2"/>
    <w:rsid w:val="005E6CBC"/>
    <w:rsid w:val="005E719D"/>
    <w:rsid w:val="005E73C0"/>
    <w:rsid w:val="005F013F"/>
    <w:rsid w:val="005F106E"/>
    <w:rsid w:val="005F1BDF"/>
    <w:rsid w:val="005F2706"/>
    <w:rsid w:val="005F2714"/>
    <w:rsid w:val="005F2D63"/>
    <w:rsid w:val="005F2F8A"/>
    <w:rsid w:val="005F6A8F"/>
    <w:rsid w:val="00603DB9"/>
    <w:rsid w:val="00607669"/>
    <w:rsid w:val="00607AFD"/>
    <w:rsid w:val="00612F97"/>
    <w:rsid w:val="0061345D"/>
    <w:rsid w:val="0061471F"/>
    <w:rsid w:val="00616802"/>
    <w:rsid w:val="00617E12"/>
    <w:rsid w:val="00621014"/>
    <w:rsid w:val="00621477"/>
    <w:rsid w:val="00622927"/>
    <w:rsid w:val="00623716"/>
    <w:rsid w:val="00624F1A"/>
    <w:rsid w:val="00625135"/>
    <w:rsid w:val="0063158F"/>
    <w:rsid w:val="00631D6B"/>
    <w:rsid w:val="006330A1"/>
    <w:rsid w:val="00633DD7"/>
    <w:rsid w:val="0063479F"/>
    <w:rsid w:val="006353F0"/>
    <w:rsid w:val="006364A1"/>
    <w:rsid w:val="00637BFD"/>
    <w:rsid w:val="0064168F"/>
    <w:rsid w:val="00641C4E"/>
    <w:rsid w:val="00641CB2"/>
    <w:rsid w:val="00645917"/>
    <w:rsid w:val="006471CC"/>
    <w:rsid w:val="0065079F"/>
    <w:rsid w:val="006524CE"/>
    <w:rsid w:val="0065379F"/>
    <w:rsid w:val="006609B3"/>
    <w:rsid w:val="00661B65"/>
    <w:rsid w:val="00661C6B"/>
    <w:rsid w:val="00662BDF"/>
    <w:rsid w:val="006637B7"/>
    <w:rsid w:val="00666336"/>
    <w:rsid w:val="00667FB4"/>
    <w:rsid w:val="00671189"/>
    <w:rsid w:val="00673013"/>
    <w:rsid w:val="00674E42"/>
    <w:rsid w:val="00682112"/>
    <w:rsid w:val="00683E50"/>
    <w:rsid w:val="00686957"/>
    <w:rsid w:val="006872BA"/>
    <w:rsid w:val="00691648"/>
    <w:rsid w:val="006917D7"/>
    <w:rsid w:val="00694F44"/>
    <w:rsid w:val="006A10C3"/>
    <w:rsid w:val="006A3ACE"/>
    <w:rsid w:val="006A5FBC"/>
    <w:rsid w:val="006A7E5F"/>
    <w:rsid w:val="006B1182"/>
    <w:rsid w:val="006B261B"/>
    <w:rsid w:val="006B2C90"/>
    <w:rsid w:val="006B36DE"/>
    <w:rsid w:val="006B38B5"/>
    <w:rsid w:val="006B6DD0"/>
    <w:rsid w:val="006C08FD"/>
    <w:rsid w:val="006C0D64"/>
    <w:rsid w:val="006C2A8E"/>
    <w:rsid w:val="006C3DA9"/>
    <w:rsid w:val="006D0037"/>
    <w:rsid w:val="006D11D5"/>
    <w:rsid w:val="006D39C4"/>
    <w:rsid w:val="006D3C7D"/>
    <w:rsid w:val="006D5D5F"/>
    <w:rsid w:val="006D7743"/>
    <w:rsid w:val="006E0472"/>
    <w:rsid w:val="006E3634"/>
    <w:rsid w:val="006E3DC4"/>
    <w:rsid w:val="006E5A09"/>
    <w:rsid w:val="006E65F2"/>
    <w:rsid w:val="006E750B"/>
    <w:rsid w:val="006E75EE"/>
    <w:rsid w:val="006F15B5"/>
    <w:rsid w:val="006F306C"/>
    <w:rsid w:val="006F514B"/>
    <w:rsid w:val="006F63A5"/>
    <w:rsid w:val="006F7CDD"/>
    <w:rsid w:val="0070142B"/>
    <w:rsid w:val="0070276E"/>
    <w:rsid w:val="00702F8F"/>
    <w:rsid w:val="00707041"/>
    <w:rsid w:val="00711A36"/>
    <w:rsid w:val="007150AD"/>
    <w:rsid w:val="0071529C"/>
    <w:rsid w:val="007172AD"/>
    <w:rsid w:val="00722B1B"/>
    <w:rsid w:val="0072416F"/>
    <w:rsid w:val="00724338"/>
    <w:rsid w:val="007247EE"/>
    <w:rsid w:val="00726447"/>
    <w:rsid w:val="00727C94"/>
    <w:rsid w:val="00731A20"/>
    <w:rsid w:val="00731EAE"/>
    <w:rsid w:val="0073244E"/>
    <w:rsid w:val="00735033"/>
    <w:rsid w:val="00735328"/>
    <w:rsid w:val="0073685B"/>
    <w:rsid w:val="00736E25"/>
    <w:rsid w:val="007422D9"/>
    <w:rsid w:val="00743656"/>
    <w:rsid w:val="00744C68"/>
    <w:rsid w:val="00747591"/>
    <w:rsid w:val="007520B2"/>
    <w:rsid w:val="00752142"/>
    <w:rsid w:val="007523F9"/>
    <w:rsid w:val="007573E8"/>
    <w:rsid w:val="007579C4"/>
    <w:rsid w:val="00757E77"/>
    <w:rsid w:val="00760C4E"/>
    <w:rsid w:val="00763DE7"/>
    <w:rsid w:val="00765A45"/>
    <w:rsid w:val="00765B1A"/>
    <w:rsid w:val="00765E4D"/>
    <w:rsid w:val="00771C2A"/>
    <w:rsid w:val="00773F2A"/>
    <w:rsid w:val="00777A43"/>
    <w:rsid w:val="007820BC"/>
    <w:rsid w:val="007843F2"/>
    <w:rsid w:val="007912D6"/>
    <w:rsid w:val="00792579"/>
    <w:rsid w:val="00794603"/>
    <w:rsid w:val="00794BFE"/>
    <w:rsid w:val="007961F7"/>
    <w:rsid w:val="007A0A12"/>
    <w:rsid w:val="007A132D"/>
    <w:rsid w:val="007A314F"/>
    <w:rsid w:val="007A5BB4"/>
    <w:rsid w:val="007A6FB1"/>
    <w:rsid w:val="007A744C"/>
    <w:rsid w:val="007B03F5"/>
    <w:rsid w:val="007B0D68"/>
    <w:rsid w:val="007B251D"/>
    <w:rsid w:val="007B4F58"/>
    <w:rsid w:val="007B528D"/>
    <w:rsid w:val="007B69BC"/>
    <w:rsid w:val="007B77D1"/>
    <w:rsid w:val="007C1CD9"/>
    <w:rsid w:val="007C361D"/>
    <w:rsid w:val="007C4B84"/>
    <w:rsid w:val="007D004F"/>
    <w:rsid w:val="007D0B38"/>
    <w:rsid w:val="007D1380"/>
    <w:rsid w:val="007D5440"/>
    <w:rsid w:val="007D57B0"/>
    <w:rsid w:val="007D7428"/>
    <w:rsid w:val="007E42E2"/>
    <w:rsid w:val="007E5B26"/>
    <w:rsid w:val="007E79ED"/>
    <w:rsid w:val="007F1017"/>
    <w:rsid w:val="007F1BF8"/>
    <w:rsid w:val="007F4209"/>
    <w:rsid w:val="007F4A3F"/>
    <w:rsid w:val="007F4A61"/>
    <w:rsid w:val="007F61C2"/>
    <w:rsid w:val="0080001D"/>
    <w:rsid w:val="00805142"/>
    <w:rsid w:val="00805227"/>
    <w:rsid w:val="00807A8B"/>
    <w:rsid w:val="00811383"/>
    <w:rsid w:val="00812149"/>
    <w:rsid w:val="00812CAC"/>
    <w:rsid w:val="008166EF"/>
    <w:rsid w:val="008214EA"/>
    <w:rsid w:val="00825751"/>
    <w:rsid w:val="008264EB"/>
    <w:rsid w:val="00833B05"/>
    <w:rsid w:val="008340E3"/>
    <w:rsid w:val="008362B4"/>
    <w:rsid w:val="008371D8"/>
    <w:rsid w:val="00840CA2"/>
    <w:rsid w:val="0084374F"/>
    <w:rsid w:val="0084403F"/>
    <w:rsid w:val="00847DF5"/>
    <w:rsid w:val="0085309D"/>
    <w:rsid w:val="00856897"/>
    <w:rsid w:val="00856E9A"/>
    <w:rsid w:val="00857449"/>
    <w:rsid w:val="0086075D"/>
    <w:rsid w:val="00862502"/>
    <w:rsid w:val="008632B3"/>
    <w:rsid w:val="008660D4"/>
    <w:rsid w:val="00871FA9"/>
    <w:rsid w:val="008728E9"/>
    <w:rsid w:val="00875E0E"/>
    <w:rsid w:val="00882874"/>
    <w:rsid w:val="00883787"/>
    <w:rsid w:val="00886CD2"/>
    <w:rsid w:val="00887145"/>
    <w:rsid w:val="008916A8"/>
    <w:rsid w:val="00892903"/>
    <w:rsid w:val="008929B8"/>
    <w:rsid w:val="00892A36"/>
    <w:rsid w:val="00893239"/>
    <w:rsid w:val="00894489"/>
    <w:rsid w:val="008963A5"/>
    <w:rsid w:val="008966D4"/>
    <w:rsid w:val="00896870"/>
    <w:rsid w:val="008A3363"/>
    <w:rsid w:val="008A3371"/>
    <w:rsid w:val="008A3C3E"/>
    <w:rsid w:val="008A566D"/>
    <w:rsid w:val="008A6BFA"/>
    <w:rsid w:val="008A79DE"/>
    <w:rsid w:val="008B1757"/>
    <w:rsid w:val="008B7D7E"/>
    <w:rsid w:val="008C118E"/>
    <w:rsid w:val="008C5DAC"/>
    <w:rsid w:val="008C7B28"/>
    <w:rsid w:val="008C7ECB"/>
    <w:rsid w:val="008D3ED4"/>
    <w:rsid w:val="008D4755"/>
    <w:rsid w:val="008D4C3D"/>
    <w:rsid w:val="008D554C"/>
    <w:rsid w:val="008D6FF6"/>
    <w:rsid w:val="008E0379"/>
    <w:rsid w:val="008E0D3C"/>
    <w:rsid w:val="008E1B9E"/>
    <w:rsid w:val="008E30DA"/>
    <w:rsid w:val="008E55AB"/>
    <w:rsid w:val="008E6058"/>
    <w:rsid w:val="008F0B59"/>
    <w:rsid w:val="008F120A"/>
    <w:rsid w:val="008F27E0"/>
    <w:rsid w:val="008F2D45"/>
    <w:rsid w:val="008F45C0"/>
    <w:rsid w:val="008F48EB"/>
    <w:rsid w:val="008F4F0B"/>
    <w:rsid w:val="008F62D9"/>
    <w:rsid w:val="008F64E7"/>
    <w:rsid w:val="009046C4"/>
    <w:rsid w:val="009062A5"/>
    <w:rsid w:val="00911272"/>
    <w:rsid w:val="009118E6"/>
    <w:rsid w:val="00911A72"/>
    <w:rsid w:val="009135D6"/>
    <w:rsid w:val="00914C77"/>
    <w:rsid w:val="00917E13"/>
    <w:rsid w:val="0092369B"/>
    <w:rsid w:val="00923C54"/>
    <w:rsid w:val="00924C3C"/>
    <w:rsid w:val="00925217"/>
    <w:rsid w:val="00926754"/>
    <w:rsid w:val="00926B89"/>
    <w:rsid w:val="00926C12"/>
    <w:rsid w:val="00927C7A"/>
    <w:rsid w:val="009335CF"/>
    <w:rsid w:val="00940AB6"/>
    <w:rsid w:val="00950384"/>
    <w:rsid w:val="009510A2"/>
    <w:rsid w:val="00952E8E"/>
    <w:rsid w:val="00953257"/>
    <w:rsid w:val="009534D6"/>
    <w:rsid w:val="00962CB9"/>
    <w:rsid w:val="00964312"/>
    <w:rsid w:val="00965B8A"/>
    <w:rsid w:val="0096605D"/>
    <w:rsid w:val="00966132"/>
    <w:rsid w:val="00967653"/>
    <w:rsid w:val="00967858"/>
    <w:rsid w:val="009717AC"/>
    <w:rsid w:val="00972D54"/>
    <w:rsid w:val="00980ACC"/>
    <w:rsid w:val="00983E57"/>
    <w:rsid w:val="0098675D"/>
    <w:rsid w:val="00992DE1"/>
    <w:rsid w:val="00995665"/>
    <w:rsid w:val="00995CF6"/>
    <w:rsid w:val="00996B1A"/>
    <w:rsid w:val="009A7F10"/>
    <w:rsid w:val="009B23CC"/>
    <w:rsid w:val="009B3557"/>
    <w:rsid w:val="009B3E26"/>
    <w:rsid w:val="009B61FB"/>
    <w:rsid w:val="009B6DBF"/>
    <w:rsid w:val="009C067A"/>
    <w:rsid w:val="009C1439"/>
    <w:rsid w:val="009C5764"/>
    <w:rsid w:val="009C6CEA"/>
    <w:rsid w:val="009C7231"/>
    <w:rsid w:val="009C7B85"/>
    <w:rsid w:val="009D5B91"/>
    <w:rsid w:val="009D73FB"/>
    <w:rsid w:val="009D792E"/>
    <w:rsid w:val="009E08D0"/>
    <w:rsid w:val="009E0DFE"/>
    <w:rsid w:val="009E4C07"/>
    <w:rsid w:val="009F0E82"/>
    <w:rsid w:val="009F19EA"/>
    <w:rsid w:val="009F2787"/>
    <w:rsid w:val="00A01184"/>
    <w:rsid w:val="00A03D43"/>
    <w:rsid w:val="00A04380"/>
    <w:rsid w:val="00A11CD0"/>
    <w:rsid w:val="00A13948"/>
    <w:rsid w:val="00A1555B"/>
    <w:rsid w:val="00A155C5"/>
    <w:rsid w:val="00A16831"/>
    <w:rsid w:val="00A16AD8"/>
    <w:rsid w:val="00A16B35"/>
    <w:rsid w:val="00A172BA"/>
    <w:rsid w:val="00A21CF3"/>
    <w:rsid w:val="00A25421"/>
    <w:rsid w:val="00A27AEC"/>
    <w:rsid w:val="00A320DB"/>
    <w:rsid w:val="00A34183"/>
    <w:rsid w:val="00A35951"/>
    <w:rsid w:val="00A35D16"/>
    <w:rsid w:val="00A37BCD"/>
    <w:rsid w:val="00A43C59"/>
    <w:rsid w:val="00A45FB9"/>
    <w:rsid w:val="00A50ECD"/>
    <w:rsid w:val="00A5180E"/>
    <w:rsid w:val="00A518F3"/>
    <w:rsid w:val="00A52729"/>
    <w:rsid w:val="00A53675"/>
    <w:rsid w:val="00A54900"/>
    <w:rsid w:val="00A54DAC"/>
    <w:rsid w:val="00A564D7"/>
    <w:rsid w:val="00A56B6A"/>
    <w:rsid w:val="00A578DC"/>
    <w:rsid w:val="00A6725B"/>
    <w:rsid w:val="00A70605"/>
    <w:rsid w:val="00A714A4"/>
    <w:rsid w:val="00A73134"/>
    <w:rsid w:val="00A754B8"/>
    <w:rsid w:val="00A777B2"/>
    <w:rsid w:val="00A77F98"/>
    <w:rsid w:val="00A80020"/>
    <w:rsid w:val="00A8013F"/>
    <w:rsid w:val="00A82D24"/>
    <w:rsid w:val="00A830A2"/>
    <w:rsid w:val="00A86E8B"/>
    <w:rsid w:val="00A87164"/>
    <w:rsid w:val="00A879ED"/>
    <w:rsid w:val="00A93072"/>
    <w:rsid w:val="00A93953"/>
    <w:rsid w:val="00A951F5"/>
    <w:rsid w:val="00A959D8"/>
    <w:rsid w:val="00A96C84"/>
    <w:rsid w:val="00AA113D"/>
    <w:rsid w:val="00AA352C"/>
    <w:rsid w:val="00AA5EEC"/>
    <w:rsid w:val="00AA6C7D"/>
    <w:rsid w:val="00AA7BD1"/>
    <w:rsid w:val="00AA7FD6"/>
    <w:rsid w:val="00AB042A"/>
    <w:rsid w:val="00AB2199"/>
    <w:rsid w:val="00AB2D34"/>
    <w:rsid w:val="00AB3430"/>
    <w:rsid w:val="00AB4640"/>
    <w:rsid w:val="00AB4AD1"/>
    <w:rsid w:val="00AB7CFA"/>
    <w:rsid w:val="00AC11F8"/>
    <w:rsid w:val="00AC5B48"/>
    <w:rsid w:val="00AD105D"/>
    <w:rsid w:val="00AD1C62"/>
    <w:rsid w:val="00AD4AA9"/>
    <w:rsid w:val="00AD555E"/>
    <w:rsid w:val="00AD6502"/>
    <w:rsid w:val="00AE1B89"/>
    <w:rsid w:val="00AE33E2"/>
    <w:rsid w:val="00AF1315"/>
    <w:rsid w:val="00AF19BF"/>
    <w:rsid w:val="00AF2C80"/>
    <w:rsid w:val="00AF2DC3"/>
    <w:rsid w:val="00B00626"/>
    <w:rsid w:val="00B006C8"/>
    <w:rsid w:val="00B033E5"/>
    <w:rsid w:val="00B03A63"/>
    <w:rsid w:val="00B1010C"/>
    <w:rsid w:val="00B10FB1"/>
    <w:rsid w:val="00B13682"/>
    <w:rsid w:val="00B136F9"/>
    <w:rsid w:val="00B156B8"/>
    <w:rsid w:val="00B20101"/>
    <w:rsid w:val="00B201A4"/>
    <w:rsid w:val="00B213A6"/>
    <w:rsid w:val="00B24DF6"/>
    <w:rsid w:val="00B30078"/>
    <w:rsid w:val="00B31324"/>
    <w:rsid w:val="00B31925"/>
    <w:rsid w:val="00B31C35"/>
    <w:rsid w:val="00B34FE2"/>
    <w:rsid w:val="00B357D8"/>
    <w:rsid w:val="00B36966"/>
    <w:rsid w:val="00B37BFC"/>
    <w:rsid w:val="00B400A7"/>
    <w:rsid w:val="00B40358"/>
    <w:rsid w:val="00B405D3"/>
    <w:rsid w:val="00B41614"/>
    <w:rsid w:val="00B42851"/>
    <w:rsid w:val="00B42F80"/>
    <w:rsid w:val="00B435CB"/>
    <w:rsid w:val="00B50DB8"/>
    <w:rsid w:val="00B53654"/>
    <w:rsid w:val="00B537CB"/>
    <w:rsid w:val="00B53905"/>
    <w:rsid w:val="00B54B5B"/>
    <w:rsid w:val="00B5562E"/>
    <w:rsid w:val="00B57000"/>
    <w:rsid w:val="00B578DC"/>
    <w:rsid w:val="00B60939"/>
    <w:rsid w:val="00B60AFD"/>
    <w:rsid w:val="00B61FDC"/>
    <w:rsid w:val="00B62715"/>
    <w:rsid w:val="00B661F2"/>
    <w:rsid w:val="00B6735C"/>
    <w:rsid w:val="00B67F97"/>
    <w:rsid w:val="00B75B57"/>
    <w:rsid w:val="00B75E4F"/>
    <w:rsid w:val="00B808BC"/>
    <w:rsid w:val="00B818A4"/>
    <w:rsid w:val="00B84117"/>
    <w:rsid w:val="00B844EB"/>
    <w:rsid w:val="00B85AA2"/>
    <w:rsid w:val="00B85F73"/>
    <w:rsid w:val="00B8649C"/>
    <w:rsid w:val="00B87F0A"/>
    <w:rsid w:val="00B91319"/>
    <w:rsid w:val="00B92D0B"/>
    <w:rsid w:val="00B94945"/>
    <w:rsid w:val="00BA1F20"/>
    <w:rsid w:val="00BA322D"/>
    <w:rsid w:val="00BA4618"/>
    <w:rsid w:val="00BB0BDD"/>
    <w:rsid w:val="00BB2A73"/>
    <w:rsid w:val="00BB4ACC"/>
    <w:rsid w:val="00BB703E"/>
    <w:rsid w:val="00BB7405"/>
    <w:rsid w:val="00BC3631"/>
    <w:rsid w:val="00BC5EA2"/>
    <w:rsid w:val="00BD1D1D"/>
    <w:rsid w:val="00BD68A3"/>
    <w:rsid w:val="00BD6938"/>
    <w:rsid w:val="00BD6CF3"/>
    <w:rsid w:val="00BE0C4B"/>
    <w:rsid w:val="00BE2180"/>
    <w:rsid w:val="00BE21F2"/>
    <w:rsid w:val="00BE4275"/>
    <w:rsid w:val="00BE4BFF"/>
    <w:rsid w:val="00BE51CF"/>
    <w:rsid w:val="00BF0BEE"/>
    <w:rsid w:val="00BF0F95"/>
    <w:rsid w:val="00BF1BC6"/>
    <w:rsid w:val="00BF2433"/>
    <w:rsid w:val="00BF430D"/>
    <w:rsid w:val="00BF4975"/>
    <w:rsid w:val="00BF61C9"/>
    <w:rsid w:val="00BF6C94"/>
    <w:rsid w:val="00C00424"/>
    <w:rsid w:val="00C056E7"/>
    <w:rsid w:val="00C12C14"/>
    <w:rsid w:val="00C1514F"/>
    <w:rsid w:val="00C175AE"/>
    <w:rsid w:val="00C200AA"/>
    <w:rsid w:val="00C2229A"/>
    <w:rsid w:val="00C237ED"/>
    <w:rsid w:val="00C24632"/>
    <w:rsid w:val="00C25418"/>
    <w:rsid w:val="00C25D9C"/>
    <w:rsid w:val="00C26B3E"/>
    <w:rsid w:val="00C2778B"/>
    <w:rsid w:val="00C31649"/>
    <w:rsid w:val="00C358CA"/>
    <w:rsid w:val="00C401D2"/>
    <w:rsid w:val="00C40385"/>
    <w:rsid w:val="00C43848"/>
    <w:rsid w:val="00C44B6E"/>
    <w:rsid w:val="00C475AA"/>
    <w:rsid w:val="00C54F6E"/>
    <w:rsid w:val="00C65576"/>
    <w:rsid w:val="00C66165"/>
    <w:rsid w:val="00C67C9A"/>
    <w:rsid w:val="00C7151A"/>
    <w:rsid w:val="00C71F60"/>
    <w:rsid w:val="00C72241"/>
    <w:rsid w:val="00C750C8"/>
    <w:rsid w:val="00C7560F"/>
    <w:rsid w:val="00C75ACB"/>
    <w:rsid w:val="00C80A0E"/>
    <w:rsid w:val="00C814E5"/>
    <w:rsid w:val="00C8213F"/>
    <w:rsid w:val="00C86F85"/>
    <w:rsid w:val="00C8797A"/>
    <w:rsid w:val="00C87A74"/>
    <w:rsid w:val="00C900B8"/>
    <w:rsid w:val="00C90C71"/>
    <w:rsid w:val="00C91767"/>
    <w:rsid w:val="00C91F9C"/>
    <w:rsid w:val="00C931CF"/>
    <w:rsid w:val="00C938CF"/>
    <w:rsid w:val="00C93BE4"/>
    <w:rsid w:val="00C94BC5"/>
    <w:rsid w:val="00C95BB7"/>
    <w:rsid w:val="00C9624D"/>
    <w:rsid w:val="00C969DA"/>
    <w:rsid w:val="00CA11EF"/>
    <w:rsid w:val="00CA2C77"/>
    <w:rsid w:val="00CA3DBE"/>
    <w:rsid w:val="00CA3FF2"/>
    <w:rsid w:val="00CA444F"/>
    <w:rsid w:val="00CA49C7"/>
    <w:rsid w:val="00CA5245"/>
    <w:rsid w:val="00CA5FD8"/>
    <w:rsid w:val="00CA71F4"/>
    <w:rsid w:val="00CA72F8"/>
    <w:rsid w:val="00CA7B09"/>
    <w:rsid w:val="00CB2605"/>
    <w:rsid w:val="00CB2F2A"/>
    <w:rsid w:val="00CB59A6"/>
    <w:rsid w:val="00CB5B1A"/>
    <w:rsid w:val="00CB6B22"/>
    <w:rsid w:val="00CB6C46"/>
    <w:rsid w:val="00CB7F5F"/>
    <w:rsid w:val="00CC0208"/>
    <w:rsid w:val="00CC0499"/>
    <w:rsid w:val="00CC08C0"/>
    <w:rsid w:val="00CC182B"/>
    <w:rsid w:val="00CC1B39"/>
    <w:rsid w:val="00CC6F3F"/>
    <w:rsid w:val="00CD23B4"/>
    <w:rsid w:val="00CD6310"/>
    <w:rsid w:val="00CD6ADC"/>
    <w:rsid w:val="00CD6FBF"/>
    <w:rsid w:val="00CE2733"/>
    <w:rsid w:val="00CE5013"/>
    <w:rsid w:val="00CE5DCB"/>
    <w:rsid w:val="00CE5E5B"/>
    <w:rsid w:val="00CE6274"/>
    <w:rsid w:val="00CF0806"/>
    <w:rsid w:val="00CF25F8"/>
    <w:rsid w:val="00CF2B8D"/>
    <w:rsid w:val="00CF3D32"/>
    <w:rsid w:val="00CF456B"/>
    <w:rsid w:val="00CF51EB"/>
    <w:rsid w:val="00CF5A22"/>
    <w:rsid w:val="00CF5BDE"/>
    <w:rsid w:val="00CF71F5"/>
    <w:rsid w:val="00D0262E"/>
    <w:rsid w:val="00D03574"/>
    <w:rsid w:val="00D07293"/>
    <w:rsid w:val="00D07850"/>
    <w:rsid w:val="00D110BD"/>
    <w:rsid w:val="00D13675"/>
    <w:rsid w:val="00D141E1"/>
    <w:rsid w:val="00D17D6C"/>
    <w:rsid w:val="00D2276B"/>
    <w:rsid w:val="00D2754D"/>
    <w:rsid w:val="00D27B27"/>
    <w:rsid w:val="00D30E52"/>
    <w:rsid w:val="00D33BE9"/>
    <w:rsid w:val="00D357FF"/>
    <w:rsid w:val="00D3772B"/>
    <w:rsid w:val="00D424C7"/>
    <w:rsid w:val="00D43B2A"/>
    <w:rsid w:val="00D47575"/>
    <w:rsid w:val="00D50983"/>
    <w:rsid w:val="00D54D04"/>
    <w:rsid w:val="00D668F7"/>
    <w:rsid w:val="00D70F16"/>
    <w:rsid w:val="00D71C36"/>
    <w:rsid w:val="00D76A44"/>
    <w:rsid w:val="00D815EF"/>
    <w:rsid w:val="00D87508"/>
    <w:rsid w:val="00D906E7"/>
    <w:rsid w:val="00D91923"/>
    <w:rsid w:val="00D929FA"/>
    <w:rsid w:val="00D93753"/>
    <w:rsid w:val="00D939D3"/>
    <w:rsid w:val="00D941B9"/>
    <w:rsid w:val="00DA0B3B"/>
    <w:rsid w:val="00DA20B0"/>
    <w:rsid w:val="00DA3167"/>
    <w:rsid w:val="00DA4DC3"/>
    <w:rsid w:val="00DA77A5"/>
    <w:rsid w:val="00DB06D1"/>
    <w:rsid w:val="00DB484F"/>
    <w:rsid w:val="00DB4938"/>
    <w:rsid w:val="00DC04F6"/>
    <w:rsid w:val="00DC16A7"/>
    <w:rsid w:val="00DC3C57"/>
    <w:rsid w:val="00DC5501"/>
    <w:rsid w:val="00DC7F0C"/>
    <w:rsid w:val="00DD09F9"/>
    <w:rsid w:val="00DD273C"/>
    <w:rsid w:val="00DD2877"/>
    <w:rsid w:val="00DD398E"/>
    <w:rsid w:val="00DD3F28"/>
    <w:rsid w:val="00DD4537"/>
    <w:rsid w:val="00DD4E15"/>
    <w:rsid w:val="00DD6892"/>
    <w:rsid w:val="00DE1FCA"/>
    <w:rsid w:val="00DE3138"/>
    <w:rsid w:val="00DE37F8"/>
    <w:rsid w:val="00DE3BF3"/>
    <w:rsid w:val="00DE4FCB"/>
    <w:rsid w:val="00DE7832"/>
    <w:rsid w:val="00DF113A"/>
    <w:rsid w:val="00DF18FC"/>
    <w:rsid w:val="00DF2450"/>
    <w:rsid w:val="00DF304B"/>
    <w:rsid w:val="00DF5D2B"/>
    <w:rsid w:val="00E00E8E"/>
    <w:rsid w:val="00E02F47"/>
    <w:rsid w:val="00E05630"/>
    <w:rsid w:val="00E057C7"/>
    <w:rsid w:val="00E057E0"/>
    <w:rsid w:val="00E065F2"/>
    <w:rsid w:val="00E06DBB"/>
    <w:rsid w:val="00E10149"/>
    <w:rsid w:val="00E10DF6"/>
    <w:rsid w:val="00E11330"/>
    <w:rsid w:val="00E11FD7"/>
    <w:rsid w:val="00E14FAE"/>
    <w:rsid w:val="00E15ED7"/>
    <w:rsid w:val="00E16372"/>
    <w:rsid w:val="00E1638D"/>
    <w:rsid w:val="00E20E4D"/>
    <w:rsid w:val="00E20ED6"/>
    <w:rsid w:val="00E21358"/>
    <w:rsid w:val="00E2249B"/>
    <w:rsid w:val="00E22A0D"/>
    <w:rsid w:val="00E2771E"/>
    <w:rsid w:val="00E34948"/>
    <w:rsid w:val="00E3527F"/>
    <w:rsid w:val="00E37569"/>
    <w:rsid w:val="00E41E30"/>
    <w:rsid w:val="00E43D70"/>
    <w:rsid w:val="00E466F3"/>
    <w:rsid w:val="00E46806"/>
    <w:rsid w:val="00E47B2C"/>
    <w:rsid w:val="00E51560"/>
    <w:rsid w:val="00E54347"/>
    <w:rsid w:val="00E55424"/>
    <w:rsid w:val="00E55BB5"/>
    <w:rsid w:val="00E63AA2"/>
    <w:rsid w:val="00E659D0"/>
    <w:rsid w:val="00E65E79"/>
    <w:rsid w:val="00E66BA2"/>
    <w:rsid w:val="00E67416"/>
    <w:rsid w:val="00E718B6"/>
    <w:rsid w:val="00E723BA"/>
    <w:rsid w:val="00E72D6F"/>
    <w:rsid w:val="00E73581"/>
    <w:rsid w:val="00E758B0"/>
    <w:rsid w:val="00E80305"/>
    <w:rsid w:val="00E80746"/>
    <w:rsid w:val="00E833F7"/>
    <w:rsid w:val="00E83BDF"/>
    <w:rsid w:val="00E8565F"/>
    <w:rsid w:val="00E85FE0"/>
    <w:rsid w:val="00E87A1D"/>
    <w:rsid w:val="00E926A5"/>
    <w:rsid w:val="00E9382C"/>
    <w:rsid w:val="00E95238"/>
    <w:rsid w:val="00E9743D"/>
    <w:rsid w:val="00E97656"/>
    <w:rsid w:val="00E979B5"/>
    <w:rsid w:val="00EA10D1"/>
    <w:rsid w:val="00EA1255"/>
    <w:rsid w:val="00EA17C3"/>
    <w:rsid w:val="00EA29B8"/>
    <w:rsid w:val="00EA2CAA"/>
    <w:rsid w:val="00EA3864"/>
    <w:rsid w:val="00EA4C7F"/>
    <w:rsid w:val="00EA4CE2"/>
    <w:rsid w:val="00EA55EA"/>
    <w:rsid w:val="00EA5D46"/>
    <w:rsid w:val="00EB0870"/>
    <w:rsid w:val="00EB15B6"/>
    <w:rsid w:val="00EB2103"/>
    <w:rsid w:val="00EB2283"/>
    <w:rsid w:val="00EB4916"/>
    <w:rsid w:val="00EB5EFA"/>
    <w:rsid w:val="00EC00C9"/>
    <w:rsid w:val="00EC2649"/>
    <w:rsid w:val="00EC33D2"/>
    <w:rsid w:val="00ED17CB"/>
    <w:rsid w:val="00ED57EA"/>
    <w:rsid w:val="00EE07D3"/>
    <w:rsid w:val="00EE22AF"/>
    <w:rsid w:val="00EE61FA"/>
    <w:rsid w:val="00EE7F51"/>
    <w:rsid w:val="00EF0171"/>
    <w:rsid w:val="00EF140F"/>
    <w:rsid w:val="00EF1B25"/>
    <w:rsid w:val="00EF4747"/>
    <w:rsid w:val="00EF4BF8"/>
    <w:rsid w:val="00F02253"/>
    <w:rsid w:val="00F03C2E"/>
    <w:rsid w:val="00F04941"/>
    <w:rsid w:val="00F04A66"/>
    <w:rsid w:val="00F04AAA"/>
    <w:rsid w:val="00F0516C"/>
    <w:rsid w:val="00F067A2"/>
    <w:rsid w:val="00F07B7E"/>
    <w:rsid w:val="00F07D59"/>
    <w:rsid w:val="00F1263A"/>
    <w:rsid w:val="00F14B48"/>
    <w:rsid w:val="00F22A78"/>
    <w:rsid w:val="00F230AE"/>
    <w:rsid w:val="00F23B05"/>
    <w:rsid w:val="00F242CD"/>
    <w:rsid w:val="00F24837"/>
    <w:rsid w:val="00F2575F"/>
    <w:rsid w:val="00F27565"/>
    <w:rsid w:val="00F303A9"/>
    <w:rsid w:val="00F30792"/>
    <w:rsid w:val="00F310D4"/>
    <w:rsid w:val="00F31D5A"/>
    <w:rsid w:val="00F33DE9"/>
    <w:rsid w:val="00F3619A"/>
    <w:rsid w:val="00F40AAA"/>
    <w:rsid w:val="00F40BA7"/>
    <w:rsid w:val="00F44CDF"/>
    <w:rsid w:val="00F46CB6"/>
    <w:rsid w:val="00F474A8"/>
    <w:rsid w:val="00F47DE8"/>
    <w:rsid w:val="00F512F0"/>
    <w:rsid w:val="00F542C1"/>
    <w:rsid w:val="00F55E73"/>
    <w:rsid w:val="00F55EDA"/>
    <w:rsid w:val="00F60092"/>
    <w:rsid w:val="00F63300"/>
    <w:rsid w:val="00F65F4B"/>
    <w:rsid w:val="00F70C9D"/>
    <w:rsid w:val="00F73E8F"/>
    <w:rsid w:val="00F74CD9"/>
    <w:rsid w:val="00F7561D"/>
    <w:rsid w:val="00F75C09"/>
    <w:rsid w:val="00F763DE"/>
    <w:rsid w:val="00F766DA"/>
    <w:rsid w:val="00F77608"/>
    <w:rsid w:val="00F80039"/>
    <w:rsid w:val="00F80A7B"/>
    <w:rsid w:val="00F80E5D"/>
    <w:rsid w:val="00F81603"/>
    <w:rsid w:val="00F83F2F"/>
    <w:rsid w:val="00F850B0"/>
    <w:rsid w:val="00F851CE"/>
    <w:rsid w:val="00F86E7D"/>
    <w:rsid w:val="00F90FAE"/>
    <w:rsid w:val="00F91219"/>
    <w:rsid w:val="00F91A9B"/>
    <w:rsid w:val="00F97A78"/>
    <w:rsid w:val="00FA0B20"/>
    <w:rsid w:val="00FA24E7"/>
    <w:rsid w:val="00FB210C"/>
    <w:rsid w:val="00FB2FCB"/>
    <w:rsid w:val="00FB4684"/>
    <w:rsid w:val="00FC1074"/>
    <w:rsid w:val="00FC1884"/>
    <w:rsid w:val="00FC1DC8"/>
    <w:rsid w:val="00FC371D"/>
    <w:rsid w:val="00FC42DB"/>
    <w:rsid w:val="00FC52C4"/>
    <w:rsid w:val="00FC5F0B"/>
    <w:rsid w:val="00FD2100"/>
    <w:rsid w:val="00FD2B4F"/>
    <w:rsid w:val="00FD436C"/>
    <w:rsid w:val="00FD446D"/>
    <w:rsid w:val="00FD6394"/>
    <w:rsid w:val="00FD74B0"/>
    <w:rsid w:val="00FE0E6C"/>
    <w:rsid w:val="00FE2E57"/>
    <w:rsid w:val="00FE30DC"/>
    <w:rsid w:val="00FE3B7B"/>
    <w:rsid w:val="00FE6890"/>
    <w:rsid w:val="00FE70C3"/>
    <w:rsid w:val="00FE7B06"/>
    <w:rsid w:val="00FF0A41"/>
    <w:rsid w:val="00FF129A"/>
    <w:rsid w:val="00FF3DCF"/>
    <w:rsid w:val="00FF492C"/>
    <w:rsid w:val="00FF4A21"/>
    <w:rsid w:val="00FF5AA3"/>
    <w:rsid w:val="00FF5AD8"/>
    <w:rsid w:val="00FF60E9"/>
    <w:rsid w:val="00FF7A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96174"/>
    <w:pPr>
      <w:keepNext/>
      <w:spacing w:after="160"/>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96174"/>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Table 4.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4.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E51CF"/>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5F1BDF"/>
    <w:pPr>
      <w:keepNext/>
      <w:widowControl/>
      <w:spacing w:before="40" w:after="40"/>
      <w:jc w:val="left"/>
    </w:pPr>
    <w:rPr>
      <w:rFonts w:ascii="Arial Narrow" w:eastAsiaTheme="minorHAnsi" w:hAnsi="Arial Narrow" w:cstheme="minorBidi"/>
      <w:snapToGrid/>
      <w:sz w:val="20"/>
    </w:rPr>
  </w:style>
  <w:style w:type="table" w:customStyle="1" w:styleId="TableStyle">
    <w:name w:val="Table Style"/>
    <w:basedOn w:val="TableGrid"/>
    <w:uiPriority w:val="99"/>
    <w:rsid w:val="00AE1B89"/>
    <w:pPr>
      <w:spacing w:before="40" w:after="40"/>
    </w:pPr>
    <w:rPr>
      <w:rFonts w:ascii="Arial Narrow" w:eastAsiaTheme="minorHAnsi" w:hAnsi="Arial Narrow" w:cstheme="minorBidi"/>
      <w:szCs w:val="22"/>
      <w:lang w:val="en-US" w:eastAsia="en-US"/>
    </w:rPr>
    <w:tblPr/>
    <w:trPr>
      <w:cantSplit/>
    </w:trPr>
    <w:tblStylePr w:type="firstRow">
      <w:pPr>
        <w:jc w:val="left"/>
      </w:pPr>
      <w:rPr>
        <w:rFonts w:ascii="Cambria" w:hAnsi="Cambria"/>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keepNext w:val="0"/>
        <w:keepLines w:val="0"/>
        <w:pageBreakBefore w:val="0"/>
        <w:suppressLineNumbers w:val="0"/>
        <w:suppressAutoHyphens w:val="0"/>
        <w:wordWrap/>
        <w:spacing w:beforeLines="0" w:before="40" w:beforeAutospacing="0" w:afterLines="0" w:after="40" w:afterAutospacing="0" w:line="240" w:lineRule="auto"/>
        <w:ind w:leftChars="0" w:left="0" w:rightChars="0" w:right="0" w:firstLineChars="0" w:firstLine="0"/>
        <w:jc w:val="left"/>
      </w:pPr>
      <w:tblPr/>
      <w:tcPr>
        <w:tcBorders>
          <w:top w:val="nil"/>
          <w:left w:val="nil"/>
          <w:bottom w:val="thinThickSmallGap" w:sz="24" w:space="0" w:color="auto"/>
          <w:right w:val="nil"/>
          <w:insideH w:val="nil"/>
          <w:insideV w:val="nil"/>
          <w:tl2br w:val="nil"/>
          <w:tr2bl w:val="nil"/>
        </w:tcBorders>
      </w:tcPr>
    </w:tblStylePr>
  </w:style>
  <w:style w:type="paragraph" w:customStyle="1" w:styleId="TableFootnote">
    <w:name w:val="Table Footnote"/>
    <w:basedOn w:val="Normal"/>
    <w:qFormat/>
    <w:rsid w:val="007D57B0"/>
    <w:pPr>
      <w:widowControl/>
      <w:spacing w:before="200" w:after="200"/>
      <w:jc w:val="left"/>
    </w:pPr>
    <w:rPr>
      <w:rFonts w:ascii="Arial" w:eastAsiaTheme="minorHAnsi" w:hAnsi="Arial" w:cstheme="minorBidi"/>
      <w:snapToGrid/>
      <w:sz w:val="16"/>
    </w:rPr>
  </w:style>
  <w:style w:type="paragraph" w:customStyle="1" w:styleId="TableParagraph">
    <w:name w:val="Table Paragraph"/>
    <w:basedOn w:val="Normal"/>
    <w:uiPriority w:val="1"/>
    <w:qFormat/>
    <w:rsid w:val="001703A0"/>
    <w:pPr>
      <w:autoSpaceDE w:val="0"/>
      <w:autoSpaceDN w:val="0"/>
      <w:adjustRightInd w:val="0"/>
    </w:pPr>
    <w:rPr>
      <w:rFonts w:ascii="Times New Roman" w:eastAsiaTheme="minorEastAsia" w:hAnsi="Times New Roman" w:cs="Times New Roman"/>
      <w:snapToGrid/>
      <w:szCs w:val="24"/>
      <w:lang w:eastAsia="en-AU"/>
    </w:rPr>
  </w:style>
  <w:style w:type="paragraph" w:styleId="FootnoteText">
    <w:name w:val="footnote text"/>
    <w:basedOn w:val="Normal"/>
    <w:link w:val="FootnoteTextChar"/>
    <w:semiHidden/>
    <w:unhideWhenUsed/>
    <w:rsid w:val="00127F53"/>
    <w:rPr>
      <w:sz w:val="20"/>
      <w:szCs w:val="20"/>
    </w:rPr>
  </w:style>
  <w:style w:type="character" w:customStyle="1" w:styleId="FootnoteTextChar">
    <w:name w:val="Footnote Text Char"/>
    <w:basedOn w:val="DefaultParagraphFont"/>
    <w:link w:val="FootnoteText"/>
    <w:semiHidden/>
    <w:rsid w:val="00127F53"/>
    <w:rPr>
      <w:rFonts w:ascii="Calibri" w:hAnsi="Calibri" w:cs="Arial"/>
      <w:snapToGrid w:val="0"/>
      <w:lang w:eastAsia="en-US"/>
    </w:rPr>
  </w:style>
  <w:style w:type="character" w:styleId="FootnoteReference">
    <w:name w:val="footnote reference"/>
    <w:basedOn w:val="DefaultParagraphFont"/>
    <w:semiHidden/>
    <w:unhideWhenUsed/>
    <w:rsid w:val="00127F53"/>
    <w:rPr>
      <w:vertAlign w:val="superscript"/>
    </w:rPr>
  </w:style>
  <w:style w:type="character" w:customStyle="1" w:styleId="Heading1Char">
    <w:name w:val="Heading 1 Char"/>
    <w:basedOn w:val="DefaultParagraphFont"/>
    <w:link w:val="Heading1"/>
    <w:uiPriority w:val="1"/>
    <w:rsid w:val="000311B3"/>
    <w:rPr>
      <w:rFonts w:ascii="Calibri" w:hAnsi="Calibri" w:cs="Arial"/>
      <w:b/>
      <w:caps/>
      <w:snapToGrid w:val="0"/>
      <w:sz w:val="32"/>
      <w:szCs w:val="22"/>
      <w:lang w:eastAsia="en-US"/>
    </w:rPr>
  </w:style>
  <w:style w:type="paragraph" w:styleId="PlainText">
    <w:name w:val="Plain Text"/>
    <w:basedOn w:val="Normal"/>
    <w:link w:val="PlainTextChar"/>
    <w:semiHidden/>
    <w:unhideWhenUsed/>
    <w:rsid w:val="005A7067"/>
    <w:rPr>
      <w:rFonts w:ascii="Consolas" w:hAnsi="Consolas"/>
      <w:sz w:val="21"/>
      <w:szCs w:val="21"/>
    </w:rPr>
  </w:style>
  <w:style w:type="character" w:customStyle="1" w:styleId="PlainTextChar">
    <w:name w:val="Plain Text Char"/>
    <w:basedOn w:val="DefaultParagraphFont"/>
    <w:link w:val="PlainText"/>
    <w:semiHidden/>
    <w:rsid w:val="005A7067"/>
    <w:rPr>
      <w:rFonts w:ascii="Consolas" w:hAnsi="Consolas" w:cs="Arial"/>
      <w:snapToGrid w:val="0"/>
      <w:sz w:val="21"/>
      <w:szCs w:val="21"/>
      <w:lang w:eastAsia="en-US"/>
    </w:rPr>
  </w:style>
  <w:style w:type="paragraph" w:customStyle="1" w:styleId="2Sections">
    <w:name w:val="2. Sections"/>
    <w:qFormat/>
    <w:rsid w:val="00F81603"/>
    <w:pPr>
      <w:snapToGrid w:val="0"/>
      <w:spacing w:before="240" w:after="120"/>
      <w:ind w:left="720" w:hanging="720"/>
      <w:outlineLvl w:val="0"/>
    </w:pPr>
    <w:rPr>
      <w:rFonts w:asciiTheme="minorHAnsi" w:hAnsiTheme="minorHAnsi" w:cs="Arial"/>
      <w:b/>
      <w:sz w:val="32"/>
      <w:szCs w:val="32"/>
      <w:lang w:eastAsia="en-US"/>
    </w:rPr>
  </w:style>
  <w:style w:type="paragraph" w:customStyle="1" w:styleId="Bodytextitalics">
    <w:name w:val="Body text italics"/>
    <w:basedOn w:val="BodyText"/>
    <w:qFormat/>
    <w:rsid w:val="00F81603"/>
    <w:pPr>
      <w:widowControl/>
      <w:tabs>
        <w:tab w:val="num" w:pos="360"/>
      </w:tabs>
      <w:spacing w:after="1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1288">
      <w:bodyDiv w:val="1"/>
      <w:marLeft w:val="0"/>
      <w:marRight w:val="0"/>
      <w:marTop w:val="0"/>
      <w:marBottom w:val="0"/>
      <w:divBdr>
        <w:top w:val="none" w:sz="0" w:space="0" w:color="auto"/>
        <w:left w:val="none" w:sz="0" w:space="0" w:color="auto"/>
        <w:bottom w:val="none" w:sz="0" w:space="0" w:color="auto"/>
        <w:right w:val="none" w:sz="0" w:space="0" w:color="auto"/>
      </w:divBdr>
      <w:divsChild>
        <w:div w:id="1019936855">
          <w:marLeft w:val="0"/>
          <w:marRight w:val="0"/>
          <w:marTop w:val="0"/>
          <w:marBottom w:val="0"/>
          <w:divBdr>
            <w:top w:val="none" w:sz="0" w:space="0" w:color="auto"/>
            <w:left w:val="none" w:sz="0" w:space="0" w:color="auto"/>
            <w:bottom w:val="none" w:sz="0" w:space="0" w:color="auto"/>
            <w:right w:val="none" w:sz="0" w:space="0" w:color="auto"/>
          </w:divBdr>
          <w:divsChild>
            <w:div w:id="1397053384">
              <w:marLeft w:val="0"/>
              <w:marRight w:val="0"/>
              <w:marTop w:val="0"/>
              <w:marBottom w:val="0"/>
              <w:divBdr>
                <w:top w:val="none" w:sz="0" w:space="0" w:color="auto"/>
                <w:left w:val="none" w:sz="0" w:space="0" w:color="auto"/>
                <w:bottom w:val="none" w:sz="0" w:space="0" w:color="auto"/>
                <w:right w:val="none" w:sz="0" w:space="0" w:color="auto"/>
              </w:divBdr>
              <w:divsChild>
                <w:div w:id="2078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2332">
      <w:bodyDiv w:val="1"/>
      <w:marLeft w:val="0"/>
      <w:marRight w:val="0"/>
      <w:marTop w:val="0"/>
      <w:marBottom w:val="0"/>
      <w:divBdr>
        <w:top w:val="none" w:sz="0" w:space="0" w:color="auto"/>
        <w:left w:val="none" w:sz="0" w:space="0" w:color="auto"/>
        <w:bottom w:val="none" w:sz="0" w:space="0" w:color="auto"/>
        <w:right w:val="none" w:sz="0" w:space="0" w:color="auto"/>
      </w:divBdr>
    </w:div>
    <w:div w:id="911041512">
      <w:bodyDiv w:val="1"/>
      <w:marLeft w:val="0"/>
      <w:marRight w:val="0"/>
      <w:marTop w:val="0"/>
      <w:marBottom w:val="0"/>
      <w:divBdr>
        <w:top w:val="none" w:sz="0" w:space="0" w:color="auto"/>
        <w:left w:val="none" w:sz="0" w:space="0" w:color="auto"/>
        <w:bottom w:val="none" w:sz="0" w:space="0" w:color="auto"/>
        <w:right w:val="none" w:sz="0" w:space="0" w:color="auto"/>
      </w:divBdr>
      <w:divsChild>
        <w:div w:id="367025320">
          <w:marLeft w:val="0"/>
          <w:marRight w:val="0"/>
          <w:marTop w:val="0"/>
          <w:marBottom w:val="0"/>
          <w:divBdr>
            <w:top w:val="none" w:sz="0" w:space="0" w:color="auto"/>
            <w:left w:val="none" w:sz="0" w:space="0" w:color="auto"/>
            <w:bottom w:val="none" w:sz="0" w:space="0" w:color="auto"/>
            <w:right w:val="none" w:sz="0" w:space="0" w:color="auto"/>
          </w:divBdr>
          <w:divsChild>
            <w:div w:id="79259929">
              <w:marLeft w:val="0"/>
              <w:marRight w:val="0"/>
              <w:marTop w:val="0"/>
              <w:marBottom w:val="0"/>
              <w:divBdr>
                <w:top w:val="none" w:sz="0" w:space="0" w:color="auto"/>
                <w:left w:val="none" w:sz="0" w:space="0" w:color="auto"/>
                <w:bottom w:val="none" w:sz="0" w:space="0" w:color="auto"/>
                <w:right w:val="none" w:sz="0" w:space="0" w:color="auto"/>
              </w:divBdr>
              <w:divsChild>
                <w:div w:id="12305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9013">
      <w:bodyDiv w:val="1"/>
      <w:marLeft w:val="0"/>
      <w:marRight w:val="0"/>
      <w:marTop w:val="0"/>
      <w:marBottom w:val="0"/>
      <w:divBdr>
        <w:top w:val="none" w:sz="0" w:space="0" w:color="auto"/>
        <w:left w:val="none" w:sz="0" w:space="0" w:color="auto"/>
        <w:bottom w:val="none" w:sz="0" w:space="0" w:color="auto"/>
        <w:right w:val="none" w:sz="0" w:space="0" w:color="auto"/>
      </w:divBdr>
    </w:div>
    <w:div w:id="1170292501">
      <w:bodyDiv w:val="1"/>
      <w:marLeft w:val="0"/>
      <w:marRight w:val="0"/>
      <w:marTop w:val="0"/>
      <w:marBottom w:val="0"/>
      <w:divBdr>
        <w:top w:val="none" w:sz="0" w:space="0" w:color="auto"/>
        <w:left w:val="none" w:sz="0" w:space="0" w:color="auto"/>
        <w:bottom w:val="none" w:sz="0" w:space="0" w:color="auto"/>
        <w:right w:val="none" w:sz="0" w:space="0" w:color="auto"/>
      </w:divBdr>
    </w:div>
    <w:div w:id="1430739219">
      <w:bodyDiv w:val="1"/>
      <w:marLeft w:val="0"/>
      <w:marRight w:val="0"/>
      <w:marTop w:val="0"/>
      <w:marBottom w:val="0"/>
      <w:divBdr>
        <w:top w:val="none" w:sz="0" w:space="0" w:color="auto"/>
        <w:left w:val="none" w:sz="0" w:space="0" w:color="auto"/>
        <w:bottom w:val="none" w:sz="0" w:space="0" w:color="auto"/>
        <w:right w:val="none" w:sz="0" w:space="0" w:color="auto"/>
      </w:divBdr>
    </w:div>
    <w:div w:id="1522474664">
      <w:bodyDiv w:val="1"/>
      <w:marLeft w:val="0"/>
      <w:marRight w:val="0"/>
      <w:marTop w:val="0"/>
      <w:marBottom w:val="0"/>
      <w:divBdr>
        <w:top w:val="none" w:sz="0" w:space="0" w:color="auto"/>
        <w:left w:val="none" w:sz="0" w:space="0" w:color="auto"/>
        <w:bottom w:val="none" w:sz="0" w:space="0" w:color="auto"/>
        <w:right w:val="none" w:sz="0" w:space="0" w:color="auto"/>
      </w:divBdr>
    </w:div>
    <w:div w:id="1535774652">
      <w:bodyDiv w:val="1"/>
      <w:marLeft w:val="0"/>
      <w:marRight w:val="0"/>
      <w:marTop w:val="0"/>
      <w:marBottom w:val="0"/>
      <w:divBdr>
        <w:top w:val="none" w:sz="0" w:space="0" w:color="auto"/>
        <w:left w:val="none" w:sz="0" w:space="0" w:color="auto"/>
        <w:bottom w:val="none" w:sz="0" w:space="0" w:color="auto"/>
        <w:right w:val="none" w:sz="0" w:space="0" w:color="auto"/>
      </w:divBdr>
      <w:divsChild>
        <w:div w:id="1880893488">
          <w:marLeft w:val="0"/>
          <w:marRight w:val="0"/>
          <w:marTop w:val="0"/>
          <w:marBottom w:val="0"/>
          <w:divBdr>
            <w:top w:val="none" w:sz="0" w:space="0" w:color="auto"/>
            <w:left w:val="none" w:sz="0" w:space="0" w:color="auto"/>
            <w:bottom w:val="none" w:sz="0" w:space="0" w:color="auto"/>
            <w:right w:val="none" w:sz="0" w:space="0" w:color="auto"/>
          </w:divBdr>
          <w:divsChild>
            <w:div w:id="239020755">
              <w:marLeft w:val="0"/>
              <w:marRight w:val="0"/>
              <w:marTop w:val="0"/>
              <w:marBottom w:val="0"/>
              <w:divBdr>
                <w:top w:val="none" w:sz="0" w:space="0" w:color="auto"/>
                <w:left w:val="none" w:sz="0" w:space="0" w:color="auto"/>
                <w:bottom w:val="none" w:sz="0" w:space="0" w:color="auto"/>
                <w:right w:val="none" w:sz="0" w:space="0" w:color="auto"/>
              </w:divBdr>
              <w:divsChild>
                <w:div w:id="1522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90F8-AFCA-4632-8617-19F61782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7077</Words>
  <Characters>44048</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2020-02-17T05:44:00Z</dcterms:created>
  <dcterms:modified xsi:type="dcterms:W3CDTF">2020-02-28T02:16:00Z</dcterms:modified>
</cp:coreProperties>
</file>