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45" w:rsidRPr="00F845EB" w:rsidRDefault="00534AF1" w:rsidP="00021367">
      <w:pPr>
        <w:pStyle w:val="1-MainHeading"/>
      </w:pPr>
      <w:r w:rsidRPr="006258D8">
        <w:t>5.06</w:t>
      </w:r>
      <w:r w:rsidR="002507B4" w:rsidRPr="006258D8">
        <w:tab/>
        <w:t>FREMANEZUMAB</w:t>
      </w:r>
      <w:r w:rsidR="00C317F3" w:rsidRPr="006258D8">
        <w:t>,</w:t>
      </w:r>
      <w:r w:rsidR="009D4C2A" w:rsidRPr="006258D8">
        <w:br/>
      </w:r>
      <w:r w:rsidR="002507B4" w:rsidRPr="006258D8">
        <w:t>Injection 225 mg in 1.5 mL pre-filled syringe</w:t>
      </w:r>
      <w:r w:rsidR="00C317F3" w:rsidRPr="006258D8">
        <w:t xml:space="preserve">, </w:t>
      </w:r>
      <w:r w:rsidR="009D4C2A" w:rsidRPr="006258D8">
        <w:br/>
      </w:r>
      <w:r w:rsidR="002507B4" w:rsidRPr="00F845EB">
        <w:t>Ajovy</w:t>
      </w:r>
      <w:r w:rsidR="00C317F3" w:rsidRPr="00F845EB">
        <w:t>®,</w:t>
      </w:r>
      <w:r w:rsidR="00C317F3" w:rsidRPr="006258D8">
        <w:t xml:space="preserve"> </w:t>
      </w:r>
      <w:r w:rsidR="00536D5E">
        <w:br/>
      </w:r>
      <w:r w:rsidR="00B36645" w:rsidRPr="00F845EB">
        <w:t>Teva Pharma Australia Pty Ltd</w:t>
      </w:r>
    </w:p>
    <w:p w:rsidR="00C317F3" w:rsidRPr="006258D8" w:rsidRDefault="00C317F3" w:rsidP="00021367">
      <w:pPr>
        <w:pStyle w:val="2-SectionHeading"/>
      </w:pPr>
      <w:bookmarkStart w:id="0" w:name="_Toc413139271"/>
      <w:bookmarkStart w:id="1" w:name="_Toc19693412"/>
      <w:bookmarkStart w:id="2" w:name="_GoBack"/>
      <w:r w:rsidRPr="006258D8">
        <w:t xml:space="preserve">Purpose of </w:t>
      </w:r>
      <w:r w:rsidR="00661286" w:rsidRPr="006258D8">
        <w:t>a</w:t>
      </w:r>
      <w:r w:rsidRPr="006258D8">
        <w:t>pplication</w:t>
      </w:r>
      <w:bookmarkEnd w:id="0"/>
      <w:bookmarkEnd w:id="1"/>
    </w:p>
    <w:bookmarkEnd w:id="2"/>
    <w:p w:rsidR="00BA00A6" w:rsidRPr="006258D8" w:rsidRDefault="00BA00A6" w:rsidP="000F2EE3">
      <w:pPr>
        <w:pStyle w:val="3-BodyText"/>
      </w:pPr>
      <w:r w:rsidRPr="00B06901">
        <w:t>The submission requested an Authority Required (Streamlined) listing of</w:t>
      </w:r>
      <w:r w:rsidRPr="006258D8">
        <w:t xml:space="preserve"> fremanezumab </w:t>
      </w:r>
      <w:r w:rsidR="00D43159" w:rsidRPr="006258D8">
        <w:t xml:space="preserve">(225 mg monthly or 675 mg every 3 months) </w:t>
      </w:r>
      <w:r w:rsidRPr="006258D8">
        <w:t xml:space="preserve">for the treatment of patients with chronic migraine who have had an inadequate response, intolerance or a contraindication to ≥3 prophylactic </w:t>
      </w:r>
      <w:r w:rsidR="00647E1B" w:rsidRPr="006258D8">
        <w:t>migr</w:t>
      </w:r>
      <w:r w:rsidR="00647E1B" w:rsidRPr="0014072B">
        <w:t xml:space="preserve">aine </w:t>
      </w:r>
      <w:r w:rsidRPr="0014072B">
        <w:t>medications</w:t>
      </w:r>
      <w:r w:rsidR="0080764B" w:rsidRPr="0014072B">
        <w:t xml:space="preserve"> (referred to herein as ‘</w:t>
      </w:r>
      <w:r w:rsidR="001C4F0D" w:rsidRPr="0014072B">
        <w:t>patients with</w:t>
      </w:r>
      <w:r w:rsidR="006E0C32" w:rsidRPr="0014072B">
        <w:t xml:space="preserve"> </w:t>
      </w:r>
      <w:r w:rsidR="0080764B" w:rsidRPr="0014072B">
        <w:rPr>
          <w:rFonts w:cstheme="minorHAnsi"/>
        </w:rPr>
        <w:t>≥</w:t>
      </w:r>
      <w:r w:rsidR="0080764B" w:rsidRPr="0014072B">
        <w:t xml:space="preserve"> 3</w:t>
      </w:r>
      <w:r w:rsidR="006E0C32" w:rsidRPr="0014072B">
        <w:t xml:space="preserve"> </w:t>
      </w:r>
      <w:r w:rsidR="007B2606" w:rsidRPr="0014072B">
        <w:t xml:space="preserve">prior </w:t>
      </w:r>
      <w:r w:rsidR="006E0C32" w:rsidRPr="0014072B">
        <w:t>treatment failures</w:t>
      </w:r>
      <w:r w:rsidR="0080764B" w:rsidRPr="0014072B">
        <w:t>’)</w:t>
      </w:r>
      <w:r w:rsidRPr="0014072B">
        <w:t>.</w:t>
      </w:r>
      <w:r w:rsidRPr="006258D8">
        <w:t xml:space="preserve"> The PBAC has not previously considered fremanezumab for the treatment of chronic migraine.</w:t>
      </w:r>
    </w:p>
    <w:p w:rsidR="00F44EFB" w:rsidRPr="006258D8" w:rsidRDefault="00BA00A6" w:rsidP="000F2EE3">
      <w:pPr>
        <w:pStyle w:val="3-BodyText"/>
      </w:pPr>
      <w:r w:rsidRPr="006258D8">
        <w:t xml:space="preserve">The listing was requested </w:t>
      </w:r>
      <w:r w:rsidR="00647E1B" w:rsidRPr="006258D8">
        <w:t xml:space="preserve">on the basis of </w:t>
      </w:r>
      <w:r w:rsidRPr="006258D8">
        <w:t xml:space="preserve">a </w:t>
      </w:r>
      <w:r w:rsidR="00647E1B" w:rsidRPr="006258D8">
        <w:t>cost-minimisation analysis</w:t>
      </w:r>
      <w:r w:rsidRPr="006258D8">
        <w:t xml:space="preserve"> </w:t>
      </w:r>
      <w:r w:rsidR="00EE7CC8">
        <w:t xml:space="preserve">(CMA) </w:t>
      </w:r>
      <w:r w:rsidRPr="006258D8">
        <w:t xml:space="preserve">compared to </w:t>
      </w:r>
      <w:r w:rsidR="00A0672E" w:rsidRPr="006258D8">
        <w:t xml:space="preserve">botulinum toxin type A </w:t>
      </w:r>
      <w:r w:rsidR="00A0672E">
        <w:t>(</w:t>
      </w:r>
      <w:r w:rsidR="0014072B">
        <w:t xml:space="preserve">referred to herein as </w:t>
      </w:r>
      <w:r w:rsidRPr="006258D8">
        <w:t>Botox</w:t>
      </w:r>
      <w:r w:rsidR="00F31252">
        <w:t>®</w:t>
      </w:r>
      <w:r w:rsidR="00A0672E">
        <w:t>)</w:t>
      </w:r>
      <w:r w:rsidRPr="006258D8">
        <w:t>, and a cost-effectiveness analysis compared to best supportive care</w:t>
      </w:r>
      <w:r w:rsidR="00070838">
        <w:t xml:space="preserve"> (BSC)</w:t>
      </w:r>
      <w:r w:rsidRPr="006258D8">
        <w:t>.</w:t>
      </w:r>
    </w:p>
    <w:p w:rsidR="00536D5D" w:rsidRDefault="00536D5D" w:rsidP="00863C97">
      <w:pPr>
        <w:pStyle w:val="TableFigureHeading"/>
      </w:pPr>
      <w:r>
        <w:t xml:space="preserve">Table </w:t>
      </w:r>
      <w:r w:rsidR="009D4178">
        <w:rPr>
          <w:noProof/>
        </w:rPr>
        <w:t>1</w:t>
      </w:r>
      <w:r w:rsidRPr="00BD6DC1">
        <w:t>: Key components of the clinical issue addressed by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309"/>
        <w:gridCol w:w="7707"/>
      </w:tblGrid>
      <w:tr w:rsidR="00BA00A6" w:rsidRPr="006258D8" w:rsidTr="00536D5D">
        <w:trPr>
          <w:cnfStyle w:val="100000000000" w:firstRow="1" w:lastRow="0" w:firstColumn="0" w:lastColumn="0" w:oddVBand="0" w:evenVBand="0" w:oddHBand="0" w:evenHBand="0" w:firstRowFirstColumn="0" w:firstRowLastColumn="0" w:lastRowFirstColumn="0" w:lastRowLastColumn="0"/>
          <w:tblHeader/>
        </w:trPr>
        <w:tc>
          <w:tcPr>
            <w:tcW w:w="726" w:type="pct"/>
          </w:tcPr>
          <w:p w:rsidR="00BA00A6" w:rsidRPr="00D16646" w:rsidRDefault="00DD788F" w:rsidP="00863C97">
            <w:pPr>
              <w:pStyle w:val="TableText"/>
              <w:rPr>
                <w:szCs w:val="20"/>
                <w:lang w:val="en-AU"/>
              </w:rPr>
            </w:pPr>
            <w:bookmarkStart w:id="3" w:name="_Toc413139272"/>
            <w:r w:rsidRPr="00D16646">
              <w:rPr>
                <w:szCs w:val="20"/>
              </w:rPr>
              <w:t>Component</w:t>
            </w:r>
          </w:p>
        </w:tc>
        <w:tc>
          <w:tcPr>
            <w:tcW w:w="4274" w:type="pct"/>
          </w:tcPr>
          <w:p w:rsidR="00BA00A6" w:rsidRPr="00D16646" w:rsidRDefault="00BA00A6" w:rsidP="00863C97">
            <w:pPr>
              <w:pStyle w:val="TableText"/>
              <w:rPr>
                <w:szCs w:val="20"/>
                <w:lang w:val="en-AU"/>
              </w:rPr>
            </w:pPr>
            <w:r w:rsidRPr="00D16646">
              <w:rPr>
                <w:szCs w:val="20"/>
              </w:rPr>
              <w:t>Description</w:t>
            </w:r>
          </w:p>
        </w:tc>
      </w:tr>
      <w:tr w:rsidR="00BA00A6" w:rsidRPr="006258D8" w:rsidTr="00536D5D">
        <w:trPr>
          <w:trHeight w:val="53"/>
        </w:trPr>
        <w:tc>
          <w:tcPr>
            <w:tcW w:w="726" w:type="pct"/>
          </w:tcPr>
          <w:p w:rsidR="00BA00A6" w:rsidRPr="00D16646" w:rsidRDefault="00BA00A6" w:rsidP="00863C97">
            <w:pPr>
              <w:pStyle w:val="TableText"/>
              <w:rPr>
                <w:szCs w:val="20"/>
                <w:lang w:val="en-AU"/>
              </w:rPr>
            </w:pPr>
            <w:r w:rsidRPr="00D16646">
              <w:rPr>
                <w:szCs w:val="20"/>
              </w:rPr>
              <w:t>Population</w:t>
            </w:r>
          </w:p>
        </w:tc>
        <w:tc>
          <w:tcPr>
            <w:tcW w:w="4274" w:type="pct"/>
          </w:tcPr>
          <w:p w:rsidR="00BA00A6" w:rsidRPr="00D16646" w:rsidRDefault="00BA00A6" w:rsidP="00863C97">
            <w:pPr>
              <w:pStyle w:val="TableText"/>
              <w:jc w:val="left"/>
              <w:rPr>
                <w:szCs w:val="20"/>
                <w:lang w:val="en-AU"/>
              </w:rPr>
            </w:pPr>
            <w:r w:rsidRPr="00D16646">
              <w:rPr>
                <w:szCs w:val="20"/>
              </w:rPr>
              <w:t>Patients with chronic migraine who have experienced an inadequate response, intolerance or a contraindication to at least three prophylactic migraine medications, including:</w:t>
            </w:r>
          </w:p>
          <w:p w:rsidR="00BA00A6" w:rsidRPr="00D16646" w:rsidRDefault="00BA00A6" w:rsidP="00863C97">
            <w:pPr>
              <w:pStyle w:val="TableText"/>
              <w:numPr>
                <w:ilvl w:val="0"/>
                <w:numId w:val="5"/>
              </w:numPr>
              <w:jc w:val="left"/>
              <w:rPr>
                <w:szCs w:val="20"/>
                <w:lang w:val="en-AU"/>
              </w:rPr>
            </w:pPr>
            <w:r w:rsidRPr="00D16646">
              <w:rPr>
                <w:szCs w:val="20"/>
              </w:rPr>
              <w:t>Patients who are eligible to be treated with Botox but are either unwilling due to a needle or Botox phobia, or who are unable to access treatment from a Botox-accredited neurologist</w:t>
            </w:r>
            <w:r w:rsidR="000343FE" w:rsidRPr="00D16646">
              <w:rPr>
                <w:szCs w:val="20"/>
              </w:rPr>
              <w:t xml:space="preserve"> (“Botox ruled out” subpopulation)</w:t>
            </w:r>
            <w:r w:rsidRPr="00D16646">
              <w:rPr>
                <w:szCs w:val="20"/>
              </w:rPr>
              <w:t>.</w:t>
            </w:r>
          </w:p>
          <w:p w:rsidR="00BA00A6" w:rsidRPr="00D16646" w:rsidRDefault="00BA00A6" w:rsidP="00863C97">
            <w:pPr>
              <w:pStyle w:val="TableText"/>
              <w:numPr>
                <w:ilvl w:val="0"/>
                <w:numId w:val="5"/>
              </w:numPr>
              <w:jc w:val="left"/>
              <w:rPr>
                <w:szCs w:val="20"/>
                <w:lang w:val="en-AU"/>
              </w:rPr>
            </w:pPr>
            <w:r w:rsidRPr="00D16646">
              <w:rPr>
                <w:szCs w:val="20"/>
              </w:rPr>
              <w:t>Patients who are eligible and willing to be treated with Botox</w:t>
            </w:r>
            <w:r w:rsidR="004014CB" w:rsidRPr="00D16646">
              <w:rPr>
                <w:szCs w:val="20"/>
              </w:rPr>
              <w:t xml:space="preserve"> (“Botox eligible</w:t>
            </w:r>
            <w:r w:rsidR="00AE7AE5" w:rsidRPr="00D16646">
              <w:rPr>
                <w:szCs w:val="20"/>
              </w:rPr>
              <w:t>”</w:t>
            </w:r>
            <w:r w:rsidR="004014CB" w:rsidRPr="00D16646">
              <w:rPr>
                <w:szCs w:val="20"/>
              </w:rPr>
              <w:t xml:space="preserve"> subpopulation)</w:t>
            </w:r>
            <w:r w:rsidRPr="00D16646">
              <w:rPr>
                <w:szCs w:val="20"/>
              </w:rPr>
              <w:t>.</w:t>
            </w:r>
          </w:p>
          <w:p w:rsidR="00BA00A6" w:rsidRPr="00D16646" w:rsidRDefault="00BA00A6" w:rsidP="00863C97">
            <w:pPr>
              <w:pStyle w:val="TableText"/>
              <w:numPr>
                <w:ilvl w:val="0"/>
                <w:numId w:val="5"/>
              </w:numPr>
              <w:jc w:val="left"/>
              <w:rPr>
                <w:szCs w:val="20"/>
                <w:lang w:val="en-AU"/>
              </w:rPr>
            </w:pPr>
            <w:r w:rsidRPr="00D16646">
              <w:rPr>
                <w:szCs w:val="20"/>
              </w:rPr>
              <w:t>Patients who have tried and failed or are intolerant to Botox</w:t>
            </w:r>
            <w:r w:rsidR="004014CB" w:rsidRPr="00D16646">
              <w:rPr>
                <w:szCs w:val="20"/>
              </w:rPr>
              <w:t xml:space="preserve"> (“Botox failed</w:t>
            </w:r>
            <w:r w:rsidR="00AE7AE5" w:rsidRPr="00D16646">
              <w:rPr>
                <w:szCs w:val="20"/>
              </w:rPr>
              <w:t>”</w:t>
            </w:r>
            <w:r w:rsidR="004014CB" w:rsidRPr="00D16646">
              <w:rPr>
                <w:szCs w:val="20"/>
              </w:rPr>
              <w:t xml:space="preserve"> subpopulation)</w:t>
            </w:r>
            <w:r w:rsidRPr="00D16646">
              <w:rPr>
                <w:szCs w:val="20"/>
              </w:rPr>
              <w:t>.</w:t>
            </w:r>
          </w:p>
        </w:tc>
      </w:tr>
      <w:tr w:rsidR="00BA00A6" w:rsidRPr="006258D8" w:rsidTr="00536D5D">
        <w:tc>
          <w:tcPr>
            <w:tcW w:w="726" w:type="pct"/>
          </w:tcPr>
          <w:p w:rsidR="00BA00A6" w:rsidRPr="00D16646" w:rsidRDefault="00BA00A6" w:rsidP="00863C97">
            <w:pPr>
              <w:pStyle w:val="TableText"/>
              <w:rPr>
                <w:szCs w:val="20"/>
                <w:lang w:val="en-AU"/>
              </w:rPr>
            </w:pPr>
            <w:r w:rsidRPr="00D16646">
              <w:rPr>
                <w:szCs w:val="20"/>
              </w:rPr>
              <w:t>Intervention</w:t>
            </w:r>
          </w:p>
        </w:tc>
        <w:tc>
          <w:tcPr>
            <w:tcW w:w="4274" w:type="pct"/>
          </w:tcPr>
          <w:p w:rsidR="00BA00A6" w:rsidRPr="00D16646" w:rsidRDefault="00BA00A6" w:rsidP="00863C97">
            <w:pPr>
              <w:pStyle w:val="TableText"/>
              <w:jc w:val="left"/>
              <w:rPr>
                <w:szCs w:val="20"/>
                <w:lang w:val="en-AU"/>
              </w:rPr>
            </w:pPr>
            <w:r w:rsidRPr="00D16646">
              <w:rPr>
                <w:szCs w:val="20"/>
              </w:rPr>
              <w:t>Fremanezumab 225 mg subcutaneously every 4 weeks or fremanezumab 675 mg subcutaneously every 12 weeks.</w:t>
            </w:r>
          </w:p>
        </w:tc>
      </w:tr>
      <w:tr w:rsidR="00BA00A6" w:rsidRPr="006258D8" w:rsidTr="00536D5D">
        <w:tc>
          <w:tcPr>
            <w:tcW w:w="726" w:type="pct"/>
          </w:tcPr>
          <w:p w:rsidR="00BA00A6" w:rsidRPr="00D16646" w:rsidRDefault="00BA00A6" w:rsidP="00863C97">
            <w:pPr>
              <w:pStyle w:val="TableText"/>
              <w:rPr>
                <w:szCs w:val="20"/>
                <w:lang w:val="en-AU"/>
              </w:rPr>
            </w:pPr>
            <w:r w:rsidRPr="00D16646">
              <w:rPr>
                <w:szCs w:val="20"/>
              </w:rPr>
              <w:t>Comparator</w:t>
            </w:r>
          </w:p>
        </w:tc>
        <w:tc>
          <w:tcPr>
            <w:tcW w:w="4274" w:type="pct"/>
          </w:tcPr>
          <w:p w:rsidR="00BA00A6" w:rsidRPr="00D16646" w:rsidRDefault="00BA00A6" w:rsidP="00863C97">
            <w:pPr>
              <w:pStyle w:val="TableText"/>
              <w:jc w:val="left"/>
              <w:rPr>
                <w:szCs w:val="20"/>
                <w:lang w:val="en-AU"/>
              </w:rPr>
            </w:pPr>
            <w:r w:rsidRPr="00D16646">
              <w:rPr>
                <w:szCs w:val="20"/>
              </w:rPr>
              <w:t>Primary: Botox administered by intramuscular injection every 12 weeks to 31-39 sites; best supportive care.</w:t>
            </w:r>
          </w:p>
          <w:p w:rsidR="00BA00A6" w:rsidRPr="00D16646" w:rsidRDefault="00BA00A6" w:rsidP="00863C97">
            <w:pPr>
              <w:pStyle w:val="TableText"/>
              <w:jc w:val="left"/>
              <w:rPr>
                <w:szCs w:val="20"/>
                <w:lang w:val="en-AU"/>
              </w:rPr>
            </w:pPr>
            <w:r w:rsidRPr="00D16646">
              <w:rPr>
                <w:szCs w:val="20"/>
              </w:rPr>
              <w:t>Supportive: erenumab 70 mg or 140 mg subcutaneously every 4 weeks; galcanezumab 120 mg subcutaneously once a month (following initial 240 mg loading dose).</w:t>
            </w:r>
          </w:p>
        </w:tc>
      </w:tr>
      <w:tr w:rsidR="00BA00A6" w:rsidRPr="006258D8" w:rsidTr="00536D5D">
        <w:tc>
          <w:tcPr>
            <w:tcW w:w="726" w:type="pct"/>
            <w:tcBorders>
              <w:bottom w:val="single" w:sz="4" w:space="0" w:color="auto"/>
            </w:tcBorders>
          </w:tcPr>
          <w:p w:rsidR="00BA00A6" w:rsidRPr="00D16646" w:rsidRDefault="00BA00A6" w:rsidP="00863C97">
            <w:pPr>
              <w:pStyle w:val="TableText"/>
              <w:rPr>
                <w:szCs w:val="20"/>
                <w:lang w:val="en-AU"/>
              </w:rPr>
            </w:pPr>
            <w:r w:rsidRPr="00D16646">
              <w:rPr>
                <w:szCs w:val="20"/>
              </w:rPr>
              <w:t>Outcomes</w:t>
            </w:r>
          </w:p>
        </w:tc>
        <w:tc>
          <w:tcPr>
            <w:tcW w:w="4274" w:type="pct"/>
            <w:tcBorders>
              <w:bottom w:val="single" w:sz="4" w:space="0" w:color="auto"/>
            </w:tcBorders>
          </w:tcPr>
          <w:p w:rsidR="00BA00A6" w:rsidRPr="00D16646" w:rsidRDefault="00BA00A6" w:rsidP="00863C97">
            <w:pPr>
              <w:pStyle w:val="TableText"/>
              <w:jc w:val="left"/>
              <w:rPr>
                <w:szCs w:val="20"/>
                <w:highlight w:val="yellow"/>
                <w:lang w:val="en-AU"/>
              </w:rPr>
            </w:pPr>
            <w:r w:rsidRPr="00D16646">
              <w:rPr>
                <w:szCs w:val="20"/>
              </w:rPr>
              <w:t>Reduction in monthly migraine days; reduction in monthly headache days; proportion of patients achieving a response (≥50% reduction from baseline in monthly migraine days).</w:t>
            </w:r>
          </w:p>
        </w:tc>
      </w:tr>
      <w:tr w:rsidR="00BA00A6" w:rsidRPr="006258D8" w:rsidTr="00536D5D">
        <w:tc>
          <w:tcPr>
            <w:tcW w:w="726" w:type="pct"/>
            <w:tcBorders>
              <w:bottom w:val="single" w:sz="4" w:space="0" w:color="auto"/>
            </w:tcBorders>
          </w:tcPr>
          <w:p w:rsidR="00BA00A6" w:rsidRPr="00D16646" w:rsidRDefault="00BA00A6" w:rsidP="00863C97">
            <w:pPr>
              <w:pStyle w:val="TableText"/>
              <w:rPr>
                <w:szCs w:val="20"/>
                <w:lang w:val="en-AU"/>
              </w:rPr>
            </w:pPr>
            <w:r w:rsidRPr="00D16646">
              <w:rPr>
                <w:szCs w:val="20"/>
              </w:rPr>
              <w:t>Clinical claim</w:t>
            </w:r>
          </w:p>
        </w:tc>
        <w:tc>
          <w:tcPr>
            <w:tcW w:w="4274" w:type="pct"/>
            <w:tcBorders>
              <w:bottom w:val="single" w:sz="4" w:space="0" w:color="auto"/>
            </w:tcBorders>
          </w:tcPr>
          <w:p w:rsidR="00BA00A6" w:rsidRPr="00D16646" w:rsidRDefault="00BA00A6" w:rsidP="00863C97">
            <w:pPr>
              <w:pStyle w:val="TableText"/>
              <w:jc w:val="left"/>
              <w:rPr>
                <w:szCs w:val="20"/>
                <w:lang w:val="en-AU"/>
              </w:rPr>
            </w:pPr>
            <w:r w:rsidRPr="00D16646">
              <w:rPr>
                <w:szCs w:val="20"/>
              </w:rPr>
              <w:t xml:space="preserve">In patients with chronic migraine and </w:t>
            </w:r>
            <w:r w:rsidR="00ED7C39">
              <w:rPr>
                <w:szCs w:val="20"/>
              </w:rPr>
              <w:t xml:space="preserve">with </w:t>
            </w:r>
            <w:r w:rsidRPr="00D16646">
              <w:rPr>
                <w:szCs w:val="20"/>
              </w:rPr>
              <w:t>≥3 prior treatment</w:t>
            </w:r>
            <w:r w:rsidR="00ED7C39">
              <w:rPr>
                <w:szCs w:val="20"/>
              </w:rPr>
              <w:t xml:space="preserve"> failures</w:t>
            </w:r>
            <w:r w:rsidRPr="00D16646">
              <w:rPr>
                <w:szCs w:val="20"/>
              </w:rPr>
              <w:t>:</w:t>
            </w:r>
          </w:p>
          <w:p w:rsidR="00BA00A6" w:rsidRPr="00D16646" w:rsidRDefault="00BA00A6" w:rsidP="00863C97">
            <w:pPr>
              <w:pStyle w:val="TableText"/>
              <w:numPr>
                <w:ilvl w:val="0"/>
                <w:numId w:val="5"/>
              </w:numPr>
              <w:jc w:val="left"/>
              <w:rPr>
                <w:szCs w:val="20"/>
                <w:lang w:val="en-AU"/>
              </w:rPr>
            </w:pPr>
            <w:r w:rsidRPr="00D16646">
              <w:rPr>
                <w:szCs w:val="20"/>
              </w:rPr>
              <w:t>Fremanezumab is superior in terms of effectiveness and non-inferior in terms of safety compared to best supportive care (placebo).</w:t>
            </w:r>
          </w:p>
          <w:p w:rsidR="00BA00A6" w:rsidRPr="00D16646" w:rsidRDefault="00BA00A6" w:rsidP="00863C97">
            <w:pPr>
              <w:pStyle w:val="TableText"/>
              <w:numPr>
                <w:ilvl w:val="0"/>
                <w:numId w:val="5"/>
              </w:numPr>
              <w:jc w:val="left"/>
              <w:rPr>
                <w:szCs w:val="20"/>
                <w:lang w:val="en-AU"/>
              </w:rPr>
            </w:pPr>
            <w:r w:rsidRPr="00D16646">
              <w:rPr>
                <w:szCs w:val="20"/>
              </w:rPr>
              <w:t>Fremanezumab is non-inferior in terms of effectiveness and safety compared to Botox, erenumab and galcanezumab.</w:t>
            </w:r>
          </w:p>
        </w:tc>
      </w:tr>
    </w:tbl>
    <w:p w:rsidR="00BA00A6" w:rsidRPr="006258D8" w:rsidRDefault="00BA00A6" w:rsidP="00021367">
      <w:pPr>
        <w:pStyle w:val="TableFigureFooter"/>
      </w:pPr>
      <w:r w:rsidRPr="006258D8">
        <w:t xml:space="preserve">Source: </w:t>
      </w:r>
      <w:r w:rsidRPr="00E54DB5">
        <w:t>Table 1</w:t>
      </w:r>
      <w:r w:rsidRPr="006258D8">
        <w:t>.1, p.2 of the submission.</w:t>
      </w:r>
    </w:p>
    <w:p w:rsidR="00E4041E" w:rsidRPr="006258D8" w:rsidRDefault="00C317F3" w:rsidP="00021367">
      <w:pPr>
        <w:pStyle w:val="2-SectionHeading"/>
      </w:pPr>
      <w:bookmarkStart w:id="4" w:name="_Toc19693413"/>
      <w:r w:rsidRPr="006258D8">
        <w:t>Requested listing</w:t>
      </w:r>
      <w:bookmarkEnd w:id="3"/>
      <w:bookmarkEnd w:id="4"/>
    </w:p>
    <w:p w:rsidR="00BA00A6" w:rsidRPr="00580AD7" w:rsidRDefault="00057868" w:rsidP="00057868">
      <w:pPr>
        <w:rPr>
          <w:rFonts w:asciiTheme="minorHAnsi" w:eastAsiaTheme="minorHAnsi" w:hAnsiTheme="minorHAnsi" w:cstheme="minorBidi"/>
          <w:szCs w:val="22"/>
        </w:rPr>
      </w:pPr>
      <w:r w:rsidRPr="00057868">
        <w:rPr>
          <w:rFonts w:asciiTheme="minorHAnsi" w:eastAsiaTheme="minorHAnsi" w:hAnsiTheme="minorHAnsi" w:cstheme="minorBidi"/>
          <w:szCs w:val="22"/>
        </w:rPr>
        <w:t>2.1</w:t>
      </w:r>
      <w:r w:rsidRPr="00057868">
        <w:rPr>
          <w:rFonts w:asciiTheme="minorHAnsi" w:eastAsiaTheme="minorHAnsi" w:hAnsiTheme="minorHAnsi" w:cstheme="minorBidi"/>
          <w:szCs w:val="22"/>
        </w:rPr>
        <w:tab/>
      </w:r>
      <w:r w:rsidRPr="001C2B38">
        <w:rPr>
          <w:rFonts w:asciiTheme="minorHAnsi" w:eastAsiaTheme="minorHAnsi" w:hAnsiTheme="minorHAnsi" w:cstheme="minorBidi"/>
          <w:szCs w:val="22"/>
        </w:rPr>
        <w:t xml:space="preserve">Suggestions and additions proposed by the Secretariat are added in italics and </w:t>
      </w:r>
      <w:r w:rsidR="009F2622">
        <w:rPr>
          <w:rFonts w:asciiTheme="minorHAnsi" w:eastAsiaTheme="minorHAnsi" w:hAnsiTheme="minorHAnsi" w:cstheme="minorBidi"/>
          <w:szCs w:val="22"/>
        </w:rPr>
        <w:tab/>
      </w:r>
      <w:r w:rsidRPr="001C2B38">
        <w:rPr>
          <w:rFonts w:asciiTheme="minorHAnsi" w:eastAsiaTheme="minorHAnsi" w:hAnsiTheme="minorHAnsi" w:cstheme="minorBidi"/>
          <w:szCs w:val="22"/>
        </w:rPr>
        <w:t>suggested deletions are crossed out with strikethrough.</w:t>
      </w:r>
    </w:p>
    <w:p w:rsidR="00057868" w:rsidRDefault="00057868" w:rsidP="0002136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74141">
        <w:tc>
          <w:tcPr>
            <w:tcW w:w="0" w:type="auto"/>
            <w:vAlign w:val="center"/>
          </w:tcPr>
          <w:p w:rsidR="00EC4C47" w:rsidRPr="006258D8" w:rsidRDefault="00EC4C47" w:rsidP="00C74141">
            <w:pPr>
              <w:pStyle w:val="Tabletext0"/>
              <w:rPr>
                <w:b/>
                <w:bCs/>
              </w:rPr>
            </w:pPr>
            <w:r w:rsidRPr="006258D8">
              <w:rPr>
                <w:b/>
              </w:rPr>
              <w:lastRenderedPageBreak/>
              <w:t>Name, restriction, manner of administration, form</w:t>
            </w:r>
          </w:p>
        </w:tc>
        <w:tc>
          <w:tcPr>
            <w:tcW w:w="0" w:type="auto"/>
            <w:vAlign w:val="center"/>
          </w:tcPr>
          <w:p w:rsidR="00EC4C47" w:rsidRPr="006258D8" w:rsidRDefault="00EC4C47" w:rsidP="00C74141">
            <w:pPr>
              <w:pStyle w:val="Tabletext0"/>
              <w:jc w:val="center"/>
              <w:rPr>
                <w:b/>
                <w:bCs/>
              </w:rPr>
            </w:pPr>
            <w:r w:rsidRPr="006258D8">
              <w:rPr>
                <w:b/>
              </w:rPr>
              <w:t>Maximum quantity (packs)</w:t>
            </w:r>
          </w:p>
        </w:tc>
        <w:tc>
          <w:tcPr>
            <w:tcW w:w="0" w:type="auto"/>
            <w:vAlign w:val="center"/>
          </w:tcPr>
          <w:p w:rsidR="00EC4C47" w:rsidRPr="006258D8" w:rsidRDefault="00EC4C47" w:rsidP="00C74141">
            <w:pPr>
              <w:pStyle w:val="Tabletext0"/>
              <w:jc w:val="center"/>
              <w:rPr>
                <w:b/>
                <w:bCs/>
              </w:rPr>
            </w:pPr>
            <w:r w:rsidRPr="006258D8">
              <w:rPr>
                <w:b/>
              </w:rPr>
              <w:t>Maximum quantity (units)</w:t>
            </w:r>
          </w:p>
        </w:tc>
        <w:tc>
          <w:tcPr>
            <w:tcW w:w="0" w:type="auto"/>
            <w:vAlign w:val="center"/>
          </w:tcPr>
          <w:p w:rsidR="00EC4C47" w:rsidRPr="006258D8" w:rsidRDefault="00EC4C47" w:rsidP="00C74141">
            <w:pPr>
              <w:pStyle w:val="Tabletext0"/>
              <w:jc w:val="center"/>
              <w:rPr>
                <w:b/>
                <w:bCs/>
              </w:rPr>
            </w:pPr>
            <w:r w:rsidRPr="006258D8">
              <w:rPr>
                <w:b/>
              </w:rPr>
              <w:t>No. of repeats</w:t>
            </w:r>
          </w:p>
        </w:tc>
        <w:tc>
          <w:tcPr>
            <w:tcW w:w="0" w:type="auto"/>
            <w:vAlign w:val="center"/>
          </w:tcPr>
          <w:p w:rsidR="00EC4C47" w:rsidRPr="006258D8" w:rsidRDefault="00EC4C47" w:rsidP="00C74141">
            <w:pPr>
              <w:pStyle w:val="Tabletext0"/>
              <w:jc w:val="center"/>
              <w:rPr>
                <w:b/>
                <w:bCs/>
              </w:rPr>
            </w:pPr>
            <w:r w:rsidRPr="006258D8">
              <w:rPr>
                <w:b/>
              </w:rPr>
              <w:t>Dispensed price for maximum quantity</w:t>
            </w:r>
          </w:p>
        </w:tc>
        <w:tc>
          <w:tcPr>
            <w:tcW w:w="0" w:type="auto"/>
            <w:vAlign w:val="center"/>
          </w:tcPr>
          <w:p w:rsidR="00EC4C47" w:rsidRPr="006258D8" w:rsidRDefault="00EC4C47" w:rsidP="00C74141">
            <w:pPr>
              <w:pStyle w:val="Tabletext0"/>
              <w:jc w:val="center"/>
              <w:rPr>
                <w:b/>
                <w:bCs/>
              </w:rPr>
            </w:pPr>
            <w:r w:rsidRPr="006258D8">
              <w:rPr>
                <w:b/>
              </w:rPr>
              <w:t>Proprietary name and manufacturer</w:t>
            </w:r>
          </w:p>
        </w:tc>
      </w:tr>
      <w:tr w:rsidR="00EC4C47" w:rsidRPr="006258D8" w:rsidTr="00C74141">
        <w:tc>
          <w:tcPr>
            <w:tcW w:w="0" w:type="auto"/>
            <w:vAlign w:val="center"/>
          </w:tcPr>
          <w:p w:rsidR="00EC4C47" w:rsidRPr="006258D8" w:rsidRDefault="00EC4C47" w:rsidP="00C74141">
            <w:pPr>
              <w:pStyle w:val="Tabletext0"/>
            </w:pPr>
            <w:r w:rsidRPr="006258D8">
              <w:t>FREMANEZUMAB</w:t>
            </w:r>
          </w:p>
          <w:p w:rsidR="00EC4C47" w:rsidRPr="006258D8" w:rsidRDefault="00EC4C47" w:rsidP="00C74141">
            <w:pPr>
              <w:pStyle w:val="Tabletext0"/>
              <w:rPr>
                <w:b/>
                <w:bCs/>
              </w:rPr>
            </w:pPr>
            <w:r w:rsidRPr="006258D8">
              <w:t>225 mg in 1.5mL solution for injection, 150 mg/1mL × 1 pre-filled pen</w:t>
            </w:r>
          </w:p>
        </w:tc>
        <w:tc>
          <w:tcPr>
            <w:tcW w:w="0" w:type="auto"/>
            <w:vAlign w:val="center"/>
          </w:tcPr>
          <w:p w:rsidR="00EC4C47" w:rsidRPr="006258D8" w:rsidRDefault="00EC4C47" w:rsidP="00C74141">
            <w:pPr>
              <w:pStyle w:val="Tabletext0"/>
              <w:jc w:val="center"/>
              <w:rPr>
                <w:rFonts w:ascii="Times" w:hAnsi="Times"/>
              </w:rPr>
            </w:pPr>
            <w:r w:rsidRPr="006258D8">
              <w:t>1</w:t>
            </w:r>
          </w:p>
        </w:tc>
        <w:tc>
          <w:tcPr>
            <w:tcW w:w="0" w:type="auto"/>
            <w:vAlign w:val="center"/>
          </w:tcPr>
          <w:p w:rsidR="00EC4C47" w:rsidRPr="006258D8" w:rsidRDefault="00EC4C47" w:rsidP="00C74141">
            <w:pPr>
              <w:pStyle w:val="Tabletext0"/>
              <w:jc w:val="center"/>
              <w:rPr>
                <w:rFonts w:ascii="Times" w:hAnsi="Times"/>
              </w:rPr>
            </w:pPr>
            <w:r w:rsidRPr="006258D8">
              <w:t>1</w:t>
            </w:r>
          </w:p>
        </w:tc>
        <w:tc>
          <w:tcPr>
            <w:tcW w:w="0" w:type="auto"/>
            <w:vAlign w:val="center"/>
          </w:tcPr>
          <w:p w:rsidR="00EC4C47" w:rsidRPr="006258D8" w:rsidRDefault="00EC4C47" w:rsidP="00C74141">
            <w:pPr>
              <w:pStyle w:val="Tabletext0"/>
              <w:jc w:val="center"/>
              <w:rPr>
                <w:rFonts w:ascii="Times" w:hAnsi="Times"/>
              </w:rPr>
            </w:pPr>
            <w:r w:rsidRPr="006258D8">
              <w:t>2</w:t>
            </w:r>
          </w:p>
        </w:tc>
        <w:tc>
          <w:tcPr>
            <w:tcW w:w="0" w:type="auto"/>
            <w:vAlign w:val="center"/>
          </w:tcPr>
          <w:p w:rsidR="00EC4C47" w:rsidRPr="006258D8" w:rsidRDefault="00EC4C47" w:rsidP="00C74141">
            <w:pPr>
              <w:pStyle w:val="Tabletext0"/>
              <w:jc w:val="center"/>
            </w:pPr>
            <w:r w:rsidRPr="006258D8">
              <w:t>Published: $</w:t>
            </w:r>
            <w:r w:rsidR="00D11BC9">
              <w:rPr>
                <w:noProof/>
                <w:color w:val="000000"/>
                <w:highlight w:val="black"/>
              </w:rPr>
              <w:t>'''''''''''''''</w:t>
            </w:r>
          </w:p>
          <w:p w:rsidR="00EC4C47" w:rsidRPr="006258D8" w:rsidRDefault="00EC4C47" w:rsidP="0080764B">
            <w:pPr>
              <w:pStyle w:val="Tabletext0"/>
              <w:jc w:val="center"/>
              <w:rPr>
                <w:rFonts w:ascii="Times" w:hAnsi="Times"/>
              </w:rPr>
            </w:pPr>
            <w:r w:rsidRPr="006258D8">
              <w:t xml:space="preserve">Effective: </w:t>
            </w:r>
            <w:r w:rsidRPr="0080764B">
              <w:t>$</w:t>
            </w:r>
            <w:r w:rsidR="00D11BC9">
              <w:rPr>
                <w:noProof/>
                <w:color w:val="000000"/>
                <w:highlight w:val="black"/>
              </w:rPr>
              <w:t>'''''''''''''''''</w:t>
            </w:r>
            <w:r w:rsidR="00057868">
              <w:rPr>
                <w:strike/>
              </w:rPr>
              <w:t xml:space="preserve"> </w:t>
            </w:r>
          </w:p>
        </w:tc>
        <w:tc>
          <w:tcPr>
            <w:tcW w:w="0" w:type="auto"/>
            <w:vAlign w:val="center"/>
          </w:tcPr>
          <w:p w:rsidR="00C74141" w:rsidRDefault="00EC4C47" w:rsidP="00C74141">
            <w:pPr>
              <w:pStyle w:val="Tabletext0"/>
            </w:pPr>
            <w:r w:rsidRPr="006258D8">
              <w:t>Ajovy</w:t>
            </w:r>
            <w:r w:rsidRPr="006258D8">
              <w:rPr>
                <w:vertAlign w:val="superscript"/>
              </w:rPr>
              <w:t>®</w:t>
            </w:r>
            <w:r w:rsidRPr="006258D8">
              <w:t>,</w:t>
            </w:r>
          </w:p>
          <w:p w:rsidR="00EC4C47" w:rsidRPr="006258D8" w:rsidRDefault="00EC4C47" w:rsidP="00C74141">
            <w:pPr>
              <w:pStyle w:val="Tabletext0"/>
              <w:rPr>
                <w:rFonts w:ascii="Times" w:hAnsi="Times"/>
              </w:rPr>
            </w:pPr>
            <w:r w:rsidRPr="006258D8">
              <w:t>TEVA</w:t>
            </w:r>
          </w:p>
        </w:tc>
      </w:tr>
    </w:tbl>
    <w:p w:rsidR="00EC4C47" w:rsidRPr="006258D8" w:rsidRDefault="00EC4C47" w:rsidP="00EC4C47">
      <w:pPr>
        <w:rPr>
          <w:rStyle w:val="CommentReference"/>
        </w:rPr>
      </w:pPr>
    </w:p>
    <w:p w:rsidR="00EC4C47" w:rsidRPr="006258D8" w:rsidRDefault="00EC4C47" w:rsidP="00EC4C47">
      <w:pPr>
        <w:rPr>
          <w:rStyle w:val="CommentReference"/>
        </w:rPr>
      </w:pPr>
    </w:p>
    <w:tbl>
      <w:tblPr>
        <w:tblW w:w="9101" w:type="dxa"/>
        <w:tblInd w:w="108" w:type="dxa"/>
        <w:tblLayout w:type="fixed"/>
        <w:tblLook w:val="0000" w:firstRow="0" w:lastRow="0" w:firstColumn="0" w:lastColumn="0" w:noHBand="0" w:noVBand="0"/>
      </w:tblPr>
      <w:tblGrid>
        <w:gridCol w:w="1872"/>
        <w:gridCol w:w="7229"/>
      </w:tblGrid>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trike/>
                <w:sz w:val="20"/>
                <w:szCs w:val="20"/>
              </w:rPr>
              <w:t>N/A</w:t>
            </w:r>
            <w:r w:rsidRPr="004612D6">
              <w:rPr>
                <w:rFonts w:ascii="Arial Narrow" w:hAnsi="Arial Narrow"/>
                <w:i/>
                <w:sz w:val="20"/>
                <w:szCs w:val="20"/>
              </w:rPr>
              <w:t>Chronic</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strike/>
                <w:sz w:val="20"/>
                <w:szCs w:val="20"/>
              </w:rPr>
              <w:t>N/A</w:t>
            </w:r>
            <w:r w:rsidRPr="004612D6">
              <w:rPr>
                <w:rFonts w:ascii="Arial Narrow" w:hAnsi="Arial Narrow"/>
                <w:sz w:val="20"/>
                <w:szCs w:val="20"/>
              </w:rPr>
              <w:t xml:space="preserve"> </w:t>
            </w:r>
            <w:r w:rsidRPr="004612D6">
              <w:rPr>
                <w:rFonts w:ascii="Arial Narrow" w:hAnsi="Arial Narrow"/>
                <w:i/>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Migraine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 xml:space="preserve">Chronic migraine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 xml:space="preserve">Initial </w:t>
            </w:r>
            <w:r w:rsidRPr="004612D6">
              <w:rPr>
                <w:rFonts w:ascii="Arial Narrow" w:hAnsi="Arial Narrow"/>
                <w:i/>
                <w:sz w:val="20"/>
                <w:szCs w:val="20"/>
              </w:rPr>
              <w:t>treatment</w:t>
            </w:r>
            <w:r w:rsidRPr="004612D6">
              <w:rPr>
                <w:rFonts w:ascii="Arial Narrow" w:hAnsi="Arial Narrow"/>
                <w:sz w:val="20"/>
                <w:szCs w:val="20"/>
              </w:rPr>
              <w:t xml:space="preserve"> </w:t>
            </w:r>
            <w:r w:rsidRPr="004612D6">
              <w:rPr>
                <w:rFonts w:ascii="Arial Narrow" w:hAnsi="Arial Narrow"/>
                <w:i/>
                <w:sz w:val="20"/>
                <w:szCs w:val="20"/>
              </w:rPr>
              <w:t>(monthly dosing)</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C74141">
            <w:pPr>
              <w:rPr>
                <w:rFonts w:ascii="Arial Narrow" w:hAnsi="Arial Narrow"/>
                <w:sz w:val="20"/>
                <w:szCs w:val="20"/>
              </w:rPr>
            </w:pPr>
            <w:r w:rsidRPr="004612D6">
              <w:rPr>
                <w:rFonts w:ascii="Arial Narrow" w:hAnsi="Arial Narrow"/>
                <w:sz w:val="20"/>
                <w:szCs w:val="20"/>
              </w:rPr>
              <w:t>Section 85</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Authority required</w:t>
            </w: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color w:val="000000"/>
                <w:sz w:val="20"/>
                <w:szCs w:val="20"/>
              </w:rPr>
              <w:t xml:space="preserve">Must be treated by a specialist </w:t>
            </w:r>
            <w:r w:rsidRPr="004612D6">
              <w:rPr>
                <w:rFonts w:ascii="Arial Narrow" w:hAnsi="Arial Narrow"/>
                <w:sz w:val="20"/>
                <w:szCs w:val="20"/>
              </w:rPr>
              <w:t>neurologist</w:t>
            </w:r>
            <w:r w:rsidR="00705121">
              <w:rPr>
                <w:rFonts w:ascii="Arial Narrow" w:hAnsi="Arial Narrow"/>
                <w:sz w:val="20"/>
                <w:szCs w:val="20"/>
              </w:rPr>
              <w:t>,</w:t>
            </w:r>
            <w:r w:rsidRPr="004612D6">
              <w:rPr>
                <w:rFonts w:ascii="Arial Narrow" w:hAnsi="Arial Narrow"/>
                <w:sz w:val="20"/>
                <w:szCs w:val="20"/>
              </w:rPr>
              <w:t xml:space="preserve"> or </w:t>
            </w:r>
            <w:r w:rsidRPr="004612D6">
              <w:rPr>
                <w:rFonts w:ascii="Arial Narrow" w:hAnsi="Arial Narrow"/>
                <w:strike/>
                <w:sz w:val="20"/>
                <w:szCs w:val="20"/>
              </w:rPr>
              <w:t>a pain</w:t>
            </w:r>
            <w:r w:rsidRPr="004612D6">
              <w:rPr>
                <w:rFonts w:ascii="Arial Narrow" w:hAnsi="Arial Narrow"/>
                <w:sz w:val="20"/>
                <w:szCs w:val="20"/>
              </w:rPr>
              <w:t xml:space="preserve"> specialist</w:t>
            </w:r>
            <w:r w:rsidRPr="004612D6">
              <w:rPr>
                <w:rFonts w:ascii="Arial Narrow" w:hAnsi="Arial Narrow"/>
                <w:i/>
                <w:sz w:val="20"/>
                <w:szCs w:val="20"/>
              </w:rPr>
              <w:t xml:space="preserve"> pain medicine physician accredited or experienced in treating headache</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lastRenderedPageBreak/>
              <w:t>Clinical criteria:</w:t>
            </w:r>
          </w:p>
          <w:p w:rsidR="00EC4C47" w:rsidRPr="004612D6" w:rsidRDefault="00EC4C47" w:rsidP="00C74141">
            <w:pPr>
              <w:rPr>
                <w:rFonts w:ascii="Arial Narrow" w:hAnsi="Arial Narrow"/>
                <w:i/>
                <w:sz w:val="20"/>
                <w:szCs w:val="20"/>
              </w:rPr>
            </w:pP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i/>
                <w:sz w:val="20"/>
                <w:szCs w:val="20"/>
              </w:rPr>
            </w:pPr>
            <w:r w:rsidRPr="004612D6">
              <w:rPr>
                <w:rFonts w:ascii="Arial Narrow" w:hAnsi="Arial Narrow"/>
                <w:sz w:val="20"/>
                <w:szCs w:val="20"/>
              </w:rPr>
              <w:t xml:space="preserve">Patient must have experienced an average of 15 or more headache days per month, with at least 8 days of migraine, over a period of at least 6 months, prior to commencement of treatment with </w:t>
            </w:r>
            <w:r w:rsidRPr="004612D6">
              <w:rPr>
                <w:rFonts w:ascii="Arial Narrow" w:hAnsi="Arial Narrow"/>
                <w:strike/>
                <w:sz w:val="20"/>
                <w:szCs w:val="20"/>
              </w:rPr>
              <w:t>fremanezumab</w:t>
            </w:r>
            <w:r w:rsidRPr="004612D6">
              <w:rPr>
                <w:rFonts w:ascii="Arial Narrow" w:hAnsi="Arial Narrow"/>
                <w:sz w:val="20"/>
                <w:szCs w:val="20"/>
              </w:rPr>
              <w:t xml:space="preserve"> </w:t>
            </w:r>
            <w:r w:rsidRPr="004612D6">
              <w:rPr>
                <w:rFonts w:ascii="Arial Narrow" w:hAnsi="Arial Narrow"/>
                <w:i/>
                <w:sz w:val="20"/>
                <w:szCs w:val="20"/>
              </w:rPr>
              <w:t>this medicine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z w:val="20"/>
                <w:szCs w:val="20"/>
              </w:rPr>
            </w:pPr>
            <w:r w:rsidRPr="004612D6">
              <w:rPr>
                <w:rFonts w:ascii="Arial Narrow" w:hAnsi="Arial Narrow"/>
                <w:sz w:val="20"/>
                <w:szCs w:val="20"/>
              </w:rPr>
              <w:t>AND</w:t>
            </w:r>
          </w:p>
          <w:p w:rsidR="00EC4C47" w:rsidRPr="004612D6" w:rsidRDefault="00EC4C47" w:rsidP="00C74141">
            <w:pPr>
              <w:rPr>
                <w:rFonts w:ascii="Arial Narrow" w:hAnsi="Arial Narrow"/>
                <w:sz w:val="20"/>
                <w:szCs w:val="20"/>
              </w:rPr>
            </w:pPr>
            <w:r w:rsidRPr="004612D6">
              <w:rPr>
                <w:rFonts w:ascii="Arial Narrow" w:hAnsi="Arial Narrow"/>
                <w:sz w:val="20"/>
                <w:szCs w:val="20"/>
              </w:rPr>
              <w:t xml:space="preserve">Patient must have experienced an inadequate response, intolerance or a contraindication to at least three prophylactic migraine medications prior to commencement of treatment with </w:t>
            </w:r>
            <w:r w:rsidRPr="004612D6">
              <w:rPr>
                <w:rFonts w:ascii="Arial Narrow" w:hAnsi="Arial Narrow"/>
                <w:strike/>
                <w:sz w:val="20"/>
                <w:szCs w:val="20"/>
              </w:rPr>
              <w:t>fremanezumab</w:t>
            </w:r>
            <w:r w:rsidRPr="004612D6">
              <w:rPr>
                <w:rFonts w:ascii="Arial Narrow" w:hAnsi="Arial Narrow"/>
                <w:sz w:val="20"/>
                <w:szCs w:val="20"/>
              </w:rPr>
              <w:t xml:space="preserve"> </w:t>
            </w:r>
            <w:r w:rsidRPr="004612D6">
              <w:rPr>
                <w:rFonts w:ascii="Arial Narrow" w:hAnsi="Arial Narrow"/>
                <w:i/>
                <w:sz w:val="20"/>
                <w:szCs w:val="20"/>
              </w:rPr>
              <w:t>this medicine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OR</w:t>
            </w:r>
          </w:p>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Patient must have experienced an inadequate response, intolerance or a contraindication to at least three prophylactic migraine medications and subsequently experienced an inadequate response, intolerance or a contraindication (which may include needle or toxin phobia) to botulinum toxin type A for chronic migraine prior to commencement of treatment with</w:t>
            </w:r>
            <w:r w:rsidRPr="004612D6">
              <w:rPr>
                <w:rFonts w:ascii="Arial Narrow" w:hAnsi="Arial Narrow"/>
                <w:sz w:val="20"/>
                <w:szCs w:val="20"/>
              </w:rPr>
              <w:t xml:space="preserve"> </w:t>
            </w:r>
            <w:r w:rsidRPr="004612D6">
              <w:rPr>
                <w:rFonts w:ascii="Arial Narrow" w:hAnsi="Arial Narrow"/>
                <w:strike/>
                <w:sz w:val="20"/>
                <w:szCs w:val="20"/>
              </w:rPr>
              <w:t>fremanezumab</w:t>
            </w:r>
          </w:p>
          <w:p w:rsidR="00EC4C47" w:rsidRPr="004612D6" w:rsidRDefault="00EC4C47" w:rsidP="00C74141">
            <w:pPr>
              <w:rPr>
                <w:rFonts w:ascii="Arial Narrow" w:hAnsi="Arial Narrow"/>
                <w:strike/>
                <w:sz w:val="20"/>
                <w:szCs w:val="20"/>
              </w:rPr>
            </w:pP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sz w:val="20"/>
                <w:szCs w:val="20"/>
              </w:rPr>
            </w:pPr>
            <w:r w:rsidRPr="004612D6">
              <w:rPr>
                <w:rFonts w:ascii="Arial Narrow" w:hAnsi="Arial Narrow"/>
                <w:i/>
                <w:sz w:val="20"/>
                <w:szCs w:val="20"/>
              </w:rPr>
              <w:t>Patient must be appropriately managed for medication overuse headache, prior to initiation of treatment with this medicine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monthly dosing schedule</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Population criteria:</w:t>
            </w: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pBdr>
                <w:bottom w:val="dashed" w:sz="4" w:space="1" w:color="auto"/>
              </w:pBdr>
              <w:rPr>
                <w:rFonts w:ascii="Arial Narrow" w:hAnsi="Arial Narrow"/>
                <w:sz w:val="20"/>
                <w:szCs w:val="20"/>
              </w:rPr>
            </w:pPr>
            <w:r w:rsidRPr="004612D6">
              <w:rPr>
                <w:rFonts w:ascii="Arial Narrow" w:hAnsi="Arial Narrow"/>
                <w:sz w:val="20"/>
                <w:szCs w:val="20"/>
              </w:rPr>
              <w:t>Patient must be aged 18 years or older</w:t>
            </w:r>
          </w:p>
          <w:p w:rsidR="00EC4C47" w:rsidRPr="004612D6" w:rsidRDefault="00EC4C47" w:rsidP="00C74141">
            <w:pPr>
              <w:rPr>
                <w:rFonts w:ascii="Arial Narrow" w:hAnsi="Arial Narrow"/>
                <w:sz w:val="20"/>
                <w:szCs w:val="20"/>
              </w:rPr>
            </w:pPr>
            <w:r w:rsidRPr="004612D6">
              <w:rPr>
                <w:rFonts w:ascii="Arial Narrow" w:hAnsi="Arial Narrow"/>
                <w:strike/>
                <w:sz w:val="20"/>
                <w:szCs w:val="20"/>
              </w:rPr>
              <w:t>A maximum of 1 initiation cycle of 3 injections will be authorised under this restriction in a lifetime.</w:t>
            </w:r>
            <w:r w:rsidRPr="004612D6">
              <w:rPr>
                <w:rFonts w:ascii="Arial Narrow" w:hAnsi="Arial Narrow"/>
                <w:sz w:val="20"/>
                <w:szCs w:val="20"/>
              </w:rPr>
              <w:t xml:space="preserve"> </w:t>
            </w:r>
            <w:r w:rsidRPr="004612D6">
              <w:rPr>
                <w:rFonts w:ascii="Arial Narrow" w:hAnsi="Arial Narrow"/>
                <w:strike/>
                <w:sz w:val="20"/>
                <w:szCs w:val="20"/>
              </w:rPr>
              <w:t>Patients who have previously responded to this medication and have in the past met the continuation criteria may recommence treatment under the continuation criteria and do not require re-initiation.</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sz w:val="20"/>
                <w:szCs w:val="20"/>
              </w:rPr>
              <w:t xml:space="preserve">Prophylactic migraine medications </w:t>
            </w:r>
            <w:r w:rsidR="00E251F9" w:rsidRPr="0080764B">
              <w:rPr>
                <w:rFonts w:ascii="Arial Narrow" w:hAnsi="Arial Narrow"/>
                <w:strike/>
                <w:sz w:val="20"/>
                <w:szCs w:val="20"/>
              </w:rPr>
              <w:t>such as</w:t>
            </w:r>
            <w:r w:rsidR="00057868">
              <w:rPr>
                <w:rFonts w:ascii="Arial Narrow" w:hAnsi="Arial Narrow"/>
                <w:sz w:val="20"/>
                <w:szCs w:val="20"/>
              </w:rPr>
              <w:t xml:space="preserve"> </w:t>
            </w:r>
            <w:r w:rsidRPr="004612D6">
              <w:rPr>
                <w:rFonts w:ascii="Arial Narrow" w:hAnsi="Arial Narrow"/>
                <w:sz w:val="20"/>
                <w:szCs w:val="20"/>
              </w:rPr>
              <w:t>are propranolol, amitriptylin</w:t>
            </w:r>
            <w:r w:rsidRPr="004612D6">
              <w:rPr>
                <w:rFonts w:ascii="Arial Narrow" w:hAnsi="Arial Narrow"/>
                <w:i/>
                <w:sz w:val="20"/>
                <w:szCs w:val="20"/>
              </w:rPr>
              <w:t>e</w:t>
            </w:r>
            <w:r w:rsidRPr="004612D6">
              <w:rPr>
                <w:rFonts w:ascii="Arial Narrow" w:hAnsi="Arial Narrow"/>
                <w:sz w:val="20"/>
                <w:szCs w:val="20"/>
              </w:rPr>
              <w:t xml:space="preserve">, </w:t>
            </w:r>
            <w:r w:rsidRPr="004612D6">
              <w:rPr>
                <w:rFonts w:ascii="Arial Narrow" w:hAnsi="Arial Narrow"/>
                <w:strike/>
                <w:sz w:val="20"/>
                <w:szCs w:val="20"/>
              </w:rPr>
              <w:t>meth</w:t>
            </w:r>
            <w:r w:rsidRPr="004612D6">
              <w:rPr>
                <w:rFonts w:ascii="Arial Narrow" w:hAnsi="Arial Narrow"/>
                <w:i/>
                <w:strike/>
                <w:sz w:val="20"/>
                <w:szCs w:val="20"/>
              </w:rPr>
              <w:t>y</w:t>
            </w:r>
            <w:r w:rsidRPr="004612D6">
              <w:rPr>
                <w:rFonts w:ascii="Arial Narrow" w:hAnsi="Arial Narrow"/>
                <w:strike/>
                <w:sz w:val="20"/>
                <w:szCs w:val="20"/>
              </w:rPr>
              <w:t>sergide</w:t>
            </w:r>
            <w:r w:rsidRPr="004612D6">
              <w:rPr>
                <w:rFonts w:ascii="Arial Narrow" w:hAnsi="Arial Narrow"/>
                <w:sz w:val="20"/>
                <w:szCs w:val="20"/>
              </w:rPr>
              <w:t xml:space="preserve">, pizotifen, </w:t>
            </w:r>
            <w:r w:rsidRPr="004612D6">
              <w:rPr>
                <w:rFonts w:ascii="Arial Narrow" w:hAnsi="Arial Narrow" w:cs="Arial"/>
                <w:i/>
                <w:sz w:val="20"/>
                <w:szCs w:val="20"/>
                <w:lang w:bidi="en-US"/>
              </w:rPr>
              <w:t>candesartan, verapamil, nortriptyline, sodium valproate</w:t>
            </w:r>
            <w:r w:rsidRPr="004612D6">
              <w:rPr>
                <w:rFonts w:ascii="Arial Narrow" w:hAnsi="Arial Narrow"/>
                <w:sz w:val="20"/>
                <w:szCs w:val="20"/>
              </w:rPr>
              <w:t xml:space="preserve"> </w:t>
            </w:r>
            <w:r w:rsidRPr="004612D6">
              <w:rPr>
                <w:rFonts w:ascii="Arial Narrow" w:hAnsi="Arial Narrow"/>
                <w:strike/>
                <w:sz w:val="20"/>
                <w:szCs w:val="20"/>
              </w:rPr>
              <w:t>cyproheptadine</w:t>
            </w:r>
            <w:r w:rsidRPr="004612D6">
              <w:rPr>
                <w:rFonts w:ascii="Arial Narrow" w:hAnsi="Arial Narrow"/>
                <w:sz w:val="20"/>
                <w:szCs w:val="20"/>
              </w:rPr>
              <w:t xml:space="preserve"> or topiramate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z w:val="20"/>
                <w:szCs w:val="20"/>
              </w:rPr>
            </w:pPr>
            <w:r w:rsidRPr="004612D6">
              <w:rPr>
                <w:rFonts w:ascii="Arial Narrow" w:hAnsi="Arial Narrow"/>
                <w:i/>
                <w:sz w:val="20"/>
                <w:szCs w:val="20"/>
              </w:rPr>
              <w:t>A baseline measurement of the number of migraine days per month must be documented in the patient’s medical records</w:t>
            </w:r>
            <w:r w:rsidR="00FA5DC8">
              <w:rPr>
                <w:rFonts w:ascii="Arial Narrow" w:hAnsi="Arial Narrow"/>
                <w:i/>
                <w:sz w:val="20"/>
                <w:szCs w:val="20"/>
              </w:rPr>
              <w:t>.</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z w:val="20"/>
                <w:szCs w:val="20"/>
              </w:rPr>
            </w:pPr>
            <w:r w:rsidRPr="004612D6">
              <w:rPr>
                <w:rFonts w:ascii="Arial Narrow" w:hAnsi="Arial Narrow"/>
                <w:strike/>
                <w:sz w:val="20"/>
                <w:szCs w:val="20"/>
              </w:rPr>
              <w:t xml:space="preserve"> </w:t>
            </w:r>
            <w:r w:rsidRPr="0080764B">
              <w:rPr>
                <w:rFonts w:ascii="Arial Narrow" w:hAnsi="Arial Narrow"/>
                <w:sz w:val="20"/>
                <w:szCs w:val="20"/>
              </w:rPr>
              <w:t>A maximum of 1 initiation cycle of 3 injections will be authorised under this restriction in a lifetime. Patients who have previously responded to this medication and have in the past met the continuation criteria may recommence treatment under the continuation criteria and do not require re-initiation.</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This drug is not PBS-subsidised for use in combination with botulinum toxin type A for chronic migraine or another anti-CGRP for chronic migraine.</w:t>
            </w:r>
          </w:p>
          <w:p w:rsidR="00C74141" w:rsidRDefault="00EC4C47" w:rsidP="00C74141">
            <w:pPr>
              <w:rPr>
                <w:rFonts w:ascii="Arial Narrow" w:hAnsi="Arial Narrow"/>
                <w:i/>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number of repeats may be authorised.</w:t>
            </w:r>
          </w:p>
        </w:tc>
      </w:tr>
    </w:tbl>
    <w:p w:rsidR="005F5DDD" w:rsidRDefault="005F5DDD" w:rsidP="00EC4C47"/>
    <w:p w:rsidR="005F5DDD" w:rsidRDefault="005F5DDD">
      <w:pPr>
        <w:jc w:val="left"/>
      </w:pPr>
      <w:r>
        <w:br w:type="page"/>
      </w:r>
    </w:p>
    <w:p w:rsidR="00EC4C47" w:rsidRPr="006258D8" w:rsidRDefault="00EC4C47" w:rsidP="00EC4C4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74141">
        <w:tc>
          <w:tcPr>
            <w:tcW w:w="0" w:type="auto"/>
            <w:vAlign w:val="center"/>
          </w:tcPr>
          <w:p w:rsidR="00EC4C47" w:rsidRPr="006258D8" w:rsidRDefault="00EC4C47" w:rsidP="00C74141">
            <w:pPr>
              <w:rPr>
                <w:rFonts w:ascii="Arial Narrow" w:hAnsi="Arial Narrow"/>
                <w:b/>
                <w:bCs/>
                <w:snapToGrid w:val="0"/>
                <w:sz w:val="20"/>
              </w:rPr>
            </w:pPr>
            <w:r w:rsidRPr="006258D8">
              <w:rPr>
                <w:rFonts w:ascii="Arial Narrow" w:hAnsi="Arial Narrow"/>
                <w:b/>
                <w:snapToGrid w:val="0"/>
                <w:sz w:val="20"/>
              </w:rPr>
              <w:t>Name, restriction, manner of administration, form</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Maximum quantity (packs)</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Maximum quantity (units)</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No. of repeats</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Dispensed price for maximum quantity</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Proprietary name and manufacturer</w:t>
            </w:r>
          </w:p>
        </w:tc>
      </w:tr>
      <w:tr w:rsidR="00EC4C47" w:rsidRPr="006258D8" w:rsidTr="00C74141">
        <w:tc>
          <w:tcPr>
            <w:tcW w:w="0" w:type="auto"/>
            <w:vAlign w:val="center"/>
          </w:tcPr>
          <w:p w:rsidR="00EC4C47" w:rsidRPr="006258D8" w:rsidRDefault="00EC4C47" w:rsidP="00C74141">
            <w:pPr>
              <w:rPr>
                <w:rFonts w:ascii="Arial Narrow" w:hAnsi="Arial Narrow"/>
                <w:snapToGrid w:val="0"/>
                <w:sz w:val="20"/>
              </w:rPr>
            </w:pPr>
            <w:r w:rsidRPr="006258D8">
              <w:rPr>
                <w:rFonts w:ascii="Arial Narrow" w:hAnsi="Arial Narrow"/>
                <w:snapToGrid w:val="0"/>
                <w:sz w:val="20"/>
              </w:rPr>
              <w:t>FREMANEZUMAB</w:t>
            </w:r>
          </w:p>
          <w:p w:rsidR="00EC4C47" w:rsidRPr="006258D8" w:rsidRDefault="00EC4C47" w:rsidP="00C74141">
            <w:pPr>
              <w:rPr>
                <w:rFonts w:ascii="Arial Narrow" w:hAnsi="Arial Narrow"/>
                <w:b/>
                <w:bCs/>
                <w:snapToGrid w:val="0"/>
                <w:sz w:val="20"/>
              </w:rPr>
            </w:pPr>
            <w:r w:rsidRPr="006258D8">
              <w:rPr>
                <w:rFonts w:ascii="Arial Narrow" w:hAnsi="Arial Narrow"/>
                <w:snapToGrid w:val="0"/>
                <w:sz w:val="20"/>
              </w:rPr>
              <w:t>225 mg in 1.5mL solution for injection, 150 mg/1mL × 1 pre-filled pen</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1</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1</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 xml:space="preserve"> 5</w:t>
            </w:r>
          </w:p>
        </w:tc>
        <w:tc>
          <w:tcPr>
            <w:tcW w:w="0" w:type="auto"/>
            <w:vAlign w:val="center"/>
          </w:tcPr>
          <w:p w:rsidR="00EC4C47" w:rsidRPr="006258D8" w:rsidRDefault="00EC4C47" w:rsidP="00C74141">
            <w:pPr>
              <w:jc w:val="center"/>
              <w:rPr>
                <w:rFonts w:ascii="Arial Narrow" w:hAnsi="Arial Narrow"/>
                <w:snapToGrid w:val="0"/>
                <w:sz w:val="20"/>
              </w:rPr>
            </w:pPr>
            <w:r w:rsidRPr="006258D8">
              <w:rPr>
                <w:rFonts w:ascii="Arial Narrow" w:hAnsi="Arial Narrow"/>
                <w:snapToGrid w:val="0"/>
                <w:sz w:val="20"/>
              </w:rPr>
              <w:t>Published: $</w:t>
            </w:r>
            <w:r w:rsidR="00D11BC9">
              <w:rPr>
                <w:rFonts w:ascii="Arial Narrow" w:hAnsi="Arial Narrow"/>
                <w:noProof/>
                <w:snapToGrid w:val="0"/>
                <w:color w:val="000000"/>
                <w:sz w:val="20"/>
                <w:highlight w:val="black"/>
              </w:rPr>
              <w:t>'''''''''''''''</w:t>
            </w:r>
          </w:p>
          <w:p w:rsidR="00EC4C47" w:rsidRPr="006258D8" w:rsidRDefault="00EC4C47" w:rsidP="00C74141">
            <w:pPr>
              <w:jc w:val="center"/>
              <w:rPr>
                <w:rFonts w:ascii="Times" w:hAnsi="Times"/>
                <w:snapToGrid w:val="0"/>
                <w:sz w:val="20"/>
              </w:rPr>
            </w:pPr>
            <w:r w:rsidRPr="006258D8">
              <w:rPr>
                <w:rFonts w:ascii="Arial Narrow" w:hAnsi="Arial Narrow"/>
                <w:snapToGrid w:val="0"/>
                <w:sz w:val="20"/>
              </w:rPr>
              <w:t>Effective</w:t>
            </w:r>
            <w:r w:rsidRPr="0080764B">
              <w:rPr>
                <w:rFonts w:ascii="Arial Narrow" w:hAnsi="Arial Narrow"/>
                <w:snapToGrid w:val="0"/>
                <w:sz w:val="20"/>
              </w:rPr>
              <w:t>: $</w:t>
            </w:r>
            <w:r w:rsidR="00D11BC9">
              <w:rPr>
                <w:rFonts w:ascii="Arial Narrow" w:hAnsi="Arial Narrow"/>
                <w:noProof/>
                <w:snapToGrid w:val="0"/>
                <w:color w:val="000000"/>
                <w:sz w:val="20"/>
                <w:highlight w:val="black"/>
              </w:rPr>
              <w:t>''''''''''''''''</w:t>
            </w:r>
            <w:r w:rsidR="0080764B">
              <w:rPr>
                <w:rFonts w:ascii="Arial Narrow" w:hAnsi="Arial Narrow"/>
                <w:strike/>
                <w:snapToGrid w:val="0"/>
                <w:sz w:val="20"/>
              </w:rPr>
              <w:t xml:space="preserve"> </w:t>
            </w:r>
          </w:p>
        </w:tc>
        <w:tc>
          <w:tcPr>
            <w:tcW w:w="0" w:type="auto"/>
            <w:vAlign w:val="center"/>
          </w:tcPr>
          <w:p w:rsidR="00C74141" w:rsidRDefault="00EC4C47" w:rsidP="00C74141">
            <w:pPr>
              <w:rPr>
                <w:rFonts w:ascii="Arial Narrow" w:hAnsi="Arial Narrow"/>
                <w:snapToGrid w:val="0"/>
                <w:sz w:val="20"/>
              </w:rPr>
            </w:pPr>
            <w:r w:rsidRPr="006258D8">
              <w:rPr>
                <w:rFonts w:ascii="Arial Narrow" w:hAnsi="Arial Narrow"/>
                <w:snapToGrid w:val="0"/>
                <w:sz w:val="20"/>
              </w:rPr>
              <w:t>Ajovy</w:t>
            </w:r>
            <w:r w:rsidRPr="006258D8">
              <w:rPr>
                <w:rFonts w:ascii="Arial Narrow" w:hAnsi="Arial Narrow"/>
                <w:snapToGrid w:val="0"/>
                <w:sz w:val="20"/>
                <w:vertAlign w:val="superscript"/>
              </w:rPr>
              <w:t>®</w:t>
            </w:r>
            <w:r w:rsidRPr="006258D8">
              <w:rPr>
                <w:rFonts w:ascii="Arial Narrow" w:hAnsi="Arial Narrow"/>
                <w:snapToGrid w:val="0"/>
                <w:sz w:val="20"/>
              </w:rPr>
              <w:t>,</w:t>
            </w:r>
          </w:p>
          <w:p w:rsidR="00EC4C47" w:rsidRPr="006258D8" w:rsidRDefault="00EC4C47" w:rsidP="00C74141">
            <w:pPr>
              <w:rPr>
                <w:rFonts w:ascii="Times" w:hAnsi="Times"/>
                <w:snapToGrid w:val="0"/>
                <w:sz w:val="20"/>
              </w:rPr>
            </w:pPr>
            <w:r w:rsidRPr="006258D8">
              <w:rPr>
                <w:rFonts w:ascii="Arial Narrow" w:hAnsi="Arial Narrow"/>
                <w:snapToGrid w:val="0"/>
                <w:sz w:val="20"/>
              </w:rPr>
              <w:t>TEVA</w:t>
            </w:r>
          </w:p>
        </w:tc>
      </w:tr>
    </w:tbl>
    <w:p w:rsidR="00EC4C47" w:rsidRPr="006258D8" w:rsidRDefault="00EC4C47" w:rsidP="00EC4C47"/>
    <w:tbl>
      <w:tblPr>
        <w:tblW w:w="9101" w:type="dxa"/>
        <w:tblInd w:w="108" w:type="dxa"/>
        <w:tblLayout w:type="fixed"/>
        <w:tblLook w:val="0000" w:firstRow="0" w:lastRow="0" w:firstColumn="0" w:lastColumn="0" w:noHBand="0" w:noVBand="0"/>
      </w:tblPr>
      <w:tblGrid>
        <w:gridCol w:w="1872"/>
        <w:gridCol w:w="7200"/>
        <w:gridCol w:w="29"/>
      </w:tblGrid>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trike/>
                <w:sz w:val="20"/>
                <w:szCs w:val="20"/>
              </w:rPr>
              <w:t>N/A</w:t>
            </w:r>
            <w:r w:rsidRPr="004612D6">
              <w:rPr>
                <w:rFonts w:ascii="Arial Narrow" w:hAnsi="Arial Narrow"/>
                <w:i/>
                <w:sz w:val="20"/>
                <w:szCs w:val="20"/>
              </w:rPr>
              <w:t>Chronic</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trike/>
                <w:sz w:val="20"/>
                <w:szCs w:val="20"/>
              </w:rPr>
              <w:t>N/A</w:t>
            </w:r>
            <w:r w:rsidRPr="004612D6">
              <w:rPr>
                <w:rFonts w:ascii="Arial Narrow" w:hAnsi="Arial Narrow"/>
                <w:i/>
                <w:sz w:val="20"/>
                <w:szCs w:val="20"/>
              </w:rPr>
              <w:t xml:space="preserve"> -</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Migraine</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 xml:space="preserve">Chronic migraine </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First c</w:t>
            </w:r>
            <w:r w:rsidRPr="004612D6">
              <w:rPr>
                <w:rFonts w:ascii="Arial Narrow" w:hAnsi="Arial Narrow"/>
                <w:strike/>
                <w:sz w:val="20"/>
                <w:szCs w:val="20"/>
              </w:rPr>
              <w:t>C</w:t>
            </w:r>
            <w:r w:rsidRPr="004612D6">
              <w:rPr>
                <w:rFonts w:ascii="Arial Narrow" w:hAnsi="Arial Narrow"/>
                <w:sz w:val="20"/>
                <w:szCs w:val="20"/>
              </w:rPr>
              <w:t>ontinu</w:t>
            </w:r>
            <w:r w:rsidRPr="004612D6">
              <w:rPr>
                <w:rFonts w:ascii="Arial Narrow" w:hAnsi="Arial Narrow"/>
                <w:strike/>
                <w:sz w:val="20"/>
                <w:szCs w:val="20"/>
              </w:rPr>
              <w:t>ation</w:t>
            </w:r>
            <w:r w:rsidRPr="004612D6">
              <w:rPr>
                <w:rFonts w:ascii="Arial Narrow" w:hAnsi="Arial Narrow"/>
                <w:i/>
                <w:sz w:val="20"/>
                <w:szCs w:val="20"/>
              </w:rPr>
              <w:t>ing treatment (monthly dosing)</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C74141">
            <w:pPr>
              <w:rPr>
                <w:rFonts w:ascii="Arial Narrow" w:hAnsi="Arial Narrow"/>
                <w:sz w:val="20"/>
                <w:szCs w:val="20"/>
              </w:rPr>
            </w:pP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trike/>
                <w:sz w:val="20"/>
                <w:szCs w:val="20"/>
              </w:rPr>
            </w:pPr>
            <w:r w:rsidRPr="004612D6">
              <w:rPr>
                <w:rFonts w:ascii="Arial Narrow" w:hAnsi="Arial Narrow"/>
                <w:strike/>
                <w:color w:val="000000"/>
                <w:sz w:val="20"/>
                <w:szCs w:val="20"/>
              </w:rPr>
              <w:t xml:space="preserve">Must be treated by a </w:t>
            </w:r>
            <w:r w:rsidRPr="004612D6">
              <w:rPr>
                <w:rFonts w:ascii="Arial Narrow" w:hAnsi="Arial Narrow"/>
                <w:strike/>
                <w:sz w:val="20"/>
                <w:szCs w:val="20"/>
              </w:rPr>
              <w:t>neurologist or a pain specialist</w:t>
            </w:r>
            <w:r w:rsidRPr="004612D6">
              <w:rPr>
                <w:rFonts w:ascii="Arial Narrow" w:hAnsi="Arial Narrow"/>
                <w:i/>
                <w:strike/>
                <w:sz w:val="20"/>
                <w:szCs w:val="20"/>
              </w:rPr>
              <w:t xml:space="preserve"> </w:t>
            </w:r>
            <w:r w:rsidRPr="004612D6">
              <w:rPr>
                <w:rFonts w:ascii="Arial Narrow" w:hAnsi="Arial Narrow"/>
                <w:strike/>
                <w:sz w:val="20"/>
                <w:szCs w:val="20"/>
              </w:rPr>
              <w:t>for achieving the continuation criterion of achieving and maintaining a 50% or greater reduction from baseline in the number of migraine days per month after 3 months in order to be eligible for continuing PBS-subsidised treatment.</w:t>
            </w:r>
          </w:p>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After this assessment future scripts can be written by general practitioners</w:t>
            </w:r>
          </w:p>
          <w:p w:rsidR="00C74141" w:rsidRDefault="00EC4C47" w:rsidP="00C74141">
            <w:pPr>
              <w:rPr>
                <w:rFonts w:ascii="Arial Narrow" w:hAnsi="Arial Narrow"/>
                <w:i/>
                <w:sz w:val="20"/>
                <w:szCs w:val="20"/>
              </w:rPr>
            </w:pPr>
            <w:r w:rsidRPr="004612D6">
              <w:rPr>
                <w:rFonts w:ascii="Arial Narrow" w:hAnsi="Arial Narrow"/>
                <w:i/>
                <w:sz w:val="20"/>
                <w:szCs w:val="20"/>
              </w:rPr>
              <w:t>Must be treated by a specialist neurologist</w:t>
            </w:r>
            <w:r w:rsidR="00705121">
              <w:rPr>
                <w:rFonts w:ascii="Arial Narrow" w:hAnsi="Arial Narrow"/>
                <w:i/>
                <w:sz w:val="20"/>
                <w:szCs w:val="20"/>
              </w:rPr>
              <w:t>,</w:t>
            </w:r>
            <w:r w:rsidRPr="004612D6">
              <w:rPr>
                <w:rFonts w:ascii="Arial Narrow" w:hAnsi="Arial Narrow"/>
                <w:i/>
                <w:sz w:val="20"/>
                <w:szCs w:val="20"/>
              </w:rPr>
              <w:t xml:space="preserve"> or a specialist pain medicine physician accredited or experienced in treating headache</w:t>
            </w:r>
          </w:p>
          <w:p w:rsidR="00EC4C47" w:rsidRPr="004612D6" w:rsidRDefault="00EC4C47" w:rsidP="00C74141">
            <w:pPr>
              <w:rPr>
                <w:rFonts w:ascii="Arial Narrow" w:hAnsi="Arial Narrow"/>
                <w:i/>
                <w:strike/>
                <w:sz w:val="20"/>
                <w:szCs w:val="20"/>
              </w:rPr>
            </w:pP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Clinical criteria:</w:t>
            </w:r>
          </w:p>
          <w:p w:rsidR="00EC4C47" w:rsidRPr="004612D6" w:rsidRDefault="00EC4C47" w:rsidP="00C74141">
            <w:pPr>
              <w:rPr>
                <w:rFonts w:ascii="Arial Narrow" w:hAnsi="Arial Narrow"/>
                <w:i/>
                <w:color w:val="000000"/>
                <w:sz w:val="20"/>
                <w:szCs w:val="20"/>
              </w:rPr>
            </w:pPr>
          </w:p>
          <w:p w:rsidR="00EC4C47" w:rsidRPr="004612D6" w:rsidRDefault="00EC4C47" w:rsidP="00C74141">
            <w:pPr>
              <w:rPr>
                <w:rFonts w:ascii="Arial Narrow" w:hAnsi="Arial Narrow"/>
                <w:color w:val="000000"/>
                <w:sz w:val="20"/>
                <w:szCs w:val="20"/>
              </w:rPr>
            </w:pPr>
          </w:p>
        </w:tc>
        <w:tc>
          <w:tcPr>
            <w:tcW w:w="7200"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sz w:val="20"/>
                <w:szCs w:val="20"/>
              </w:rPr>
              <w:t>Patient must have previously received PBS-subsidised initial treatment with this drug for this condition</w:t>
            </w:r>
          </w:p>
          <w:p w:rsidR="00EC4C47" w:rsidRPr="004612D6" w:rsidRDefault="00EC4C47" w:rsidP="00C74141">
            <w:pPr>
              <w:rPr>
                <w:rFonts w:ascii="Arial Narrow" w:hAnsi="Arial Narrow"/>
                <w:sz w:val="20"/>
                <w:szCs w:val="20"/>
              </w:rPr>
            </w:pPr>
          </w:p>
          <w:p w:rsidR="00C74141" w:rsidRDefault="00EC4C47" w:rsidP="00C74141">
            <w:pPr>
              <w:rPr>
                <w:rFonts w:ascii="Arial Narrow" w:hAnsi="Arial Narrow"/>
                <w:sz w:val="20"/>
                <w:szCs w:val="20"/>
              </w:rPr>
            </w:pPr>
            <w:r w:rsidRPr="004612D6">
              <w:rPr>
                <w:rFonts w:ascii="Arial Narrow" w:hAnsi="Arial Narrow"/>
                <w:sz w:val="20"/>
                <w:szCs w:val="20"/>
              </w:rPr>
              <w:t>AND</w:t>
            </w:r>
          </w:p>
          <w:p w:rsidR="00C74141" w:rsidRDefault="00EC4C47" w:rsidP="00C74141">
            <w:pPr>
              <w:rPr>
                <w:rFonts w:ascii="Arial Narrow" w:hAnsi="Arial Narrow"/>
                <w:sz w:val="20"/>
                <w:szCs w:val="20"/>
              </w:rPr>
            </w:pPr>
            <w:r w:rsidRPr="004612D6">
              <w:rPr>
                <w:rFonts w:ascii="Arial Narrow" w:hAnsi="Arial Narrow"/>
                <w:sz w:val="20"/>
                <w:szCs w:val="20"/>
              </w:rPr>
              <w:t>Patient must have achieved and maintained a 50% or greater reduction from baseline in the number of migraine days per month in order to be eligible for continuing PBS-subsidised treatment</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monthly dosing schedule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z w:val="20"/>
                <w:szCs w:val="20"/>
              </w:rPr>
            </w:pPr>
            <w:r w:rsidRPr="004612D6">
              <w:rPr>
                <w:rFonts w:ascii="Arial Narrow" w:hAnsi="Arial Narrow"/>
                <w:sz w:val="20"/>
                <w:szCs w:val="20"/>
              </w:rPr>
              <w:t>AND</w:t>
            </w:r>
          </w:p>
          <w:p w:rsidR="00C74141" w:rsidRDefault="00EC4C47" w:rsidP="00C74141">
            <w:pPr>
              <w:rPr>
                <w:rFonts w:ascii="Arial Narrow" w:hAnsi="Arial Narrow"/>
                <w:sz w:val="20"/>
                <w:szCs w:val="20"/>
              </w:rPr>
            </w:pPr>
            <w:r w:rsidRPr="004612D6">
              <w:rPr>
                <w:rFonts w:ascii="Arial Narrow" w:hAnsi="Arial Narrow"/>
                <w:sz w:val="20"/>
                <w:szCs w:val="20"/>
              </w:rPr>
              <w:t xml:space="preserve">Patient must </w:t>
            </w:r>
            <w:r w:rsidRPr="004612D6">
              <w:rPr>
                <w:rFonts w:ascii="Arial Narrow" w:hAnsi="Arial Narrow"/>
                <w:i/>
                <w:sz w:val="20"/>
                <w:szCs w:val="20"/>
              </w:rPr>
              <w:t xml:space="preserve">continue to </w:t>
            </w:r>
            <w:r w:rsidRPr="004612D6">
              <w:rPr>
                <w:rFonts w:ascii="Arial Narrow" w:hAnsi="Arial Narrow"/>
                <w:sz w:val="20"/>
                <w:szCs w:val="20"/>
              </w:rPr>
              <w:t xml:space="preserve">be appropriately managed </w:t>
            </w:r>
            <w:r w:rsidRPr="004612D6">
              <w:rPr>
                <w:rFonts w:ascii="Arial Narrow" w:hAnsi="Arial Narrow"/>
                <w:strike/>
                <w:sz w:val="20"/>
                <w:szCs w:val="20"/>
              </w:rPr>
              <w:t>by his or her practitioner</w:t>
            </w:r>
            <w:r w:rsidRPr="004612D6">
              <w:rPr>
                <w:rFonts w:ascii="Arial Narrow" w:hAnsi="Arial Narrow"/>
                <w:sz w:val="20"/>
                <w:szCs w:val="20"/>
              </w:rPr>
              <w:t xml:space="preserve"> for medication overuse headache</w:t>
            </w:r>
            <w:r w:rsidRPr="004612D6">
              <w:rPr>
                <w:rFonts w:ascii="Arial Narrow" w:hAnsi="Arial Narrow"/>
                <w:strike/>
                <w:sz w:val="20"/>
                <w:szCs w:val="20"/>
              </w:rPr>
              <w:t>, prior to initiation of treatment with fremanezumab</w:t>
            </w:r>
          </w:p>
          <w:p w:rsidR="00EC4C47" w:rsidRPr="004612D6" w:rsidRDefault="00EC4C47" w:rsidP="00C74141">
            <w:pPr>
              <w:rPr>
                <w:rFonts w:ascii="Arial Narrow" w:hAnsi="Arial Narrow"/>
                <w:strike/>
                <w:sz w:val="20"/>
                <w:szCs w:val="20"/>
              </w:rPr>
            </w:pP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lastRenderedPageBreak/>
              <w:t>Population criteria:</w:t>
            </w:r>
          </w:p>
          <w:p w:rsidR="00EC4C47" w:rsidRPr="004612D6" w:rsidRDefault="00EC4C47" w:rsidP="00C74141">
            <w:pPr>
              <w:rPr>
                <w:rFonts w:ascii="Arial Narrow" w:hAnsi="Arial Narrow"/>
                <w:color w:val="000000"/>
                <w:sz w:val="20"/>
                <w:szCs w:val="20"/>
              </w:rPr>
            </w:pPr>
          </w:p>
        </w:tc>
        <w:tc>
          <w:tcPr>
            <w:tcW w:w="7200"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sz w:val="20"/>
                <w:szCs w:val="20"/>
              </w:rPr>
              <w:t>Patient must be aged 18 years or older</w:t>
            </w:r>
          </w:p>
          <w:p w:rsidR="00EC4C47" w:rsidRPr="004612D6" w:rsidRDefault="00EC4C47" w:rsidP="00C74141">
            <w:pPr>
              <w:rPr>
                <w:rFonts w:ascii="Arial Narrow" w:hAnsi="Arial Narrow"/>
                <w:color w:val="000000"/>
                <w:sz w:val="20"/>
                <w:szCs w:val="20"/>
              </w:rPr>
            </w:pPr>
            <w:r w:rsidRPr="004612D6">
              <w:rPr>
                <w:rFonts w:ascii="Arial Narrow" w:hAnsi="Arial Narrow" w:cstheme="minorHAnsi"/>
                <w:strike/>
                <w:sz w:val="20"/>
                <w:szCs w:val="20"/>
              </w:rPr>
              <w:t>Patients who have previously responded to this medication and have in the past met the continuation criteria may recommence treatment under the continuation criteria and do not require re-initiation</w:t>
            </w:r>
            <w:r w:rsidRPr="004612D6">
              <w:rPr>
                <w:rFonts w:ascii="Arial Narrow" w:hAnsi="Arial Narrow" w:cstheme="minorHAnsi"/>
                <w:sz w:val="20"/>
                <w:szCs w:val="20"/>
              </w:rPr>
              <w:t>.</w:t>
            </w:r>
          </w:p>
        </w:tc>
      </w:tr>
      <w:tr w:rsidR="00EC4C47" w:rsidRPr="004612D6" w:rsidTr="00C74141">
        <w:trPr>
          <w:gridAfter w:val="1"/>
          <w:wAfter w:w="29" w:type="dxa"/>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sz w:val="20"/>
                <w:szCs w:val="20"/>
              </w:rPr>
              <w:t>Prescriber instructions:</w:t>
            </w:r>
          </w:p>
        </w:tc>
        <w:tc>
          <w:tcPr>
            <w:tcW w:w="7200"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 xml:space="preserve">Prophylactic migraine medications </w:t>
            </w:r>
            <w:r w:rsidR="00E251F9">
              <w:rPr>
                <w:rFonts w:ascii="Arial Narrow" w:hAnsi="Arial Narrow"/>
                <w:strike/>
                <w:sz w:val="20"/>
                <w:szCs w:val="20"/>
              </w:rPr>
              <w:t>such as</w:t>
            </w:r>
            <w:r w:rsidRPr="004612D6">
              <w:rPr>
                <w:rFonts w:ascii="Arial Narrow" w:hAnsi="Arial Narrow"/>
                <w:strike/>
                <w:sz w:val="20"/>
                <w:szCs w:val="20"/>
              </w:rPr>
              <w:t xml:space="preserve"> propranolol, amitriptylin</w:t>
            </w:r>
            <w:r w:rsidRPr="004612D6">
              <w:rPr>
                <w:rFonts w:ascii="Arial Narrow" w:hAnsi="Arial Narrow"/>
                <w:i/>
                <w:strike/>
                <w:sz w:val="20"/>
                <w:szCs w:val="20"/>
              </w:rPr>
              <w:t>e</w:t>
            </w:r>
            <w:r w:rsidRPr="004612D6">
              <w:rPr>
                <w:rFonts w:ascii="Arial Narrow" w:hAnsi="Arial Narrow"/>
                <w:strike/>
                <w:sz w:val="20"/>
                <w:szCs w:val="20"/>
              </w:rPr>
              <w:t>, meth</w:t>
            </w:r>
            <w:r w:rsidRPr="004612D6">
              <w:rPr>
                <w:rFonts w:ascii="Arial Narrow" w:hAnsi="Arial Narrow"/>
                <w:i/>
                <w:strike/>
                <w:sz w:val="20"/>
                <w:szCs w:val="20"/>
              </w:rPr>
              <w:t>y</w:t>
            </w:r>
            <w:r w:rsidRPr="004612D6">
              <w:rPr>
                <w:rFonts w:ascii="Arial Narrow" w:hAnsi="Arial Narrow"/>
                <w:strike/>
                <w:sz w:val="20"/>
                <w:szCs w:val="20"/>
              </w:rPr>
              <w:t xml:space="preserve">sergide, pizotifen, </w:t>
            </w:r>
            <w:r w:rsidRPr="004612D6">
              <w:rPr>
                <w:rFonts w:ascii="Arial Narrow" w:hAnsi="Arial Narrow" w:cs="Arial"/>
                <w:i/>
                <w:strike/>
                <w:sz w:val="20"/>
                <w:szCs w:val="20"/>
                <w:lang w:bidi="en-US"/>
              </w:rPr>
              <w:t>candesartan, verapamil, nortriptyline, sodium valproate</w:t>
            </w:r>
            <w:r w:rsidRPr="004612D6">
              <w:rPr>
                <w:rFonts w:ascii="Arial Narrow" w:hAnsi="Arial Narrow"/>
                <w:strike/>
                <w:sz w:val="20"/>
                <w:szCs w:val="20"/>
              </w:rPr>
              <w:t xml:space="preserve"> cyproheptadine or topiramate.</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trike/>
                <w:color w:val="000000"/>
                <w:sz w:val="20"/>
                <w:szCs w:val="20"/>
              </w:rPr>
            </w:pPr>
            <w:r w:rsidRPr="004612D6">
              <w:rPr>
                <w:rFonts w:ascii="Arial Narrow" w:hAnsi="Arial Narrow" w:cstheme="minorHAnsi"/>
                <w:sz w:val="20"/>
                <w:szCs w:val="20"/>
              </w:rPr>
              <w:t>Patients who have previously responded to this medication and have in the past met the continuation criteria may recommence treatment under the continuation criteria and do not require re-initiation.</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gridSpan w:val="2"/>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trike/>
                <w:sz w:val="20"/>
                <w:szCs w:val="20"/>
              </w:rPr>
            </w:pPr>
            <w:r w:rsidRPr="004612D6">
              <w:rPr>
                <w:rFonts w:ascii="Arial Narrow" w:hAnsi="Arial Narrow"/>
                <w:strike/>
                <w:sz w:val="20"/>
                <w:szCs w:val="20"/>
              </w:rPr>
              <w:t>This drug is not PBS-subsidised for use in combination with botulinum toxin type A for chronic migraine or another anti-CGRP for chronic migraine.</w:t>
            </w:r>
          </w:p>
          <w:p w:rsidR="00EC4C47" w:rsidRPr="004612D6" w:rsidRDefault="00EC4C47" w:rsidP="00C74141">
            <w:pPr>
              <w:rPr>
                <w:rFonts w:ascii="Arial Narrow" w:hAnsi="Arial Narrow"/>
                <w:i/>
                <w:sz w:val="20"/>
                <w:szCs w:val="20"/>
              </w:rPr>
            </w:pPr>
          </w:p>
          <w:p w:rsidR="00C74141" w:rsidRDefault="00EC4C47" w:rsidP="00C74141">
            <w:pPr>
              <w:rPr>
                <w:rFonts w:ascii="Arial Narrow" w:hAnsi="Arial Narrow"/>
                <w:i/>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z w:val="20"/>
                <w:szCs w:val="20"/>
              </w:rPr>
            </w:pPr>
          </w:p>
          <w:p w:rsidR="00EC4C47" w:rsidRPr="004612D6" w:rsidRDefault="00EC4C47" w:rsidP="00C74141">
            <w:pPr>
              <w:rPr>
                <w:rFonts w:ascii="Arial Narrow" w:hAnsi="Arial Narrow"/>
                <w:strike/>
                <w:sz w:val="20"/>
                <w:szCs w:val="20"/>
              </w:rPr>
            </w:pPr>
            <w:r w:rsidRPr="004612D6">
              <w:rPr>
                <w:rFonts w:ascii="Arial Narrow" w:hAnsi="Arial Narrow"/>
                <w:i/>
                <w:sz w:val="20"/>
                <w:szCs w:val="20"/>
              </w:rPr>
              <w:t>No increase in the maximum number of repeats may be authorised.</w:t>
            </w:r>
            <w:r w:rsidRPr="004612D6">
              <w:rPr>
                <w:rFonts w:ascii="Arial Narrow" w:hAnsi="Arial Narrow"/>
                <w:sz w:val="20"/>
                <w:szCs w:val="20"/>
              </w:rPr>
              <w:t xml:space="preserve"> </w:t>
            </w:r>
          </w:p>
        </w:tc>
      </w:tr>
    </w:tbl>
    <w:p w:rsidR="00EC4C47" w:rsidRPr="006258D8" w:rsidRDefault="00EC4C47" w:rsidP="00EC4C4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15DB7">
        <w:tc>
          <w:tcPr>
            <w:tcW w:w="0" w:type="auto"/>
            <w:vAlign w:val="center"/>
          </w:tcPr>
          <w:p w:rsidR="00EC4C47" w:rsidRPr="006258D8" w:rsidRDefault="00EC4C47" w:rsidP="00C74141">
            <w:pPr>
              <w:rPr>
                <w:rFonts w:ascii="Arial Narrow" w:hAnsi="Arial Narrow"/>
                <w:b/>
                <w:bCs/>
                <w:snapToGrid w:val="0"/>
                <w:sz w:val="20"/>
              </w:rPr>
            </w:pPr>
            <w:r w:rsidRPr="006258D8">
              <w:rPr>
                <w:rFonts w:ascii="Arial Narrow" w:hAnsi="Arial Narrow"/>
                <w:b/>
                <w:snapToGrid w:val="0"/>
                <w:sz w:val="20"/>
              </w:rPr>
              <w:t>Name, restriction, manner of administration, form</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Maximum quantity (packs)</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Maximum quantity (units)</w:t>
            </w:r>
          </w:p>
        </w:tc>
        <w:tc>
          <w:tcPr>
            <w:tcW w:w="0" w:type="auto"/>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No. of repeats</w:t>
            </w:r>
          </w:p>
        </w:tc>
        <w:tc>
          <w:tcPr>
            <w:tcW w:w="1583" w:type="dxa"/>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Dispensed price for maximum quantity</w:t>
            </w:r>
          </w:p>
        </w:tc>
        <w:tc>
          <w:tcPr>
            <w:tcW w:w="1687" w:type="dxa"/>
            <w:vAlign w:val="center"/>
          </w:tcPr>
          <w:p w:rsidR="00EC4C47" w:rsidRPr="006258D8" w:rsidRDefault="00EC4C47" w:rsidP="00C74141">
            <w:pPr>
              <w:jc w:val="center"/>
              <w:rPr>
                <w:rFonts w:ascii="Arial Narrow" w:hAnsi="Arial Narrow"/>
                <w:b/>
                <w:bCs/>
                <w:snapToGrid w:val="0"/>
                <w:sz w:val="20"/>
              </w:rPr>
            </w:pPr>
            <w:r w:rsidRPr="006258D8">
              <w:rPr>
                <w:rFonts w:ascii="Arial Narrow" w:hAnsi="Arial Narrow"/>
                <w:b/>
                <w:snapToGrid w:val="0"/>
                <w:sz w:val="20"/>
              </w:rPr>
              <w:t>Proprietary name and manufacturer</w:t>
            </w:r>
          </w:p>
        </w:tc>
      </w:tr>
      <w:tr w:rsidR="00EC4C47" w:rsidRPr="006258D8" w:rsidTr="00C15DB7">
        <w:tc>
          <w:tcPr>
            <w:tcW w:w="0" w:type="auto"/>
            <w:vAlign w:val="center"/>
          </w:tcPr>
          <w:p w:rsidR="00EC4C47" w:rsidRPr="006258D8" w:rsidRDefault="00EC4C47" w:rsidP="00C74141">
            <w:pPr>
              <w:rPr>
                <w:rFonts w:ascii="Arial Narrow" w:hAnsi="Arial Narrow"/>
                <w:snapToGrid w:val="0"/>
                <w:sz w:val="20"/>
              </w:rPr>
            </w:pPr>
            <w:r w:rsidRPr="006258D8">
              <w:rPr>
                <w:rFonts w:ascii="Arial Narrow" w:hAnsi="Arial Narrow"/>
                <w:snapToGrid w:val="0"/>
                <w:sz w:val="20"/>
              </w:rPr>
              <w:t>FREMANEZUMAB</w:t>
            </w:r>
          </w:p>
          <w:p w:rsidR="00EC4C47" w:rsidRPr="006258D8" w:rsidRDefault="00EC4C47" w:rsidP="00C74141">
            <w:pPr>
              <w:rPr>
                <w:rFonts w:ascii="Arial Narrow" w:hAnsi="Arial Narrow"/>
                <w:b/>
                <w:bCs/>
                <w:snapToGrid w:val="0"/>
                <w:sz w:val="20"/>
              </w:rPr>
            </w:pPr>
            <w:r w:rsidRPr="006258D8">
              <w:rPr>
                <w:rFonts w:ascii="Arial Narrow" w:hAnsi="Arial Narrow"/>
                <w:snapToGrid w:val="0"/>
                <w:sz w:val="20"/>
              </w:rPr>
              <w:t>225 mg in 1.5mL solution for injection, 150 mg/1mL × 1 pre-filled pen</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1</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1</w:t>
            </w:r>
          </w:p>
        </w:tc>
        <w:tc>
          <w:tcPr>
            <w:tcW w:w="0" w:type="auto"/>
            <w:vAlign w:val="center"/>
          </w:tcPr>
          <w:p w:rsidR="00EC4C47" w:rsidRPr="006258D8" w:rsidRDefault="00EC4C47" w:rsidP="00C74141">
            <w:pPr>
              <w:jc w:val="center"/>
              <w:rPr>
                <w:rFonts w:ascii="Times" w:hAnsi="Times"/>
                <w:snapToGrid w:val="0"/>
                <w:sz w:val="20"/>
              </w:rPr>
            </w:pPr>
            <w:r w:rsidRPr="006258D8">
              <w:rPr>
                <w:rFonts w:ascii="Arial Narrow" w:hAnsi="Arial Narrow"/>
                <w:snapToGrid w:val="0"/>
                <w:sz w:val="20"/>
              </w:rPr>
              <w:t xml:space="preserve"> 5</w:t>
            </w:r>
          </w:p>
        </w:tc>
        <w:tc>
          <w:tcPr>
            <w:tcW w:w="1583" w:type="dxa"/>
            <w:vAlign w:val="center"/>
          </w:tcPr>
          <w:p w:rsidR="00EC4C47" w:rsidRPr="006258D8" w:rsidRDefault="00EC4C47" w:rsidP="00C74141">
            <w:pPr>
              <w:jc w:val="center"/>
              <w:rPr>
                <w:rFonts w:ascii="Arial Narrow" w:hAnsi="Arial Narrow"/>
                <w:snapToGrid w:val="0"/>
                <w:sz w:val="20"/>
              </w:rPr>
            </w:pPr>
            <w:r w:rsidRPr="006258D8">
              <w:rPr>
                <w:rFonts w:ascii="Arial Narrow" w:hAnsi="Arial Narrow"/>
                <w:snapToGrid w:val="0"/>
                <w:sz w:val="20"/>
              </w:rPr>
              <w:t>Published: $</w:t>
            </w:r>
            <w:r w:rsidR="00D11BC9">
              <w:rPr>
                <w:rFonts w:ascii="Arial Narrow" w:hAnsi="Arial Narrow"/>
                <w:noProof/>
                <w:snapToGrid w:val="0"/>
                <w:color w:val="000000"/>
                <w:sz w:val="20"/>
                <w:highlight w:val="black"/>
              </w:rPr>
              <w:t>''''''''''''''''</w:t>
            </w:r>
          </w:p>
          <w:p w:rsidR="00EC4C47" w:rsidRPr="006258D8" w:rsidRDefault="00EC4C47" w:rsidP="00C74141">
            <w:pPr>
              <w:jc w:val="center"/>
              <w:rPr>
                <w:rFonts w:ascii="Times" w:hAnsi="Times"/>
                <w:snapToGrid w:val="0"/>
                <w:sz w:val="20"/>
              </w:rPr>
            </w:pPr>
            <w:r w:rsidRPr="006258D8">
              <w:rPr>
                <w:rFonts w:ascii="Arial Narrow" w:hAnsi="Arial Narrow"/>
                <w:snapToGrid w:val="0"/>
                <w:sz w:val="20"/>
              </w:rPr>
              <w:t>Effective: $</w:t>
            </w:r>
            <w:r w:rsidR="00D11BC9">
              <w:rPr>
                <w:rFonts w:ascii="Arial Narrow" w:hAnsi="Arial Narrow"/>
                <w:noProof/>
                <w:snapToGrid w:val="0"/>
                <w:color w:val="000000"/>
                <w:sz w:val="20"/>
                <w:highlight w:val="black"/>
              </w:rPr>
              <w:t>'''''''''''''''''</w:t>
            </w:r>
          </w:p>
        </w:tc>
        <w:tc>
          <w:tcPr>
            <w:tcW w:w="1687" w:type="dxa"/>
            <w:vAlign w:val="center"/>
          </w:tcPr>
          <w:p w:rsidR="00C74141" w:rsidRDefault="00EC4C47" w:rsidP="00C74141">
            <w:pPr>
              <w:rPr>
                <w:rFonts w:ascii="Arial Narrow" w:hAnsi="Arial Narrow"/>
                <w:snapToGrid w:val="0"/>
                <w:sz w:val="20"/>
              </w:rPr>
            </w:pPr>
            <w:r w:rsidRPr="006258D8">
              <w:rPr>
                <w:rFonts w:ascii="Arial Narrow" w:hAnsi="Arial Narrow"/>
                <w:snapToGrid w:val="0"/>
                <w:sz w:val="20"/>
              </w:rPr>
              <w:t>Ajovy</w:t>
            </w:r>
            <w:r w:rsidRPr="006258D8">
              <w:rPr>
                <w:rFonts w:ascii="Arial Narrow" w:hAnsi="Arial Narrow"/>
                <w:snapToGrid w:val="0"/>
                <w:sz w:val="20"/>
                <w:vertAlign w:val="superscript"/>
              </w:rPr>
              <w:t>®</w:t>
            </w:r>
            <w:r w:rsidRPr="006258D8">
              <w:rPr>
                <w:rFonts w:ascii="Arial Narrow" w:hAnsi="Arial Narrow"/>
                <w:snapToGrid w:val="0"/>
                <w:sz w:val="20"/>
              </w:rPr>
              <w:t>,</w:t>
            </w:r>
          </w:p>
          <w:p w:rsidR="00EC4C47" w:rsidRPr="006258D8" w:rsidRDefault="00EC4C47" w:rsidP="00C74141">
            <w:pPr>
              <w:rPr>
                <w:rFonts w:ascii="Times" w:hAnsi="Times"/>
                <w:snapToGrid w:val="0"/>
                <w:sz w:val="20"/>
              </w:rPr>
            </w:pPr>
            <w:r w:rsidRPr="006258D8">
              <w:rPr>
                <w:rFonts w:ascii="Arial Narrow" w:hAnsi="Arial Narrow"/>
                <w:snapToGrid w:val="0"/>
                <w:sz w:val="20"/>
              </w:rPr>
              <w:t>TEVA</w:t>
            </w:r>
          </w:p>
        </w:tc>
      </w:tr>
    </w:tbl>
    <w:p w:rsidR="00EC4C47" w:rsidRPr="006258D8" w:rsidRDefault="00EC4C47" w:rsidP="00EC4C47"/>
    <w:tbl>
      <w:tblPr>
        <w:tblW w:w="9101" w:type="dxa"/>
        <w:tblInd w:w="108" w:type="dxa"/>
        <w:tblLayout w:type="fixed"/>
        <w:tblLook w:val="0000" w:firstRow="0" w:lastRow="0" w:firstColumn="0" w:lastColumn="0" w:noHBand="0" w:noVBand="0"/>
      </w:tblPr>
      <w:tblGrid>
        <w:gridCol w:w="1872"/>
        <w:gridCol w:w="7229"/>
      </w:tblGrid>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9F2A45" w:rsidP="00C74141">
            <w:pPr>
              <w:rPr>
                <w:rFonts w:ascii="Arial Narrow" w:hAnsi="Arial Narrow"/>
                <w:sz w:val="20"/>
                <w:szCs w:val="20"/>
              </w:rPr>
            </w:pPr>
            <w:r w:rsidRPr="004612D6">
              <w:rPr>
                <w:rFonts w:ascii="Arial Narrow" w:hAnsi="Arial Narrow"/>
                <w:i/>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Migraine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 migraine</w:t>
            </w:r>
            <w:r w:rsidRPr="004612D6">
              <w:rPr>
                <w:rFonts w:ascii="Arial Narrow" w:hAnsi="Arial Narrow"/>
                <w:sz w:val="20"/>
                <w:szCs w:val="20"/>
              </w:rPr>
              <w:t xml:space="preserv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Subsequent continuing treatment (monthly dosing)</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80764B">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236998" w:rsidRPr="00236998" w:rsidRDefault="00236998" w:rsidP="00236998">
            <w:pPr>
              <w:rPr>
                <w:rFonts w:ascii="Arial Narrow" w:hAnsi="Arial Narrow"/>
                <w:i/>
                <w:sz w:val="20"/>
                <w:szCs w:val="20"/>
              </w:rPr>
            </w:pPr>
            <w:r w:rsidRPr="00236998">
              <w:rPr>
                <w:rFonts w:ascii="Arial Narrow" w:hAnsi="Arial Narrow"/>
                <w:i/>
                <w:sz w:val="20"/>
                <w:szCs w:val="20"/>
              </w:rPr>
              <w:t>Must be treated by, or in consultation with a specialist neurologist; or</w:t>
            </w:r>
          </w:p>
          <w:p w:rsidR="00EC4C47" w:rsidRPr="004612D6" w:rsidRDefault="00236998" w:rsidP="00236998">
            <w:pPr>
              <w:rPr>
                <w:rFonts w:ascii="Arial Narrow" w:hAnsi="Arial Narrow"/>
                <w:sz w:val="20"/>
                <w:szCs w:val="20"/>
              </w:rPr>
            </w:pPr>
            <w:r w:rsidRPr="00236998">
              <w:rPr>
                <w:rFonts w:ascii="Arial Narrow" w:hAnsi="Arial Narrow"/>
                <w:i/>
                <w:sz w:val="20"/>
                <w:szCs w:val="20"/>
              </w:rPr>
              <w:t xml:space="preserve">Must be treated by, or in consultation with a specialist pain medicine physician accredited or experienced in treating headache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Clinical criteria:</w:t>
            </w:r>
          </w:p>
          <w:p w:rsidR="00EC4C47" w:rsidRPr="004612D6" w:rsidRDefault="00EC4C47" w:rsidP="00C74141">
            <w:pPr>
              <w:rPr>
                <w:rFonts w:ascii="Arial Narrow" w:hAnsi="Arial Narrow"/>
                <w:i/>
                <w:color w:val="000000"/>
                <w:sz w:val="20"/>
                <w:szCs w:val="20"/>
              </w:rPr>
            </w:pPr>
          </w:p>
          <w:p w:rsidR="00EC4C47" w:rsidRPr="004612D6" w:rsidRDefault="00EC4C47" w:rsidP="00C74141">
            <w:pPr>
              <w:rPr>
                <w:rFonts w:ascii="Arial Narrow" w:hAnsi="Arial Narrow"/>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i/>
                <w:sz w:val="20"/>
                <w:szCs w:val="20"/>
              </w:rPr>
              <w:t>Patient must have previously received PBS-subsidised treatment with this drug for this condition under the First continuing treatment restriction</w:t>
            </w:r>
          </w:p>
          <w:p w:rsidR="00C74141"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Patient must have achieved and maintained a 50% or greater reduction from baseline in the number of migraine days per month in order to be eligible for continuing PBS-subsidised treatment;</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monthly dosing schedule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strike/>
                <w:sz w:val="20"/>
                <w:szCs w:val="20"/>
              </w:rPr>
            </w:pPr>
            <w:r w:rsidRPr="004612D6">
              <w:rPr>
                <w:rFonts w:ascii="Arial Narrow" w:hAnsi="Arial Narrow"/>
                <w:i/>
                <w:sz w:val="20"/>
                <w:szCs w:val="20"/>
              </w:rPr>
              <w:t>Patient must continue to be appropriately managed for medication overuse headache</w:t>
            </w:r>
            <w:r w:rsidRPr="004612D6">
              <w:rPr>
                <w:rFonts w:ascii="Arial Narrow" w:hAnsi="Arial Narrow"/>
                <w:sz w:val="20"/>
                <w:szCs w:val="20"/>
              </w:rPr>
              <w:t xml:space="preserv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Population criteria:</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 xml:space="preserve">Patient must be aged 18 years or older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9F2A45" w:rsidP="00C74141">
            <w:pPr>
              <w:rPr>
                <w:rFonts w:ascii="Arial Narrow" w:hAnsi="Arial Narrow"/>
                <w:i/>
                <w:color w:val="000000"/>
                <w:sz w:val="20"/>
                <w:szCs w:val="20"/>
              </w:rPr>
            </w:pPr>
            <w:r w:rsidRPr="0080764B">
              <w:rPr>
                <w:rFonts w:ascii="Arial Narrow" w:hAnsi="Arial Narrow"/>
                <w:i/>
                <w:color w:val="000000"/>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i/>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number of repeats may be authorised.</w:t>
            </w:r>
            <w:r w:rsidRPr="004612D6">
              <w:rPr>
                <w:rFonts w:ascii="Arial Narrow" w:hAnsi="Arial Narrow"/>
                <w:sz w:val="20"/>
                <w:szCs w:val="20"/>
              </w:rPr>
              <w:t xml:space="preserve"> </w:t>
            </w:r>
          </w:p>
        </w:tc>
      </w:tr>
    </w:tbl>
    <w:p w:rsidR="00EC4C47" w:rsidRPr="006258D8" w:rsidRDefault="00EC4C47" w:rsidP="00EC4C4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74141">
        <w:tc>
          <w:tcPr>
            <w:tcW w:w="0" w:type="auto"/>
            <w:vAlign w:val="center"/>
          </w:tcPr>
          <w:p w:rsidR="00EC4C47" w:rsidRPr="006258D8" w:rsidRDefault="00EC4C47" w:rsidP="00C74141">
            <w:pPr>
              <w:pStyle w:val="Tabletext0"/>
              <w:rPr>
                <w:b/>
                <w:bCs/>
              </w:rPr>
            </w:pPr>
            <w:r w:rsidRPr="006258D8">
              <w:rPr>
                <w:b/>
              </w:rPr>
              <w:t>Name, restriction, manner of administration, form</w:t>
            </w:r>
          </w:p>
        </w:tc>
        <w:tc>
          <w:tcPr>
            <w:tcW w:w="0" w:type="auto"/>
            <w:vAlign w:val="center"/>
          </w:tcPr>
          <w:p w:rsidR="00EC4C47" w:rsidRPr="006258D8" w:rsidRDefault="00EC4C47" w:rsidP="00C74141">
            <w:pPr>
              <w:pStyle w:val="Tabletext0"/>
              <w:jc w:val="center"/>
              <w:rPr>
                <w:b/>
                <w:bCs/>
              </w:rPr>
            </w:pPr>
            <w:r w:rsidRPr="006258D8">
              <w:rPr>
                <w:b/>
              </w:rPr>
              <w:t>Maximum quantity (packs)</w:t>
            </w:r>
          </w:p>
        </w:tc>
        <w:tc>
          <w:tcPr>
            <w:tcW w:w="0" w:type="auto"/>
            <w:vAlign w:val="center"/>
          </w:tcPr>
          <w:p w:rsidR="00EC4C47" w:rsidRPr="006258D8" w:rsidRDefault="00EC4C47" w:rsidP="00C74141">
            <w:pPr>
              <w:pStyle w:val="Tabletext0"/>
              <w:jc w:val="center"/>
              <w:rPr>
                <w:b/>
                <w:bCs/>
              </w:rPr>
            </w:pPr>
            <w:r w:rsidRPr="006258D8">
              <w:rPr>
                <w:b/>
              </w:rPr>
              <w:t>Maximum quantity (units)</w:t>
            </w:r>
          </w:p>
        </w:tc>
        <w:tc>
          <w:tcPr>
            <w:tcW w:w="0" w:type="auto"/>
            <w:vAlign w:val="center"/>
          </w:tcPr>
          <w:p w:rsidR="00EC4C47" w:rsidRPr="006258D8" w:rsidRDefault="00EC4C47" w:rsidP="00C74141">
            <w:pPr>
              <w:pStyle w:val="Tabletext0"/>
              <w:jc w:val="center"/>
              <w:rPr>
                <w:b/>
                <w:bCs/>
              </w:rPr>
            </w:pPr>
            <w:r w:rsidRPr="006258D8">
              <w:rPr>
                <w:b/>
              </w:rPr>
              <w:t>No. of repeats</w:t>
            </w:r>
          </w:p>
        </w:tc>
        <w:tc>
          <w:tcPr>
            <w:tcW w:w="0" w:type="auto"/>
            <w:vAlign w:val="center"/>
          </w:tcPr>
          <w:p w:rsidR="00EC4C47" w:rsidRPr="006258D8" w:rsidRDefault="00EC4C47" w:rsidP="00C74141">
            <w:pPr>
              <w:pStyle w:val="Tabletext0"/>
              <w:jc w:val="center"/>
              <w:rPr>
                <w:b/>
                <w:bCs/>
              </w:rPr>
            </w:pPr>
            <w:r w:rsidRPr="006258D8">
              <w:rPr>
                <w:b/>
              </w:rPr>
              <w:t>Dispensed price for maximum quantity</w:t>
            </w:r>
          </w:p>
        </w:tc>
        <w:tc>
          <w:tcPr>
            <w:tcW w:w="0" w:type="auto"/>
            <w:vAlign w:val="center"/>
          </w:tcPr>
          <w:p w:rsidR="00EC4C47" w:rsidRPr="006258D8" w:rsidRDefault="00EC4C47" w:rsidP="00C74141">
            <w:pPr>
              <w:pStyle w:val="Tabletext0"/>
              <w:jc w:val="center"/>
              <w:rPr>
                <w:b/>
                <w:bCs/>
              </w:rPr>
            </w:pPr>
            <w:r w:rsidRPr="006258D8">
              <w:rPr>
                <w:b/>
              </w:rPr>
              <w:t>Proprietary name and manufacturer</w:t>
            </w:r>
          </w:p>
        </w:tc>
      </w:tr>
      <w:tr w:rsidR="00EC4C47" w:rsidRPr="006258D8" w:rsidTr="00C74141">
        <w:tc>
          <w:tcPr>
            <w:tcW w:w="0" w:type="auto"/>
            <w:vAlign w:val="center"/>
          </w:tcPr>
          <w:p w:rsidR="00EC4C47" w:rsidRPr="006258D8" w:rsidRDefault="00EC4C47" w:rsidP="00C74141">
            <w:pPr>
              <w:pStyle w:val="Tabletext0"/>
            </w:pPr>
            <w:r w:rsidRPr="006258D8">
              <w:t>FREMANEZUMAB</w:t>
            </w:r>
          </w:p>
          <w:p w:rsidR="00EC4C47" w:rsidRPr="006258D8" w:rsidRDefault="00EC4C47" w:rsidP="00C74141">
            <w:pPr>
              <w:pStyle w:val="Tabletext0"/>
              <w:rPr>
                <w:b/>
                <w:bCs/>
              </w:rPr>
            </w:pPr>
            <w:r w:rsidRPr="006258D8">
              <w:t>225 mg in 1.5mL solution for injection, 150 mg/1mL × 1 pre-filled pen</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0</w:t>
            </w:r>
          </w:p>
        </w:tc>
        <w:tc>
          <w:tcPr>
            <w:tcW w:w="0" w:type="auto"/>
            <w:vAlign w:val="center"/>
          </w:tcPr>
          <w:p w:rsidR="00EC4C47" w:rsidRPr="006258D8" w:rsidRDefault="00EC4C47" w:rsidP="00C74141">
            <w:pPr>
              <w:pStyle w:val="Tabletext0"/>
              <w:jc w:val="center"/>
            </w:pPr>
            <w:r w:rsidRPr="006258D8">
              <w:t>Published: $</w:t>
            </w:r>
            <w:r w:rsidR="00D11BC9">
              <w:rPr>
                <w:noProof/>
                <w:color w:val="000000"/>
                <w:highlight w:val="black"/>
              </w:rPr>
              <w:t>'''''''''''''''''''''</w:t>
            </w:r>
          </w:p>
          <w:p w:rsidR="00EC4C47" w:rsidRPr="006258D8" w:rsidRDefault="00EC4C47" w:rsidP="00C74141">
            <w:pPr>
              <w:pStyle w:val="Tabletext0"/>
              <w:jc w:val="center"/>
              <w:rPr>
                <w:rFonts w:ascii="Times" w:hAnsi="Times"/>
              </w:rPr>
            </w:pPr>
            <w:r w:rsidRPr="006258D8">
              <w:t>Effective: $</w:t>
            </w:r>
            <w:r w:rsidR="00D11BC9">
              <w:rPr>
                <w:noProof/>
                <w:color w:val="000000"/>
                <w:highlight w:val="black"/>
              </w:rPr>
              <w:t>'''''''''''''''''''</w:t>
            </w:r>
          </w:p>
        </w:tc>
        <w:tc>
          <w:tcPr>
            <w:tcW w:w="0" w:type="auto"/>
            <w:vAlign w:val="center"/>
          </w:tcPr>
          <w:p w:rsidR="00C74141" w:rsidRDefault="00EC4C47" w:rsidP="00C74141">
            <w:pPr>
              <w:pStyle w:val="Tabletext0"/>
            </w:pPr>
            <w:r w:rsidRPr="006258D8">
              <w:t>Ajovy</w:t>
            </w:r>
            <w:r w:rsidRPr="006258D8">
              <w:rPr>
                <w:vertAlign w:val="superscript"/>
              </w:rPr>
              <w:t>®</w:t>
            </w:r>
            <w:r w:rsidRPr="006258D8">
              <w:t>,</w:t>
            </w:r>
          </w:p>
          <w:p w:rsidR="00EC4C47" w:rsidRPr="006258D8" w:rsidRDefault="00EC4C47" w:rsidP="00C74141">
            <w:pPr>
              <w:pStyle w:val="Tabletext0"/>
              <w:rPr>
                <w:rFonts w:ascii="Times" w:hAnsi="Times"/>
              </w:rPr>
            </w:pPr>
            <w:r w:rsidRPr="006258D8">
              <w:t>TEVA</w:t>
            </w:r>
          </w:p>
        </w:tc>
      </w:tr>
    </w:tbl>
    <w:p w:rsidR="00EC4C47" w:rsidRPr="006258D8" w:rsidRDefault="00EC4C47" w:rsidP="00EC4C47"/>
    <w:tbl>
      <w:tblPr>
        <w:tblW w:w="9101" w:type="dxa"/>
        <w:tblInd w:w="108" w:type="dxa"/>
        <w:tblLayout w:type="fixed"/>
        <w:tblLook w:val="0000" w:firstRow="0" w:lastRow="0" w:firstColumn="0" w:lastColumn="0" w:noHBand="0" w:noVBand="0"/>
      </w:tblPr>
      <w:tblGrid>
        <w:gridCol w:w="1872"/>
        <w:gridCol w:w="7229"/>
      </w:tblGrid>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EC4C47" w:rsidRPr="009F2A45" w:rsidRDefault="009F2A45" w:rsidP="00C74141">
            <w:pPr>
              <w:rPr>
                <w:rFonts w:ascii="Arial Narrow" w:hAnsi="Arial Narrow"/>
                <w:i/>
                <w:sz w:val="20"/>
                <w:szCs w:val="20"/>
              </w:rPr>
            </w:pPr>
            <w:r w:rsidRPr="0080764B">
              <w:rPr>
                <w:rFonts w:ascii="Arial Narrow" w:hAnsi="Arial Narrow"/>
                <w:i/>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Migraine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 migraine</w:t>
            </w:r>
            <w:r w:rsidRPr="004612D6">
              <w:rPr>
                <w:rFonts w:ascii="Arial Narrow" w:hAnsi="Arial Narrow"/>
                <w:sz w:val="20"/>
                <w:szCs w:val="20"/>
              </w:rPr>
              <w:t xml:space="preserv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Initial</w:t>
            </w:r>
            <w:r w:rsidRPr="004612D6">
              <w:rPr>
                <w:rFonts w:ascii="Arial Narrow" w:hAnsi="Arial Narrow"/>
                <w:sz w:val="20"/>
                <w:szCs w:val="20"/>
              </w:rPr>
              <w:t xml:space="preserve"> </w:t>
            </w:r>
            <w:r w:rsidRPr="004612D6">
              <w:rPr>
                <w:rFonts w:ascii="Arial Narrow" w:hAnsi="Arial Narrow"/>
                <w:i/>
                <w:sz w:val="20"/>
                <w:szCs w:val="20"/>
              </w:rPr>
              <w:t>treatment</w:t>
            </w:r>
            <w:r w:rsidRPr="004612D6">
              <w:rPr>
                <w:rFonts w:ascii="Arial Narrow" w:hAnsi="Arial Narrow"/>
                <w:sz w:val="20"/>
                <w:szCs w:val="20"/>
              </w:rPr>
              <w:t xml:space="preserve"> </w:t>
            </w:r>
            <w:r w:rsidRPr="004612D6">
              <w:rPr>
                <w:rFonts w:ascii="Arial Narrow" w:hAnsi="Arial Narrow"/>
                <w:i/>
                <w:sz w:val="20"/>
                <w:szCs w:val="20"/>
              </w:rPr>
              <w:t>(3 monthly dosing)</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80764B">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color w:val="000000"/>
                <w:sz w:val="20"/>
                <w:szCs w:val="20"/>
              </w:rPr>
              <w:t xml:space="preserve">Must be treated by a specialist </w:t>
            </w:r>
            <w:r w:rsidRPr="004612D6">
              <w:rPr>
                <w:rFonts w:ascii="Arial Narrow" w:hAnsi="Arial Narrow"/>
                <w:sz w:val="20"/>
                <w:szCs w:val="20"/>
              </w:rPr>
              <w:t xml:space="preserve">neurologist or </w:t>
            </w:r>
            <w:r w:rsidRPr="004612D6">
              <w:rPr>
                <w:rFonts w:ascii="Arial Narrow" w:hAnsi="Arial Narrow"/>
                <w:strike/>
                <w:sz w:val="20"/>
                <w:szCs w:val="20"/>
              </w:rPr>
              <w:t>a pain</w:t>
            </w:r>
            <w:r w:rsidRPr="004612D6">
              <w:rPr>
                <w:rFonts w:ascii="Arial Narrow" w:hAnsi="Arial Narrow"/>
                <w:sz w:val="20"/>
                <w:szCs w:val="20"/>
              </w:rPr>
              <w:t xml:space="preserve"> specialist</w:t>
            </w:r>
            <w:r w:rsidRPr="004612D6">
              <w:rPr>
                <w:rFonts w:ascii="Arial Narrow" w:hAnsi="Arial Narrow"/>
                <w:i/>
                <w:sz w:val="20"/>
                <w:szCs w:val="20"/>
              </w:rPr>
              <w:t xml:space="preserve"> pain medicine physician accredited or experienced in treating headache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Clinical criteria:</w:t>
            </w:r>
          </w:p>
          <w:p w:rsidR="00EC4C47" w:rsidRPr="004612D6" w:rsidRDefault="00EC4C47" w:rsidP="00C74141">
            <w:pPr>
              <w:rPr>
                <w:rFonts w:ascii="Arial Narrow" w:hAnsi="Arial Narrow"/>
                <w:i/>
                <w:sz w:val="20"/>
                <w:szCs w:val="20"/>
              </w:rPr>
            </w:pP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i/>
                <w:sz w:val="20"/>
                <w:szCs w:val="20"/>
              </w:rPr>
            </w:pPr>
            <w:r w:rsidRPr="004612D6">
              <w:rPr>
                <w:rFonts w:ascii="Arial Narrow" w:hAnsi="Arial Narrow"/>
                <w:sz w:val="20"/>
                <w:szCs w:val="20"/>
              </w:rPr>
              <w:t xml:space="preserve">Patient must have experienced an average of 15 or more headache days per month, with at least 8 days of migraine, over a period of at least 6 months, prior to commencement of treatment with </w:t>
            </w:r>
            <w:r w:rsidRPr="004612D6">
              <w:rPr>
                <w:rFonts w:ascii="Arial Narrow" w:hAnsi="Arial Narrow"/>
                <w:i/>
                <w:sz w:val="20"/>
                <w:szCs w:val="20"/>
              </w:rPr>
              <w:t>this medicine</w:t>
            </w:r>
          </w:p>
          <w:p w:rsidR="00EC4C47" w:rsidRPr="004612D6" w:rsidRDefault="00EC4C47" w:rsidP="00C74141">
            <w:pPr>
              <w:rPr>
                <w:rFonts w:ascii="Arial Narrow" w:hAnsi="Arial Narrow"/>
                <w:sz w:val="20"/>
                <w:szCs w:val="20"/>
              </w:rPr>
            </w:pPr>
            <w:r w:rsidRPr="004612D6">
              <w:rPr>
                <w:rFonts w:ascii="Arial Narrow" w:hAnsi="Arial Narrow"/>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P</w:t>
            </w:r>
            <w:r w:rsidRPr="004612D6">
              <w:rPr>
                <w:rFonts w:ascii="Arial Narrow" w:hAnsi="Arial Narrow"/>
                <w:sz w:val="20"/>
                <w:szCs w:val="20"/>
              </w:rPr>
              <w:t xml:space="preserve">atient must have experienced an inadequate response, intolerance or a contraindication to at least three prophylactic migraine medications prior to commencement of treatment with </w:t>
            </w:r>
            <w:r w:rsidRPr="004612D6">
              <w:rPr>
                <w:rFonts w:ascii="Arial Narrow" w:hAnsi="Arial Narrow"/>
                <w:i/>
                <w:sz w:val="20"/>
                <w:szCs w:val="20"/>
              </w:rPr>
              <w:t>this medicine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sz w:val="20"/>
                <w:szCs w:val="20"/>
              </w:rPr>
              <w:t xml:space="preserve">Patient must be appropriately managed by his or her practitioner for medication overuse headache, prior to initiation of treatment with </w:t>
            </w:r>
            <w:r w:rsidRPr="004612D6">
              <w:rPr>
                <w:rFonts w:ascii="Arial Narrow" w:hAnsi="Arial Narrow"/>
                <w:i/>
                <w:sz w:val="20"/>
                <w:szCs w:val="20"/>
              </w:rPr>
              <w:t>this medicine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3 monthly dosing schedule</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Population criteria:</w:t>
            </w: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i/>
                <w:sz w:val="20"/>
                <w:szCs w:val="20"/>
              </w:rPr>
              <w:t>Patient must be aged 18 years or older</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 xml:space="preserve">Prophylactic migraine medications </w:t>
            </w:r>
            <w:r w:rsidR="00E251F9" w:rsidRPr="00D66906">
              <w:rPr>
                <w:rFonts w:ascii="Arial Narrow" w:hAnsi="Arial Narrow"/>
                <w:strike/>
                <w:sz w:val="20"/>
                <w:szCs w:val="20"/>
              </w:rPr>
              <w:t>such as</w:t>
            </w:r>
            <w:r w:rsidR="00A12135">
              <w:rPr>
                <w:rFonts w:ascii="Arial Narrow" w:hAnsi="Arial Narrow"/>
                <w:strike/>
                <w:sz w:val="20"/>
                <w:szCs w:val="20"/>
              </w:rPr>
              <w:t xml:space="preserve"> </w:t>
            </w:r>
            <w:r w:rsidRPr="004612D6">
              <w:rPr>
                <w:rFonts w:ascii="Arial Narrow" w:hAnsi="Arial Narrow"/>
                <w:sz w:val="20"/>
                <w:szCs w:val="20"/>
              </w:rPr>
              <w:t>are propranolol, amitriptylin</w:t>
            </w:r>
            <w:r w:rsidRPr="004612D6">
              <w:rPr>
                <w:rFonts w:ascii="Arial Narrow" w:hAnsi="Arial Narrow"/>
                <w:i/>
                <w:sz w:val="20"/>
                <w:szCs w:val="20"/>
              </w:rPr>
              <w:t>e</w:t>
            </w:r>
            <w:r w:rsidRPr="004612D6">
              <w:rPr>
                <w:rFonts w:ascii="Arial Narrow" w:hAnsi="Arial Narrow"/>
                <w:sz w:val="20"/>
                <w:szCs w:val="20"/>
              </w:rPr>
              <w:t xml:space="preserve">, </w:t>
            </w:r>
            <w:r w:rsidRPr="004612D6">
              <w:rPr>
                <w:rFonts w:ascii="Arial Narrow" w:hAnsi="Arial Narrow"/>
                <w:strike/>
                <w:sz w:val="20"/>
                <w:szCs w:val="20"/>
              </w:rPr>
              <w:t>meth</w:t>
            </w:r>
            <w:r w:rsidRPr="004612D6">
              <w:rPr>
                <w:rFonts w:ascii="Arial Narrow" w:hAnsi="Arial Narrow"/>
                <w:i/>
                <w:strike/>
                <w:sz w:val="20"/>
                <w:szCs w:val="20"/>
              </w:rPr>
              <w:t>y</w:t>
            </w:r>
            <w:r w:rsidRPr="004612D6">
              <w:rPr>
                <w:rFonts w:ascii="Arial Narrow" w:hAnsi="Arial Narrow"/>
                <w:strike/>
                <w:sz w:val="20"/>
                <w:szCs w:val="20"/>
              </w:rPr>
              <w:t>sergide</w:t>
            </w:r>
            <w:r w:rsidRPr="004612D6">
              <w:rPr>
                <w:rFonts w:ascii="Arial Narrow" w:hAnsi="Arial Narrow"/>
                <w:sz w:val="20"/>
                <w:szCs w:val="20"/>
              </w:rPr>
              <w:t xml:space="preserve">, pizotifen, </w:t>
            </w:r>
            <w:r w:rsidRPr="004612D6">
              <w:rPr>
                <w:rFonts w:ascii="Arial Narrow" w:hAnsi="Arial Narrow" w:cs="Arial"/>
                <w:i/>
                <w:sz w:val="20"/>
                <w:szCs w:val="20"/>
                <w:lang w:bidi="en-US"/>
              </w:rPr>
              <w:t>candesartan, verapamil, nortriptyline, sodium valproate</w:t>
            </w:r>
            <w:r w:rsidRPr="004612D6">
              <w:rPr>
                <w:rFonts w:ascii="Arial Narrow" w:hAnsi="Arial Narrow" w:cs="Arial"/>
                <w:sz w:val="20"/>
                <w:szCs w:val="20"/>
                <w:lang w:bidi="en-US"/>
              </w:rPr>
              <w:t xml:space="preserve"> </w:t>
            </w:r>
            <w:r w:rsidRPr="004612D6">
              <w:rPr>
                <w:rFonts w:ascii="Arial Narrow" w:hAnsi="Arial Narrow"/>
                <w:strike/>
                <w:sz w:val="20"/>
                <w:szCs w:val="20"/>
              </w:rPr>
              <w:t>cyproheptadine</w:t>
            </w:r>
            <w:r w:rsidRPr="004612D6">
              <w:rPr>
                <w:rFonts w:ascii="Arial Narrow" w:hAnsi="Arial Narrow"/>
                <w:sz w:val="20"/>
                <w:szCs w:val="20"/>
              </w:rPr>
              <w:t xml:space="preserve"> or topiramate.</w:t>
            </w:r>
          </w:p>
          <w:p w:rsidR="00C74141" w:rsidRDefault="00EC4C47" w:rsidP="00C74141">
            <w:pPr>
              <w:rPr>
                <w:rFonts w:ascii="Arial Narrow" w:hAnsi="Arial Narrow"/>
                <w:i/>
                <w:sz w:val="20"/>
                <w:szCs w:val="20"/>
              </w:rPr>
            </w:pPr>
            <w:r w:rsidRPr="004612D6">
              <w:rPr>
                <w:rFonts w:ascii="Arial Narrow" w:hAnsi="Arial Narrow"/>
                <w:i/>
                <w:sz w:val="20"/>
                <w:szCs w:val="20"/>
              </w:rPr>
              <w:t>A baseline measurement of the number of migraine days per month must be documented in the patient’s medical records</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number of repeats may be authorised.</w:t>
            </w:r>
            <w:r w:rsidRPr="004612D6">
              <w:rPr>
                <w:rFonts w:ascii="Arial Narrow" w:hAnsi="Arial Narrow"/>
                <w:sz w:val="20"/>
                <w:szCs w:val="20"/>
              </w:rPr>
              <w:t xml:space="preserve"> </w:t>
            </w:r>
          </w:p>
        </w:tc>
      </w:tr>
    </w:tbl>
    <w:p w:rsidR="00EC4C47" w:rsidRPr="006258D8" w:rsidRDefault="00EC4C47" w:rsidP="00EC4C4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74141">
        <w:tc>
          <w:tcPr>
            <w:tcW w:w="0" w:type="auto"/>
            <w:vAlign w:val="center"/>
          </w:tcPr>
          <w:p w:rsidR="00EC4C47" w:rsidRPr="006258D8" w:rsidRDefault="00EC4C47" w:rsidP="00C74141">
            <w:pPr>
              <w:pStyle w:val="Tabletext0"/>
              <w:rPr>
                <w:b/>
                <w:bCs/>
              </w:rPr>
            </w:pPr>
            <w:r w:rsidRPr="006258D8">
              <w:rPr>
                <w:b/>
              </w:rPr>
              <w:t>Name, restriction, manner of administration, form</w:t>
            </w:r>
          </w:p>
        </w:tc>
        <w:tc>
          <w:tcPr>
            <w:tcW w:w="0" w:type="auto"/>
            <w:vAlign w:val="center"/>
          </w:tcPr>
          <w:p w:rsidR="00EC4C47" w:rsidRPr="006258D8" w:rsidRDefault="00EC4C47" w:rsidP="00C74141">
            <w:pPr>
              <w:pStyle w:val="Tabletext0"/>
              <w:jc w:val="center"/>
              <w:rPr>
                <w:b/>
                <w:bCs/>
              </w:rPr>
            </w:pPr>
            <w:r w:rsidRPr="006258D8">
              <w:rPr>
                <w:b/>
              </w:rPr>
              <w:t>Maximum quantity (packs)</w:t>
            </w:r>
          </w:p>
        </w:tc>
        <w:tc>
          <w:tcPr>
            <w:tcW w:w="0" w:type="auto"/>
            <w:vAlign w:val="center"/>
          </w:tcPr>
          <w:p w:rsidR="00EC4C47" w:rsidRPr="006258D8" w:rsidRDefault="00EC4C47" w:rsidP="00C74141">
            <w:pPr>
              <w:pStyle w:val="Tabletext0"/>
              <w:jc w:val="center"/>
              <w:rPr>
                <w:b/>
                <w:bCs/>
              </w:rPr>
            </w:pPr>
            <w:r w:rsidRPr="006258D8">
              <w:rPr>
                <w:b/>
              </w:rPr>
              <w:t>Maximum quantity (units)</w:t>
            </w:r>
          </w:p>
        </w:tc>
        <w:tc>
          <w:tcPr>
            <w:tcW w:w="0" w:type="auto"/>
            <w:vAlign w:val="center"/>
          </w:tcPr>
          <w:p w:rsidR="00EC4C47" w:rsidRPr="006258D8" w:rsidRDefault="00EC4C47" w:rsidP="00C74141">
            <w:pPr>
              <w:pStyle w:val="Tabletext0"/>
              <w:jc w:val="center"/>
              <w:rPr>
                <w:b/>
                <w:bCs/>
              </w:rPr>
            </w:pPr>
            <w:r w:rsidRPr="006258D8">
              <w:rPr>
                <w:b/>
              </w:rPr>
              <w:t>No. of repeats</w:t>
            </w:r>
          </w:p>
        </w:tc>
        <w:tc>
          <w:tcPr>
            <w:tcW w:w="0" w:type="auto"/>
            <w:vAlign w:val="center"/>
          </w:tcPr>
          <w:p w:rsidR="00EC4C47" w:rsidRPr="006258D8" w:rsidRDefault="00EC4C47" w:rsidP="00C74141">
            <w:pPr>
              <w:pStyle w:val="Tabletext0"/>
              <w:jc w:val="center"/>
              <w:rPr>
                <w:b/>
                <w:bCs/>
              </w:rPr>
            </w:pPr>
            <w:r w:rsidRPr="006258D8">
              <w:rPr>
                <w:b/>
              </w:rPr>
              <w:t>Dispensed price for maximum quantity</w:t>
            </w:r>
          </w:p>
        </w:tc>
        <w:tc>
          <w:tcPr>
            <w:tcW w:w="0" w:type="auto"/>
            <w:vAlign w:val="center"/>
          </w:tcPr>
          <w:p w:rsidR="00EC4C47" w:rsidRPr="006258D8" w:rsidRDefault="00EC4C47" w:rsidP="00C74141">
            <w:pPr>
              <w:pStyle w:val="Tabletext0"/>
              <w:jc w:val="center"/>
              <w:rPr>
                <w:b/>
                <w:bCs/>
              </w:rPr>
            </w:pPr>
            <w:r w:rsidRPr="006258D8">
              <w:rPr>
                <w:b/>
              </w:rPr>
              <w:t>Proprietary name and manufacturer</w:t>
            </w:r>
          </w:p>
        </w:tc>
      </w:tr>
      <w:tr w:rsidR="00EC4C47" w:rsidRPr="006258D8" w:rsidTr="00C74141">
        <w:tc>
          <w:tcPr>
            <w:tcW w:w="0" w:type="auto"/>
            <w:vAlign w:val="center"/>
          </w:tcPr>
          <w:p w:rsidR="00EC4C47" w:rsidRPr="006258D8" w:rsidRDefault="00EC4C47" w:rsidP="00C74141">
            <w:pPr>
              <w:pStyle w:val="Tabletext0"/>
            </w:pPr>
            <w:r w:rsidRPr="006258D8">
              <w:t>FREMANEZUMAB</w:t>
            </w:r>
          </w:p>
          <w:p w:rsidR="00EC4C47" w:rsidRPr="006258D8" w:rsidRDefault="00EC4C47" w:rsidP="00C74141">
            <w:pPr>
              <w:pStyle w:val="Tabletext0"/>
              <w:rPr>
                <w:b/>
                <w:bCs/>
              </w:rPr>
            </w:pPr>
            <w:r w:rsidRPr="006258D8">
              <w:t>225 mg in 1.5mL solution for injection, 150 mg/1mL × 1 pre-filled pen</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1</w:t>
            </w:r>
          </w:p>
        </w:tc>
        <w:tc>
          <w:tcPr>
            <w:tcW w:w="0" w:type="auto"/>
            <w:vAlign w:val="center"/>
          </w:tcPr>
          <w:p w:rsidR="00EC4C47" w:rsidRPr="006258D8" w:rsidRDefault="00EC4C47" w:rsidP="00C74141">
            <w:pPr>
              <w:pStyle w:val="Tabletext0"/>
              <w:jc w:val="center"/>
            </w:pPr>
            <w:r w:rsidRPr="006258D8">
              <w:t>Published: $</w:t>
            </w:r>
            <w:r w:rsidR="00D11BC9">
              <w:rPr>
                <w:noProof/>
                <w:color w:val="000000"/>
                <w:highlight w:val="black"/>
              </w:rPr>
              <w:t>'''''''''''''''''''''''</w:t>
            </w:r>
          </w:p>
          <w:p w:rsidR="00EC4C47" w:rsidRPr="006258D8" w:rsidRDefault="00EC4C47" w:rsidP="00C74141">
            <w:pPr>
              <w:pStyle w:val="Tabletext0"/>
              <w:jc w:val="center"/>
              <w:rPr>
                <w:rFonts w:ascii="Times" w:hAnsi="Times"/>
              </w:rPr>
            </w:pPr>
            <w:r w:rsidRPr="006258D8">
              <w:t>Effective: $</w:t>
            </w:r>
            <w:r w:rsidR="00D11BC9">
              <w:rPr>
                <w:noProof/>
                <w:color w:val="000000"/>
                <w:highlight w:val="black"/>
              </w:rPr>
              <w:t>'''''''''''''''''''</w:t>
            </w:r>
          </w:p>
        </w:tc>
        <w:tc>
          <w:tcPr>
            <w:tcW w:w="0" w:type="auto"/>
            <w:vAlign w:val="center"/>
          </w:tcPr>
          <w:p w:rsidR="00C74141" w:rsidRDefault="00EC4C47" w:rsidP="00C74141">
            <w:pPr>
              <w:pStyle w:val="Tabletext0"/>
            </w:pPr>
            <w:r w:rsidRPr="006258D8">
              <w:t>Ajovy</w:t>
            </w:r>
            <w:r w:rsidRPr="006258D8">
              <w:rPr>
                <w:vertAlign w:val="superscript"/>
              </w:rPr>
              <w:t>®</w:t>
            </w:r>
            <w:r w:rsidRPr="006258D8">
              <w:t>,</w:t>
            </w:r>
          </w:p>
          <w:p w:rsidR="00EC4C47" w:rsidRPr="006258D8" w:rsidRDefault="00EC4C47" w:rsidP="00C74141">
            <w:pPr>
              <w:pStyle w:val="Tabletext0"/>
              <w:rPr>
                <w:rFonts w:ascii="Times" w:hAnsi="Times"/>
              </w:rPr>
            </w:pPr>
            <w:r w:rsidRPr="006258D8">
              <w:t>TEVA</w:t>
            </w:r>
          </w:p>
        </w:tc>
      </w:tr>
    </w:tbl>
    <w:p w:rsidR="00EC4C47" w:rsidRPr="006258D8" w:rsidRDefault="00EC4C47" w:rsidP="00EC4C47"/>
    <w:tbl>
      <w:tblPr>
        <w:tblW w:w="9101" w:type="dxa"/>
        <w:tblInd w:w="108" w:type="dxa"/>
        <w:tblLayout w:type="fixed"/>
        <w:tblLook w:val="0000" w:firstRow="0" w:lastRow="0" w:firstColumn="0" w:lastColumn="0" w:noHBand="0" w:noVBand="0"/>
      </w:tblPr>
      <w:tblGrid>
        <w:gridCol w:w="1872"/>
        <w:gridCol w:w="7229"/>
      </w:tblGrid>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9F2A45" w:rsidP="00C74141">
            <w:pPr>
              <w:rPr>
                <w:rFonts w:ascii="Arial Narrow" w:hAnsi="Arial Narrow"/>
                <w:i/>
                <w:sz w:val="20"/>
                <w:szCs w:val="20"/>
              </w:rPr>
            </w:pPr>
            <w:r w:rsidRPr="0080764B">
              <w:rPr>
                <w:rFonts w:ascii="Arial Narrow" w:hAnsi="Arial Narrow"/>
                <w:i/>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Migraine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 migraine</w:t>
            </w:r>
            <w:r w:rsidRPr="004612D6">
              <w:rPr>
                <w:rFonts w:ascii="Arial Narrow" w:hAnsi="Arial Narrow"/>
                <w:sz w:val="20"/>
                <w:szCs w:val="20"/>
              </w:rPr>
              <w:t xml:space="preserv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First continuing treatment (3 monthly dosing)</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 xml:space="preserve">Must be treated by a specialist neurologist or a specialist pain medicine physician accredited or experienced in treating headache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Clinical criteria:</w:t>
            </w:r>
          </w:p>
          <w:p w:rsidR="00EC4C47" w:rsidRPr="004612D6" w:rsidRDefault="00EC4C47" w:rsidP="00C74141">
            <w:pPr>
              <w:rPr>
                <w:rFonts w:ascii="Arial Narrow" w:hAnsi="Arial Narrow"/>
                <w:i/>
                <w:color w:val="000000"/>
                <w:sz w:val="20"/>
                <w:szCs w:val="20"/>
              </w:rPr>
            </w:pPr>
          </w:p>
          <w:p w:rsidR="00EC4C47" w:rsidRPr="004612D6" w:rsidRDefault="00EC4C47" w:rsidP="00C74141">
            <w:pPr>
              <w:rPr>
                <w:rFonts w:ascii="Arial Narrow" w:hAnsi="Arial Narrow"/>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i/>
                <w:sz w:val="20"/>
                <w:szCs w:val="20"/>
              </w:rPr>
              <w:t>Patient must have previously received PBS-subsidised initial treatment with this drug for this condition</w:t>
            </w:r>
          </w:p>
          <w:p w:rsidR="00EC4C47" w:rsidRPr="004612D6" w:rsidRDefault="00070838" w:rsidP="00C74141">
            <w:pPr>
              <w:rPr>
                <w:rFonts w:ascii="Arial Narrow" w:hAnsi="Arial Narrow"/>
                <w:i/>
                <w:sz w:val="20"/>
                <w:szCs w:val="20"/>
              </w:rPr>
            </w:pPr>
            <w:r>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Patient must have achieved and maintained a 50% or greater reduction from baseline in the number of migraine days per month in order to be eligible for continuing PBS-subsidised treatment</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3 monthly dosing schedule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strike/>
                <w:sz w:val="20"/>
                <w:szCs w:val="20"/>
              </w:rPr>
            </w:pPr>
            <w:r w:rsidRPr="004612D6">
              <w:rPr>
                <w:rFonts w:ascii="Arial Narrow" w:hAnsi="Arial Narrow"/>
                <w:i/>
                <w:sz w:val="20"/>
                <w:szCs w:val="20"/>
              </w:rPr>
              <w:t>Patient must continue to be appropriately managed for medication overuse headache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Population criteria:</w:t>
            </w:r>
          </w:p>
          <w:p w:rsidR="00EC4C47" w:rsidRPr="004612D6" w:rsidRDefault="00EC4C47" w:rsidP="00C74141">
            <w:pPr>
              <w:rPr>
                <w:rFonts w:ascii="Arial Narrow" w:hAnsi="Arial Narrow"/>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EC4C47" w:rsidP="00C74141">
            <w:pPr>
              <w:rPr>
                <w:rFonts w:ascii="Arial Narrow" w:hAnsi="Arial Narrow"/>
                <w:sz w:val="20"/>
                <w:szCs w:val="20"/>
              </w:rPr>
            </w:pPr>
            <w:r w:rsidRPr="004612D6">
              <w:rPr>
                <w:rFonts w:ascii="Arial Narrow" w:hAnsi="Arial Narrow"/>
                <w:i/>
                <w:sz w:val="20"/>
                <w:szCs w:val="20"/>
              </w:rPr>
              <w:t>Patient must be aged 18 years or older</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FB76A8" w:rsidP="00FB76A8">
            <w:pPr>
              <w:rPr>
                <w:rFonts w:ascii="Arial Narrow" w:hAnsi="Arial Narrow"/>
                <w:i/>
                <w:strike/>
                <w:color w:val="000000"/>
                <w:sz w:val="20"/>
                <w:szCs w:val="20"/>
              </w:rPr>
            </w:pPr>
            <w:r w:rsidRPr="0080764B">
              <w:rPr>
                <w:rFonts w:ascii="Arial Narrow" w:hAnsi="Arial Narrow" w:cstheme="minorHAnsi"/>
                <w:i/>
                <w:sz w:val="20"/>
                <w:szCs w:val="20"/>
              </w:rPr>
              <w:t>Patients who have previously responded to this medication and have in the past met the continuation criteria may recommence treatment under the continuation criteria and do not require re-initiation.</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trike/>
                <w:sz w:val="20"/>
                <w:szCs w:val="20"/>
              </w:rPr>
            </w:pPr>
            <w:r w:rsidRPr="004612D6">
              <w:rPr>
                <w:rFonts w:ascii="Arial Narrow" w:hAnsi="Arial Narrow"/>
                <w:i/>
                <w:sz w:val="20"/>
                <w:szCs w:val="20"/>
              </w:rPr>
              <w:t>No increase in the maximum number of repeats may be authorised.</w:t>
            </w:r>
            <w:r w:rsidRPr="004612D6">
              <w:rPr>
                <w:rFonts w:ascii="Arial Narrow" w:hAnsi="Arial Narrow"/>
                <w:sz w:val="20"/>
                <w:szCs w:val="20"/>
              </w:rPr>
              <w:t xml:space="preserve"> </w:t>
            </w:r>
          </w:p>
        </w:tc>
      </w:tr>
    </w:tbl>
    <w:p w:rsidR="00EC4C47" w:rsidRPr="006258D8" w:rsidRDefault="00EC4C47" w:rsidP="00EC4C47"/>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475"/>
        <w:gridCol w:w="1292"/>
        <w:gridCol w:w="1274"/>
        <w:gridCol w:w="925"/>
        <w:gridCol w:w="1583"/>
        <w:gridCol w:w="1687"/>
      </w:tblGrid>
      <w:tr w:rsidR="00EC4C47" w:rsidRPr="006258D8" w:rsidTr="00C74141">
        <w:tc>
          <w:tcPr>
            <w:tcW w:w="0" w:type="auto"/>
            <w:vAlign w:val="center"/>
          </w:tcPr>
          <w:p w:rsidR="00EC4C47" w:rsidRPr="006258D8" w:rsidRDefault="00EC4C47" w:rsidP="00C74141">
            <w:pPr>
              <w:pStyle w:val="Tabletext0"/>
              <w:rPr>
                <w:b/>
                <w:bCs/>
              </w:rPr>
            </w:pPr>
            <w:r w:rsidRPr="006258D8">
              <w:rPr>
                <w:b/>
              </w:rPr>
              <w:t>Name, restriction, manner of administration, form</w:t>
            </w:r>
          </w:p>
        </w:tc>
        <w:tc>
          <w:tcPr>
            <w:tcW w:w="0" w:type="auto"/>
            <w:vAlign w:val="center"/>
          </w:tcPr>
          <w:p w:rsidR="00EC4C47" w:rsidRPr="006258D8" w:rsidRDefault="00EC4C47" w:rsidP="00C74141">
            <w:pPr>
              <w:pStyle w:val="Tabletext0"/>
              <w:jc w:val="center"/>
              <w:rPr>
                <w:b/>
                <w:bCs/>
              </w:rPr>
            </w:pPr>
            <w:r w:rsidRPr="006258D8">
              <w:rPr>
                <w:b/>
              </w:rPr>
              <w:t>Maximum quantity (packs)</w:t>
            </w:r>
          </w:p>
        </w:tc>
        <w:tc>
          <w:tcPr>
            <w:tcW w:w="0" w:type="auto"/>
            <w:vAlign w:val="center"/>
          </w:tcPr>
          <w:p w:rsidR="00EC4C47" w:rsidRPr="006258D8" w:rsidRDefault="00EC4C47" w:rsidP="00C74141">
            <w:pPr>
              <w:pStyle w:val="Tabletext0"/>
              <w:jc w:val="center"/>
              <w:rPr>
                <w:b/>
                <w:bCs/>
              </w:rPr>
            </w:pPr>
            <w:r w:rsidRPr="006258D8">
              <w:rPr>
                <w:b/>
              </w:rPr>
              <w:t>Maximum quantity (units)</w:t>
            </w:r>
          </w:p>
        </w:tc>
        <w:tc>
          <w:tcPr>
            <w:tcW w:w="0" w:type="auto"/>
            <w:vAlign w:val="center"/>
          </w:tcPr>
          <w:p w:rsidR="00EC4C47" w:rsidRPr="006258D8" w:rsidRDefault="00EC4C47" w:rsidP="00C74141">
            <w:pPr>
              <w:pStyle w:val="Tabletext0"/>
              <w:jc w:val="center"/>
              <w:rPr>
                <w:b/>
                <w:bCs/>
              </w:rPr>
            </w:pPr>
            <w:r w:rsidRPr="006258D8">
              <w:rPr>
                <w:b/>
              </w:rPr>
              <w:t>No. of repeats</w:t>
            </w:r>
          </w:p>
        </w:tc>
        <w:tc>
          <w:tcPr>
            <w:tcW w:w="0" w:type="auto"/>
            <w:vAlign w:val="center"/>
          </w:tcPr>
          <w:p w:rsidR="00EC4C47" w:rsidRPr="006258D8" w:rsidRDefault="00EC4C47" w:rsidP="00C74141">
            <w:pPr>
              <w:pStyle w:val="Tabletext0"/>
              <w:jc w:val="center"/>
              <w:rPr>
                <w:b/>
                <w:bCs/>
              </w:rPr>
            </w:pPr>
            <w:r w:rsidRPr="006258D8">
              <w:rPr>
                <w:b/>
              </w:rPr>
              <w:t>Dispensed price for maximum quantity</w:t>
            </w:r>
          </w:p>
        </w:tc>
        <w:tc>
          <w:tcPr>
            <w:tcW w:w="0" w:type="auto"/>
            <w:vAlign w:val="center"/>
          </w:tcPr>
          <w:p w:rsidR="00EC4C47" w:rsidRPr="006258D8" w:rsidRDefault="00EC4C47" w:rsidP="00C74141">
            <w:pPr>
              <w:pStyle w:val="Tabletext0"/>
              <w:jc w:val="center"/>
              <w:rPr>
                <w:b/>
                <w:bCs/>
              </w:rPr>
            </w:pPr>
            <w:r w:rsidRPr="006258D8">
              <w:rPr>
                <w:b/>
              </w:rPr>
              <w:t>Proprietary name and manufacturer</w:t>
            </w:r>
          </w:p>
        </w:tc>
      </w:tr>
      <w:tr w:rsidR="00EC4C47" w:rsidRPr="006258D8" w:rsidTr="00C74141">
        <w:tc>
          <w:tcPr>
            <w:tcW w:w="0" w:type="auto"/>
            <w:vAlign w:val="center"/>
          </w:tcPr>
          <w:p w:rsidR="00EC4C47" w:rsidRPr="006258D8" w:rsidRDefault="00EC4C47" w:rsidP="00C74141">
            <w:pPr>
              <w:pStyle w:val="Tabletext0"/>
            </w:pPr>
            <w:r w:rsidRPr="006258D8">
              <w:t>FREMANEZUMAB</w:t>
            </w:r>
          </w:p>
          <w:p w:rsidR="00EC4C47" w:rsidRPr="006258D8" w:rsidRDefault="00EC4C47" w:rsidP="00C74141">
            <w:pPr>
              <w:pStyle w:val="Tabletext0"/>
              <w:rPr>
                <w:b/>
                <w:bCs/>
              </w:rPr>
            </w:pPr>
            <w:r w:rsidRPr="006258D8">
              <w:t>225 mg in 1.5mL solution for injection, 150 mg/1mL × 1 pre-filled pen</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3</w:t>
            </w:r>
          </w:p>
        </w:tc>
        <w:tc>
          <w:tcPr>
            <w:tcW w:w="0" w:type="auto"/>
            <w:vAlign w:val="center"/>
          </w:tcPr>
          <w:p w:rsidR="00EC4C47" w:rsidRPr="006258D8" w:rsidRDefault="00EC4C47" w:rsidP="00C74141">
            <w:pPr>
              <w:pStyle w:val="Tabletext0"/>
              <w:jc w:val="center"/>
              <w:rPr>
                <w:rFonts w:ascii="Times" w:hAnsi="Times"/>
              </w:rPr>
            </w:pPr>
            <w:r w:rsidRPr="006258D8">
              <w:t>1</w:t>
            </w:r>
          </w:p>
        </w:tc>
        <w:tc>
          <w:tcPr>
            <w:tcW w:w="0" w:type="auto"/>
            <w:vAlign w:val="center"/>
          </w:tcPr>
          <w:p w:rsidR="00EC4C47" w:rsidRPr="006258D8" w:rsidRDefault="00EC4C47" w:rsidP="00C74141">
            <w:pPr>
              <w:pStyle w:val="Tabletext0"/>
              <w:jc w:val="center"/>
            </w:pPr>
            <w:r w:rsidRPr="006258D8">
              <w:t>Published: $</w:t>
            </w:r>
            <w:r w:rsidR="00D11BC9">
              <w:rPr>
                <w:noProof/>
                <w:color w:val="000000"/>
                <w:highlight w:val="black"/>
              </w:rPr>
              <w:t>'''''''''''''''''''''''</w:t>
            </w:r>
          </w:p>
          <w:p w:rsidR="00EC4C47" w:rsidRPr="006258D8" w:rsidRDefault="00EC4C47" w:rsidP="00C74141">
            <w:pPr>
              <w:pStyle w:val="Tabletext0"/>
              <w:jc w:val="center"/>
              <w:rPr>
                <w:rFonts w:ascii="Times" w:hAnsi="Times"/>
              </w:rPr>
            </w:pPr>
            <w:r w:rsidRPr="006258D8">
              <w:t>Effective: $</w:t>
            </w:r>
            <w:r w:rsidR="00D11BC9">
              <w:rPr>
                <w:noProof/>
                <w:color w:val="000000"/>
                <w:highlight w:val="black"/>
              </w:rPr>
              <w:t>'''''''''''''''''''</w:t>
            </w:r>
          </w:p>
        </w:tc>
        <w:tc>
          <w:tcPr>
            <w:tcW w:w="0" w:type="auto"/>
            <w:vAlign w:val="center"/>
          </w:tcPr>
          <w:p w:rsidR="00C74141" w:rsidRDefault="00EC4C47" w:rsidP="00C74141">
            <w:pPr>
              <w:pStyle w:val="Tabletext0"/>
            </w:pPr>
            <w:r w:rsidRPr="006258D8">
              <w:t>Ajovy</w:t>
            </w:r>
            <w:r w:rsidRPr="006258D8">
              <w:rPr>
                <w:vertAlign w:val="superscript"/>
              </w:rPr>
              <w:t>®</w:t>
            </w:r>
            <w:r w:rsidRPr="006258D8">
              <w:t>,</w:t>
            </w:r>
          </w:p>
          <w:p w:rsidR="00EC4C47" w:rsidRPr="006258D8" w:rsidRDefault="00EC4C47" w:rsidP="00C74141">
            <w:pPr>
              <w:pStyle w:val="Tabletext0"/>
              <w:rPr>
                <w:rFonts w:ascii="Times" w:hAnsi="Times"/>
              </w:rPr>
            </w:pPr>
            <w:r w:rsidRPr="006258D8">
              <w:t>TEVA</w:t>
            </w:r>
          </w:p>
        </w:tc>
      </w:tr>
    </w:tbl>
    <w:p w:rsidR="00EC4C47" w:rsidRPr="006258D8" w:rsidRDefault="00EC4C47" w:rsidP="00EC4C47"/>
    <w:tbl>
      <w:tblPr>
        <w:tblW w:w="9101" w:type="dxa"/>
        <w:tblInd w:w="108" w:type="dxa"/>
        <w:tblLayout w:type="fixed"/>
        <w:tblLook w:val="0000" w:firstRow="0" w:lastRow="0" w:firstColumn="0" w:lastColumn="0" w:noHBand="0" w:noVBand="0"/>
      </w:tblPr>
      <w:tblGrid>
        <w:gridCol w:w="1872"/>
        <w:gridCol w:w="7229"/>
      </w:tblGrid>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Category / Program</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t>GENERAL – General Schedule (Code GE)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Dental</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Medical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Nurse practitioners</w:t>
            </w:r>
            <w:r w:rsidR="00A01A23">
              <w:rPr>
                <w:rFonts w:ascii="Arial Narrow" w:hAnsi="Arial Narrow"/>
                <w:sz w:val="20"/>
                <w:szCs w:val="20"/>
              </w:rPr>
              <w:t xml:space="preserve"> </w:t>
            </w: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 xml:space="preserve">Optometrists </w:t>
            </w: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Midwives</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Episodicity:</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Severity:</w:t>
            </w: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FB76A8" w:rsidP="00C74141">
            <w:pPr>
              <w:rPr>
                <w:rFonts w:ascii="Arial Narrow" w:hAnsi="Arial Narrow"/>
                <w:i/>
                <w:sz w:val="20"/>
                <w:szCs w:val="20"/>
              </w:rPr>
            </w:pPr>
            <w:r w:rsidRPr="0080764B">
              <w:rPr>
                <w:rFonts w:ascii="Arial Narrow" w:hAnsi="Arial Narrow"/>
                <w:i/>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 xml:space="preserve">Condition </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Migraine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PBS Indication:</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Chronic migraine</w:t>
            </w:r>
            <w:r w:rsidRPr="004612D6">
              <w:rPr>
                <w:rFonts w:ascii="Arial Narrow" w:hAnsi="Arial Narrow"/>
                <w:sz w:val="20"/>
                <w:szCs w:val="20"/>
              </w:rPr>
              <w:t xml:space="preserve">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phase: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Subsequent continuing treatment (3 monthly dosing)</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Restriction:</w:t>
            </w:r>
          </w:p>
          <w:p w:rsidR="00EC4C47" w:rsidRPr="004612D6" w:rsidRDefault="00EC4C47" w:rsidP="00C74141">
            <w:pPr>
              <w:rPr>
                <w:rFonts w:ascii="Arial Narrow" w:hAnsi="Arial Narrow"/>
                <w:sz w:val="20"/>
                <w:szCs w:val="20"/>
              </w:rPr>
            </w:pPr>
            <w:r w:rsidRPr="004612D6">
              <w:rPr>
                <w:rFonts w:ascii="Arial Narrow" w:hAnsi="Arial Narrow"/>
                <w:sz w:val="20"/>
                <w:szCs w:val="20"/>
              </w:rPr>
              <w:t>Section 85</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Authority required</w:t>
            </w:r>
          </w:p>
          <w:p w:rsidR="00EC4C47" w:rsidRPr="004612D6" w:rsidRDefault="00EC4C47" w:rsidP="00C74141">
            <w:pPr>
              <w:rPr>
                <w:rFonts w:ascii="Arial Narrow" w:hAnsi="Arial Narrow"/>
                <w:sz w:val="20"/>
                <w:szCs w:val="20"/>
              </w:rPr>
            </w:pP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1"/>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Restricted benefit</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In Writing</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3"/>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Telephone</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Emergency</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0"/>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Authority Required - Electronic</w:t>
            </w:r>
          </w:p>
          <w:p w:rsidR="00EC4C47" w:rsidRPr="004612D6" w:rsidRDefault="00EC4C47" w:rsidP="00C74141">
            <w:pPr>
              <w:spacing w:line="360" w:lineRule="auto"/>
              <w:rPr>
                <w:rFonts w:ascii="Arial Narrow" w:hAnsi="Arial Narrow"/>
                <w:sz w:val="20"/>
                <w:szCs w:val="20"/>
              </w:rPr>
            </w:pPr>
            <w:r w:rsidRPr="004612D6">
              <w:rPr>
                <w:rFonts w:ascii="Arial Narrow" w:hAnsi="Arial Narrow"/>
                <w:sz w:val="20"/>
                <w:szCs w:val="20"/>
              </w:rPr>
              <w:fldChar w:fldCharType="begin">
                <w:ffData>
                  <w:name w:val="Check5"/>
                  <w:enabled/>
                  <w:calcOnExit w:val="0"/>
                  <w:checkBox>
                    <w:sizeAuto/>
                    <w:default w:val="1"/>
                  </w:checkBox>
                </w:ffData>
              </w:fldChar>
            </w:r>
            <w:r w:rsidRPr="004612D6">
              <w:rPr>
                <w:rFonts w:ascii="Arial Narrow" w:hAnsi="Arial Narrow"/>
                <w:sz w:val="20"/>
                <w:szCs w:val="20"/>
              </w:rPr>
              <w:instrText xml:space="preserve"> FORMCHECKBOX </w:instrText>
            </w:r>
            <w:r w:rsidR="00D11BC9">
              <w:rPr>
                <w:rFonts w:ascii="Arial Narrow" w:hAnsi="Arial Narrow"/>
                <w:sz w:val="20"/>
                <w:szCs w:val="20"/>
              </w:rPr>
            </w:r>
            <w:r w:rsidR="00D11BC9">
              <w:rPr>
                <w:rFonts w:ascii="Arial Narrow" w:hAnsi="Arial Narrow"/>
                <w:sz w:val="20"/>
                <w:szCs w:val="20"/>
              </w:rPr>
              <w:fldChar w:fldCharType="separate"/>
            </w:r>
            <w:r w:rsidRPr="004612D6">
              <w:rPr>
                <w:rFonts w:ascii="Arial Narrow" w:hAnsi="Arial Narrow"/>
                <w:sz w:val="20"/>
                <w:szCs w:val="20"/>
              </w:rPr>
              <w:fldChar w:fldCharType="end"/>
            </w:r>
            <w:r w:rsidRPr="004612D6">
              <w:rPr>
                <w:rFonts w:ascii="Arial Narrow" w:hAnsi="Arial Narrow"/>
                <w:sz w:val="20"/>
                <w:szCs w:val="20"/>
              </w:rPr>
              <w:t>Streamlined</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Treatment criteria:</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Must be treated by, or in consultation with a specialist neurologist; or</w:t>
            </w:r>
          </w:p>
          <w:p w:rsidR="00C74141" w:rsidRDefault="00EC4C47" w:rsidP="00C74141">
            <w:pPr>
              <w:rPr>
                <w:rFonts w:ascii="Arial Narrow" w:hAnsi="Arial Narrow"/>
                <w:i/>
                <w:sz w:val="20"/>
                <w:szCs w:val="20"/>
              </w:rPr>
            </w:pPr>
            <w:r w:rsidRPr="004612D6">
              <w:rPr>
                <w:rFonts w:ascii="Arial Narrow" w:hAnsi="Arial Narrow"/>
                <w:i/>
                <w:sz w:val="20"/>
                <w:szCs w:val="20"/>
              </w:rPr>
              <w:t>Must be treated by, or in consultation with a specialist pain medicine physician accredited or experienced in treating headache</w:t>
            </w:r>
          </w:p>
          <w:p w:rsidR="00EC4C47" w:rsidRPr="004612D6" w:rsidRDefault="00EC4C47" w:rsidP="00C74141">
            <w:pPr>
              <w:rPr>
                <w:rFonts w:ascii="Arial Narrow" w:hAnsi="Arial Narrow"/>
                <w:sz w:val="20"/>
                <w:szCs w:val="20"/>
              </w:rPr>
            </w:pP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Clinical criteria:</w:t>
            </w:r>
          </w:p>
          <w:p w:rsidR="00EC4C47" w:rsidRPr="004612D6" w:rsidRDefault="00EC4C47" w:rsidP="00C74141">
            <w:pPr>
              <w:rPr>
                <w:rFonts w:ascii="Arial Narrow" w:hAnsi="Arial Narrow"/>
                <w:i/>
                <w:color w:val="000000"/>
                <w:sz w:val="20"/>
                <w:szCs w:val="20"/>
              </w:rPr>
            </w:pPr>
          </w:p>
          <w:p w:rsidR="00EC4C47" w:rsidRPr="004612D6" w:rsidRDefault="00EC4C47" w:rsidP="00C74141">
            <w:pPr>
              <w:rPr>
                <w:rFonts w:ascii="Arial Narrow" w:hAnsi="Arial Narrow"/>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Pr>
          <w:p w:rsidR="00C74141" w:rsidRDefault="00EC4C47" w:rsidP="00C74141">
            <w:pPr>
              <w:rPr>
                <w:rFonts w:ascii="Arial Narrow" w:hAnsi="Arial Narrow"/>
                <w:sz w:val="20"/>
                <w:szCs w:val="20"/>
              </w:rPr>
            </w:pPr>
            <w:r w:rsidRPr="004612D6">
              <w:rPr>
                <w:rFonts w:ascii="Arial Narrow" w:hAnsi="Arial Narrow"/>
                <w:i/>
                <w:sz w:val="20"/>
                <w:szCs w:val="20"/>
              </w:rPr>
              <w:t>Patient must have previously received PBS-subsidised treatment with this drug for this condition under the First continuing treatment restriction</w:t>
            </w:r>
          </w:p>
          <w:p w:rsidR="00C74141"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i/>
                <w:sz w:val="20"/>
                <w:szCs w:val="20"/>
              </w:rPr>
            </w:pPr>
            <w:r w:rsidRPr="004612D6">
              <w:rPr>
                <w:rFonts w:ascii="Arial Narrow" w:hAnsi="Arial Narrow"/>
                <w:i/>
                <w:sz w:val="20"/>
                <w:szCs w:val="20"/>
              </w:rPr>
              <w:t>Patient must have achieved and maintained a 50% or greater reduction from baseline in the number of migraine days per month in order to be eligible for continuing PBS-subsidised treatment</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i/>
                <w:sz w:val="20"/>
                <w:szCs w:val="20"/>
              </w:rPr>
            </w:pPr>
            <w:r w:rsidRPr="004612D6">
              <w:rPr>
                <w:rFonts w:ascii="Arial Narrow" w:hAnsi="Arial Narrow"/>
                <w:i/>
                <w:sz w:val="20"/>
                <w:szCs w:val="20"/>
              </w:rPr>
              <w:t>The treatment must not be in combination with PBS-subsidised botulinum toxin type A or a PBS-subsidised anti-calcitonin gene-related peptide (anti-CGRP) drug for chronic migraine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C74141" w:rsidRDefault="00EC4C47" w:rsidP="00C74141">
            <w:pPr>
              <w:rPr>
                <w:rFonts w:ascii="Arial Narrow" w:hAnsi="Arial Narrow"/>
                <w:sz w:val="20"/>
                <w:szCs w:val="20"/>
              </w:rPr>
            </w:pPr>
            <w:r w:rsidRPr="004612D6">
              <w:rPr>
                <w:rFonts w:ascii="Arial Narrow" w:hAnsi="Arial Narrow"/>
                <w:i/>
                <w:sz w:val="20"/>
                <w:szCs w:val="20"/>
              </w:rPr>
              <w:t>The treatment must be administered on a 3 monthly dosing schedule</w:t>
            </w:r>
          </w:p>
          <w:p w:rsidR="00EC4C47" w:rsidRPr="004612D6" w:rsidRDefault="00EC4C47" w:rsidP="00C74141">
            <w:pPr>
              <w:rPr>
                <w:rFonts w:ascii="Arial Narrow" w:hAnsi="Arial Narrow"/>
                <w:i/>
                <w:sz w:val="20"/>
                <w:szCs w:val="20"/>
              </w:rPr>
            </w:pPr>
            <w:r w:rsidRPr="004612D6">
              <w:rPr>
                <w:rFonts w:ascii="Arial Narrow" w:hAnsi="Arial Narrow"/>
                <w:i/>
                <w:sz w:val="20"/>
                <w:szCs w:val="20"/>
              </w:rPr>
              <w:t>AND</w:t>
            </w:r>
          </w:p>
          <w:p w:rsidR="00EC4C47" w:rsidRPr="004612D6" w:rsidRDefault="00EC4C47" w:rsidP="00C74141">
            <w:pPr>
              <w:rPr>
                <w:rFonts w:ascii="Arial Narrow" w:hAnsi="Arial Narrow"/>
                <w:strike/>
                <w:sz w:val="20"/>
                <w:szCs w:val="20"/>
              </w:rPr>
            </w:pPr>
            <w:r w:rsidRPr="004612D6">
              <w:rPr>
                <w:rFonts w:ascii="Arial Narrow" w:hAnsi="Arial Narrow"/>
                <w:i/>
                <w:sz w:val="20"/>
                <w:szCs w:val="20"/>
              </w:rPr>
              <w:t>Patient must continue to be appropriately managed for medication overuse headache</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color w:val="000000"/>
                <w:sz w:val="20"/>
                <w:szCs w:val="20"/>
              </w:rPr>
              <w:t>Population criteria:</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i/>
                <w:sz w:val="20"/>
                <w:szCs w:val="20"/>
              </w:rPr>
            </w:pPr>
            <w:r w:rsidRPr="004612D6">
              <w:rPr>
                <w:rFonts w:ascii="Arial Narrow" w:hAnsi="Arial Narrow"/>
                <w:i/>
                <w:sz w:val="20"/>
                <w:szCs w:val="20"/>
              </w:rPr>
              <w:t xml:space="preserve">Patient must be aged 18 years or older </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color w:val="000000"/>
                <w:sz w:val="20"/>
                <w:szCs w:val="20"/>
              </w:rPr>
            </w:pPr>
            <w:r w:rsidRPr="004612D6">
              <w:rPr>
                <w:rFonts w:ascii="Arial Narrow" w:hAnsi="Arial Narrow"/>
                <w:b/>
                <w:sz w:val="20"/>
                <w:szCs w:val="20"/>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EC4C47" w:rsidRPr="0080764B" w:rsidRDefault="00520EFF" w:rsidP="00C74141">
            <w:pPr>
              <w:rPr>
                <w:rFonts w:ascii="Arial Narrow" w:hAnsi="Arial Narrow"/>
                <w:i/>
                <w:color w:val="000000"/>
                <w:sz w:val="20"/>
                <w:szCs w:val="20"/>
              </w:rPr>
            </w:pPr>
            <w:r w:rsidRPr="0080764B">
              <w:rPr>
                <w:rFonts w:ascii="Arial Narrow" w:hAnsi="Arial Narrow"/>
                <w:i/>
                <w:color w:val="000000"/>
                <w:sz w:val="20"/>
                <w:szCs w:val="20"/>
              </w:rPr>
              <w:t>-</w:t>
            </w:r>
          </w:p>
        </w:tc>
      </w:tr>
      <w:tr w:rsidR="00EC4C47" w:rsidRPr="004612D6" w:rsidTr="00C74141">
        <w:trPr>
          <w:cantSplit/>
          <w:trHeight w:val="360"/>
        </w:trPr>
        <w:tc>
          <w:tcPr>
            <w:tcW w:w="1872"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b/>
                <w:sz w:val="20"/>
                <w:szCs w:val="20"/>
              </w:rPr>
            </w:pPr>
            <w:r w:rsidRPr="004612D6">
              <w:rPr>
                <w:rFonts w:ascii="Arial Narrow" w:hAnsi="Arial Narrow"/>
                <w:b/>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quantity or number of units may be authorised</w:t>
            </w:r>
          </w:p>
          <w:p w:rsidR="00EC4C47" w:rsidRPr="004612D6" w:rsidRDefault="00EC4C47" w:rsidP="00C74141">
            <w:pPr>
              <w:rPr>
                <w:rFonts w:ascii="Arial Narrow" w:hAnsi="Arial Narrow"/>
                <w:sz w:val="20"/>
                <w:szCs w:val="20"/>
              </w:rPr>
            </w:pPr>
            <w:r w:rsidRPr="004612D6">
              <w:rPr>
                <w:rFonts w:ascii="Arial Narrow" w:hAnsi="Arial Narrow"/>
                <w:i/>
                <w:sz w:val="20"/>
                <w:szCs w:val="20"/>
              </w:rPr>
              <w:t>No increase in the maximum number of repeats may be authorised.</w:t>
            </w:r>
            <w:r w:rsidRPr="004612D6">
              <w:rPr>
                <w:rFonts w:ascii="Arial Narrow" w:hAnsi="Arial Narrow"/>
                <w:sz w:val="20"/>
                <w:szCs w:val="20"/>
              </w:rPr>
              <w:t xml:space="preserve"> </w:t>
            </w:r>
          </w:p>
        </w:tc>
      </w:tr>
    </w:tbl>
    <w:p w:rsidR="00EC4C47" w:rsidRPr="006258D8" w:rsidRDefault="00EC4C47" w:rsidP="00021367"/>
    <w:p w:rsidR="00641F76" w:rsidRPr="00EC588D" w:rsidRDefault="00641F76" w:rsidP="00641F76">
      <w:pPr>
        <w:pStyle w:val="3-BodyText"/>
      </w:pPr>
      <w:r w:rsidRPr="00EC588D">
        <w:t xml:space="preserve">The submission requested a special pricing arrangement with an effective price at a discount to the proposed published price and also proposed to </w:t>
      </w:r>
      <w:r w:rsidR="00D11BC9">
        <w:rPr>
          <w:noProof/>
          <w:color w:val="000000"/>
          <w:highlight w:val="black"/>
        </w:rPr>
        <w:t>''''''''''''' ''''''' '''''' ''''''' '''' ''''''' ''''''''''''''''' ''''' ''''''' ''''''' ''''''''' '''''''''''''''' '''' ''''''''''' '''''''''''''''''' '''''' ''''' ''''''''''''''''' ''''''''''''''' ''''' ''''''''''''''''''''''''''''</w:t>
      </w:r>
      <w:r w:rsidRPr="00EC588D">
        <w:t>.</w:t>
      </w:r>
    </w:p>
    <w:p w:rsidR="00A87912" w:rsidRDefault="001F6233" w:rsidP="005753FA">
      <w:pPr>
        <w:pStyle w:val="3-BodyText"/>
      </w:pPr>
      <w:r>
        <w:t xml:space="preserve">The submission requested </w:t>
      </w:r>
      <w:r w:rsidR="00571252" w:rsidRPr="006258D8">
        <w:t>initial treatment and</w:t>
      </w:r>
      <w:r w:rsidR="00A01A23">
        <w:t xml:space="preserve"> </w:t>
      </w:r>
      <w:r w:rsidR="00571252" w:rsidRPr="006258D8">
        <w:t xml:space="preserve">first continuing treatment </w:t>
      </w:r>
      <w:r>
        <w:t xml:space="preserve">be </w:t>
      </w:r>
      <w:r w:rsidR="00571252" w:rsidRPr="006258D8">
        <w:t xml:space="preserve">prescribed by a neurologist or pain </w:t>
      </w:r>
      <w:r w:rsidR="00A87912">
        <w:t>specialist</w:t>
      </w:r>
      <w:r>
        <w:t>,</w:t>
      </w:r>
      <w:r w:rsidR="00571252" w:rsidRPr="006258D8">
        <w:t xml:space="preserve"> with subsequent continuing treatment </w:t>
      </w:r>
      <w:r w:rsidR="00A87912">
        <w:t xml:space="preserve">able to be </w:t>
      </w:r>
      <w:r w:rsidR="00571252" w:rsidRPr="006258D8">
        <w:t xml:space="preserve">prescribed by, or in conjunction with, a neurologist or pain </w:t>
      </w:r>
      <w:r w:rsidR="00A87912">
        <w:t xml:space="preserve">specialist. </w:t>
      </w:r>
      <w:r w:rsidR="005753FA">
        <w:t xml:space="preserve">The PBAC agreed with the Secretariat that pain specialist </w:t>
      </w:r>
      <w:r w:rsidR="005753FA" w:rsidRPr="005753FA">
        <w:t>could be defined more precisely as “a specialist pain medicine physician accredited or experienced in treating headache”.</w:t>
      </w:r>
      <w:r w:rsidR="005753FA">
        <w:t xml:space="preserve"> </w:t>
      </w:r>
      <w:r w:rsidR="00A87912">
        <w:t xml:space="preserve">The </w:t>
      </w:r>
      <w:r w:rsidR="00D618B3">
        <w:t>PBAC recalled it had recommended initial treatment with galcanezumab be prescribed by neurologists with continuing treatment prescribed by, or in conjunction with, a neurologist (paragraph 8.1, galcanezumab Public Summary Document (PSD), July 2019 PBAC meeting).</w:t>
      </w:r>
      <w:r w:rsidR="00A01A23">
        <w:t xml:space="preserve"> </w:t>
      </w:r>
    </w:p>
    <w:p w:rsidR="00BA00A6" w:rsidRPr="001341EF" w:rsidRDefault="006076C5" w:rsidP="000F2EE3">
      <w:pPr>
        <w:pStyle w:val="3-BodyText"/>
      </w:pPr>
      <w:r w:rsidRPr="001341EF">
        <w:t>The proposed restriction</w:t>
      </w:r>
      <w:r w:rsidR="009E2B64">
        <w:t xml:space="preserve"> was</w:t>
      </w:r>
      <w:r w:rsidR="009E2B64" w:rsidRPr="001341EF">
        <w:t xml:space="preserve"> </w:t>
      </w:r>
      <w:r w:rsidRPr="001341EF">
        <w:t>narrower than the TGA indication, which does not restrict treatment based on migraine frequency</w:t>
      </w:r>
      <w:r w:rsidR="000D2613" w:rsidRPr="001341EF">
        <w:t xml:space="preserve"> (i.e. episodic or chronic)</w:t>
      </w:r>
      <w:r w:rsidRPr="001341EF">
        <w:t>, migraine characteristics, or prior therapies. The</w:t>
      </w:r>
      <w:r w:rsidR="009E2B64">
        <w:t xml:space="preserve"> PBAC considered there was </w:t>
      </w:r>
      <w:r w:rsidRPr="001341EF">
        <w:t xml:space="preserve">a high risk of use outside of the restriction </w:t>
      </w:r>
      <w:r w:rsidR="00D618B3">
        <w:t xml:space="preserve">i.e. </w:t>
      </w:r>
      <w:r w:rsidRPr="001341EF">
        <w:t>among pat</w:t>
      </w:r>
      <w:r w:rsidR="00536D5D" w:rsidRPr="001341EF">
        <w:t>ients with episodic migraine</w:t>
      </w:r>
      <w:r w:rsidR="00D618B3">
        <w:t>, patients with chronic migraine that do not meet the prior therapy requirements and continued use in</w:t>
      </w:r>
      <w:r w:rsidR="009E2B64">
        <w:t xml:space="preserve"> </w:t>
      </w:r>
      <w:r w:rsidR="009E2B64" w:rsidRPr="001341EF">
        <w:t xml:space="preserve">patients who do not meet the required response </w:t>
      </w:r>
      <w:r w:rsidR="00D618B3">
        <w:t xml:space="preserve">criteria </w:t>
      </w:r>
      <w:r w:rsidR="009E2B64" w:rsidRPr="001341EF">
        <w:t>but who have experienced an improvement in migraine symptoms on fremanezumab (partial responders).</w:t>
      </w:r>
      <w:r w:rsidR="00BB46C5">
        <w:t xml:space="preserve"> </w:t>
      </w:r>
    </w:p>
    <w:p w:rsidR="004B30E2" w:rsidRDefault="00070077" w:rsidP="00EC4C47">
      <w:pPr>
        <w:pStyle w:val="3-BodyText"/>
      </w:pPr>
      <w:r w:rsidRPr="001341EF">
        <w:t>The submission requested grandfathering provisions for patients treated under the sponsor’s product familiarisation program (expected to commence in November 2019).</w:t>
      </w:r>
      <w:r w:rsidR="00340302">
        <w:t xml:space="preserve"> </w:t>
      </w:r>
      <w:r w:rsidR="00452FF6">
        <w:t>The PBAC considered g</w:t>
      </w:r>
      <w:r w:rsidR="003D5845" w:rsidRPr="006258D8">
        <w:t xml:space="preserve">randfathered patients should be eligible for PBS subsidised treatment under the proposed initial restriction criteria and therefore a separate grandfather restriction </w:t>
      </w:r>
      <w:r w:rsidR="00452FF6">
        <w:t>would</w:t>
      </w:r>
      <w:r w:rsidR="003D5845">
        <w:t xml:space="preserve"> not </w:t>
      </w:r>
      <w:r w:rsidR="00452FF6">
        <w:t xml:space="preserve">be </w:t>
      </w:r>
      <w:r w:rsidR="003D5845">
        <w:t>required</w:t>
      </w:r>
      <w:r w:rsidR="003D5845" w:rsidRPr="006258D8">
        <w:t>.</w:t>
      </w:r>
    </w:p>
    <w:p w:rsidR="00001A3D" w:rsidRPr="006258D8" w:rsidRDefault="00001A3D" w:rsidP="0014072B">
      <w:pPr>
        <w:pStyle w:val="3-BodyText"/>
      </w:pPr>
      <w:r w:rsidRPr="006258D8">
        <w:t xml:space="preserve">The proposed maximum quantity and repeats provide 3 months of initial treatment and 6 months of continuing treatment at the recommended doses of 225 mg every month or 675 mg (given as 3 x 225 mg injections) every three months. </w:t>
      </w:r>
      <w:r w:rsidR="005753FA">
        <w:t>P</w:t>
      </w:r>
      <w:r w:rsidRPr="006258D8">
        <w:t xml:space="preserve">atients treated with monthly dosing </w:t>
      </w:r>
      <w:r w:rsidR="005753FA">
        <w:t xml:space="preserve">would </w:t>
      </w:r>
      <w:r w:rsidRPr="006258D8">
        <w:t>pay one co-payment per month of treatment</w:t>
      </w:r>
      <w:r w:rsidR="00D01504">
        <w:t xml:space="preserve"> whereas</w:t>
      </w:r>
      <w:r w:rsidRPr="006258D8">
        <w:t xml:space="preserve"> patients treated with three monthly dosing </w:t>
      </w:r>
      <w:r w:rsidR="00D01504">
        <w:t>would</w:t>
      </w:r>
      <w:r w:rsidRPr="006258D8">
        <w:t xml:space="preserve"> pay one co-payment per three months of treatment. </w:t>
      </w:r>
      <w:r w:rsidR="00D01504">
        <w:t xml:space="preserve">The </w:t>
      </w:r>
      <w:r w:rsidR="005753FA">
        <w:t xml:space="preserve">Secretariat noted </w:t>
      </w:r>
      <w:r w:rsidR="00D01504">
        <w:t>that i</w:t>
      </w:r>
      <w:r w:rsidRPr="006258D8">
        <w:t xml:space="preserve">f patients treated with the monthly dosing schedule </w:t>
      </w:r>
      <w:r w:rsidR="00DE2AB2">
        <w:t>we</w:t>
      </w:r>
      <w:r w:rsidRPr="006258D8">
        <w:t xml:space="preserve">re prescribed under the three monthly criteria (to reduce the number of co-payments), it </w:t>
      </w:r>
      <w:r w:rsidR="00DE2AB2">
        <w:t>could</w:t>
      </w:r>
      <w:r w:rsidRPr="006258D8">
        <w:t xml:space="preserve"> result in wastage (</w:t>
      </w:r>
      <w:r w:rsidR="009F2622">
        <w:t>e.g.</w:t>
      </w:r>
      <w:r w:rsidRPr="006258D8">
        <w:t xml:space="preserve"> if the first injection is not tolerated) or quality use of medicine </w:t>
      </w:r>
      <w:r w:rsidR="00BB46C5">
        <w:t xml:space="preserve">(QUM) </w:t>
      </w:r>
      <w:r w:rsidRPr="006258D8">
        <w:t>issues (</w:t>
      </w:r>
      <w:r w:rsidR="009F2622">
        <w:t>e.g.</w:t>
      </w:r>
      <w:r w:rsidR="002D0684">
        <w:t xml:space="preserve"> </w:t>
      </w:r>
      <w:r w:rsidRPr="006258D8">
        <w:t>if the medication is not stored correctly be</w:t>
      </w:r>
      <w:r>
        <w:t>tween doses).</w:t>
      </w:r>
      <w:r w:rsidR="00BB46C5">
        <w:t xml:space="preserve"> The pre-PBAC response suggested limiting initial treatment to the monthly regimen and having the three monthly regimen available only for continuing treatment may limit the wastage and QUM concerns </w:t>
      </w:r>
    </w:p>
    <w:p w:rsidR="00C74141" w:rsidRDefault="00001A3D" w:rsidP="00001A3D">
      <w:pPr>
        <w:pStyle w:val="3-BodyText"/>
      </w:pPr>
      <w:r w:rsidRPr="00783392">
        <w:t>The proposed</w:t>
      </w:r>
      <w:r w:rsidR="00FA642D">
        <w:t xml:space="preserve"> restriction for initial treatment </w:t>
      </w:r>
      <w:r w:rsidRPr="00783392">
        <w:t>include</w:t>
      </w:r>
      <w:r w:rsidR="00911753">
        <w:t>d</w:t>
      </w:r>
      <w:r w:rsidRPr="00783392">
        <w:t xml:space="preserve"> the following population criteria: “A maximum of 1 initiation cycle of 3 injections will be authorised under this restriction in a lifetime. Patients who have previously responded to this medication and have in the past met the continuation criteria may recommence treatment under the continuation criteria and do not require re-initiation.” </w:t>
      </w:r>
      <w:r w:rsidR="00FA642D" w:rsidRPr="00EB58D1">
        <w:t xml:space="preserve">The PBAC noted this criteria </w:t>
      </w:r>
      <w:r w:rsidR="00ED7C39">
        <w:t>wa</w:t>
      </w:r>
      <w:r w:rsidR="00247AFB" w:rsidRPr="007B2606">
        <w:t>s</w:t>
      </w:r>
      <w:r w:rsidR="00BC309D" w:rsidRPr="0014072B">
        <w:t xml:space="preserve"> proposed to ensure</w:t>
      </w:r>
      <w:r w:rsidR="00247AFB" w:rsidRPr="006E0C32">
        <w:t xml:space="preserve"> patients are only treated under the initial restriction once per lifetime as t</w:t>
      </w:r>
      <w:r w:rsidR="00247AFB" w:rsidRPr="00CF5088">
        <w:t xml:space="preserve">he </w:t>
      </w:r>
      <w:r w:rsidR="00D11BC9">
        <w:rPr>
          <w:noProof/>
          <w:color w:val="000000"/>
          <w:highlight w:val="black"/>
        </w:rPr>
        <w:t>'''''''' ''''' ''''''''''' ''''''''''''''''''''' ''' '''''''''''''' '''''''''' ''''' ''''''' '''''''''''''''''''''''''''</w:t>
      </w:r>
      <w:r w:rsidR="00247AFB" w:rsidRPr="00EB58D1">
        <w:t>.</w:t>
      </w:r>
      <w:r w:rsidR="00247AFB">
        <w:t xml:space="preserve"> </w:t>
      </w:r>
    </w:p>
    <w:p w:rsidR="00766767" w:rsidRPr="009E48F2" w:rsidRDefault="00BC309D" w:rsidP="00001A3D">
      <w:pPr>
        <w:pStyle w:val="3-BodyText"/>
      </w:pPr>
      <w:r w:rsidRPr="0014072B">
        <w:t xml:space="preserve">The dispensed price for maximum quantity (DPMQ) </w:t>
      </w:r>
      <w:r w:rsidR="007F0A9A">
        <w:t xml:space="preserve">in the submission </w:t>
      </w:r>
      <w:r w:rsidRPr="0014072B">
        <w:t>was calculated incorrectly for both the monthly and 3 monthly treatment regime</w:t>
      </w:r>
      <w:r w:rsidR="009E48F2" w:rsidRPr="009E48F2">
        <w:t>n</w:t>
      </w:r>
      <w:r w:rsidR="009E48F2">
        <w:t xml:space="preserve"> with incorrect wholesaler mark-ups and administration, handling and infrastructure fees applied to both listings</w:t>
      </w:r>
      <w:r w:rsidR="007F0A9A">
        <w:t xml:space="preserve"> which resulted in a small overestimate of the DPMQ.</w:t>
      </w:r>
      <w:r w:rsidR="00A01A23">
        <w:t xml:space="preserve"> </w:t>
      </w:r>
      <w:r w:rsidR="00BF5A8B">
        <w:t>This error has not been corrected in these minutes.</w:t>
      </w:r>
      <w:r w:rsidR="00766767" w:rsidRPr="009E48F2">
        <w:t xml:space="preserve"> </w:t>
      </w:r>
    </w:p>
    <w:p w:rsidR="00340302" w:rsidRPr="0014072B" w:rsidRDefault="00804D38" w:rsidP="00804D38">
      <w:pPr>
        <w:pStyle w:val="3-BodyText"/>
        <w:numPr>
          <w:ilvl w:val="0"/>
          <w:numId w:val="0"/>
        </w:numPr>
        <w:tabs>
          <w:tab w:val="left" w:pos="709"/>
        </w:tabs>
        <w:rPr>
          <w:i/>
          <w:color w:val="000000" w:themeColor="text1"/>
        </w:rPr>
      </w:pPr>
      <w:r>
        <w:rPr>
          <w:i/>
        </w:rPr>
        <w:tab/>
      </w:r>
      <w:r w:rsidR="00340302" w:rsidRPr="0014072B">
        <w:rPr>
          <w:i/>
        </w:rPr>
        <w:t>For more detail on PBAC’s view, see section 7 PBAC outcome.</w:t>
      </w:r>
    </w:p>
    <w:p w:rsidR="00C317F3" w:rsidRPr="006258D8" w:rsidRDefault="00C317F3" w:rsidP="00021367">
      <w:pPr>
        <w:pStyle w:val="2-SectionHeading"/>
      </w:pPr>
      <w:bookmarkStart w:id="5" w:name="_Toc413139273"/>
      <w:bookmarkStart w:id="6" w:name="_Toc19693414"/>
      <w:r w:rsidRPr="006258D8">
        <w:t>Background</w:t>
      </w:r>
      <w:bookmarkEnd w:id="5"/>
      <w:bookmarkEnd w:id="6"/>
    </w:p>
    <w:p w:rsidR="0017638E" w:rsidRPr="00A4767A" w:rsidRDefault="0017638E" w:rsidP="00021367">
      <w:pPr>
        <w:pStyle w:val="4-SubsectionHeading"/>
      </w:pPr>
      <w:r w:rsidRPr="00A4767A">
        <w:t>Registration status</w:t>
      </w:r>
    </w:p>
    <w:p w:rsidR="00C74141" w:rsidRDefault="006E6E87" w:rsidP="000F2EE3">
      <w:pPr>
        <w:pStyle w:val="3-BodyText"/>
      </w:pPr>
      <w:r w:rsidRPr="004D0931">
        <w:rPr>
          <w:b/>
        </w:rPr>
        <w:t xml:space="preserve">TGA status at time of </w:t>
      </w:r>
      <w:r w:rsidR="001F6233" w:rsidRPr="004D0931">
        <w:rPr>
          <w:b/>
        </w:rPr>
        <w:t>PBAC consideration</w:t>
      </w:r>
      <w:r w:rsidRPr="004D0931">
        <w:t>:</w:t>
      </w:r>
      <w:r w:rsidRPr="006E6E87">
        <w:t xml:space="preserve"> </w:t>
      </w:r>
      <w:r>
        <w:t xml:space="preserve">fremanezumab was </w:t>
      </w:r>
      <w:r w:rsidR="00145C7B">
        <w:t xml:space="preserve">TGA </w:t>
      </w:r>
      <w:r>
        <w:t xml:space="preserve">registered on 17 September 2019 for </w:t>
      </w:r>
      <w:r w:rsidRPr="006E6E87">
        <w:t xml:space="preserve">the </w:t>
      </w:r>
      <w:r>
        <w:t>“</w:t>
      </w:r>
      <w:r w:rsidRPr="006E6E87">
        <w:t xml:space="preserve">preventive </w:t>
      </w:r>
      <w:r>
        <w:t>treatment of migraine in adults</w:t>
      </w:r>
      <w:r w:rsidRPr="006E6E87">
        <w:t>”</w:t>
      </w:r>
      <w:r>
        <w:t>.</w:t>
      </w:r>
    </w:p>
    <w:p w:rsidR="00C74141" w:rsidRDefault="00070077" w:rsidP="000F2EE3">
      <w:pPr>
        <w:pStyle w:val="3-BodyText"/>
      </w:pPr>
      <w:r w:rsidRPr="006258D8">
        <w:t xml:space="preserve">Fremanezumab was submitted under the TGA/PBAC parallel process. At the time of evaluation, the TGA Round 1 and 2 clinical evaluation, the Delegate’s overview </w:t>
      </w:r>
      <w:r w:rsidR="00B90B5F" w:rsidRPr="006258D8">
        <w:t xml:space="preserve">and the ACM minutes </w:t>
      </w:r>
      <w:r w:rsidRPr="006258D8">
        <w:t>were available.</w:t>
      </w:r>
    </w:p>
    <w:p w:rsidR="004D0931" w:rsidRDefault="004D0931" w:rsidP="004D0931">
      <w:pPr>
        <w:pStyle w:val="3-BodyText"/>
      </w:pPr>
      <w:r>
        <w:t>The recommended dose of fremanezumab is 225 mg monthly or 675 mg every three months</w:t>
      </w:r>
      <w:r w:rsidR="003973FD">
        <w:t xml:space="preserve"> by subcutaneous injection. </w:t>
      </w:r>
      <w:r w:rsidR="004D4B08">
        <w:t>The PBAC noted the pivotal clinical evidence for fremanezumab included a loading dose of 675 mg for patients receiving monthly treatment but this loading dose is not included in the dos</w:t>
      </w:r>
      <w:r w:rsidR="00BF5A8B">
        <w:t>ing</w:t>
      </w:r>
      <w:r w:rsidR="004D4B08">
        <w:t xml:space="preserve"> recommendation</w:t>
      </w:r>
      <w:r w:rsidR="00BF5A8B">
        <w:t>s in the product information</w:t>
      </w:r>
      <w:r w:rsidR="004D4B08">
        <w:t xml:space="preserve">. </w:t>
      </w:r>
      <w:r w:rsidR="00ED7C39">
        <w:t xml:space="preserve">The PBAC noted the dosing interval in the fremanezumab clinical trial was 4 weekly and 12 weekly and the dose recommendation in the product information is monthly and three monthly. </w:t>
      </w:r>
    </w:p>
    <w:p w:rsidR="00340302" w:rsidRPr="009F2622" w:rsidRDefault="00DF5D69" w:rsidP="00DF5D69">
      <w:pPr>
        <w:pStyle w:val="3-BodyText"/>
        <w:numPr>
          <w:ilvl w:val="0"/>
          <w:numId w:val="0"/>
        </w:numPr>
        <w:tabs>
          <w:tab w:val="left" w:pos="709"/>
        </w:tabs>
        <w:rPr>
          <w:i/>
        </w:rPr>
      </w:pPr>
      <w:r>
        <w:rPr>
          <w:i/>
        </w:rPr>
        <w:tab/>
      </w:r>
      <w:r w:rsidR="00340302" w:rsidRPr="009F2622">
        <w:rPr>
          <w:i/>
        </w:rPr>
        <w:t>For more detail on PBAC’s view, see section 7 PBAC outcome.</w:t>
      </w:r>
    </w:p>
    <w:p w:rsidR="00C317F3" w:rsidRPr="006258D8" w:rsidRDefault="00C317F3" w:rsidP="00021367">
      <w:pPr>
        <w:pStyle w:val="2-SectionHeading"/>
      </w:pPr>
      <w:bookmarkStart w:id="7" w:name="_Toc19693415"/>
      <w:r w:rsidRPr="006258D8">
        <w:t>Population and disease</w:t>
      </w:r>
      <w:bookmarkEnd w:id="7"/>
    </w:p>
    <w:p w:rsidR="00070077" w:rsidRPr="006258D8" w:rsidRDefault="00070077" w:rsidP="000F2EE3">
      <w:pPr>
        <w:pStyle w:val="3-BodyText"/>
        <w:rPr>
          <w:color w:val="000000" w:themeColor="text1"/>
        </w:rPr>
      </w:pPr>
      <w:r w:rsidRPr="006258D8">
        <w:t xml:space="preserve">Migraine is a chronic neurological condition characterised by recurrent episodes of headache which are typically unilateral, pulsating, and associated with moderate or severe pain. The headaches are exacerbated by routine physical activity and are often associated with other symptoms such as photophobia, phonophobia, nausea, and vomiting. Migraine episodes can significantly impair functional ability at work or school, at home, and in social situations (American Headache Society Consensus </w:t>
      </w:r>
      <w:r w:rsidRPr="006258D8">
        <w:rPr>
          <w:color w:val="000000" w:themeColor="text1"/>
        </w:rPr>
        <w:t>Statement 2018).</w:t>
      </w:r>
    </w:p>
    <w:p w:rsidR="00C74141" w:rsidRDefault="00070077" w:rsidP="000F2EE3">
      <w:pPr>
        <w:pStyle w:val="3-BodyText"/>
      </w:pPr>
      <w:r w:rsidRPr="006258D8">
        <w:t>Chronic migraine is defined as</w:t>
      </w:r>
      <w:r w:rsidR="0018721D">
        <w:t xml:space="preserve"> a</w:t>
      </w:r>
      <w:r w:rsidRPr="006258D8">
        <w:t xml:space="preserve"> headache occurring on 15 or more days per month for more than 3 months, which, on at least 8 days per month, have the features of migraine headache (International Classification of Headache Disorders</w:t>
      </w:r>
      <w:r w:rsidR="0018721D">
        <w:t xml:space="preserve"> 3</w:t>
      </w:r>
      <w:r w:rsidR="0018721D" w:rsidRPr="00D35473">
        <w:rPr>
          <w:vertAlign w:val="superscript"/>
        </w:rPr>
        <w:t>rd</w:t>
      </w:r>
      <w:r w:rsidR="0018721D">
        <w:t xml:space="preserve"> edition</w:t>
      </w:r>
      <w:r w:rsidRPr="006258D8">
        <w:t>).</w:t>
      </w:r>
    </w:p>
    <w:p w:rsidR="00C74141" w:rsidRDefault="00070077" w:rsidP="00EC4C47">
      <w:pPr>
        <w:pStyle w:val="3-BodyText"/>
      </w:pPr>
      <w:r w:rsidRPr="006258D8">
        <w:t>A systematic review of the global prevalence of chronic migraine in 2010 reported a prevalence of chronic migraine ranging from 0 to 5.1%, with estimates typically in the range of 1.4 to 2.2%. The prevalence of chronic migraine was 2.5 to 6.5 times higher in women (1.7 to 4.0%) than in men (0.6 to 0.7%) among three studies that reported gender-specific estimates</w:t>
      </w:r>
      <w:r w:rsidR="00453169">
        <w:rPr>
          <w:rStyle w:val="FootnoteReference"/>
        </w:rPr>
        <w:footnoteReference w:id="1"/>
      </w:r>
      <w:r w:rsidRPr="006258D8">
        <w:t xml:space="preserve">. </w:t>
      </w:r>
      <w:r w:rsidR="00DB7F24">
        <w:t xml:space="preserve">The </w:t>
      </w:r>
      <w:r w:rsidRPr="006258D8">
        <w:t>DUSC previously considered that the prevalence of chronic migraine in Australia is likely to be approximately 400,000 patients (</w:t>
      </w:r>
      <w:r w:rsidR="00ED7C39">
        <w:t>p</w:t>
      </w:r>
      <w:r w:rsidRPr="006258D8">
        <w:t xml:space="preserve">aragraph 4.3, </w:t>
      </w:r>
      <w:r w:rsidR="00ED7C39" w:rsidRPr="006258D8">
        <w:t>erenumab PSD</w:t>
      </w:r>
      <w:r w:rsidR="00ED7C39">
        <w:t>,</w:t>
      </w:r>
      <w:r w:rsidR="00ED7C39" w:rsidRPr="006258D8">
        <w:t xml:space="preserve"> </w:t>
      </w:r>
      <w:r w:rsidRPr="006258D8">
        <w:t>March 2019</w:t>
      </w:r>
      <w:r w:rsidR="00ED7C39">
        <w:t xml:space="preserve"> PBAC meeting</w:t>
      </w:r>
      <w:r w:rsidRPr="006258D8">
        <w:t>).</w:t>
      </w:r>
    </w:p>
    <w:p w:rsidR="004731C7" w:rsidRPr="006258D8" w:rsidRDefault="004731C7" w:rsidP="00001A3D">
      <w:pPr>
        <w:pStyle w:val="3-BodyText"/>
      </w:pPr>
      <w:r w:rsidRPr="006258D8">
        <w:t>The submission positioned fremanezumab as a treatment option for the following three groups of patients:</w:t>
      </w:r>
    </w:p>
    <w:p w:rsidR="004731C7" w:rsidRPr="00FB455F" w:rsidRDefault="004731C7" w:rsidP="00FB455F">
      <w:pPr>
        <w:pStyle w:val="ListParagraph"/>
      </w:pPr>
      <w:r w:rsidRPr="00FB455F">
        <w:t>Patients who are eligible to be treated with Botox but are either unwilling due to a needle or Botox phobia, or who are unable to access treatment from a Botox-accredited neurologist</w:t>
      </w:r>
      <w:r w:rsidR="00ED7C39">
        <w:t xml:space="preserve"> or who have contraindications to Botox</w:t>
      </w:r>
      <w:r w:rsidR="00BA1519">
        <w:t xml:space="preserve"> (referred to in the submission as the ‘Botox ruled out’ population)</w:t>
      </w:r>
      <w:r w:rsidRPr="00FB455F">
        <w:t>.</w:t>
      </w:r>
      <w:r w:rsidR="00167CFC">
        <w:t xml:space="preserve"> The PBAC noted there are very few contraindications to </w:t>
      </w:r>
      <w:r w:rsidR="00AB6F73">
        <w:t xml:space="preserve">treatment with </w:t>
      </w:r>
      <w:r w:rsidR="00167CFC">
        <w:t xml:space="preserve">Botox (hypersensitivity to ingredients, patients with myasthenia gravis or Eaton Lambert Syndrome). </w:t>
      </w:r>
    </w:p>
    <w:p w:rsidR="004731C7" w:rsidRPr="00FB455F" w:rsidRDefault="004731C7" w:rsidP="00FB455F">
      <w:pPr>
        <w:pStyle w:val="ListParagraph"/>
      </w:pPr>
      <w:r w:rsidRPr="00FB455F">
        <w:t>Patients who are eligible and willing to be treated with Botox.</w:t>
      </w:r>
    </w:p>
    <w:p w:rsidR="004731C7" w:rsidRPr="00FB455F" w:rsidRDefault="004731C7" w:rsidP="00FB455F">
      <w:pPr>
        <w:pStyle w:val="ListParagraph"/>
      </w:pPr>
      <w:r w:rsidRPr="00FB455F">
        <w:t>Patients who have tried and failed or are intolerant to Botox.</w:t>
      </w:r>
    </w:p>
    <w:p w:rsidR="00C317F3" w:rsidRPr="006258D8" w:rsidRDefault="00C317F3" w:rsidP="00021367">
      <w:pPr>
        <w:pStyle w:val="2-SectionHeading"/>
      </w:pPr>
      <w:bookmarkStart w:id="8" w:name="_Toc413139275"/>
      <w:bookmarkStart w:id="9" w:name="_Toc19693416"/>
      <w:r w:rsidRPr="006258D8">
        <w:t>Comparator</w:t>
      </w:r>
      <w:bookmarkEnd w:id="8"/>
      <w:bookmarkEnd w:id="9"/>
    </w:p>
    <w:p w:rsidR="00EA393D" w:rsidRPr="006258D8" w:rsidRDefault="00EA393D" w:rsidP="000F2EE3">
      <w:pPr>
        <w:pStyle w:val="3-BodyText"/>
      </w:pPr>
      <w:r w:rsidRPr="006258D8">
        <w:t xml:space="preserve">The submission nominated Botox as the main comparator for the population eligible for and willing to be treated with Botox. The PBAC considered that Botox was a reasonable comparator </w:t>
      </w:r>
      <w:r w:rsidR="003973FD">
        <w:t xml:space="preserve">in this population. </w:t>
      </w:r>
    </w:p>
    <w:p w:rsidR="00EA393D" w:rsidRPr="006258D8" w:rsidRDefault="00EA393D" w:rsidP="000F2EE3">
      <w:pPr>
        <w:pStyle w:val="3-BodyText"/>
      </w:pPr>
      <w:r w:rsidRPr="006258D8">
        <w:t xml:space="preserve">The submission nominated </w:t>
      </w:r>
      <w:r w:rsidR="00070838">
        <w:t>BSC</w:t>
      </w:r>
      <w:r w:rsidRPr="006258D8">
        <w:t xml:space="preserve"> as the main comparator for the populations for whom Botox ha</w:t>
      </w:r>
      <w:r w:rsidR="004D0A85">
        <w:t>d</w:t>
      </w:r>
      <w:r w:rsidRPr="006258D8">
        <w:t xml:space="preserve"> been ruled out </w:t>
      </w:r>
      <w:r w:rsidR="009F2622">
        <w:t xml:space="preserve">(as defined in paragraph 4.4) </w:t>
      </w:r>
      <w:r w:rsidRPr="006258D8">
        <w:t xml:space="preserve">or </w:t>
      </w:r>
      <w:r w:rsidR="00C17074" w:rsidRPr="006258D8">
        <w:t>who have previously failed treatment with Botox.</w:t>
      </w:r>
      <w:r w:rsidRPr="006258D8">
        <w:t xml:space="preserve"> </w:t>
      </w:r>
      <w:r w:rsidR="003973FD">
        <w:t xml:space="preserve">The PBAC considered BSC </w:t>
      </w:r>
      <w:r w:rsidR="00A12A9C">
        <w:t xml:space="preserve">may be </w:t>
      </w:r>
      <w:r w:rsidR="003973FD">
        <w:t xml:space="preserve">a reasonable comparator </w:t>
      </w:r>
      <w:r w:rsidR="00A12A9C">
        <w:t xml:space="preserve">for </w:t>
      </w:r>
      <w:r w:rsidR="00ED7C39">
        <w:t xml:space="preserve">these populations </w:t>
      </w:r>
      <w:r w:rsidR="00A12A9C">
        <w:t>but that Botox was also an appropriate comparator given the lack of clarity regarding the Botox ruled out population.</w:t>
      </w:r>
      <w:r w:rsidR="00A01A23">
        <w:t xml:space="preserve"> </w:t>
      </w:r>
    </w:p>
    <w:p w:rsidR="00C17074" w:rsidRPr="001341EF" w:rsidRDefault="002C6D68" w:rsidP="00EC4C47">
      <w:pPr>
        <w:pStyle w:val="3-BodyText"/>
      </w:pPr>
      <w:r w:rsidRPr="001341EF">
        <w:t>T</w:t>
      </w:r>
      <w:r w:rsidR="00EA393D" w:rsidRPr="001341EF">
        <w:t>he submission did not adequately describe the d</w:t>
      </w:r>
      <w:r w:rsidR="005B4FCD" w:rsidRPr="001341EF">
        <w:t xml:space="preserve">istinction between patients who </w:t>
      </w:r>
      <w:r w:rsidR="00EA393D" w:rsidRPr="001341EF">
        <w:t>would be considered Botox</w:t>
      </w:r>
      <w:r w:rsidR="001F4345" w:rsidRPr="001341EF">
        <w:t xml:space="preserve"> </w:t>
      </w:r>
      <w:r w:rsidR="00EA393D" w:rsidRPr="001341EF">
        <w:t xml:space="preserve">eligible and those who would be considered </w:t>
      </w:r>
      <w:r w:rsidR="001F4345" w:rsidRPr="001341EF">
        <w:t xml:space="preserve">Botox </w:t>
      </w:r>
      <w:r w:rsidR="00EA393D" w:rsidRPr="001341EF">
        <w:t>unsuitable</w:t>
      </w:r>
      <w:r w:rsidR="00E61812" w:rsidRPr="001341EF">
        <w:t xml:space="preserve"> (Botox ruled out)</w:t>
      </w:r>
      <w:r w:rsidR="00EA393D" w:rsidRPr="001341EF">
        <w:t xml:space="preserve">. </w:t>
      </w:r>
      <w:r w:rsidR="00253558" w:rsidRPr="001341EF">
        <w:t>The</w:t>
      </w:r>
      <w:r w:rsidR="00AD6829">
        <w:t xml:space="preserve"> PBAC</w:t>
      </w:r>
      <w:r w:rsidR="00253558" w:rsidRPr="001341EF">
        <w:t xml:space="preserve"> considered</w:t>
      </w:r>
      <w:r w:rsidR="00AD6829">
        <w:t xml:space="preserve"> </w:t>
      </w:r>
      <w:r w:rsidR="00253558" w:rsidRPr="001341EF">
        <w:t xml:space="preserve">the Botox </w:t>
      </w:r>
      <w:r w:rsidR="004D0A85">
        <w:t xml:space="preserve">eligible and Botox ruled out </w:t>
      </w:r>
      <w:r w:rsidR="00253558" w:rsidRPr="001341EF">
        <w:t>populations were not well defined and the number of patients within each was highly uncertain.</w:t>
      </w:r>
      <w:r w:rsidR="004D0A85">
        <w:t xml:space="preserve"> </w:t>
      </w:r>
    </w:p>
    <w:p w:rsidR="00EA393D" w:rsidRDefault="00EA393D" w:rsidP="00001A3D">
      <w:pPr>
        <w:pStyle w:val="3-BodyText"/>
      </w:pPr>
      <w:r w:rsidRPr="001341EF">
        <w:t>The submission nominated erenumab and galcanezumab as secondary comparators. Galcanezumab received a positive recommendation for the treatment of patients with chronic migraine at the July 2019 PBAC meeting. Erenumab for chronic migraine ha</w:t>
      </w:r>
      <w:r w:rsidR="00BC6D29">
        <w:t>d</w:t>
      </w:r>
      <w:r w:rsidRPr="001341EF">
        <w:t xml:space="preserve"> previously been considered by the PBAC in </w:t>
      </w:r>
      <w:r w:rsidR="0020249E" w:rsidRPr="001341EF">
        <w:t xml:space="preserve">July </w:t>
      </w:r>
      <w:r w:rsidRPr="001341EF">
        <w:t xml:space="preserve">2018 and March 2019, and </w:t>
      </w:r>
      <w:r w:rsidR="00BC6D29">
        <w:t xml:space="preserve">was withdrawn </w:t>
      </w:r>
      <w:r w:rsidR="00AD6829">
        <w:t>prior to consideration at the November 2019 meetin</w:t>
      </w:r>
      <w:r w:rsidR="004D0A85">
        <w:t>g.</w:t>
      </w:r>
      <w:r w:rsidR="009A6CCE">
        <w:t xml:space="preserve"> </w:t>
      </w:r>
      <w:r w:rsidR="00A510E0" w:rsidRPr="001341EF">
        <w:t xml:space="preserve">The </w:t>
      </w:r>
      <w:r w:rsidR="00292CB5" w:rsidRPr="00167BA5">
        <w:rPr>
          <w:rFonts w:cstheme="minorHAnsi"/>
        </w:rPr>
        <w:t>Economics Sub-Committee</w:t>
      </w:r>
      <w:r w:rsidR="00292CB5" w:rsidRPr="001341EF">
        <w:t xml:space="preserve"> </w:t>
      </w:r>
      <w:r w:rsidR="00292CB5">
        <w:t>(</w:t>
      </w:r>
      <w:r w:rsidR="00A510E0" w:rsidRPr="001341EF">
        <w:t>ESC</w:t>
      </w:r>
      <w:r w:rsidR="00292CB5">
        <w:t>)</w:t>
      </w:r>
      <w:r w:rsidR="00A510E0" w:rsidRPr="001341EF">
        <w:t xml:space="preserve"> noted</w:t>
      </w:r>
      <w:r w:rsidR="00BC6D29">
        <w:t xml:space="preserve"> </w:t>
      </w:r>
      <w:r w:rsidR="007B4595" w:rsidRPr="001341EF">
        <w:t xml:space="preserve">fremanezumab </w:t>
      </w:r>
      <w:r w:rsidR="009A6CCE">
        <w:t xml:space="preserve">and </w:t>
      </w:r>
      <w:r w:rsidR="002D58A5" w:rsidRPr="001341EF">
        <w:t>galcanezumab</w:t>
      </w:r>
      <w:r w:rsidR="007B4595" w:rsidRPr="001341EF">
        <w:t xml:space="preserve"> </w:t>
      </w:r>
      <w:r w:rsidR="009A6CCE">
        <w:t xml:space="preserve">were </w:t>
      </w:r>
      <w:r w:rsidR="007B4595" w:rsidRPr="001341EF">
        <w:t>both CGRP ligand antagonists</w:t>
      </w:r>
      <w:r w:rsidR="009A6CCE">
        <w:t xml:space="preserve"> </w:t>
      </w:r>
      <w:r w:rsidR="00A510E0" w:rsidRPr="001341EF">
        <w:t>while erenumab</w:t>
      </w:r>
      <w:r w:rsidR="007B4595" w:rsidRPr="001341EF">
        <w:t xml:space="preserve"> ha</w:t>
      </w:r>
      <w:r w:rsidR="003F173D">
        <w:t>d</w:t>
      </w:r>
      <w:r w:rsidR="007B4595" w:rsidRPr="001341EF">
        <w:t xml:space="preserve"> </w:t>
      </w:r>
      <w:r w:rsidR="00AD6829">
        <w:t xml:space="preserve">a </w:t>
      </w:r>
      <w:r w:rsidR="007B4595" w:rsidRPr="001341EF">
        <w:t>slightly different mechanism of action (CGRP receptor antagonist)</w:t>
      </w:r>
      <w:r w:rsidR="00A510E0" w:rsidRPr="001341EF">
        <w:t>.</w:t>
      </w:r>
    </w:p>
    <w:p w:rsidR="00340302" w:rsidRPr="0014072B" w:rsidRDefault="00DF5D69" w:rsidP="00DF5D69">
      <w:pPr>
        <w:pStyle w:val="3-BodyText"/>
        <w:numPr>
          <w:ilvl w:val="0"/>
          <w:numId w:val="0"/>
        </w:numPr>
        <w:tabs>
          <w:tab w:val="left" w:pos="709"/>
        </w:tabs>
        <w:rPr>
          <w:i/>
        </w:rPr>
      </w:pPr>
      <w:r>
        <w:rPr>
          <w:i/>
        </w:rPr>
        <w:tab/>
      </w:r>
      <w:r w:rsidR="00340302" w:rsidRPr="0014072B">
        <w:rPr>
          <w:i/>
        </w:rPr>
        <w:t>For more detail on PBAC’s view, see section 7 PBAC outcome.</w:t>
      </w:r>
    </w:p>
    <w:p w:rsidR="00C317F3" w:rsidRPr="006258D8" w:rsidRDefault="00C317F3" w:rsidP="00021367">
      <w:pPr>
        <w:pStyle w:val="2-SectionHeading"/>
      </w:pPr>
      <w:bookmarkStart w:id="10" w:name="_Toc413139276"/>
      <w:bookmarkStart w:id="11" w:name="_Toc19693417"/>
      <w:r w:rsidRPr="006258D8">
        <w:t>Consideration of the evidence</w:t>
      </w:r>
      <w:bookmarkEnd w:id="10"/>
      <w:bookmarkEnd w:id="11"/>
    </w:p>
    <w:p w:rsidR="00421874" w:rsidRDefault="00421874" w:rsidP="00021367">
      <w:pPr>
        <w:pStyle w:val="4-SubsectionHeading"/>
      </w:pPr>
      <w:bookmarkStart w:id="12" w:name="_Toc413139277"/>
      <w:bookmarkStart w:id="13" w:name="_Toc19693418"/>
      <w:r>
        <w:t>Sponsor hearing</w:t>
      </w:r>
    </w:p>
    <w:p w:rsidR="00421874" w:rsidRPr="0014072B" w:rsidRDefault="00421874" w:rsidP="000F2EE3">
      <w:pPr>
        <w:pStyle w:val="3-BodyText"/>
      </w:pPr>
      <w:r w:rsidRPr="0014072B">
        <w:rPr>
          <w:snapToGrid w:val="0"/>
        </w:rPr>
        <w:t xml:space="preserve">The sponsor requested a hearing for this item. </w:t>
      </w:r>
      <w:r w:rsidR="00BF3037">
        <w:rPr>
          <w:snapToGrid w:val="0"/>
        </w:rPr>
        <w:t>A</w:t>
      </w:r>
      <w:r w:rsidR="00ED7C39">
        <w:rPr>
          <w:snapToGrid w:val="0"/>
        </w:rPr>
        <w:t xml:space="preserve"> </w:t>
      </w:r>
      <w:r w:rsidR="009F274E" w:rsidRPr="0014072B">
        <w:rPr>
          <w:snapToGrid w:val="0"/>
        </w:rPr>
        <w:t>neurologist</w:t>
      </w:r>
      <w:r w:rsidRPr="0014072B">
        <w:rPr>
          <w:snapToGrid w:val="0"/>
        </w:rPr>
        <w:t xml:space="preserve"> </w:t>
      </w:r>
      <w:r w:rsidR="00ED7C39">
        <w:rPr>
          <w:snapToGrid w:val="0"/>
        </w:rPr>
        <w:t xml:space="preserve">experienced in the treatment of </w:t>
      </w:r>
      <w:r w:rsidR="00ED7C39" w:rsidRPr="00C529E8">
        <w:rPr>
          <w:snapToGrid w:val="0"/>
        </w:rPr>
        <w:t xml:space="preserve">headache </w:t>
      </w:r>
      <w:r w:rsidRPr="0014072B">
        <w:rPr>
          <w:snapToGrid w:val="0"/>
        </w:rPr>
        <w:t>present</w:t>
      </w:r>
      <w:r w:rsidR="00BF3037">
        <w:rPr>
          <w:snapToGrid w:val="0"/>
        </w:rPr>
        <w:t>ed</w:t>
      </w:r>
      <w:r w:rsidRPr="0014072B">
        <w:rPr>
          <w:snapToGrid w:val="0"/>
        </w:rPr>
        <w:t xml:space="preserve"> </w:t>
      </w:r>
      <w:r w:rsidR="009F274E" w:rsidRPr="0014072B">
        <w:rPr>
          <w:snapToGrid w:val="0"/>
        </w:rPr>
        <w:t xml:space="preserve">a </w:t>
      </w:r>
      <w:r w:rsidRPr="0014072B">
        <w:rPr>
          <w:snapToGrid w:val="0"/>
        </w:rPr>
        <w:t xml:space="preserve">clinical case </w:t>
      </w:r>
      <w:r w:rsidR="009F274E" w:rsidRPr="0014072B">
        <w:rPr>
          <w:snapToGrid w:val="0"/>
        </w:rPr>
        <w:t xml:space="preserve">study </w:t>
      </w:r>
      <w:r w:rsidRPr="0014072B">
        <w:rPr>
          <w:snapToGrid w:val="0"/>
        </w:rPr>
        <w:t>and discuss</w:t>
      </w:r>
      <w:r w:rsidR="00BF3037">
        <w:rPr>
          <w:snapToGrid w:val="0"/>
        </w:rPr>
        <w:t>ed</w:t>
      </w:r>
      <w:r w:rsidRPr="0014072B">
        <w:rPr>
          <w:snapToGrid w:val="0"/>
        </w:rPr>
        <w:t xml:space="preserve"> the natural history of the disease, how the drug would be used in practice, and address</w:t>
      </w:r>
      <w:r w:rsidR="00BF3037">
        <w:rPr>
          <w:snapToGrid w:val="0"/>
        </w:rPr>
        <w:t>ed</w:t>
      </w:r>
      <w:r w:rsidRPr="0014072B">
        <w:rPr>
          <w:snapToGrid w:val="0"/>
        </w:rPr>
        <w:t xml:space="preserve"> other matters in response to the Committee’s questions.</w:t>
      </w:r>
      <w:r w:rsidR="009F274E">
        <w:rPr>
          <w:snapToGrid w:val="0"/>
        </w:rPr>
        <w:t xml:space="preserve"> </w:t>
      </w:r>
      <w:r w:rsidR="00CA151F">
        <w:rPr>
          <w:snapToGrid w:val="0"/>
        </w:rPr>
        <w:t>The clinician explained the treatments and challenges for patients with chronic migraine, and</w:t>
      </w:r>
      <w:r w:rsidR="009F274E">
        <w:rPr>
          <w:snapToGrid w:val="0"/>
        </w:rPr>
        <w:t xml:space="preserve"> highlighted that the population most in need of </w:t>
      </w:r>
      <w:r w:rsidR="00CA151F">
        <w:rPr>
          <w:snapToGrid w:val="0"/>
        </w:rPr>
        <w:t>anti-</w:t>
      </w:r>
      <w:r w:rsidR="009F274E">
        <w:rPr>
          <w:snapToGrid w:val="0"/>
        </w:rPr>
        <w:t xml:space="preserve">CGRP drugs was the Botox </w:t>
      </w:r>
      <w:r w:rsidR="009F274E" w:rsidRPr="001C4F0D">
        <w:rPr>
          <w:snapToGrid w:val="0"/>
        </w:rPr>
        <w:t>intolerant or ineffective population</w:t>
      </w:r>
      <w:r w:rsidR="00CA151F" w:rsidRPr="001C4F0D">
        <w:rPr>
          <w:snapToGrid w:val="0"/>
        </w:rPr>
        <w:t>, who had failed three or more preventative therapies</w:t>
      </w:r>
      <w:r w:rsidR="009F274E" w:rsidRPr="006E0C32">
        <w:rPr>
          <w:snapToGrid w:val="0"/>
        </w:rPr>
        <w:t xml:space="preserve">. </w:t>
      </w:r>
      <w:r w:rsidR="00DC3E3E">
        <w:rPr>
          <w:snapToGrid w:val="0"/>
        </w:rPr>
        <w:t>The clinician clarified that response</w:t>
      </w:r>
      <w:r w:rsidR="005539B2">
        <w:rPr>
          <w:snapToGrid w:val="0"/>
        </w:rPr>
        <w:t>s to the anti-CGRP medicines were</w:t>
      </w:r>
      <w:r w:rsidR="00DC3E3E">
        <w:rPr>
          <w:snapToGrid w:val="0"/>
        </w:rPr>
        <w:t xml:space="preserve"> highly individualised. </w:t>
      </w:r>
      <w:r w:rsidR="00755A1C" w:rsidRPr="0014072B">
        <w:rPr>
          <w:snapToGrid w:val="0"/>
        </w:rPr>
        <w:t xml:space="preserve">The PBAC considered that the hearing </w:t>
      </w:r>
      <w:r w:rsidR="00DC3E3E">
        <w:rPr>
          <w:snapToGrid w:val="0"/>
        </w:rPr>
        <w:t xml:space="preserve">was informative but </w:t>
      </w:r>
      <w:r w:rsidR="00755A1C" w:rsidRPr="0014072B">
        <w:rPr>
          <w:snapToGrid w:val="0"/>
        </w:rPr>
        <w:t>did not add substantively to the evidence presented in the submission</w:t>
      </w:r>
      <w:r w:rsidR="001C4F0D" w:rsidRPr="001C4F0D">
        <w:rPr>
          <w:snapToGrid w:val="0"/>
        </w:rPr>
        <w:t>.</w:t>
      </w:r>
    </w:p>
    <w:p w:rsidR="00421874" w:rsidRPr="00D87EC4" w:rsidRDefault="00421874" w:rsidP="00021367">
      <w:pPr>
        <w:pStyle w:val="4-SubsectionHeading"/>
      </w:pPr>
      <w:r w:rsidRPr="00D87EC4">
        <w:t>Consumer comments</w:t>
      </w:r>
    </w:p>
    <w:p w:rsidR="00421874" w:rsidRPr="0014072B" w:rsidRDefault="009F3E25" w:rsidP="000F2EE3">
      <w:pPr>
        <w:pStyle w:val="3-BodyText"/>
      </w:pPr>
      <w:r w:rsidRPr="00D87EC4">
        <w:rPr>
          <w:snapToGrid w:val="0"/>
        </w:rPr>
        <w:t>The PBAC</w:t>
      </w:r>
      <w:r w:rsidRPr="009F3E25">
        <w:rPr>
          <w:snapToGrid w:val="0"/>
        </w:rPr>
        <w:t xml:space="preserve"> noted and welcomed the input from </w:t>
      </w:r>
      <w:r w:rsidRPr="00D87EC4">
        <w:rPr>
          <w:snapToGrid w:val="0"/>
        </w:rPr>
        <w:t>individuals (</w:t>
      </w:r>
      <w:r w:rsidR="00D87EC4" w:rsidRPr="00D87EC4">
        <w:rPr>
          <w:snapToGrid w:val="0"/>
        </w:rPr>
        <w:t>57</w:t>
      </w:r>
      <w:r w:rsidRPr="00D87EC4">
        <w:rPr>
          <w:snapToGrid w:val="0"/>
        </w:rPr>
        <w:t>), health care professionals (</w:t>
      </w:r>
      <w:r w:rsidR="00D87EC4" w:rsidRPr="00D87EC4">
        <w:rPr>
          <w:snapToGrid w:val="0"/>
        </w:rPr>
        <w:t>2</w:t>
      </w:r>
      <w:r w:rsidRPr="00D87EC4">
        <w:rPr>
          <w:snapToGrid w:val="0"/>
        </w:rPr>
        <w:t>) and organisations (</w:t>
      </w:r>
      <w:r w:rsidR="00D87EC4" w:rsidRPr="00D87EC4">
        <w:rPr>
          <w:snapToGrid w:val="0"/>
        </w:rPr>
        <w:t>2</w:t>
      </w:r>
      <w:r w:rsidRPr="00D87EC4">
        <w:rPr>
          <w:snapToGrid w:val="0"/>
        </w:rPr>
        <w:t>) via the</w:t>
      </w:r>
      <w:r w:rsidRPr="009F3E25">
        <w:rPr>
          <w:snapToGrid w:val="0"/>
        </w:rPr>
        <w:t xml:space="preserve"> Consumer Comments facility on the PBS website. </w:t>
      </w:r>
      <w:r w:rsidRPr="00D87EC4">
        <w:rPr>
          <w:snapToGrid w:val="0"/>
        </w:rPr>
        <w:t xml:space="preserve">The </w:t>
      </w:r>
      <w:r w:rsidRPr="00281598">
        <w:rPr>
          <w:snapToGrid w:val="0"/>
        </w:rPr>
        <w:t xml:space="preserve">comments described a range of benefits of treatment with </w:t>
      </w:r>
      <w:r w:rsidR="00D87EC4" w:rsidRPr="00281598">
        <w:rPr>
          <w:snapToGrid w:val="0"/>
        </w:rPr>
        <w:t xml:space="preserve">fremanezumab </w:t>
      </w:r>
      <w:r w:rsidRPr="00281598">
        <w:rPr>
          <w:snapToGrid w:val="0"/>
        </w:rPr>
        <w:t>including</w:t>
      </w:r>
      <w:r w:rsidRPr="0014072B">
        <w:rPr>
          <w:snapToGrid w:val="0"/>
        </w:rPr>
        <w:t xml:space="preserve"> the ability to return to work, fewer side effects</w:t>
      </w:r>
      <w:r w:rsidR="00BF3037">
        <w:rPr>
          <w:snapToGrid w:val="0"/>
        </w:rPr>
        <w:t xml:space="preserve"> </w:t>
      </w:r>
      <w:r w:rsidR="00281598" w:rsidRPr="00167CFC">
        <w:rPr>
          <w:snapToGrid w:val="0"/>
        </w:rPr>
        <w:t>a</w:t>
      </w:r>
      <w:r w:rsidR="00DB7F24">
        <w:rPr>
          <w:snapToGrid w:val="0"/>
        </w:rPr>
        <w:t xml:space="preserve">nd a </w:t>
      </w:r>
      <w:r w:rsidR="00281598" w:rsidRPr="00167CFC">
        <w:rPr>
          <w:snapToGrid w:val="0"/>
        </w:rPr>
        <w:t>greater reduction in migraine days</w:t>
      </w:r>
      <w:r w:rsidR="00BF3037" w:rsidRPr="00BF3037">
        <w:rPr>
          <w:snapToGrid w:val="0"/>
        </w:rPr>
        <w:t xml:space="preserve"> </w:t>
      </w:r>
      <w:r w:rsidR="00BF3037">
        <w:rPr>
          <w:snapToGrid w:val="0"/>
        </w:rPr>
        <w:t>compared to other treatment</w:t>
      </w:r>
      <w:r w:rsidR="00DB7F24">
        <w:rPr>
          <w:snapToGrid w:val="0"/>
        </w:rPr>
        <w:t>s</w:t>
      </w:r>
      <w:r w:rsidR="00281598" w:rsidRPr="00167CFC">
        <w:rPr>
          <w:snapToGrid w:val="0"/>
        </w:rPr>
        <w:t xml:space="preserve">, and </w:t>
      </w:r>
      <w:r w:rsidR="00BF3037">
        <w:rPr>
          <w:snapToGrid w:val="0"/>
        </w:rPr>
        <w:t>improvement in quality of life</w:t>
      </w:r>
      <w:r w:rsidR="00281598" w:rsidRPr="0014072B">
        <w:rPr>
          <w:snapToGrid w:val="0"/>
        </w:rPr>
        <w:t>.</w:t>
      </w:r>
    </w:p>
    <w:p w:rsidR="009F3E25" w:rsidRPr="0014072B" w:rsidRDefault="009F3E25" w:rsidP="000F2EE3">
      <w:pPr>
        <w:pStyle w:val="3-BodyText"/>
      </w:pPr>
      <w:r w:rsidRPr="00281598">
        <w:rPr>
          <w:snapToGrid w:val="0"/>
        </w:rPr>
        <w:t xml:space="preserve">The PBAC noted the advice received from </w:t>
      </w:r>
      <w:r w:rsidR="00566A9C" w:rsidRPr="00281598">
        <w:rPr>
          <w:snapToGrid w:val="0"/>
        </w:rPr>
        <w:t>Migraine Australia and the</w:t>
      </w:r>
      <w:r w:rsidR="00281598" w:rsidRPr="00FB455F">
        <w:rPr>
          <w:snapToGrid w:val="0"/>
        </w:rPr>
        <w:t xml:space="preserve"> Australian and New Zealand Headache Society</w:t>
      </w:r>
      <w:r w:rsidR="00566A9C" w:rsidRPr="00FB455F">
        <w:rPr>
          <w:snapToGrid w:val="0"/>
        </w:rPr>
        <w:t xml:space="preserve"> </w:t>
      </w:r>
      <w:r w:rsidR="00ED7C39">
        <w:rPr>
          <w:snapToGrid w:val="0"/>
        </w:rPr>
        <w:t>c</w:t>
      </w:r>
      <w:r w:rsidRPr="00D63BB9">
        <w:rPr>
          <w:snapToGrid w:val="0"/>
        </w:rPr>
        <w:t>larifying the likely use of fremanezumab in clinical practice.</w:t>
      </w:r>
      <w:r w:rsidR="00566648">
        <w:rPr>
          <w:snapToGrid w:val="0"/>
        </w:rPr>
        <w:t xml:space="preserve"> </w:t>
      </w:r>
      <w:r w:rsidRPr="00D63BB9">
        <w:rPr>
          <w:snapToGrid w:val="0"/>
        </w:rPr>
        <w:t>The PBAC specifically noted the advice that t</w:t>
      </w:r>
      <w:r w:rsidRPr="008B2C07">
        <w:rPr>
          <w:snapToGrid w:val="0"/>
        </w:rPr>
        <w:t xml:space="preserve">he use of fremanezumab may </w:t>
      </w:r>
      <w:r w:rsidR="00281598" w:rsidRPr="008B2C07">
        <w:rPr>
          <w:snapToGrid w:val="0"/>
        </w:rPr>
        <w:t xml:space="preserve">provide more options for </w:t>
      </w:r>
      <w:r w:rsidR="00ED7C39">
        <w:rPr>
          <w:snapToGrid w:val="0"/>
        </w:rPr>
        <w:t xml:space="preserve">patients </w:t>
      </w:r>
      <w:r w:rsidR="00BA1519">
        <w:rPr>
          <w:snapToGrid w:val="0"/>
        </w:rPr>
        <w:t xml:space="preserve">who </w:t>
      </w:r>
      <w:r w:rsidR="00ED7C39">
        <w:rPr>
          <w:snapToGrid w:val="0"/>
        </w:rPr>
        <w:t>do</w:t>
      </w:r>
      <w:r w:rsidR="00BA1519">
        <w:rPr>
          <w:snapToGrid w:val="0"/>
        </w:rPr>
        <w:t xml:space="preserve"> </w:t>
      </w:r>
      <w:r w:rsidR="00ED7C39">
        <w:rPr>
          <w:snapToGrid w:val="0"/>
        </w:rPr>
        <w:t>n</w:t>
      </w:r>
      <w:r w:rsidR="00BA1519">
        <w:rPr>
          <w:snapToGrid w:val="0"/>
        </w:rPr>
        <w:t>o</w:t>
      </w:r>
      <w:r w:rsidR="00ED7C39">
        <w:rPr>
          <w:snapToGrid w:val="0"/>
        </w:rPr>
        <w:t>t respond to</w:t>
      </w:r>
      <w:r w:rsidR="00281598" w:rsidRPr="008B2C07">
        <w:rPr>
          <w:snapToGrid w:val="0"/>
        </w:rPr>
        <w:t xml:space="preserve"> Botox and other anti-CGRP drugs, </w:t>
      </w:r>
      <w:r w:rsidR="00281598" w:rsidRPr="001A4E47">
        <w:rPr>
          <w:snapToGrid w:val="0"/>
        </w:rPr>
        <w:t xml:space="preserve">provide greater flexibility with monthly and quarterly dosing, fewer side effects </w:t>
      </w:r>
      <w:r w:rsidR="00BF3037">
        <w:rPr>
          <w:snapToGrid w:val="0"/>
        </w:rPr>
        <w:t xml:space="preserve">compared </w:t>
      </w:r>
      <w:r w:rsidR="00281598" w:rsidRPr="001A4E47">
        <w:rPr>
          <w:snapToGrid w:val="0"/>
        </w:rPr>
        <w:t xml:space="preserve">to existing preventative therapies, and </w:t>
      </w:r>
      <w:r w:rsidR="00281598" w:rsidRPr="00281598">
        <w:rPr>
          <w:snapToGrid w:val="0"/>
        </w:rPr>
        <w:t>improve</w:t>
      </w:r>
      <w:r w:rsidR="00BF3037">
        <w:rPr>
          <w:snapToGrid w:val="0"/>
        </w:rPr>
        <w:t>d</w:t>
      </w:r>
      <w:r w:rsidR="00281598" w:rsidRPr="00281598">
        <w:rPr>
          <w:snapToGrid w:val="0"/>
        </w:rPr>
        <w:t xml:space="preserve"> quality of life in some patients.</w:t>
      </w:r>
      <w:r w:rsidR="00566648">
        <w:rPr>
          <w:snapToGrid w:val="0"/>
        </w:rPr>
        <w:t xml:space="preserve"> </w:t>
      </w:r>
    </w:p>
    <w:p w:rsidR="00C317F3" w:rsidRPr="006258D8" w:rsidRDefault="00C317F3" w:rsidP="00021367">
      <w:pPr>
        <w:pStyle w:val="4-SubsectionHeading"/>
      </w:pPr>
      <w:r w:rsidRPr="006258D8">
        <w:t>Clinical trials</w:t>
      </w:r>
      <w:bookmarkEnd w:id="12"/>
      <w:bookmarkEnd w:id="13"/>
    </w:p>
    <w:p w:rsidR="002B41E5" w:rsidRPr="006258D8" w:rsidRDefault="00093DF9" w:rsidP="000F2EE3">
      <w:pPr>
        <w:pStyle w:val="3-BodyText"/>
      </w:pPr>
      <w:r w:rsidRPr="006258D8">
        <w:t>The clinical evidence for fremanezumab was based on the results of Study 30068, which enrolled patients with episodic (n=329</w:t>
      </w:r>
      <w:r w:rsidR="00D555A5" w:rsidRPr="006258D8">
        <w:t>)</w:t>
      </w:r>
      <w:r w:rsidRPr="006258D8">
        <w:t xml:space="preserve"> and chronic (</w:t>
      </w:r>
      <w:r w:rsidR="00D555A5" w:rsidRPr="006258D8">
        <w:t xml:space="preserve">n=509) migraine. The submission excluded </w:t>
      </w:r>
      <w:r w:rsidR="00C970CC">
        <w:t>the</w:t>
      </w:r>
      <w:r w:rsidR="000B01A6" w:rsidRPr="006258D8">
        <w:t xml:space="preserve"> registration study for fremanezumab in chronic migraine (</w:t>
      </w:r>
      <w:r w:rsidR="00D555A5" w:rsidRPr="006258D8">
        <w:t>Study 30049</w:t>
      </w:r>
      <w:r w:rsidR="00592D52" w:rsidRPr="006258D8">
        <w:t>, n=1,130</w:t>
      </w:r>
      <w:r w:rsidR="000B01A6" w:rsidRPr="006258D8">
        <w:t>)</w:t>
      </w:r>
      <w:r w:rsidR="00757B5F" w:rsidRPr="006258D8">
        <w:t xml:space="preserve"> on</w:t>
      </w:r>
      <w:r w:rsidR="00D555A5" w:rsidRPr="006258D8">
        <w:t xml:space="preserve"> </w:t>
      </w:r>
      <w:r w:rsidR="00757B5F" w:rsidRPr="006258D8">
        <w:t xml:space="preserve">the </w:t>
      </w:r>
      <w:r w:rsidR="00757B5F" w:rsidRPr="005828CB">
        <w:t xml:space="preserve">basis that </w:t>
      </w:r>
      <w:r w:rsidR="002F00A7" w:rsidRPr="005828CB">
        <w:t>it</w:t>
      </w:r>
      <w:r w:rsidR="00757B5F" w:rsidRPr="005828CB">
        <w:t xml:space="preserve"> did not include patients </w:t>
      </w:r>
      <w:r w:rsidR="002F00A7" w:rsidRPr="005828CB">
        <w:t>who</w:t>
      </w:r>
      <w:r w:rsidR="00757B5F" w:rsidRPr="005828CB">
        <w:t xml:space="preserve"> were representative of the requested PBS </w:t>
      </w:r>
      <w:r w:rsidR="000B01A6" w:rsidRPr="005828CB">
        <w:t>population</w:t>
      </w:r>
      <w:r w:rsidR="00757B5F" w:rsidRPr="005828CB">
        <w:t xml:space="preserve"> (patients with ≥3</w:t>
      </w:r>
      <w:r w:rsidR="006E0C32">
        <w:t xml:space="preserve"> treatment failures</w:t>
      </w:r>
      <w:r w:rsidR="00757B5F" w:rsidRPr="005828CB">
        <w:t>).</w:t>
      </w:r>
      <w:r w:rsidR="000B01A6" w:rsidRPr="005828CB">
        <w:t xml:space="preserve"> </w:t>
      </w:r>
    </w:p>
    <w:p w:rsidR="00C74141" w:rsidRDefault="002C6D68" w:rsidP="000F2EE3">
      <w:pPr>
        <w:pStyle w:val="3-BodyText"/>
      </w:pPr>
      <w:r w:rsidRPr="006258D8">
        <w:t xml:space="preserve">The submission was based on a series of comparisons of fremanezumab </w:t>
      </w:r>
      <w:r w:rsidR="00DB7F24">
        <w:t xml:space="preserve">(based on Study 30068) </w:t>
      </w:r>
      <w:r w:rsidRPr="006258D8">
        <w:t>and the nominated comparators</w:t>
      </w:r>
      <w:r w:rsidR="00ED7C39">
        <w:t xml:space="preserve"> in patients with chronic migraine and a post hoc subgroup of patients with </w:t>
      </w:r>
      <w:r w:rsidR="00ED7C39" w:rsidRPr="006258D8">
        <w:t>≥3</w:t>
      </w:r>
      <w:r w:rsidR="00ED7C39">
        <w:t xml:space="preserve"> prior treatment failures</w:t>
      </w:r>
      <w:r w:rsidRPr="006258D8">
        <w:t>:</w:t>
      </w:r>
    </w:p>
    <w:p w:rsidR="00C74141" w:rsidRDefault="002C6D68" w:rsidP="00FB455F">
      <w:pPr>
        <w:pStyle w:val="ListParagraph"/>
        <w:numPr>
          <w:ilvl w:val="0"/>
          <w:numId w:val="14"/>
        </w:numPr>
      </w:pPr>
      <w:r w:rsidRPr="006258D8">
        <w:t>Head-to-head comparison of fremanezumab versus placebo</w:t>
      </w:r>
      <w:r w:rsidR="00DB7F24">
        <w:t>.</w:t>
      </w:r>
    </w:p>
    <w:p w:rsidR="002C6D68" w:rsidRPr="006258D8" w:rsidRDefault="002C6D68" w:rsidP="00556F39">
      <w:pPr>
        <w:pStyle w:val="ListParagraph"/>
        <w:numPr>
          <w:ilvl w:val="0"/>
          <w:numId w:val="14"/>
        </w:numPr>
      </w:pPr>
      <w:r w:rsidRPr="006258D8">
        <w:t>Indirect comparison of fremanezumab and Botox (PREEMPT1 and PREEMPT2)</w:t>
      </w:r>
      <w:r w:rsidR="00DB7F24">
        <w:t>.</w:t>
      </w:r>
      <w:r w:rsidRPr="006258D8">
        <w:t xml:space="preserve"> </w:t>
      </w:r>
    </w:p>
    <w:p w:rsidR="002C6D68" w:rsidRPr="006258D8" w:rsidRDefault="002C6D68" w:rsidP="008B2C07">
      <w:pPr>
        <w:pStyle w:val="ListParagraph"/>
        <w:numPr>
          <w:ilvl w:val="0"/>
          <w:numId w:val="14"/>
        </w:numPr>
      </w:pPr>
      <w:r w:rsidRPr="006258D8">
        <w:t>Indirect comparison of fremanezumab and erenumab (Study 295)</w:t>
      </w:r>
      <w:r w:rsidR="00DB7F24">
        <w:t>.</w:t>
      </w:r>
    </w:p>
    <w:p w:rsidR="002C6D68" w:rsidRPr="006258D8" w:rsidRDefault="002C6D68" w:rsidP="008B2C07">
      <w:pPr>
        <w:pStyle w:val="ListParagraph"/>
        <w:numPr>
          <w:ilvl w:val="0"/>
          <w:numId w:val="14"/>
        </w:numPr>
      </w:pPr>
      <w:r w:rsidRPr="006258D8">
        <w:t>Indirect comparison of fremanezumab and galcanezumab (REGAIN)</w:t>
      </w:r>
      <w:r w:rsidR="00DB7F24">
        <w:t>.</w:t>
      </w:r>
    </w:p>
    <w:p w:rsidR="00C317F3" w:rsidRPr="006258D8" w:rsidRDefault="00C317F3" w:rsidP="000F2EE3">
      <w:pPr>
        <w:pStyle w:val="3-BodyText"/>
      </w:pPr>
      <w:r w:rsidRPr="006258D8">
        <w:t>Details of the trials presented in the submission ar</w:t>
      </w:r>
      <w:r w:rsidR="00340302">
        <w:t>e provided in the table below.</w:t>
      </w:r>
    </w:p>
    <w:p w:rsidR="00BD608F" w:rsidRDefault="00BD608F" w:rsidP="00021367">
      <w:pPr>
        <w:pStyle w:val="TableFigureHeading"/>
      </w:pPr>
      <w:r>
        <w:t xml:space="preserve">Table </w:t>
      </w:r>
      <w:r w:rsidR="009D4178">
        <w:rPr>
          <w:noProof/>
        </w:rPr>
        <w:t>2</w:t>
      </w:r>
      <w:r w:rsidRPr="000B333D">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submission"/>
      </w:tblPr>
      <w:tblGrid>
        <w:gridCol w:w="1555"/>
        <w:gridCol w:w="5669"/>
        <w:gridCol w:w="1792"/>
      </w:tblGrid>
      <w:tr w:rsidR="002C6D68" w:rsidRPr="006258D8" w:rsidTr="00BD608F">
        <w:trPr>
          <w:tblHeader/>
        </w:trPr>
        <w:tc>
          <w:tcPr>
            <w:tcW w:w="862" w:type="pct"/>
          </w:tcPr>
          <w:p w:rsidR="002C6D68" w:rsidRPr="006258D8" w:rsidRDefault="002C6D68" w:rsidP="00021367">
            <w:pPr>
              <w:rPr>
                <w:rFonts w:ascii="Arial Narrow" w:eastAsia="Calibri" w:hAnsi="Arial Narrow"/>
                <w:b/>
                <w:sz w:val="20"/>
              </w:rPr>
            </w:pPr>
            <w:r w:rsidRPr="006258D8">
              <w:rPr>
                <w:rFonts w:ascii="Arial Narrow" w:eastAsia="Calibri" w:hAnsi="Arial Narrow"/>
                <w:b/>
                <w:sz w:val="20"/>
              </w:rPr>
              <w:t>Trial ID</w:t>
            </w:r>
          </w:p>
        </w:tc>
        <w:tc>
          <w:tcPr>
            <w:tcW w:w="3144" w:type="pct"/>
          </w:tcPr>
          <w:p w:rsidR="002C6D68" w:rsidRPr="006258D8" w:rsidRDefault="002C6D68" w:rsidP="00021367">
            <w:pPr>
              <w:jc w:val="center"/>
              <w:rPr>
                <w:rFonts w:ascii="Arial Narrow" w:eastAsia="Calibri" w:hAnsi="Arial Narrow"/>
                <w:b/>
                <w:sz w:val="20"/>
              </w:rPr>
            </w:pPr>
            <w:r w:rsidRPr="006258D8">
              <w:rPr>
                <w:rFonts w:ascii="Arial Narrow" w:eastAsia="Calibri" w:hAnsi="Arial Narrow"/>
                <w:b/>
                <w:sz w:val="20"/>
              </w:rPr>
              <w:t>Protocol title/ Publication title</w:t>
            </w:r>
          </w:p>
        </w:tc>
        <w:tc>
          <w:tcPr>
            <w:tcW w:w="994" w:type="pct"/>
          </w:tcPr>
          <w:p w:rsidR="002C6D68" w:rsidRPr="006258D8" w:rsidRDefault="002C6D68" w:rsidP="00021367">
            <w:pPr>
              <w:jc w:val="center"/>
              <w:rPr>
                <w:rFonts w:ascii="Arial Narrow" w:eastAsia="Calibri" w:hAnsi="Arial Narrow"/>
                <w:b/>
                <w:sz w:val="20"/>
              </w:rPr>
            </w:pPr>
            <w:r w:rsidRPr="006258D8">
              <w:rPr>
                <w:rFonts w:ascii="Arial Narrow" w:eastAsia="Calibri" w:hAnsi="Arial Narrow"/>
                <w:b/>
                <w:sz w:val="20"/>
              </w:rPr>
              <w:t>Publication citation</w:t>
            </w:r>
          </w:p>
        </w:tc>
      </w:tr>
      <w:tr w:rsidR="002C6D68" w:rsidRPr="006258D8" w:rsidTr="00E81719">
        <w:tc>
          <w:tcPr>
            <w:tcW w:w="5000" w:type="pct"/>
            <w:gridSpan w:val="3"/>
          </w:tcPr>
          <w:p w:rsidR="002C6D68" w:rsidRPr="006258D8" w:rsidRDefault="002C6D68" w:rsidP="00021367">
            <w:pPr>
              <w:rPr>
                <w:rFonts w:ascii="Arial Narrow" w:eastAsia="Calibri" w:hAnsi="Arial Narrow"/>
                <w:b/>
                <w:sz w:val="20"/>
              </w:rPr>
            </w:pPr>
            <w:r w:rsidRPr="006258D8">
              <w:rPr>
                <w:rFonts w:ascii="Arial Narrow" w:eastAsia="Calibri" w:hAnsi="Arial Narrow"/>
                <w:b/>
                <w:sz w:val="20"/>
              </w:rPr>
              <w:t>Fremanezumab trials</w:t>
            </w:r>
          </w:p>
        </w:tc>
      </w:tr>
      <w:tr w:rsidR="002C6D68" w:rsidRPr="006258D8" w:rsidTr="00BD608F">
        <w:trPr>
          <w:trHeight w:val="938"/>
        </w:trPr>
        <w:tc>
          <w:tcPr>
            <w:tcW w:w="862" w:type="pct"/>
            <w:vMerge w:val="restar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Study 30068</w:t>
            </w:r>
          </w:p>
          <w:p w:rsidR="002C6D68" w:rsidRPr="006258D8" w:rsidRDefault="002C6D68" w:rsidP="00021367">
            <w:pPr>
              <w:rPr>
                <w:rFonts w:ascii="Arial Narrow" w:eastAsia="Calibri" w:hAnsi="Arial Narrow"/>
                <w:sz w:val="20"/>
              </w:rPr>
            </w:pPr>
            <w:r w:rsidRPr="006258D8">
              <w:rPr>
                <w:rFonts w:ascii="Arial Narrow" w:eastAsia="Calibri" w:hAnsi="Arial Narrow"/>
                <w:sz w:val="20"/>
              </w:rPr>
              <w:t>(NCT03308968)</w:t>
            </w:r>
          </w:p>
        </w:tc>
        <w:tc>
          <w:tcPr>
            <w:tcW w:w="3144" w:type="pct"/>
          </w:tcPr>
          <w:p w:rsidR="002C6D68" w:rsidRPr="005952FB" w:rsidRDefault="002C6D68" w:rsidP="00021367">
            <w:pPr>
              <w:pStyle w:val="TableText"/>
              <w:rPr>
                <w:rFonts w:eastAsia="Calibri" w:cs="Times New Roman"/>
                <w:bCs w:val="0"/>
              </w:rPr>
            </w:pPr>
            <w:r w:rsidRPr="005952FB">
              <w:rPr>
                <w:rFonts w:eastAsia="Calibri" w:cs="Times New Roman"/>
                <w:bCs w:val="0"/>
              </w:rPr>
              <w:t>A multicenter, randomized, double-blind, parallel-group, placebo-controlled study with an open-label period to evaluate the efficacy and safety of fremanezumab for the prophylactic treatment of migraine in patients with inadequate response to prior preventive treatments.</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Clinical Study Report (interim), 6 March 2019.</w:t>
            </w:r>
          </w:p>
        </w:tc>
      </w:tr>
      <w:tr w:rsidR="002C6D68" w:rsidRPr="006258D8" w:rsidTr="00BD608F">
        <w:trPr>
          <w:trHeight w:val="938"/>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CF5088" w:rsidRDefault="002C6D68" w:rsidP="00021367">
            <w:pPr>
              <w:rPr>
                <w:rFonts w:ascii="Arial Narrow" w:eastAsia="Calibri" w:hAnsi="Arial Narrow"/>
                <w:sz w:val="20"/>
              </w:rPr>
            </w:pPr>
            <w:r w:rsidRPr="00CF5088">
              <w:rPr>
                <w:rFonts w:ascii="Arial Narrow" w:eastAsia="Calibri" w:hAnsi="Arial Narrow"/>
                <w:sz w:val="20"/>
              </w:rPr>
              <w:t>Ferrari MD, Diener HC, Ning X, Galic M et al. Fremanezumab versus placebo for migraine prevention in patients with documented failure to up to four migraine preventive medication classes (FOCUS): a randomised, double-blind, placebo-controlled, phase 3b trial.</w:t>
            </w:r>
            <w:r w:rsidR="000B01A6" w:rsidRPr="00CF5088">
              <w:rPr>
                <w:rFonts w:ascii="Arial Narrow" w:eastAsia="Calibri" w:hAnsi="Arial Narrow"/>
                <w:sz w:val="20"/>
                <w:vertAlign w:val="superscript"/>
              </w:rPr>
              <w:t>a</w:t>
            </w:r>
          </w:p>
        </w:tc>
        <w:tc>
          <w:tcPr>
            <w:tcW w:w="994" w:type="pct"/>
          </w:tcPr>
          <w:p w:rsidR="002C6D68" w:rsidRPr="00CF5088" w:rsidRDefault="0012120B" w:rsidP="00021367">
            <w:pPr>
              <w:rPr>
                <w:rFonts w:ascii="Arial Narrow" w:eastAsia="Calibri" w:hAnsi="Arial Narrow"/>
                <w:sz w:val="20"/>
              </w:rPr>
            </w:pPr>
            <w:r w:rsidRPr="00CF5088">
              <w:rPr>
                <w:rFonts w:ascii="Arial Narrow" w:eastAsia="Calibri" w:hAnsi="Arial Narrow"/>
                <w:sz w:val="20"/>
              </w:rPr>
              <w:t xml:space="preserve">The Lancet (2019); </w:t>
            </w:r>
            <w:r w:rsidR="002C6D68" w:rsidRPr="00CF5088">
              <w:rPr>
                <w:rFonts w:ascii="Arial Narrow" w:eastAsia="Calibri" w:hAnsi="Arial Narrow"/>
                <w:sz w:val="20"/>
              </w:rPr>
              <w:t>Epub ahead of print.</w:t>
            </w:r>
          </w:p>
        </w:tc>
      </w:tr>
      <w:tr w:rsidR="002C6D68" w:rsidRPr="006258D8" w:rsidTr="00BD608F">
        <w:trPr>
          <w:trHeight w:val="51"/>
        </w:trPr>
        <w:tc>
          <w:tcPr>
            <w:tcW w:w="862" w:type="pct"/>
            <w:vMerge w:val="restar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Study 30051</w:t>
            </w:r>
          </w:p>
          <w:p w:rsidR="002C6D68" w:rsidRPr="006258D8" w:rsidRDefault="002C6D68" w:rsidP="00021367">
            <w:pPr>
              <w:rPr>
                <w:rFonts w:ascii="Arial Narrow" w:eastAsia="Calibri" w:hAnsi="Arial Narrow"/>
                <w:sz w:val="20"/>
              </w:rPr>
            </w:pPr>
            <w:r w:rsidRPr="006258D8">
              <w:rPr>
                <w:rFonts w:ascii="Arial Narrow" w:eastAsia="Calibri" w:hAnsi="Arial Narrow"/>
                <w:sz w:val="20"/>
              </w:rPr>
              <w:t>(NCT02638103)</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A multicenter, randomized, double-blind, parallel-group study evaluating the long-term safety, tolerability, and efficacy of subcutaneous administration of fremanezumab (TEV-48125) for the preventive treatment of migraine.</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Clinical Study Report (interim), 18 December 2017.</w:t>
            </w:r>
          </w:p>
        </w:tc>
      </w:tr>
      <w:tr w:rsidR="002C6D68" w:rsidRPr="006258D8" w:rsidTr="00BD608F">
        <w:trPr>
          <w:trHeight w:val="698"/>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cs="Calibri"/>
                <w:i/>
                <w:sz w:val="20"/>
                <w:szCs w:val="20"/>
              </w:rPr>
            </w:pPr>
            <w:r w:rsidRPr="006258D8">
              <w:rPr>
                <w:rFonts w:ascii="Arial Narrow" w:hAnsi="Arial Narrow" w:cs="Calibri"/>
                <w:sz w:val="20"/>
                <w:szCs w:val="20"/>
              </w:rPr>
              <w:t>Silberstein SD, Lipton RB, Diamond ML, Cohen JM et al. Achievement of response over time with fremanezumab in the treatment of chronic and episodic migraine.</w:t>
            </w:r>
          </w:p>
        </w:tc>
        <w:tc>
          <w:tcPr>
            <w:tcW w:w="994" w:type="pct"/>
          </w:tcPr>
          <w:p w:rsidR="002C6D68" w:rsidRPr="006258D8" w:rsidRDefault="002C6D68" w:rsidP="00021367">
            <w:pPr>
              <w:rPr>
                <w:rFonts w:ascii="Arial Narrow" w:eastAsia="Calibri" w:hAnsi="Arial Narrow"/>
                <w:sz w:val="20"/>
              </w:rPr>
            </w:pPr>
            <w:r w:rsidRPr="006258D8">
              <w:rPr>
                <w:rFonts w:ascii="Arial Narrow" w:hAnsi="Arial Narrow" w:cs="Calibri"/>
                <w:i/>
                <w:sz w:val="20"/>
                <w:szCs w:val="20"/>
              </w:rPr>
              <w:t>Headache</w:t>
            </w:r>
            <w:r w:rsidRPr="006258D8">
              <w:rPr>
                <w:rFonts w:ascii="Arial Narrow" w:hAnsi="Arial Narrow" w:cs="Calibri"/>
                <w:sz w:val="20"/>
                <w:szCs w:val="20"/>
              </w:rPr>
              <w:t xml:space="preserve"> 2018; 58(8): 1300-1301.</w:t>
            </w:r>
          </w:p>
        </w:tc>
      </w:tr>
      <w:tr w:rsidR="002C6D68" w:rsidRPr="006258D8" w:rsidTr="00E81719">
        <w:tc>
          <w:tcPr>
            <w:tcW w:w="5000" w:type="pct"/>
            <w:gridSpan w:val="3"/>
          </w:tcPr>
          <w:p w:rsidR="002C6D68" w:rsidRPr="006258D8" w:rsidRDefault="002C6D68" w:rsidP="00021367">
            <w:pPr>
              <w:rPr>
                <w:rFonts w:ascii="Arial Narrow" w:eastAsia="Calibri" w:hAnsi="Arial Narrow"/>
                <w:b/>
                <w:sz w:val="20"/>
              </w:rPr>
            </w:pPr>
            <w:r w:rsidRPr="006258D8">
              <w:rPr>
                <w:rFonts w:ascii="Arial Narrow" w:eastAsia="Calibri" w:hAnsi="Arial Narrow"/>
                <w:b/>
                <w:sz w:val="20"/>
              </w:rPr>
              <w:t>Botulinum toxin A trials</w:t>
            </w:r>
          </w:p>
        </w:tc>
      </w:tr>
      <w:tr w:rsidR="002C6D68" w:rsidRPr="006258D8" w:rsidTr="00BD608F">
        <w:trPr>
          <w:trHeight w:val="708"/>
        </w:trPr>
        <w:tc>
          <w:tcPr>
            <w:tcW w:w="862"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PREEMPT1</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Aurora SK, Dodick DW, Turkel CC, DeGryse RE et al. OnabotulinumtoxinA for treatment of chronic migraine: results from the double-blind, randomized, placebo-controlled phase of the PREEMPT 1 trial.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Cephalalgia</w:t>
            </w:r>
            <w:r w:rsidRPr="006258D8">
              <w:rPr>
                <w:rFonts w:ascii="Arial Narrow" w:eastAsia="Calibri" w:hAnsi="Arial Narrow"/>
                <w:sz w:val="20"/>
              </w:rPr>
              <w:t xml:space="preserve"> 2010; 30(7): 793-803.</w:t>
            </w:r>
          </w:p>
        </w:tc>
      </w:tr>
      <w:tr w:rsidR="002C6D68" w:rsidRPr="006258D8" w:rsidTr="00BD608F">
        <w:trPr>
          <w:trHeight w:val="708"/>
        </w:trPr>
        <w:tc>
          <w:tcPr>
            <w:tcW w:w="862"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PREEMPT2</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Diener HC, Dodick DW, Aurora SK, Turkel CC et al. OnabotulinumtoxinA for treatment of chronic migraine: results from the double-blind, randomized, placebo-controlled phase of the PREEMPT 2 trial.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Cephalalgia</w:t>
            </w:r>
            <w:r w:rsidRPr="006258D8">
              <w:rPr>
                <w:rFonts w:ascii="Arial Narrow" w:eastAsia="Calibri" w:hAnsi="Arial Narrow"/>
                <w:sz w:val="20"/>
              </w:rPr>
              <w:t xml:space="preserve"> 2010; 30(7): 804-814.</w:t>
            </w:r>
          </w:p>
        </w:tc>
      </w:tr>
      <w:tr w:rsidR="002C6D68" w:rsidRPr="006258D8" w:rsidTr="00BD608F">
        <w:trPr>
          <w:trHeight w:val="708"/>
        </w:trPr>
        <w:tc>
          <w:tcPr>
            <w:tcW w:w="862" w:type="pct"/>
            <w:vMerge w:val="restar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PREEMPT Pooled</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Dodick DW, Turkel CC, DeGryse RE, Aurora SK et al. OnabotulinumtoxinA for treatment of chronic migraine: pooled results from the double-blind, randomized, placebo-controlled phases of the PREEMPT clinical program.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Headache</w:t>
            </w:r>
            <w:r w:rsidRPr="006258D8">
              <w:rPr>
                <w:rFonts w:ascii="Arial Narrow" w:eastAsia="Calibri" w:hAnsi="Arial Narrow"/>
                <w:sz w:val="20"/>
              </w:rPr>
              <w:t xml:space="preserve"> 2010; 50(6): 921-936.</w:t>
            </w:r>
          </w:p>
        </w:tc>
      </w:tr>
      <w:tr w:rsidR="002C6D68" w:rsidRPr="006258D8" w:rsidTr="00BD608F">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Aurora SK, Winner P, Freeman MC, Spierings EL et al. OnabotulinumtoxinA for treatment of chronic migraine: pooled analyses of the 56-week PREEMPT clinical program.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Headache</w:t>
            </w:r>
            <w:r w:rsidRPr="006258D8">
              <w:rPr>
                <w:rFonts w:ascii="Arial Narrow" w:eastAsia="Calibri" w:hAnsi="Arial Narrow"/>
                <w:sz w:val="20"/>
              </w:rPr>
              <w:t xml:space="preserve"> 2011; 51</w:t>
            </w:r>
            <w:r w:rsidR="002F7BCF" w:rsidRPr="006258D8">
              <w:rPr>
                <w:rFonts w:ascii="Arial Narrow" w:eastAsia="Calibri" w:hAnsi="Arial Narrow"/>
                <w:sz w:val="20"/>
              </w:rPr>
              <w:t>:</w:t>
            </w:r>
            <w:r w:rsidRPr="006258D8">
              <w:rPr>
                <w:rFonts w:ascii="Arial Narrow" w:eastAsia="Calibri" w:hAnsi="Arial Narrow"/>
                <w:sz w:val="20"/>
              </w:rPr>
              <w:t xml:space="preserve"> 1358-1373.</w:t>
            </w:r>
          </w:p>
        </w:tc>
      </w:tr>
      <w:tr w:rsidR="002C6D68" w:rsidRPr="006258D8" w:rsidTr="00BD608F">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CADTH Clinical Review Report for Botox.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July 2015</w:t>
            </w:r>
          </w:p>
        </w:tc>
      </w:tr>
      <w:tr w:rsidR="002C6D68" w:rsidRPr="006258D8" w:rsidTr="00BD608F">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Scottish Medicines Consortium. Botulinum toxin SMC No. (692/11) 2nd Resubmission Advice.</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2017</w:t>
            </w:r>
          </w:p>
        </w:tc>
      </w:tr>
      <w:tr w:rsidR="002C6D68" w:rsidRPr="006258D8" w:rsidTr="00BD608F">
        <w:trPr>
          <w:trHeight w:val="457"/>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National Institute for Health and Care Excellence (NICE) Single Technology Appraisal.</w:t>
            </w:r>
            <w:r w:rsidR="00340302">
              <w:rPr>
                <w:rFonts w:ascii="Arial Narrow" w:eastAsia="Calibri" w:hAnsi="Arial Narrow"/>
                <w:sz w:val="20"/>
              </w:rPr>
              <w:t xml:space="preserve"> </w:t>
            </w:r>
            <w:r w:rsidRPr="006258D8">
              <w:rPr>
                <w:rFonts w:ascii="Arial Narrow" w:eastAsia="Calibri" w:hAnsi="Arial Narrow"/>
                <w:sz w:val="20"/>
              </w:rPr>
              <w:t xml:space="preserve">Erenumab for preventing migraine [ID1188] Committee Papers.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2018</w:t>
            </w:r>
          </w:p>
        </w:tc>
      </w:tr>
      <w:tr w:rsidR="002C6D68" w:rsidRPr="006258D8" w:rsidTr="00E81719">
        <w:tc>
          <w:tcPr>
            <w:tcW w:w="5000" w:type="pct"/>
            <w:gridSpan w:val="3"/>
          </w:tcPr>
          <w:p w:rsidR="002C6D68" w:rsidRPr="006258D8" w:rsidRDefault="002C6D68" w:rsidP="00021367">
            <w:pPr>
              <w:rPr>
                <w:rFonts w:ascii="Arial Narrow" w:eastAsia="Calibri" w:hAnsi="Arial Narrow"/>
                <w:b/>
                <w:sz w:val="20"/>
              </w:rPr>
            </w:pPr>
            <w:r w:rsidRPr="006258D8">
              <w:rPr>
                <w:rFonts w:ascii="Arial Narrow" w:eastAsia="Calibri" w:hAnsi="Arial Narrow"/>
                <w:b/>
                <w:sz w:val="20"/>
              </w:rPr>
              <w:t>Erenumab trials</w:t>
            </w:r>
          </w:p>
        </w:tc>
      </w:tr>
      <w:tr w:rsidR="002C6D68" w:rsidRPr="006258D8" w:rsidTr="00BD608F">
        <w:tc>
          <w:tcPr>
            <w:tcW w:w="862" w:type="pct"/>
            <w:vMerge w:val="restar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Study 295</w:t>
            </w:r>
          </w:p>
          <w:p w:rsidR="002C6D68" w:rsidRPr="006258D8" w:rsidRDefault="002C6D68" w:rsidP="00021367">
            <w:pPr>
              <w:rPr>
                <w:rFonts w:ascii="Arial Narrow" w:eastAsia="Calibri" w:hAnsi="Arial Narrow"/>
                <w:sz w:val="20"/>
              </w:rPr>
            </w:pPr>
            <w:r w:rsidRPr="006258D8">
              <w:rPr>
                <w:rFonts w:ascii="Arial Narrow" w:eastAsia="Calibri" w:hAnsi="Arial Narrow"/>
                <w:sz w:val="20"/>
              </w:rPr>
              <w:t>(NCT02066415)</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Tepper S, Ashina M, Reuter U, Brandes JL et al. Safety and efficacy of erenumab for preventive treatment of chronic migraine: a randomised, double-blind, placebo-controlled phase 2 trial.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 xml:space="preserve">The </w:t>
            </w:r>
            <w:r w:rsidR="00E57A40" w:rsidRPr="006258D8">
              <w:rPr>
                <w:rFonts w:ascii="Arial Narrow" w:eastAsia="Calibri" w:hAnsi="Arial Narrow"/>
                <w:i/>
                <w:sz w:val="20"/>
              </w:rPr>
              <w:t>L</w:t>
            </w:r>
            <w:r w:rsidRPr="006258D8">
              <w:rPr>
                <w:rFonts w:ascii="Arial Narrow" w:eastAsia="Calibri" w:hAnsi="Arial Narrow"/>
                <w:i/>
                <w:sz w:val="20"/>
              </w:rPr>
              <w:t>ancet Neurology</w:t>
            </w:r>
            <w:r w:rsidRPr="006258D8">
              <w:rPr>
                <w:rFonts w:ascii="Arial Narrow" w:eastAsia="Calibri" w:hAnsi="Arial Narrow"/>
                <w:sz w:val="20"/>
              </w:rPr>
              <w:t xml:space="preserve"> 2017; 16(6): 425-434.</w:t>
            </w:r>
          </w:p>
        </w:tc>
      </w:tr>
      <w:tr w:rsidR="002C6D68" w:rsidRPr="006258D8" w:rsidTr="00BD608F">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Ashina M, Tepper S, Brandes JL, Reuter U et al. Efficacy and safety of erenumab (AMG334) in chronic migraine patients with prior preventive treatment failure: A subgroup analysis of a randomized, double-blind, placebo-controlled study.</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 xml:space="preserve">Cephalalgia </w:t>
            </w:r>
            <w:r w:rsidRPr="006258D8">
              <w:rPr>
                <w:rFonts w:ascii="Arial Narrow" w:eastAsia="Calibri" w:hAnsi="Arial Narrow"/>
                <w:sz w:val="20"/>
              </w:rPr>
              <w:t>2018, 38(10): 1611–1621.</w:t>
            </w:r>
          </w:p>
        </w:tc>
      </w:tr>
      <w:tr w:rsidR="002C6D68" w:rsidRPr="006258D8" w:rsidTr="00BD608F">
        <w:trPr>
          <w:trHeight w:val="51"/>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National Institute for Health and Care Excellence (NICE) Single Technology Appraisal.</w:t>
            </w:r>
            <w:r w:rsidR="00340302">
              <w:rPr>
                <w:rFonts w:ascii="Arial Narrow" w:eastAsia="Calibri" w:hAnsi="Arial Narrow"/>
                <w:sz w:val="20"/>
              </w:rPr>
              <w:t xml:space="preserve"> </w:t>
            </w:r>
            <w:r w:rsidRPr="006258D8">
              <w:rPr>
                <w:rFonts w:ascii="Arial Narrow" w:eastAsia="Calibri" w:hAnsi="Arial Narrow"/>
                <w:sz w:val="20"/>
              </w:rPr>
              <w:t xml:space="preserve">Erenumab for preventing migraine [ID1188] Committee Papers.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2018</w:t>
            </w:r>
          </w:p>
        </w:tc>
      </w:tr>
      <w:tr w:rsidR="002C6D68" w:rsidRPr="006258D8" w:rsidTr="00BD608F">
        <w:trPr>
          <w:trHeight w:val="51"/>
        </w:trPr>
        <w:tc>
          <w:tcPr>
            <w:tcW w:w="862"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Study 295 long-term safety extension (NCT02174861)</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Tepper, S, Ashina M, Reuter U, Brandes JL et al. Assessment of the long-term safety and efficacy of erenumab during open-label treatment of subjects with chronic migraine.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The Journal of Headache and Pain</w:t>
            </w:r>
            <w:r w:rsidRPr="006258D8">
              <w:rPr>
                <w:rFonts w:ascii="Arial Narrow" w:eastAsia="Calibri" w:hAnsi="Arial Narrow"/>
                <w:sz w:val="20"/>
              </w:rPr>
              <w:t>; 2018, 19(Suppl 1):80.</w:t>
            </w:r>
          </w:p>
        </w:tc>
      </w:tr>
      <w:tr w:rsidR="002C6D68" w:rsidRPr="006258D8" w:rsidTr="00E81719">
        <w:tc>
          <w:tcPr>
            <w:tcW w:w="5000" w:type="pct"/>
            <w:gridSpan w:val="3"/>
          </w:tcPr>
          <w:p w:rsidR="002C6D68" w:rsidRPr="006258D8" w:rsidRDefault="002C6D68" w:rsidP="00021367">
            <w:pPr>
              <w:rPr>
                <w:rFonts w:ascii="Arial Narrow" w:eastAsia="Calibri" w:hAnsi="Arial Narrow"/>
                <w:b/>
                <w:sz w:val="20"/>
              </w:rPr>
            </w:pPr>
            <w:r w:rsidRPr="006258D8">
              <w:rPr>
                <w:rFonts w:ascii="Arial Narrow" w:eastAsia="Calibri" w:hAnsi="Arial Narrow"/>
                <w:b/>
                <w:sz w:val="20"/>
              </w:rPr>
              <w:t>Galcanezumab trials</w:t>
            </w:r>
          </w:p>
        </w:tc>
      </w:tr>
      <w:tr w:rsidR="002C6D68" w:rsidRPr="006258D8" w:rsidTr="00BD608F">
        <w:tc>
          <w:tcPr>
            <w:tcW w:w="862" w:type="pct"/>
            <w:vMerge w:val="restar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REGAIN</w:t>
            </w:r>
          </w:p>
          <w:p w:rsidR="002C6D68" w:rsidRPr="006258D8" w:rsidRDefault="002C6D68" w:rsidP="00021367">
            <w:pPr>
              <w:rPr>
                <w:rFonts w:ascii="Arial Narrow" w:eastAsia="Calibri" w:hAnsi="Arial Narrow"/>
                <w:sz w:val="20"/>
              </w:rPr>
            </w:pPr>
            <w:r w:rsidRPr="006258D8">
              <w:rPr>
                <w:rFonts w:ascii="Arial Narrow" w:eastAsia="Calibri" w:hAnsi="Arial Narrow"/>
                <w:sz w:val="20"/>
              </w:rPr>
              <w:t>(NCT02614261)</w:t>
            </w: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Detke HC, Goadsby PJ, Wang S, Friedman D et al. Galcanezumab in chronic migraine: The randomized, double-blind, placebo-controlled REGAIN study.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Neurology</w:t>
            </w:r>
            <w:r w:rsidRPr="006258D8">
              <w:rPr>
                <w:rFonts w:ascii="Arial Narrow" w:eastAsia="Calibri" w:hAnsi="Arial Narrow"/>
                <w:sz w:val="20"/>
              </w:rPr>
              <w:t xml:space="preserve"> 2018; 91:e2211-e2221.</w:t>
            </w:r>
          </w:p>
        </w:tc>
      </w:tr>
      <w:tr w:rsidR="002C6D68" w:rsidRPr="006258D8" w:rsidTr="00BD608F">
        <w:trPr>
          <w:trHeight w:val="726"/>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Dell’Agnello G, Tockhorn-Heidenreich A, Zhang Q, Ruff DD et al. Efficacy of galcanezumab in patients who failed prior preventive treatments for migraine: results from EVOLVE-1, EVOLVE-2 and REGAIN studies: O19.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The Journal of Headache and Pain</w:t>
            </w:r>
            <w:r w:rsidRPr="006258D8">
              <w:rPr>
                <w:rFonts w:ascii="Arial Narrow" w:eastAsia="Calibri" w:hAnsi="Arial Narrow"/>
                <w:sz w:val="20"/>
              </w:rPr>
              <w:t xml:space="preserve"> 2018, 19(Suppl 1):80.</w:t>
            </w:r>
          </w:p>
        </w:tc>
      </w:tr>
      <w:tr w:rsidR="002C6D68" w:rsidRPr="006258D8" w:rsidTr="00BD608F">
        <w:trPr>
          <w:trHeight w:val="357"/>
        </w:trPr>
        <w:tc>
          <w:tcPr>
            <w:tcW w:w="862" w:type="pct"/>
            <w:vMerge/>
          </w:tcPr>
          <w:p w:rsidR="002C6D68" w:rsidRPr="006258D8" w:rsidRDefault="002C6D68" w:rsidP="00021367">
            <w:pPr>
              <w:rPr>
                <w:rFonts w:ascii="Arial Narrow" w:eastAsia="Calibri" w:hAnsi="Arial Narrow"/>
                <w:sz w:val="20"/>
              </w:rPr>
            </w:pPr>
          </w:p>
        </w:tc>
        <w:tc>
          <w:tcPr>
            <w:tcW w:w="3144" w:type="pct"/>
          </w:tcPr>
          <w:p w:rsidR="002C6D68" w:rsidRPr="006258D8" w:rsidRDefault="002C6D68" w:rsidP="00021367">
            <w:pPr>
              <w:rPr>
                <w:rFonts w:ascii="Arial Narrow" w:eastAsia="Calibri" w:hAnsi="Arial Narrow"/>
                <w:sz w:val="20"/>
              </w:rPr>
            </w:pPr>
            <w:r w:rsidRPr="006258D8">
              <w:rPr>
                <w:rFonts w:ascii="Arial Narrow" w:eastAsia="Calibri" w:hAnsi="Arial Narrow"/>
                <w:sz w:val="20"/>
              </w:rPr>
              <w:t xml:space="preserve">Ruff DD, Ford JH, Tockhorn-Heidenreich A, Sexson M et al. Efficacy of galcanezumab in patients with chronic migraine and a history of preventive treatment failure. </w:t>
            </w:r>
          </w:p>
        </w:tc>
        <w:tc>
          <w:tcPr>
            <w:tcW w:w="994" w:type="pct"/>
          </w:tcPr>
          <w:p w:rsidR="002C6D68" w:rsidRPr="006258D8" w:rsidRDefault="002C6D68" w:rsidP="00021367">
            <w:pPr>
              <w:rPr>
                <w:rFonts w:ascii="Arial Narrow" w:eastAsia="Calibri" w:hAnsi="Arial Narrow"/>
                <w:sz w:val="20"/>
              </w:rPr>
            </w:pPr>
            <w:r w:rsidRPr="006258D8">
              <w:rPr>
                <w:rFonts w:ascii="Arial Narrow" w:eastAsia="Calibri" w:hAnsi="Arial Narrow"/>
                <w:i/>
                <w:sz w:val="20"/>
              </w:rPr>
              <w:t>Cephalalgia</w:t>
            </w:r>
            <w:r w:rsidRPr="006258D8">
              <w:rPr>
                <w:rFonts w:ascii="Arial Narrow" w:eastAsia="Calibri" w:hAnsi="Arial Narrow"/>
                <w:sz w:val="20"/>
              </w:rPr>
              <w:t xml:space="preserve"> 2019; </w:t>
            </w:r>
            <w:r w:rsidR="002F7BCF" w:rsidRPr="006258D8">
              <w:rPr>
                <w:rFonts w:ascii="Arial Narrow" w:eastAsia="Calibri" w:hAnsi="Arial Narrow"/>
                <w:sz w:val="20"/>
              </w:rPr>
              <w:t>39</w:t>
            </w:r>
            <w:r w:rsidRPr="006258D8">
              <w:rPr>
                <w:rFonts w:ascii="Arial Narrow" w:eastAsia="Calibri" w:hAnsi="Arial Narrow"/>
                <w:sz w:val="20"/>
              </w:rPr>
              <w:t>(</w:t>
            </w:r>
            <w:r w:rsidR="002F7BCF" w:rsidRPr="006258D8">
              <w:rPr>
                <w:rFonts w:ascii="Arial Narrow" w:eastAsia="Calibri" w:hAnsi="Arial Narrow"/>
                <w:sz w:val="20"/>
              </w:rPr>
              <w:t>8</w:t>
            </w:r>
            <w:r w:rsidRPr="006258D8">
              <w:rPr>
                <w:rFonts w:ascii="Arial Narrow" w:eastAsia="Calibri" w:hAnsi="Arial Narrow"/>
                <w:sz w:val="20"/>
              </w:rPr>
              <w:t>):</w:t>
            </w:r>
            <w:r w:rsidR="002F7BCF" w:rsidRPr="006258D8">
              <w:rPr>
                <w:rFonts w:ascii="Arial Narrow" w:eastAsia="Calibri" w:hAnsi="Arial Narrow"/>
                <w:sz w:val="20"/>
              </w:rPr>
              <w:t>931</w:t>
            </w:r>
            <w:r w:rsidRPr="006258D8">
              <w:rPr>
                <w:rFonts w:ascii="Arial Narrow" w:eastAsia="Calibri" w:hAnsi="Arial Narrow"/>
                <w:sz w:val="20"/>
              </w:rPr>
              <w:t>-</w:t>
            </w:r>
            <w:r w:rsidR="002F7BCF" w:rsidRPr="006258D8">
              <w:rPr>
                <w:rFonts w:ascii="Arial Narrow" w:eastAsia="Calibri" w:hAnsi="Arial Narrow"/>
                <w:sz w:val="20"/>
              </w:rPr>
              <w:t>944</w:t>
            </w:r>
            <w:r w:rsidRPr="006258D8">
              <w:rPr>
                <w:rFonts w:ascii="Arial Narrow" w:eastAsia="Calibri" w:hAnsi="Arial Narrow"/>
                <w:sz w:val="20"/>
              </w:rPr>
              <w:t>.</w:t>
            </w:r>
          </w:p>
        </w:tc>
      </w:tr>
    </w:tbl>
    <w:p w:rsidR="002C6D68" w:rsidRPr="006258D8" w:rsidRDefault="002C6D68" w:rsidP="00021367">
      <w:pPr>
        <w:pStyle w:val="TableFigureFooter"/>
      </w:pPr>
      <w:r w:rsidRPr="006258D8">
        <w:t>Selected citations relating to conference abstracts omitted.</w:t>
      </w:r>
    </w:p>
    <w:p w:rsidR="002C6D68" w:rsidRPr="006258D8" w:rsidRDefault="002C6D68" w:rsidP="00021367">
      <w:pPr>
        <w:pStyle w:val="TableFigureFooter"/>
      </w:pPr>
      <w:r w:rsidRPr="006258D8">
        <w:t>Source:</w:t>
      </w:r>
      <w:r w:rsidR="00340302">
        <w:t xml:space="preserve"> </w:t>
      </w:r>
      <w:r w:rsidRPr="00B05D79">
        <w:t>Table 2</w:t>
      </w:r>
      <w:r w:rsidRPr="006258D8">
        <w:t>.5, pp38-41 of the submission.</w:t>
      </w:r>
    </w:p>
    <w:p w:rsidR="000B01A6" w:rsidRPr="006258D8" w:rsidRDefault="000B01A6" w:rsidP="00021367">
      <w:pPr>
        <w:pStyle w:val="TableFigureFooter"/>
      </w:pPr>
      <w:r w:rsidRPr="006258D8">
        <w:rPr>
          <w:vertAlign w:val="superscript"/>
        </w:rPr>
        <w:t>a</w:t>
      </w:r>
      <w:r w:rsidRPr="006258D8">
        <w:t xml:space="preserve"> </w:t>
      </w:r>
      <w:r w:rsidR="00F17972" w:rsidRPr="006258D8">
        <w:t>Publication i</w:t>
      </w:r>
      <w:r w:rsidRPr="006258D8">
        <w:t>dentified during the evaluation.</w:t>
      </w:r>
    </w:p>
    <w:p w:rsidR="002C6D68" w:rsidRPr="006258D8" w:rsidRDefault="00C317F3" w:rsidP="000F2EE3">
      <w:pPr>
        <w:pStyle w:val="3-BodyText"/>
      </w:pPr>
      <w:r w:rsidRPr="006258D8">
        <w:t>The key features of</w:t>
      </w:r>
      <w:r w:rsidR="00CE391C" w:rsidRPr="006258D8">
        <w:t xml:space="preserve"> the direct randomised trials </w:t>
      </w:r>
      <w:r w:rsidRPr="006258D8">
        <w:t xml:space="preserve">are </w:t>
      </w:r>
      <w:r w:rsidR="00340302">
        <w:t>summarised in the table below.</w:t>
      </w:r>
    </w:p>
    <w:p w:rsidR="009E5A36" w:rsidRDefault="009E5A36" w:rsidP="00613D0B">
      <w:pPr>
        <w:pStyle w:val="TableFigureHeading"/>
      </w:pPr>
      <w:r>
        <w:t xml:space="preserve">Table </w:t>
      </w:r>
      <w:r w:rsidR="009D4178">
        <w:rPr>
          <w:noProof/>
        </w:rPr>
        <w:t>3</w:t>
      </w:r>
      <w:r w:rsidRPr="00720599">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1117"/>
        <w:gridCol w:w="1410"/>
        <w:gridCol w:w="1058"/>
        <w:gridCol w:w="781"/>
        <w:gridCol w:w="1659"/>
        <w:gridCol w:w="1940"/>
        <w:gridCol w:w="1051"/>
      </w:tblGrid>
      <w:tr w:rsidR="00AC0311" w:rsidRPr="006258D8" w:rsidTr="00B05D79">
        <w:trPr>
          <w:tblHeader/>
        </w:trPr>
        <w:tc>
          <w:tcPr>
            <w:tcW w:w="619" w:type="pct"/>
            <w:shd w:val="clear" w:color="auto" w:fill="auto"/>
            <w:vAlign w:val="center"/>
          </w:tcPr>
          <w:p w:rsidR="00C317F3" w:rsidRPr="00B05D79" w:rsidRDefault="00C317F3" w:rsidP="00613D0B">
            <w:pPr>
              <w:pStyle w:val="TableText"/>
              <w:keepLines/>
              <w:rPr>
                <w:b/>
                <w:szCs w:val="20"/>
              </w:rPr>
            </w:pPr>
            <w:r w:rsidRPr="00B05D79">
              <w:rPr>
                <w:b/>
                <w:szCs w:val="20"/>
              </w:rPr>
              <w:t>Trial</w:t>
            </w:r>
          </w:p>
        </w:tc>
        <w:tc>
          <w:tcPr>
            <w:tcW w:w="782" w:type="pct"/>
            <w:shd w:val="clear" w:color="auto" w:fill="auto"/>
            <w:vAlign w:val="center"/>
          </w:tcPr>
          <w:p w:rsidR="00C317F3" w:rsidRPr="00B05D79" w:rsidRDefault="00C317F3" w:rsidP="00613D0B">
            <w:pPr>
              <w:pStyle w:val="TableText"/>
              <w:keepLines/>
              <w:rPr>
                <w:b/>
                <w:szCs w:val="20"/>
              </w:rPr>
            </w:pPr>
            <w:r w:rsidRPr="00B05D79">
              <w:rPr>
                <w:b/>
                <w:szCs w:val="20"/>
              </w:rPr>
              <w:t>N</w:t>
            </w:r>
          </w:p>
        </w:tc>
        <w:tc>
          <w:tcPr>
            <w:tcW w:w="587" w:type="pct"/>
            <w:shd w:val="clear" w:color="auto" w:fill="auto"/>
            <w:vAlign w:val="center"/>
          </w:tcPr>
          <w:p w:rsidR="00C317F3" w:rsidRPr="00B05D79" w:rsidRDefault="00C317F3" w:rsidP="00613D0B">
            <w:pPr>
              <w:pStyle w:val="TableText"/>
              <w:keepLines/>
              <w:rPr>
                <w:b/>
                <w:szCs w:val="20"/>
              </w:rPr>
            </w:pPr>
            <w:r w:rsidRPr="00B05D79">
              <w:rPr>
                <w:b/>
                <w:szCs w:val="20"/>
              </w:rPr>
              <w:t>Design/ duration</w:t>
            </w:r>
            <w:r w:rsidR="005F2A6B" w:rsidRPr="00B05D79">
              <w:rPr>
                <w:b/>
                <w:szCs w:val="20"/>
              </w:rPr>
              <w:t xml:space="preserve"> of follow-up</w:t>
            </w:r>
          </w:p>
        </w:tc>
        <w:tc>
          <w:tcPr>
            <w:tcW w:w="433" w:type="pct"/>
            <w:shd w:val="clear" w:color="auto" w:fill="auto"/>
            <w:vAlign w:val="center"/>
          </w:tcPr>
          <w:p w:rsidR="00C317F3" w:rsidRPr="00B05D79" w:rsidRDefault="00C317F3" w:rsidP="00613D0B">
            <w:pPr>
              <w:pStyle w:val="TableText"/>
              <w:keepLines/>
              <w:rPr>
                <w:b/>
                <w:szCs w:val="20"/>
              </w:rPr>
            </w:pPr>
            <w:r w:rsidRPr="00B05D79">
              <w:rPr>
                <w:b/>
                <w:szCs w:val="20"/>
              </w:rPr>
              <w:t>Risk of bias</w:t>
            </w:r>
          </w:p>
        </w:tc>
        <w:tc>
          <w:tcPr>
            <w:tcW w:w="920" w:type="pct"/>
            <w:shd w:val="clear" w:color="auto" w:fill="auto"/>
            <w:vAlign w:val="center"/>
          </w:tcPr>
          <w:p w:rsidR="00C317F3" w:rsidRPr="00B05D79" w:rsidRDefault="00C317F3" w:rsidP="00613D0B">
            <w:pPr>
              <w:pStyle w:val="TableText"/>
              <w:keepLines/>
              <w:rPr>
                <w:b/>
                <w:szCs w:val="20"/>
              </w:rPr>
            </w:pPr>
            <w:r w:rsidRPr="00B05D79">
              <w:rPr>
                <w:b/>
                <w:szCs w:val="20"/>
              </w:rPr>
              <w:t>Patient population</w:t>
            </w:r>
          </w:p>
        </w:tc>
        <w:tc>
          <w:tcPr>
            <w:tcW w:w="1076" w:type="pct"/>
            <w:shd w:val="clear" w:color="auto" w:fill="auto"/>
            <w:vAlign w:val="center"/>
          </w:tcPr>
          <w:p w:rsidR="00C317F3" w:rsidRPr="00B05D79" w:rsidRDefault="00C317F3" w:rsidP="00613D0B">
            <w:pPr>
              <w:pStyle w:val="TableText"/>
              <w:keepLines/>
              <w:rPr>
                <w:b/>
                <w:szCs w:val="20"/>
              </w:rPr>
            </w:pPr>
            <w:r w:rsidRPr="00B05D79">
              <w:rPr>
                <w:b/>
                <w:szCs w:val="20"/>
              </w:rPr>
              <w:t>Outcome(s)</w:t>
            </w:r>
          </w:p>
        </w:tc>
        <w:tc>
          <w:tcPr>
            <w:tcW w:w="582" w:type="pct"/>
            <w:shd w:val="clear" w:color="auto" w:fill="auto"/>
            <w:vAlign w:val="center"/>
          </w:tcPr>
          <w:p w:rsidR="00C317F3" w:rsidRPr="00B05D79" w:rsidRDefault="00C317F3" w:rsidP="00613D0B">
            <w:pPr>
              <w:pStyle w:val="TableText"/>
              <w:keepLines/>
              <w:rPr>
                <w:b/>
                <w:szCs w:val="20"/>
              </w:rPr>
            </w:pPr>
            <w:r w:rsidRPr="00B05D79">
              <w:rPr>
                <w:b/>
                <w:szCs w:val="20"/>
              </w:rPr>
              <w:t>Use in modelled evaluation</w:t>
            </w:r>
          </w:p>
        </w:tc>
      </w:tr>
      <w:tr w:rsidR="00B97705" w:rsidRPr="006258D8" w:rsidTr="00B97705">
        <w:tc>
          <w:tcPr>
            <w:tcW w:w="5000" w:type="pct"/>
            <w:gridSpan w:val="7"/>
            <w:shd w:val="clear" w:color="auto" w:fill="auto"/>
            <w:vAlign w:val="center"/>
          </w:tcPr>
          <w:p w:rsidR="00B97705" w:rsidRPr="00B05D79" w:rsidRDefault="00B97705" w:rsidP="00613D0B">
            <w:pPr>
              <w:pStyle w:val="TableText"/>
              <w:keepLines/>
              <w:rPr>
                <w:b/>
                <w:szCs w:val="20"/>
              </w:rPr>
            </w:pPr>
            <w:r w:rsidRPr="00B05D79">
              <w:rPr>
                <w:b/>
                <w:szCs w:val="20"/>
              </w:rPr>
              <w:t>Fremanezumab versus placebo</w:t>
            </w:r>
          </w:p>
        </w:tc>
      </w:tr>
      <w:tr w:rsidR="00AC0311" w:rsidRPr="006258D8" w:rsidTr="009E5A36">
        <w:tc>
          <w:tcPr>
            <w:tcW w:w="619" w:type="pct"/>
            <w:shd w:val="clear" w:color="auto" w:fill="auto"/>
            <w:vAlign w:val="center"/>
          </w:tcPr>
          <w:p w:rsidR="00C317F3" w:rsidRPr="00B60EEE" w:rsidRDefault="00B97705" w:rsidP="00613D0B">
            <w:pPr>
              <w:pStyle w:val="TableText"/>
              <w:keepLines/>
              <w:rPr>
                <w:szCs w:val="20"/>
              </w:rPr>
            </w:pPr>
            <w:r w:rsidRPr="00B60EEE">
              <w:rPr>
                <w:szCs w:val="20"/>
              </w:rPr>
              <w:t>Study 30068</w:t>
            </w:r>
          </w:p>
        </w:tc>
        <w:tc>
          <w:tcPr>
            <w:tcW w:w="782" w:type="pct"/>
            <w:shd w:val="clear" w:color="auto" w:fill="auto"/>
            <w:vAlign w:val="center"/>
          </w:tcPr>
          <w:p w:rsidR="005A7C27" w:rsidRPr="00B60EEE" w:rsidRDefault="00C74141" w:rsidP="00613D0B">
            <w:pPr>
              <w:pStyle w:val="TableText"/>
              <w:keepLines/>
              <w:rPr>
                <w:szCs w:val="20"/>
              </w:rPr>
            </w:pPr>
            <w:r>
              <w:rPr>
                <w:szCs w:val="20"/>
              </w:rPr>
              <w:t xml:space="preserve">838 </w:t>
            </w:r>
            <w:r w:rsidR="005A7C27" w:rsidRPr="00B60EEE">
              <w:rPr>
                <w:szCs w:val="20"/>
              </w:rPr>
              <w:t>(chronic migraine</w:t>
            </w:r>
            <w:r w:rsidR="00E81719" w:rsidRPr="00B60EEE">
              <w:rPr>
                <w:szCs w:val="20"/>
              </w:rPr>
              <w:t xml:space="preserve"> </w:t>
            </w:r>
            <w:r w:rsidR="00D42DC9" w:rsidRPr="00B60EEE">
              <w:rPr>
                <w:szCs w:val="20"/>
              </w:rPr>
              <w:t xml:space="preserve">subgroup </w:t>
            </w:r>
            <w:r w:rsidR="000609E3" w:rsidRPr="00B60EEE">
              <w:rPr>
                <w:szCs w:val="20"/>
              </w:rPr>
              <w:t>n</w:t>
            </w:r>
            <w:r w:rsidR="00E81719" w:rsidRPr="00B60EEE">
              <w:rPr>
                <w:szCs w:val="20"/>
              </w:rPr>
              <w:t>=509;</w:t>
            </w:r>
            <w:r>
              <w:rPr>
                <w:szCs w:val="20"/>
              </w:rPr>
              <w:t xml:space="preserve"> </w:t>
            </w:r>
            <w:r w:rsidR="00D42DC9" w:rsidRPr="00B60EEE">
              <w:rPr>
                <w:szCs w:val="20"/>
              </w:rPr>
              <w:t xml:space="preserve">chronic migraine with </w:t>
            </w:r>
            <w:r w:rsidR="00E81719" w:rsidRPr="00B60EEE">
              <w:rPr>
                <w:szCs w:val="20"/>
              </w:rPr>
              <w:t xml:space="preserve">≥3 prior treatments </w:t>
            </w:r>
            <w:r w:rsidR="00D42DC9" w:rsidRPr="00B60EEE">
              <w:rPr>
                <w:szCs w:val="20"/>
              </w:rPr>
              <w:t xml:space="preserve">subgroup </w:t>
            </w:r>
            <w:r w:rsidR="00E81719" w:rsidRPr="00B60EEE">
              <w:rPr>
                <w:szCs w:val="20"/>
              </w:rPr>
              <w:t>n=293</w:t>
            </w:r>
            <w:r w:rsidR="005A7C27" w:rsidRPr="00B60EEE">
              <w:rPr>
                <w:szCs w:val="20"/>
              </w:rPr>
              <w:t>)</w:t>
            </w:r>
          </w:p>
        </w:tc>
        <w:tc>
          <w:tcPr>
            <w:tcW w:w="587" w:type="pct"/>
            <w:shd w:val="clear" w:color="auto" w:fill="auto"/>
            <w:vAlign w:val="center"/>
          </w:tcPr>
          <w:p w:rsidR="00B97705" w:rsidRPr="00B60EEE" w:rsidRDefault="00AC0311" w:rsidP="00613D0B">
            <w:pPr>
              <w:pStyle w:val="TableText"/>
              <w:keepLines/>
              <w:rPr>
                <w:szCs w:val="20"/>
              </w:rPr>
            </w:pPr>
            <w:r w:rsidRPr="00B60EEE">
              <w:rPr>
                <w:szCs w:val="20"/>
              </w:rPr>
              <w:t>R, DB, MC</w:t>
            </w:r>
          </w:p>
          <w:p w:rsidR="00C317F3" w:rsidRPr="00B60EEE" w:rsidRDefault="00B97705" w:rsidP="00613D0B">
            <w:pPr>
              <w:pStyle w:val="TableText"/>
              <w:keepLines/>
              <w:rPr>
                <w:rFonts w:ascii="Times" w:hAnsi="Times"/>
                <w:szCs w:val="20"/>
              </w:rPr>
            </w:pPr>
            <w:r w:rsidRPr="00B60EEE">
              <w:rPr>
                <w:szCs w:val="20"/>
              </w:rPr>
              <w:t>12 weeks</w:t>
            </w:r>
          </w:p>
        </w:tc>
        <w:tc>
          <w:tcPr>
            <w:tcW w:w="433" w:type="pct"/>
            <w:shd w:val="clear" w:color="auto" w:fill="auto"/>
            <w:vAlign w:val="center"/>
          </w:tcPr>
          <w:p w:rsidR="00C317F3" w:rsidRPr="00B60EEE" w:rsidRDefault="00C317F3" w:rsidP="00613D0B">
            <w:pPr>
              <w:pStyle w:val="TableText"/>
              <w:keepLines/>
              <w:rPr>
                <w:rFonts w:ascii="Times" w:hAnsi="Times"/>
                <w:szCs w:val="20"/>
                <w:vertAlign w:val="superscript"/>
              </w:rPr>
            </w:pPr>
            <w:r w:rsidRPr="00B60EEE">
              <w:rPr>
                <w:szCs w:val="20"/>
              </w:rPr>
              <w:t>Low</w:t>
            </w:r>
            <w:r w:rsidR="00D42DC9" w:rsidRPr="00B60EEE">
              <w:rPr>
                <w:szCs w:val="20"/>
                <w:vertAlign w:val="superscript"/>
              </w:rPr>
              <w:t>a</w:t>
            </w:r>
          </w:p>
        </w:tc>
        <w:tc>
          <w:tcPr>
            <w:tcW w:w="920" w:type="pct"/>
            <w:shd w:val="clear" w:color="auto" w:fill="auto"/>
            <w:vAlign w:val="center"/>
          </w:tcPr>
          <w:p w:rsidR="00C317F3" w:rsidRPr="00B60EEE" w:rsidRDefault="00C659D7" w:rsidP="00613D0B">
            <w:pPr>
              <w:pStyle w:val="TableText"/>
              <w:keepLines/>
              <w:rPr>
                <w:rFonts w:ascii="Times" w:hAnsi="Times"/>
                <w:szCs w:val="20"/>
              </w:rPr>
            </w:pPr>
            <w:r w:rsidRPr="00B60EEE">
              <w:rPr>
                <w:szCs w:val="20"/>
              </w:rPr>
              <w:t>Chronic and episodic migraine; failed 2 to 4 classes of preventive migraine medication</w:t>
            </w:r>
            <w:r w:rsidR="00E81719" w:rsidRPr="00B60EEE">
              <w:rPr>
                <w:szCs w:val="20"/>
              </w:rPr>
              <w:t>s</w:t>
            </w:r>
          </w:p>
        </w:tc>
        <w:tc>
          <w:tcPr>
            <w:tcW w:w="1076" w:type="pct"/>
            <w:shd w:val="clear" w:color="auto" w:fill="auto"/>
            <w:vAlign w:val="center"/>
          </w:tcPr>
          <w:p w:rsidR="00C317F3" w:rsidRPr="00B60EEE" w:rsidRDefault="005A7C27" w:rsidP="00613D0B">
            <w:pPr>
              <w:pStyle w:val="TableText"/>
              <w:keepLines/>
              <w:rPr>
                <w:szCs w:val="20"/>
              </w:rPr>
            </w:pPr>
            <w:r w:rsidRPr="00B60EEE">
              <w:rPr>
                <w:szCs w:val="20"/>
              </w:rPr>
              <w:t>Change in monthly migraine days</w:t>
            </w:r>
            <w:r w:rsidR="00E81719" w:rsidRPr="00B60EEE">
              <w:rPr>
                <w:szCs w:val="20"/>
              </w:rPr>
              <w:t xml:space="preserve"> (primary)</w:t>
            </w:r>
            <w:r w:rsidRPr="00B60EEE">
              <w:rPr>
                <w:szCs w:val="20"/>
              </w:rPr>
              <w:t>; change in monthly headache days; ≥50% reduction in monthly migraine days</w:t>
            </w:r>
            <w:r w:rsidR="00E81719" w:rsidRPr="00B60EEE">
              <w:rPr>
                <w:szCs w:val="20"/>
              </w:rPr>
              <w:t>.</w:t>
            </w:r>
          </w:p>
        </w:tc>
        <w:tc>
          <w:tcPr>
            <w:tcW w:w="582" w:type="pct"/>
            <w:shd w:val="clear" w:color="auto" w:fill="auto"/>
            <w:vAlign w:val="center"/>
          </w:tcPr>
          <w:p w:rsidR="00C317F3" w:rsidRPr="00B60EEE" w:rsidRDefault="00E81719" w:rsidP="00613D0B">
            <w:pPr>
              <w:pStyle w:val="TableText"/>
              <w:keepLines/>
              <w:rPr>
                <w:szCs w:val="20"/>
              </w:rPr>
            </w:pPr>
            <w:r w:rsidRPr="00B60EEE">
              <w:rPr>
                <w:szCs w:val="20"/>
              </w:rPr>
              <w:t>Monthly migraine days; ≥50% reduction in monthly migraine days</w:t>
            </w:r>
          </w:p>
        </w:tc>
      </w:tr>
      <w:tr w:rsidR="00B97705" w:rsidRPr="006258D8" w:rsidTr="00B97705">
        <w:tc>
          <w:tcPr>
            <w:tcW w:w="5000" w:type="pct"/>
            <w:gridSpan w:val="7"/>
            <w:shd w:val="clear" w:color="auto" w:fill="auto"/>
            <w:vAlign w:val="center"/>
          </w:tcPr>
          <w:p w:rsidR="00B97705" w:rsidRPr="00B60EEE" w:rsidRDefault="00B97705" w:rsidP="00613D0B">
            <w:pPr>
              <w:pStyle w:val="TableText"/>
              <w:keepLines/>
              <w:rPr>
                <w:b/>
                <w:szCs w:val="20"/>
              </w:rPr>
            </w:pPr>
            <w:r w:rsidRPr="00B60EEE">
              <w:rPr>
                <w:b/>
                <w:szCs w:val="20"/>
              </w:rPr>
              <w:t>Botox versus placebo</w:t>
            </w:r>
          </w:p>
        </w:tc>
      </w:tr>
      <w:tr w:rsidR="00AC0311" w:rsidRPr="006258D8" w:rsidTr="009E5A36">
        <w:tc>
          <w:tcPr>
            <w:tcW w:w="619"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PREEMPT1 and PREEMPT2 pooled analysis</w:t>
            </w:r>
          </w:p>
        </w:tc>
        <w:tc>
          <w:tcPr>
            <w:tcW w:w="782"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1,384</w:t>
            </w:r>
            <w:r w:rsidR="00C74141">
              <w:rPr>
                <w:szCs w:val="20"/>
              </w:rPr>
              <w:t xml:space="preserve"> </w:t>
            </w:r>
            <w:r w:rsidRPr="00B60EEE">
              <w:rPr>
                <w:szCs w:val="20"/>
              </w:rPr>
              <w:t>(≥3 prior treatments n=479)</w:t>
            </w:r>
          </w:p>
        </w:tc>
        <w:tc>
          <w:tcPr>
            <w:tcW w:w="587" w:type="pct"/>
            <w:shd w:val="clear" w:color="auto" w:fill="auto"/>
            <w:vAlign w:val="center"/>
          </w:tcPr>
          <w:p w:rsidR="000609E3" w:rsidRPr="00B60EEE" w:rsidRDefault="000609E3" w:rsidP="00613D0B">
            <w:pPr>
              <w:pStyle w:val="TableText"/>
              <w:keepLines/>
              <w:rPr>
                <w:szCs w:val="20"/>
              </w:rPr>
            </w:pPr>
            <w:r w:rsidRPr="00B60EEE">
              <w:rPr>
                <w:szCs w:val="20"/>
              </w:rPr>
              <w:t>R</w:t>
            </w:r>
            <w:r w:rsidR="00AC0311" w:rsidRPr="00B60EEE">
              <w:rPr>
                <w:szCs w:val="20"/>
              </w:rPr>
              <w:t>, DB, MC</w:t>
            </w:r>
          </w:p>
          <w:p w:rsidR="000609E3" w:rsidRPr="00B60EEE" w:rsidRDefault="000609E3" w:rsidP="00613D0B">
            <w:pPr>
              <w:pStyle w:val="TableText"/>
              <w:keepLines/>
              <w:rPr>
                <w:rFonts w:ascii="Times" w:hAnsi="Times"/>
                <w:szCs w:val="20"/>
              </w:rPr>
            </w:pPr>
            <w:r w:rsidRPr="00B60EEE">
              <w:rPr>
                <w:szCs w:val="20"/>
              </w:rPr>
              <w:t>24 weeks</w:t>
            </w:r>
          </w:p>
        </w:tc>
        <w:tc>
          <w:tcPr>
            <w:tcW w:w="433"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Low</w:t>
            </w:r>
          </w:p>
        </w:tc>
        <w:tc>
          <w:tcPr>
            <w:tcW w:w="920"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Chronic migraine</w:t>
            </w:r>
          </w:p>
        </w:tc>
        <w:tc>
          <w:tcPr>
            <w:tcW w:w="1076"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Change in frequency of headache episodes (PREEMPT1 primary); change in monthly headache days (PREEMPT2 primary); change in monthly migraine days.</w:t>
            </w:r>
          </w:p>
        </w:tc>
        <w:tc>
          <w:tcPr>
            <w:tcW w:w="582" w:type="pct"/>
            <w:shd w:val="clear" w:color="auto" w:fill="auto"/>
            <w:vAlign w:val="center"/>
          </w:tcPr>
          <w:p w:rsidR="000609E3" w:rsidRPr="00B60EEE" w:rsidRDefault="000609E3" w:rsidP="00613D0B">
            <w:pPr>
              <w:pStyle w:val="TableText"/>
              <w:keepLines/>
              <w:rPr>
                <w:szCs w:val="20"/>
              </w:rPr>
            </w:pPr>
            <w:r w:rsidRPr="00B60EEE">
              <w:rPr>
                <w:szCs w:val="20"/>
              </w:rPr>
              <w:t>Not used</w:t>
            </w:r>
          </w:p>
        </w:tc>
      </w:tr>
      <w:tr w:rsidR="000609E3" w:rsidRPr="006258D8" w:rsidTr="00B97705">
        <w:tc>
          <w:tcPr>
            <w:tcW w:w="5000" w:type="pct"/>
            <w:gridSpan w:val="7"/>
            <w:shd w:val="clear" w:color="auto" w:fill="auto"/>
            <w:vAlign w:val="center"/>
          </w:tcPr>
          <w:p w:rsidR="000609E3" w:rsidRPr="00B60EEE" w:rsidRDefault="000609E3" w:rsidP="00613D0B">
            <w:pPr>
              <w:pStyle w:val="TableText"/>
              <w:keepLines/>
              <w:rPr>
                <w:b/>
                <w:szCs w:val="20"/>
              </w:rPr>
            </w:pPr>
            <w:r w:rsidRPr="00B60EEE">
              <w:rPr>
                <w:b/>
                <w:szCs w:val="20"/>
              </w:rPr>
              <w:t>Erenumab versus placebo</w:t>
            </w:r>
          </w:p>
        </w:tc>
      </w:tr>
      <w:tr w:rsidR="00AC0311" w:rsidRPr="006258D8" w:rsidTr="009E5A36">
        <w:tc>
          <w:tcPr>
            <w:tcW w:w="619" w:type="pct"/>
            <w:shd w:val="clear" w:color="auto" w:fill="auto"/>
            <w:vAlign w:val="center"/>
          </w:tcPr>
          <w:p w:rsidR="000609E3" w:rsidRPr="00B60EEE" w:rsidRDefault="000609E3" w:rsidP="00613D0B">
            <w:pPr>
              <w:pStyle w:val="TableText"/>
              <w:keepLines/>
              <w:rPr>
                <w:rFonts w:ascii="Times" w:hAnsi="Times"/>
                <w:szCs w:val="20"/>
              </w:rPr>
            </w:pPr>
            <w:r w:rsidRPr="00B60EEE">
              <w:rPr>
                <w:szCs w:val="20"/>
              </w:rPr>
              <w:t>Study 295</w:t>
            </w:r>
          </w:p>
        </w:tc>
        <w:tc>
          <w:tcPr>
            <w:tcW w:w="782" w:type="pct"/>
            <w:shd w:val="clear" w:color="auto" w:fill="auto"/>
            <w:vAlign w:val="center"/>
          </w:tcPr>
          <w:p w:rsidR="000609E3" w:rsidRPr="00B60EEE" w:rsidRDefault="000609E3" w:rsidP="00613D0B">
            <w:pPr>
              <w:pStyle w:val="TableText"/>
              <w:keepLines/>
              <w:rPr>
                <w:szCs w:val="20"/>
              </w:rPr>
            </w:pPr>
            <w:r w:rsidRPr="00B60EEE">
              <w:rPr>
                <w:szCs w:val="20"/>
              </w:rPr>
              <w:t>677</w:t>
            </w:r>
            <w:r w:rsidR="00C74141">
              <w:rPr>
                <w:szCs w:val="20"/>
              </w:rPr>
              <w:t xml:space="preserve"> </w:t>
            </w:r>
            <w:r w:rsidRPr="00B60EEE">
              <w:rPr>
                <w:szCs w:val="20"/>
              </w:rPr>
              <w:t>(≥3 prior treatments n=232)</w:t>
            </w:r>
          </w:p>
        </w:tc>
        <w:tc>
          <w:tcPr>
            <w:tcW w:w="587" w:type="pct"/>
            <w:shd w:val="clear" w:color="auto" w:fill="auto"/>
            <w:vAlign w:val="center"/>
          </w:tcPr>
          <w:p w:rsidR="000609E3" w:rsidRPr="00B60EEE" w:rsidRDefault="000609E3" w:rsidP="00613D0B">
            <w:pPr>
              <w:pStyle w:val="TableText"/>
              <w:keepLines/>
              <w:rPr>
                <w:szCs w:val="20"/>
              </w:rPr>
            </w:pPr>
            <w:r w:rsidRPr="00B60EEE">
              <w:rPr>
                <w:szCs w:val="20"/>
              </w:rPr>
              <w:t>R</w:t>
            </w:r>
            <w:r w:rsidR="00AC0311" w:rsidRPr="00B60EEE">
              <w:rPr>
                <w:szCs w:val="20"/>
              </w:rPr>
              <w:t>, DB, MC</w:t>
            </w:r>
          </w:p>
          <w:p w:rsidR="000609E3" w:rsidRPr="00B60EEE" w:rsidRDefault="000609E3" w:rsidP="00613D0B">
            <w:pPr>
              <w:pStyle w:val="TableText"/>
              <w:keepLines/>
              <w:rPr>
                <w:szCs w:val="20"/>
              </w:rPr>
            </w:pPr>
            <w:r w:rsidRPr="00B60EEE">
              <w:rPr>
                <w:szCs w:val="20"/>
              </w:rPr>
              <w:t>12 weeks</w:t>
            </w:r>
          </w:p>
        </w:tc>
        <w:tc>
          <w:tcPr>
            <w:tcW w:w="433" w:type="pct"/>
            <w:shd w:val="clear" w:color="auto" w:fill="auto"/>
            <w:vAlign w:val="center"/>
          </w:tcPr>
          <w:p w:rsidR="000609E3" w:rsidRPr="00B60EEE" w:rsidRDefault="000609E3" w:rsidP="00613D0B">
            <w:pPr>
              <w:pStyle w:val="TableText"/>
              <w:keepLines/>
              <w:rPr>
                <w:szCs w:val="20"/>
              </w:rPr>
            </w:pPr>
            <w:r w:rsidRPr="00B60EEE">
              <w:rPr>
                <w:szCs w:val="20"/>
              </w:rPr>
              <w:t>Low</w:t>
            </w:r>
          </w:p>
        </w:tc>
        <w:tc>
          <w:tcPr>
            <w:tcW w:w="920" w:type="pct"/>
            <w:shd w:val="clear" w:color="auto" w:fill="auto"/>
            <w:vAlign w:val="center"/>
          </w:tcPr>
          <w:p w:rsidR="000609E3" w:rsidRPr="00B60EEE" w:rsidRDefault="000609E3" w:rsidP="00613D0B">
            <w:pPr>
              <w:pStyle w:val="TableText"/>
              <w:keepLines/>
              <w:rPr>
                <w:szCs w:val="20"/>
              </w:rPr>
            </w:pPr>
            <w:r w:rsidRPr="00B60EEE">
              <w:rPr>
                <w:szCs w:val="20"/>
              </w:rPr>
              <w:t>Chronic migraine</w:t>
            </w:r>
            <w:r w:rsidR="00AC0311" w:rsidRPr="00B60EEE">
              <w:rPr>
                <w:szCs w:val="20"/>
              </w:rPr>
              <w:t>; excluded patients with no therapeutic response &gt;3 prior treatments</w:t>
            </w:r>
          </w:p>
        </w:tc>
        <w:tc>
          <w:tcPr>
            <w:tcW w:w="1076" w:type="pct"/>
            <w:shd w:val="clear" w:color="auto" w:fill="auto"/>
            <w:vAlign w:val="center"/>
          </w:tcPr>
          <w:p w:rsidR="000609E3" w:rsidRPr="00B60EEE" w:rsidRDefault="000609E3" w:rsidP="00613D0B">
            <w:pPr>
              <w:pStyle w:val="TableText"/>
              <w:keepLines/>
              <w:rPr>
                <w:szCs w:val="20"/>
              </w:rPr>
            </w:pPr>
            <w:r w:rsidRPr="00B60EEE">
              <w:rPr>
                <w:szCs w:val="20"/>
              </w:rPr>
              <w:t>Change in monthly migraine days (primary); ≥50% reduction in monthly migraine days.</w:t>
            </w:r>
          </w:p>
        </w:tc>
        <w:tc>
          <w:tcPr>
            <w:tcW w:w="582" w:type="pct"/>
            <w:shd w:val="clear" w:color="auto" w:fill="auto"/>
            <w:vAlign w:val="center"/>
          </w:tcPr>
          <w:p w:rsidR="000609E3" w:rsidRPr="00B60EEE" w:rsidRDefault="000609E3" w:rsidP="00613D0B">
            <w:pPr>
              <w:pStyle w:val="TableText"/>
              <w:keepLines/>
              <w:rPr>
                <w:szCs w:val="20"/>
              </w:rPr>
            </w:pPr>
            <w:r w:rsidRPr="00B60EEE">
              <w:rPr>
                <w:szCs w:val="20"/>
              </w:rPr>
              <w:t>Not used</w:t>
            </w:r>
          </w:p>
        </w:tc>
      </w:tr>
      <w:tr w:rsidR="000609E3" w:rsidRPr="006258D8" w:rsidTr="00B97705">
        <w:tc>
          <w:tcPr>
            <w:tcW w:w="5000" w:type="pct"/>
            <w:gridSpan w:val="7"/>
            <w:shd w:val="clear" w:color="auto" w:fill="auto"/>
            <w:vAlign w:val="center"/>
          </w:tcPr>
          <w:p w:rsidR="000609E3" w:rsidRPr="00B60EEE" w:rsidRDefault="000609E3" w:rsidP="00613D0B">
            <w:pPr>
              <w:pStyle w:val="TableText"/>
              <w:keepLines/>
              <w:rPr>
                <w:b/>
                <w:szCs w:val="20"/>
              </w:rPr>
            </w:pPr>
            <w:r w:rsidRPr="00B60EEE">
              <w:rPr>
                <w:b/>
                <w:szCs w:val="20"/>
              </w:rPr>
              <w:t>Galcanezumab versus placebo</w:t>
            </w:r>
          </w:p>
        </w:tc>
      </w:tr>
      <w:tr w:rsidR="00AC0311" w:rsidRPr="006258D8" w:rsidTr="009E5A36">
        <w:tc>
          <w:tcPr>
            <w:tcW w:w="619" w:type="pct"/>
            <w:shd w:val="clear" w:color="auto" w:fill="auto"/>
            <w:vAlign w:val="center"/>
          </w:tcPr>
          <w:p w:rsidR="000609E3" w:rsidRPr="00B60EEE" w:rsidRDefault="000609E3" w:rsidP="00613D0B">
            <w:pPr>
              <w:pStyle w:val="TableText"/>
              <w:keepLines/>
              <w:rPr>
                <w:szCs w:val="20"/>
              </w:rPr>
            </w:pPr>
            <w:r w:rsidRPr="00B60EEE">
              <w:rPr>
                <w:szCs w:val="20"/>
              </w:rPr>
              <w:t>REGAIN</w:t>
            </w:r>
          </w:p>
        </w:tc>
        <w:tc>
          <w:tcPr>
            <w:tcW w:w="782" w:type="pct"/>
            <w:shd w:val="clear" w:color="auto" w:fill="auto"/>
            <w:vAlign w:val="center"/>
          </w:tcPr>
          <w:p w:rsidR="000609E3" w:rsidRPr="00B60EEE" w:rsidRDefault="000609E3" w:rsidP="00613D0B">
            <w:pPr>
              <w:pStyle w:val="TableText"/>
              <w:keepLines/>
              <w:rPr>
                <w:szCs w:val="20"/>
              </w:rPr>
            </w:pPr>
            <w:r w:rsidRPr="00B60EEE">
              <w:rPr>
                <w:szCs w:val="20"/>
              </w:rPr>
              <w:t>1,113</w:t>
            </w:r>
            <w:r w:rsidR="00C74141">
              <w:rPr>
                <w:szCs w:val="20"/>
              </w:rPr>
              <w:t xml:space="preserve"> </w:t>
            </w:r>
            <w:r w:rsidRPr="00B60EEE">
              <w:rPr>
                <w:szCs w:val="20"/>
              </w:rPr>
              <w:t>(≥3 prior treatments n=199)</w:t>
            </w:r>
          </w:p>
        </w:tc>
        <w:tc>
          <w:tcPr>
            <w:tcW w:w="587" w:type="pct"/>
            <w:shd w:val="clear" w:color="auto" w:fill="auto"/>
            <w:vAlign w:val="center"/>
          </w:tcPr>
          <w:p w:rsidR="000609E3" w:rsidRPr="00B60EEE" w:rsidRDefault="000609E3" w:rsidP="00613D0B">
            <w:pPr>
              <w:pStyle w:val="TableText"/>
              <w:keepLines/>
              <w:rPr>
                <w:szCs w:val="20"/>
              </w:rPr>
            </w:pPr>
            <w:r w:rsidRPr="00B60EEE">
              <w:rPr>
                <w:szCs w:val="20"/>
              </w:rPr>
              <w:t>R</w:t>
            </w:r>
            <w:r w:rsidR="00AC0311" w:rsidRPr="00B60EEE">
              <w:rPr>
                <w:szCs w:val="20"/>
              </w:rPr>
              <w:t>, DB, MC</w:t>
            </w:r>
          </w:p>
          <w:p w:rsidR="000609E3" w:rsidRPr="00B60EEE" w:rsidRDefault="000609E3" w:rsidP="00613D0B">
            <w:pPr>
              <w:pStyle w:val="TableText"/>
              <w:keepLines/>
              <w:rPr>
                <w:szCs w:val="20"/>
              </w:rPr>
            </w:pPr>
            <w:r w:rsidRPr="00B60EEE">
              <w:rPr>
                <w:szCs w:val="20"/>
              </w:rPr>
              <w:t>3 months</w:t>
            </w:r>
          </w:p>
        </w:tc>
        <w:tc>
          <w:tcPr>
            <w:tcW w:w="433" w:type="pct"/>
            <w:shd w:val="clear" w:color="auto" w:fill="auto"/>
            <w:vAlign w:val="center"/>
          </w:tcPr>
          <w:p w:rsidR="000609E3" w:rsidRPr="00B60EEE" w:rsidRDefault="000609E3" w:rsidP="00613D0B">
            <w:pPr>
              <w:pStyle w:val="TableText"/>
              <w:keepLines/>
              <w:rPr>
                <w:szCs w:val="20"/>
              </w:rPr>
            </w:pPr>
            <w:r w:rsidRPr="00B60EEE">
              <w:rPr>
                <w:szCs w:val="20"/>
              </w:rPr>
              <w:t>Low</w:t>
            </w:r>
          </w:p>
        </w:tc>
        <w:tc>
          <w:tcPr>
            <w:tcW w:w="920" w:type="pct"/>
            <w:shd w:val="clear" w:color="auto" w:fill="auto"/>
            <w:vAlign w:val="center"/>
          </w:tcPr>
          <w:p w:rsidR="000609E3" w:rsidRPr="00B60EEE" w:rsidRDefault="000609E3" w:rsidP="00613D0B">
            <w:pPr>
              <w:pStyle w:val="TableText"/>
              <w:keepLines/>
              <w:rPr>
                <w:szCs w:val="20"/>
              </w:rPr>
            </w:pPr>
            <w:r w:rsidRPr="00B60EEE">
              <w:rPr>
                <w:szCs w:val="20"/>
              </w:rPr>
              <w:t>Chronic migraine</w:t>
            </w:r>
            <w:r w:rsidR="00AC0311" w:rsidRPr="00B60EEE">
              <w:rPr>
                <w:szCs w:val="20"/>
              </w:rPr>
              <w:t>; excluded patients who had failed &gt;3 different medication classes.</w:t>
            </w:r>
          </w:p>
        </w:tc>
        <w:tc>
          <w:tcPr>
            <w:tcW w:w="1076" w:type="pct"/>
            <w:shd w:val="clear" w:color="auto" w:fill="auto"/>
            <w:vAlign w:val="center"/>
          </w:tcPr>
          <w:p w:rsidR="000609E3" w:rsidRPr="00B60EEE" w:rsidRDefault="000609E3" w:rsidP="00613D0B">
            <w:pPr>
              <w:pStyle w:val="TableText"/>
              <w:keepLines/>
              <w:rPr>
                <w:szCs w:val="20"/>
              </w:rPr>
            </w:pPr>
            <w:r w:rsidRPr="00B60EEE">
              <w:rPr>
                <w:szCs w:val="20"/>
              </w:rPr>
              <w:t>Change in monthly migraine days (primary); ≥50% reduction in monthly migraine days</w:t>
            </w:r>
            <w:r w:rsidR="002F7BCF" w:rsidRPr="00B60EEE">
              <w:rPr>
                <w:szCs w:val="20"/>
              </w:rPr>
              <w:t>.</w:t>
            </w:r>
          </w:p>
        </w:tc>
        <w:tc>
          <w:tcPr>
            <w:tcW w:w="582" w:type="pct"/>
            <w:shd w:val="clear" w:color="auto" w:fill="auto"/>
            <w:vAlign w:val="center"/>
          </w:tcPr>
          <w:p w:rsidR="000609E3" w:rsidRPr="00B60EEE" w:rsidRDefault="000609E3" w:rsidP="00613D0B">
            <w:pPr>
              <w:pStyle w:val="TableText"/>
              <w:keepLines/>
              <w:rPr>
                <w:szCs w:val="20"/>
              </w:rPr>
            </w:pPr>
            <w:r w:rsidRPr="00B60EEE">
              <w:rPr>
                <w:szCs w:val="20"/>
              </w:rPr>
              <w:t>Not used</w:t>
            </w:r>
          </w:p>
        </w:tc>
      </w:tr>
    </w:tbl>
    <w:p w:rsidR="00AC0311" w:rsidRPr="006258D8" w:rsidRDefault="00C317F3" w:rsidP="00613D0B">
      <w:pPr>
        <w:pStyle w:val="TableFigureFooter"/>
        <w:keepNext/>
        <w:keepLines/>
      </w:pPr>
      <w:r w:rsidRPr="006258D8">
        <w:t>Source:</w:t>
      </w:r>
      <w:r w:rsidR="00AC0311" w:rsidRPr="006258D8">
        <w:t xml:space="preserve"> </w:t>
      </w:r>
      <w:r w:rsidR="00AC0311" w:rsidRPr="00B60EEE">
        <w:t>Table</w:t>
      </w:r>
      <w:r w:rsidR="00AC0311" w:rsidRPr="00B05D79">
        <w:t xml:space="preserve"> 2.13, pp62-65; </w:t>
      </w:r>
      <w:r w:rsidR="00AC0311" w:rsidRPr="00B60EEE">
        <w:t>Table</w:t>
      </w:r>
      <w:r w:rsidR="00AC0311" w:rsidRPr="00B05D79">
        <w:t xml:space="preserve"> 2.24, pp95-96; </w:t>
      </w:r>
      <w:r w:rsidR="00AC0311" w:rsidRPr="00B60EEE">
        <w:t>Table</w:t>
      </w:r>
      <w:r w:rsidR="00AC0311" w:rsidRPr="00B05D79">
        <w:t xml:space="preserve"> 2.26, pp97-98 of the submission; </w:t>
      </w:r>
      <w:r w:rsidR="00AC0311" w:rsidRPr="00B60EEE">
        <w:t>Table</w:t>
      </w:r>
      <w:r w:rsidR="00AC0311" w:rsidRPr="00B05D79">
        <w:t xml:space="preserve"> 3-2 pp16-17; </w:t>
      </w:r>
      <w:r w:rsidR="00AC0311" w:rsidRPr="00B60EEE">
        <w:t>Table</w:t>
      </w:r>
      <w:r w:rsidR="00AC0311" w:rsidRPr="00B05D79">
        <w:t xml:space="preserve"> 4-2, pp33-34 of </w:t>
      </w:r>
      <w:r w:rsidR="00AC0311" w:rsidRPr="00B60EEE">
        <w:t>Attachment</w:t>
      </w:r>
      <w:r w:rsidR="00AC0311" w:rsidRPr="00B05D79">
        <w:t xml:space="preserve"> 5 of the submission;</w:t>
      </w:r>
      <w:r w:rsidR="00AC0311" w:rsidRPr="006258D8">
        <w:t xml:space="preserve"> pp2212-2213 of Detke et al. (2018); pp427-428 of Tepper et al. (2017).</w:t>
      </w:r>
    </w:p>
    <w:p w:rsidR="00C317F3" w:rsidRPr="006258D8" w:rsidRDefault="00AC0311" w:rsidP="00613D0B">
      <w:pPr>
        <w:pStyle w:val="TableFigureFooter"/>
        <w:keepNext/>
        <w:keepLines/>
      </w:pPr>
      <w:r w:rsidRPr="006258D8">
        <w:t>Abbreviations: DB, double-blind; MC, multi-centre; R, randomised.</w:t>
      </w:r>
    </w:p>
    <w:p w:rsidR="00B97705" w:rsidRPr="006258D8" w:rsidRDefault="00D42DC9" w:rsidP="00613D0B">
      <w:pPr>
        <w:pStyle w:val="TableFigureFooter"/>
        <w:keepNext/>
        <w:keepLines/>
      </w:pPr>
      <w:r w:rsidRPr="00742CD6">
        <w:rPr>
          <w:vertAlign w:val="superscript"/>
        </w:rPr>
        <w:t>a</w:t>
      </w:r>
      <w:r w:rsidRPr="00742CD6">
        <w:t xml:space="preserve"> </w:t>
      </w:r>
      <w:r w:rsidR="00181F20" w:rsidRPr="00B60EEE">
        <w:t>Outcomes for</w:t>
      </w:r>
      <w:r w:rsidRPr="00B60EEE">
        <w:t xml:space="preserve"> the chronic migraine </w:t>
      </w:r>
      <w:r w:rsidR="004F0AB9" w:rsidRPr="00B60EEE">
        <w:t xml:space="preserve">subgroup </w:t>
      </w:r>
      <w:r w:rsidRPr="00B60EEE">
        <w:t>with ≥3 prior treatments were not pre-specified and were at high risk of bias.</w:t>
      </w:r>
    </w:p>
    <w:p w:rsidR="00B63460" w:rsidRPr="00B94CEC" w:rsidRDefault="00B63460" w:rsidP="000F2EE3">
      <w:pPr>
        <w:pStyle w:val="3-BodyText"/>
      </w:pPr>
      <w:r w:rsidRPr="006258D8">
        <w:t xml:space="preserve">The submission provided an abridged interim clinical study report for Study 30068 which reported </w:t>
      </w:r>
      <w:r w:rsidR="0092707B" w:rsidRPr="006258D8">
        <w:t xml:space="preserve">the </w:t>
      </w:r>
      <w:r w:rsidRPr="006258D8">
        <w:t xml:space="preserve">combined results for episodic and chronic migraine patients. The submission </w:t>
      </w:r>
      <w:r w:rsidR="000A66F1" w:rsidRPr="006258D8">
        <w:t xml:space="preserve">also </w:t>
      </w:r>
      <w:r w:rsidRPr="006258D8">
        <w:t>provided additional results for the chronic migraine subgroup</w:t>
      </w:r>
      <w:r w:rsidR="0092707B" w:rsidRPr="006258D8">
        <w:t xml:space="preserve">, and the subgroup of chronic migraine patients with </w:t>
      </w:r>
      <w:r w:rsidR="0092707B" w:rsidRPr="006258D8">
        <w:rPr>
          <w:rFonts w:cstheme="minorHAnsi"/>
        </w:rPr>
        <w:t>≥</w:t>
      </w:r>
      <w:r w:rsidR="0092707B" w:rsidRPr="006258D8">
        <w:t xml:space="preserve">3 </w:t>
      </w:r>
      <w:r w:rsidR="00674AD8">
        <w:t xml:space="preserve">prior </w:t>
      </w:r>
      <w:r w:rsidR="0092707B" w:rsidRPr="006258D8">
        <w:t>treatment</w:t>
      </w:r>
      <w:r w:rsidR="00160C20">
        <w:t xml:space="preserve"> failures</w:t>
      </w:r>
      <w:r w:rsidRPr="006258D8">
        <w:t xml:space="preserve">. </w:t>
      </w:r>
      <w:r w:rsidRPr="003F173D">
        <w:t xml:space="preserve">Analyses based on the subgroup </w:t>
      </w:r>
      <w:r w:rsidR="00EB58D1">
        <w:t xml:space="preserve">of </w:t>
      </w:r>
      <w:r w:rsidRPr="003F173D">
        <w:t xml:space="preserve">chronic migraine </w:t>
      </w:r>
      <w:r w:rsidR="00EB58D1">
        <w:t xml:space="preserve">patients </w:t>
      </w:r>
      <w:r w:rsidR="00EB58D1" w:rsidRPr="006258D8">
        <w:t xml:space="preserve">with </w:t>
      </w:r>
      <w:r w:rsidR="00EB58D1" w:rsidRPr="006258D8">
        <w:rPr>
          <w:rFonts w:cstheme="minorHAnsi"/>
        </w:rPr>
        <w:t>≥</w:t>
      </w:r>
      <w:r w:rsidR="00EB58D1" w:rsidRPr="006258D8">
        <w:t>3 treatment</w:t>
      </w:r>
      <w:r w:rsidR="00EB58D1">
        <w:t xml:space="preserve"> failures</w:t>
      </w:r>
      <w:r w:rsidR="00EB58D1" w:rsidRPr="003F173D">
        <w:t xml:space="preserve"> </w:t>
      </w:r>
      <w:r w:rsidRPr="003F173D">
        <w:t>were not pre-specified in the trial</w:t>
      </w:r>
      <w:r w:rsidR="00EB58D1">
        <w:t>.</w:t>
      </w:r>
      <w:r w:rsidRPr="006258D8">
        <w:t xml:space="preserve"> </w:t>
      </w:r>
    </w:p>
    <w:p w:rsidR="00C74141" w:rsidRDefault="004F0AB9" w:rsidP="000F2EE3">
      <w:pPr>
        <w:pStyle w:val="3-BodyText"/>
      </w:pPr>
      <w:r w:rsidRPr="006258D8">
        <w:t xml:space="preserve">The submission used results for the subgroup of chronic migraine patients treated with fremanezumab in Study 30068 to conduct indirect comparisons versus PREEMPT1/2, Study 295 and REGAIN. The submission also conducted indirect comparisons based on the subgroup of chronic migraine patients with </w:t>
      </w:r>
      <w:r w:rsidRPr="006258D8">
        <w:rPr>
          <w:rFonts w:cstheme="minorHAnsi"/>
        </w:rPr>
        <w:t>≥</w:t>
      </w:r>
      <w:r w:rsidRPr="006258D8">
        <w:t xml:space="preserve">3 </w:t>
      </w:r>
      <w:r w:rsidR="00674AD8">
        <w:t xml:space="preserve">prior </w:t>
      </w:r>
      <w:r w:rsidRPr="006258D8">
        <w:t>treatment</w:t>
      </w:r>
      <w:r w:rsidR="00EB58D1">
        <w:t xml:space="preserve"> failures</w:t>
      </w:r>
      <w:r w:rsidRPr="006258D8">
        <w:t>. These post hoc analyses were considered to be at high risk of bias.</w:t>
      </w:r>
      <w:r w:rsidR="004174D7" w:rsidRPr="004174D7">
        <w:t xml:space="preserve"> </w:t>
      </w:r>
      <w:r w:rsidR="004174D7" w:rsidRPr="00EB58D1">
        <w:t xml:space="preserve">The </w:t>
      </w:r>
      <w:r w:rsidR="00135AE6">
        <w:t>Pre-Sub-Committee R</w:t>
      </w:r>
      <w:r w:rsidR="00266D8E">
        <w:t>esponse (</w:t>
      </w:r>
      <w:r w:rsidR="004174D7" w:rsidRPr="00EB58D1">
        <w:t>PSCR</w:t>
      </w:r>
      <w:r w:rsidR="00266D8E">
        <w:t>)</w:t>
      </w:r>
      <w:r w:rsidR="004174D7" w:rsidRPr="00EB58D1">
        <w:t xml:space="preserve"> noted </w:t>
      </w:r>
      <w:r w:rsidR="004174D7" w:rsidRPr="00160C20">
        <w:t xml:space="preserve">that </w:t>
      </w:r>
      <w:r w:rsidR="004174D7" w:rsidRPr="00EB58D1">
        <w:t xml:space="preserve">the PBAC had previously made positive recommendations based on subgroup analyses </w:t>
      </w:r>
      <w:r w:rsidR="004174D7">
        <w:t xml:space="preserve">of patients with </w:t>
      </w:r>
      <w:r w:rsidR="004174D7" w:rsidRPr="00EB58D1">
        <w:t xml:space="preserve">≥3 </w:t>
      </w:r>
      <w:r w:rsidR="004174D7">
        <w:t xml:space="preserve">prior </w:t>
      </w:r>
      <w:r w:rsidR="004174D7" w:rsidRPr="00EB58D1">
        <w:t>treatment</w:t>
      </w:r>
      <w:r w:rsidR="004174D7">
        <w:t xml:space="preserve"> failures </w:t>
      </w:r>
      <w:r w:rsidR="004174D7" w:rsidRPr="00EB58D1">
        <w:t xml:space="preserve">in the key Botox and galcanezumab studies, despite there </w:t>
      </w:r>
      <w:r w:rsidR="004174D7">
        <w:t xml:space="preserve">also </w:t>
      </w:r>
      <w:r w:rsidR="004174D7" w:rsidRPr="00EB58D1">
        <w:t>being a high risk of bias with the post-hoc analyses.</w:t>
      </w:r>
      <w:r w:rsidR="00A01A23">
        <w:t xml:space="preserve"> </w:t>
      </w:r>
    </w:p>
    <w:p w:rsidR="00BF786B" w:rsidRPr="006258D8" w:rsidRDefault="004F0AB9" w:rsidP="00EC4C47">
      <w:pPr>
        <w:pStyle w:val="3-BodyText"/>
      </w:pPr>
      <w:r w:rsidRPr="006258D8">
        <w:t xml:space="preserve">All trials permitted </w:t>
      </w:r>
      <w:r w:rsidR="003A2038">
        <w:t xml:space="preserve">the </w:t>
      </w:r>
      <w:r w:rsidRPr="006258D8">
        <w:t xml:space="preserve">use of medications for the management of acute migraine episodes. Medications used for the treatment of </w:t>
      </w:r>
      <w:r w:rsidR="00266D8E">
        <w:t xml:space="preserve">acute </w:t>
      </w:r>
      <w:r w:rsidRPr="006258D8">
        <w:t>episodes may have influenced the frequency of migraine episodes reported in the trials. Differences between the trials in the use of acute migraine treatments may bias the results of the indirect comparisons.</w:t>
      </w:r>
    </w:p>
    <w:p w:rsidR="008574AB" w:rsidRPr="006258D8" w:rsidRDefault="008574AB" w:rsidP="00001A3D">
      <w:pPr>
        <w:pStyle w:val="3-BodyText"/>
      </w:pPr>
      <w:r w:rsidRPr="006258D8">
        <w:t>The following issues are likely to have affected the reliability of the indirect comparisons presented in the submission:</w:t>
      </w:r>
    </w:p>
    <w:p w:rsidR="008574AB" w:rsidRPr="005B4FCD" w:rsidRDefault="008574AB" w:rsidP="00FB455F">
      <w:pPr>
        <w:pStyle w:val="ListParagraph"/>
      </w:pPr>
      <w:r w:rsidRPr="005B4FCD">
        <w:t xml:space="preserve">The proportion of patients with ≥3 </w:t>
      </w:r>
      <w:r w:rsidR="004174D7">
        <w:t xml:space="preserve">prior </w:t>
      </w:r>
      <w:r w:rsidRPr="005B4FCD">
        <w:t>treatment</w:t>
      </w:r>
      <w:r w:rsidR="00EB58D1">
        <w:t xml:space="preserve"> failures </w:t>
      </w:r>
      <w:r w:rsidRPr="005B4FCD">
        <w:t xml:space="preserve">varied substantially between trials, with </w:t>
      </w:r>
      <w:r w:rsidR="00D11BC9">
        <w:rPr>
          <w:noProof/>
          <w:color w:val="000000"/>
          <w:highlight w:val="black"/>
        </w:rPr>
        <w:t>'''''</w:t>
      </w:r>
      <w:r w:rsidR="005D4DBA" w:rsidRPr="005B4FCD">
        <w:t xml:space="preserve">% </w:t>
      </w:r>
      <w:r w:rsidRPr="005B4FCD">
        <w:t>in Study 30068, 35% in PREEMPT1/2 an</w:t>
      </w:r>
      <w:r w:rsidR="00C74141">
        <w:t>d Study 295, and 18% in REGAIN.</w:t>
      </w:r>
    </w:p>
    <w:p w:rsidR="00C74141" w:rsidRDefault="008574AB" w:rsidP="009F125E">
      <w:pPr>
        <w:pStyle w:val="ListParagraph"/>
      </w:pPr>
      <w:r w:rsidRPr="005B4FCD">
        <w:t>There were differences in the definitions of prior treatment</w:t>
      </w:r>
      <w:r w:rsidR="004B2BB5">
        <w:t xml:space="preserve"> failure</w:t>
      </w:r>
      <w:r w:rsidRPr="005B4FCD">
        <w:t>, and differences in</w:t>
      </w:r>
      <w:r w:rsidR="003A2038">
        <w:t xml:space="preserve"> the</w:t>
      </w:r>
      <w:r w:rsidRPr="005B4FCD">
        <w:t xml:space="preserve"> prior treatment medicine categories specified in each trial.</w:t>
      </w:r>
      <w:r w:rsidR="00A419D6">
        <w:t xml:space="preserve"> The PBAC considered it was unclear to what extent the subgroups across all the trials </w:t>
      </w:r>
      <w:r w:rsidR="009F125E">
        <w:t xml:space="preserve">identified patients who would be treated under the proposed PBS criteria i.e. </w:t>
      </w:r>
      <w:r w:rsidR="009F125E" w:rsidRPr="009F125E">
        <w:t>patients who have had an inadequate response, intolerance or a contraindication to ≥3 prophylactic migraine medications</w:t>
      </w:r>
      <w:r w:rsidR="009F125E">
        <w:t xml:space="preserve"> (namely </w:t>
      </w:r>
      <w:r w:rsidR="009F125E" w:rsidRPr="009F125E">
        <w:t>propranolol, amitriptyline, pizotifen, candesartan, verapamil, nortriptyline, sodium valproate or topiramate</w:t>
      </w:r>
      <w:r w:rsidR="009F125E">
        <w:t xml:space="preserve">). </w:t>
      </w:r>
    </w:p>
    <w:p w:rsidR="008574AB" w:rsidRPr="005B4FCD" w:rsidRDefault="008574AB" w:rsidP="008B2C07">
      <w:pPr>
        <w:pStyle w:val="ListParagraph"/>
      </w:pPr>
      <w:r w:rsidRPr="005B4FCD">
        <w:t>Around 15% of patients in REGAIN received treatment with concurrent preventive therapy during the trial (topiramate or propranolol).</w:t>
      </w:r>
    </w:p>
    <w:p w:rsidR="00C74141" w:rsidRDefault="008574AB" w:rsidP="008B2C07">
      <w:pPr>
        <w:pStyle w:val="ListParagraph"/>
      </w:pPr>
      <w:r w:rsidRPr="005B4FCD">
        <w:t>In Study 30068, Study 295 and REGAIN, the placebo intervention consisted of</w:t>
      </w:r>
      <w:r w:rsidR="00211534" w:rsidRPr="005B4FCD">
        <w:t xml:space="preserve"> 1 to </w:t>
      </w:r>
      <w:r w:rsidRPr="005B4FCD">
        <w:t>3 subcutaneous injections, whereas in PREEMPT1/2, the placebo intervention consisted of intramuscular injections to 31 to 39 sites in the face and neck.</w:t>
      </w:r>
    </w:p>
    <w:p w:rsidR="00C74141" w:rsidRDefault="008574AB">
      <w:pPr>
        <w:pStyle w:val="ListParagraph"/>
      </w:pPr>
      <w:r w:rsidRPr="005B4FCD">
        <w:t>Headache/migraine days were based on a headache length of ≥30 minutes in REGAIN, whereas Study 30068, PREEMPT1/2, and Study 295 were based on a headache length of ≥4 hours.</w:t>
      </w:r>
    </w:p>
    <w:p w:rsidR="008574AB" w:rsidRPr="005B4FCD" w:rsidRDefault="008574AB">
      <w:pPr>
        <w:pStyle w:val="ListParagraph"/>
      </w:pPr>
      <w:r w:rsidRPr="005B4FCD">
        <w:t>Response was based on a ≥50% reduction in monthly headache days in PREEMPT1/2, whereas response was based on a ≥50% reduction in monthly migraine days in Study 30068, Study 295 and REGAIN.</w:t>
      </w:r>
    </w:p>
    <w:p w:rsidR="008574AB" w:rsidRDefault="008574AB">
      <w:pPr>
        <w:pStyle w:val="ListParagraph"/>
      </w:pPr>
      <w:r w:rsidRPr="005B4FCD">
        <w:t>In the PREEMPT trials, assessments were conducted at 12 and 24 weeks, whereas Study 30068, Study 295 and REGAIN were based on assessment at 12 weeks. Outcome data for the 12-week time point was not available for the subgroup of patients with ≥3 prior treatment</w:t>
      </w:r>
      <w:r w:rsidR="00F77E79">
        <w:t xml:space="preserve"> failures </w:t>
      </w:r>
      <w:r w:rsidR="00211534" w:rsidRPr="005B4FCD">
        <w:t>in PREEMPT1/2</w:t>
      </w:r>
      <w:r w:rsidRPr="005B4FCD">
        <w:t>.</w:t>
      </w:r>
    </w:p>
    <w:p w:rsidR="00BF786B" w:rsidRPr="001341EF" w:rsidRDefault="00BF786B" w:rsidP="000F2EE3">
      <w:pPr>
        <w:pStyle w:val="3-BodyText"/>
      </w:pPr>
      <w:r w:rsidRPr="001341EF">
        <w:t xml:space="preserve">The interim clinical study report for study 30068 presented results from 2076 anti-drug antibody (ADA) samples collected </w:t>
      </w:r>
      <w:r w:rsidRPr="00D16FCB">
        <w:t xml:space="preserve">from </w:t>
      </w:r>
      <w:r w:rsidR="00D11BC9">
        <w:rPr>
          <w:noProof/>
          <w:color w:val="000000"/>
          <w:highlight w:val="black"/>
        </w:rPr>
        <w:t>'''''''</w:t>
      </w:r>
      <w:r w:rsidRPr="00D16FCB">
        <w:t xml:space="preserve"> drug-treated</w:t>
      </w:r>
      <w:r w:rsidRPr="001341EF">
        <w:t xml:space="preserve"> patients (chronic and episodic migraine patients). </w:t>
      </w:r>
      <w:r w:rsidR="00D11BC9">
        <w:rPr>
          <w:noProof/>
          <w:color w:val="000000"/>
          <w:highlight w:val="black"/>
        </w:rPr>
        <w:t xml:space="preserve">'''''''' </w:t>
      </w:r>
      <w:r w:rsidRPr="001341EF">
        <w:t xml:space="preserve">out of </w:t>
      </w:r>
      <w:r w:rsidR="00D11BC9">
        <w:rPr>
          <w:noProof/>
          <w:color w:val="000000"/>
          <w:highlight w:val="black"/>
        </w:rPr>
        <w:t>'''''''</w:t>
      </w:r>
      <w:r w:rsidRPr="001341EF">
        <w:t xml:space="preserve"> patients (</w:t>
      </w:r>
      <w:r w:rsidR="00D11BC9">
        <w:rPr>
          <w:noProof/>
          <w:color w:val="000000"/>
          <w:highlight w:val="black"/>
        </w:rPr>
        <w:t>'''''''</w:t>
      </w:r>
      <w:r w:rsidRPr="001341EF">
        <w:t xml:space="preserve">%) were identified as having a treatment-emergent antidrug antibody response. </w:t>
      </w:r>
      <w:r w:rsidR="00D11BC9">
        <w:rPr>
          <w:noProof/>
          <w:color w:val="000000"/>
          <w:highlight w:val="black"/>
        </w:rPr>
        <w:t>''''''''</w:t>
      </w:r>
      <w:r w:rsidRPr="001341EF">
        <w:t xml:space="preserve"> of the </w:t>
      </w:r>
      <w:r w:rsidR="00D11BC9">
        <w:rPr>
          <w:noProof/>
          <w:color w:val="000000"/>
          <w:highlight w:val="black"/>
        </w:rPr>
        <w:t>'''</w:t>
      </w:r>
      <w:r w:rsidR="00F72B1F" w:rsidRPr="001341EF">
        <w:t xml:space="preserve"> </w:t>
      </w:r>
      <w:r w:rsidRPr="001341EF">
        <w:t>patients identified as having treatment-emergent anti-drug antibody responses</w:t>
      </w:r>
      <w:r w:rsidR="00881A24" w:rsidRPr="001341EF">
        <w:t xml:space="preserve"> </w:t>
      </w:r>
      <w:r w:rsidRPr="001341EF">
        <w:t>were determined to have developed neutralising activity in the neutralising antibody assay. The ESC considered that poor adherence to the treatment may increase the likelihood of developing ADAs</w:t>
      </w:r>
      <w:r w:rsidR="00881147" w:rsidRPr="001341EF">
        <w:t>, and that it was unclear what this likelihood would be in a real world setting with patients who have comorbidities.</w:t>
      </w:r>
    </w:p>
    <w:p w:rsidR="000A66F1" w:rsidRPr="006258D8" w:rsidRDefault="00C317F3" w:rsidP="00021367">
      <w:pPr>
        <w:pStyle w:val="4-SubsectionHeading"/>
      </w:pPr>
      <w:bookmarkStart w:id="14" w:name="_Toc413139278"/>
      <w:bookmarkStart w:id="15" w:name="_Toc19693419"/>
      <w:r w:rsidRPr="006258D8">
        <w:t>Comparative effectiveness</w:t>
      </w:r>
      <w:bookmarkEnd w:id="14"/>
      <w:bookmarkEnd w:id="15"/>
    </w:p>
    <w:p w:rsidR="00C317F3" w:rsidRPr="006258D8" w:rsidRDefault="003F1940" w:rsidP="000F2EE3">
      <w:pPr>
        <w:pStyle w:val="3-BodyText"/>
      </w:pPr>
      <w:r w:rsidRPr="006258D8">
        <w:t>The submission noted that a</w:t>
      </w:r>
      <w:r w:rsidR="004F10E5" w:rsidRPr="006258D8">
        <w:t xml:space="preserve"> minim</w:t>
      </w:r>
      <w:r w:rsidR="002053AA" w:rsidRPr="006258D8">
        <w:t>al</w:t>
      </w:r>
      <w:r w:rsidR="004F10E5" w:rsidRPr="006258D8">
        <w:t xml:space="preserve"> clinical</w:t>
      </w:r>
      <w:r w:rsidR="003F2918" w:rsidRPr="006258D8">
        <w:t>ly</w:t>
      </w:r>
      <w:r w:rsidR="004F10E5" w:rsidRPr="006258D8">
        <w:t xml:space="preserve"> important difference (</w:t>
      </w:r>
      <w:r w:rsidRPr="006258D8">
        <w:t>MCID</w:t>
      </w:r>
      <w:r w:rsidR="004F10E5" w:rsidRPr="006258D8">
        <w:t>)</w:t>
      </w:r>
      <w:r w:rsidRPr="006258D8">
        <w:t xml:space="preserve"> of around 2 to 3 days for monthly headache days ha</w:t>
      </w:r>
      <w:r w:rsidR="004D29DE">
        <w:t>d</w:t>
      </w:r>
      <w:r w:rsidRPr="006258D8">
        <w:t xml:space="preserve"> previously been accepted by </w:t>
      </w:r>
      <w:r w:rsidR="00342481">
        <w:t xml:space="preserve">the </w:t>
      </w:r>
      <w:r w:rsidRPr="006258D8">
        <w:t xml:space="preserve">PBAC. </w:t>
      </w:r>
      <w:r w:rsidR="00342481">
        <w:t xml:space="preserve">The </w:t>
      </w:r>
      <w:r w:rsidRPr="006258D8">
        <w:t>PBAC previously considered that a reduction of 2-3 headache days per month could be considered to be a clinically important benefit (Section 12, p.5</w:t>
      </w:r>
      <w:r w:rsidR="007B2606">
        <w:t>,</w:t>
      </w:r>
      <w:r w:rsidRPr="006258D8">
        <w:t xml:space="preserve"> </w:t>
      </w:r>
      <w:r w:rsidR="007B2606" w:rsidRPr="006258D8">
        <w:t>Botox PSD</w:t>
      </w:r>
      <w:r w:rsidR="007B2606">
        <w:t xml:space="preserve">, </w:t>
      </w:r>
      <w:r w:rsidRPr="006258D8">
        <w:t>July 2012</w:t>
      </w:r>
      <w:r w:rsidR="007B2606">
        <w:t xml:space="preserve"> PBAC meeting</w:t>
      </w:r>
      <w:r w:rsidRPr="006258D8">
        <w:t>).</w:t>
      </w:r>
    </w:p>
    <w:p w:rsidR="00C74141" w:rsidRDefault="003F1940" w:rsidP="000F2EE3">
      <w:pPr>
        <w:pStyle w:val="3-BodyText"/>
      </w:pPr>
      <w:r w:rsidRPr="006258D8">
        <w:t xml:space="preserve">The submission proposed an MCID of at least 2 days for monthly migraine days, based on the assumption that the MCID for migraine days is likely </w:t>
      </w:r>
      <w:r w:rsidR="00844767">
        <w:t xml:space="preserve">to </w:t>
      </w:r>
      <w:r w:rsidRPr="006258D8">
        <w:t>be the same or very similar to the MCID for headache days.</w:t>
      </w:r>
    </w:p>
    <w:p w:rsidR="003F1940" w:rsidRPr="006258D8" w:rsidRDefault="003F1940" w:rsidP="00EC4C47">
      <w:pPr>
        <w:pStyle w:val="3-BodyText"/>
      </w:pPr>
      <w:r w:rsidRPr="006258D8">
        <w:t xml:space="preserve">The submission </w:t>
      </w:r>
      <w:r w:rsidR="00036871" w:rsidRPr="006258D8">
        <w:t xml:space="preserve">claimed </w:t>
      </w:r>
      <w:r w:rsidRPr="006258D8">
        <w:t xml:space="preserve">that, based on a headache MCID of at least 2-3 days, a reasonable non-inferiority margin </w:t>
      </w:r>
      <w:r w:rsidR="004F10E5" w:rsidRPr="006258D8">
        <w:t xml:space="preserve">for monthly migraine days </w:t>
      </w:r>
      <w:r w:rsidRPr="006258D8">
        <w:t>would be around 2 days.</w:t>
      </w:r>
    </w:p>
    <w:p w:rsidR="00C74141" w:rsidRDefault="009245DB" w:rsidP="00001A3D">
      <w:pPr>
        <w:pStyle w:val="3-BodyText"/>
      </w:pPr>
      <w:r w:rsidRPr="006258D8">
        <w:t xml:space="preserve">Outcomes for Study 30068 were based on the change in migraine/headache days from baseline over the 12-week double-blind treatment period. The submission also presented results for the change from baseline to the final 4 weeks of the double-blind treatment period. These results were used in the indirect comparisons versus Botox and erenumab </w:t>
      </w:r>
      <w:r w:rsidR="00AF69AB" w:rsidRPr="006258D8">
        <w:t>for consistency with the reported outcomes in PREEMPT1/2 and Study 295.</w:t>
      </w:r>
    </w:p>
    <w:p w:rsidR="000A66F1" w:rsidRPr="005B4FCD" w:rsidRDefault="000A66F1" w:rsidP="00021367">
      <w:pPr>
        <w:pStyle w:val="5-SubsectionSubheading"/>
      </w:pPr>
      <w:r w:rsidRPr="005B4FCD">
        <w:t>Fremanezumab versus placebo</w:t>
      </w:r>
    </w:p>
    <w:p w:rsidR="00C317F3" w:rsidRPr="006258D8" w:rsidRDefault="000A66F1" w:rsidP="000F2EE3">
      <w:pPr>
        <w:pStyle w:val="3-BodyText"/>
      </w:pPr>
      <w:r w:rsidRPr="006258D8">
        <w:t xml:space="preserve">Results of the comparison between fremanezumab and placebo </w:t>
      </w:r>
      <w:r w:rsidR="00D43159" w:rsidRPr="006258D8">
        <w:t>for</w:t>
      </w:r>
      <w:r w:rsidRPr="006258D8">
        <w:t xml:space="preserve"> Study 30068 </w:t>
      </w:r>
      <w:r w:rsidR="00D43159" w:rsidRPr="006258D8">
        <w:t xml:space="preserve">based on the </w:t>
      </w:r>
      <w:r w:rsidR="00D131AC" w:rsidRPr="006258D8">
        <w:t>chronic migraine</w:t>
      </w:r>
      <w:r w:rsidRPr="006258D8">
        <w:t xml:space="preserve"> </w:t>
      </w:r>
      <w:r w:rsidR="00D131AC" w:rsidRPr="006258D8">
        <w:t xml:space="preserve">population </w:t>
      </w:r>
      <w:r w:rsidRPr="006258D8">
        <w:t xml:space="preserve">are summarised in </w:t>
      </w:r>
      <w:r w:rsidRPr="002A67DD">
        <w:t xml:space="preserve">Table </w:t>
      </w:r>
      <w:r w:rsidR="002206AC">
        <w:t>4</w:t>
      </w:r>
      <w:r w:rsidRPr="002A67DD">
        <w:t>.</w:t>
      </w:r>
    </w:p>
    <w:p w:rsidR="001C2A7D" w:rsidRDefault="001C2A7D" w:rsidP="00613D0B">
      <w:pPr>
        <w:pStyle w:val="TableFigureHeading"/>
      </w:pPr>
      <w:r>
        <w:t xml:space="preserve">Table </w:t>
      </w:r>
      <w:r w:rsidR="009D4178">
        <w:rPr>
          <w:noProof/>
        </w:rPr>
        <w:t>4</w:t>
      </w:r>
      <w:r w:rsidRPr="00113A7C">
        <w:t>:</w:t>
      </w:r>
      <w:r w:rsidR="00340302">
        <w:t xml:space="preserve"> </w:t>
      </w:r>
      <w:r w:rsidR="00D61AF0" w:rsidRPr="00113A7C">
        <w:t>Results for key outcomes of Study 30068 for the chronic migraine population</w:t>
      </w:r>
    </w:p>
    <w:tbl>
      <w:tblPr>
        <w:tblW w:w="5000" w:type="pct"/>
        <w:tblLook w:val="04A0" w:firstRow="1" w:lastRow="0" w:firstColumn="1" w:lastColumn="0" w:noHBand="0" w:noVBand="1"/>
      </w:tblPr>
      <w:tblGrid>
        <w:gridCol w:w="2325"/>
        <w:gridCol w:w="1159"/>
        <w:gridCol w:w="1459"/>
        <w:gridCol w:w="1159"/>
        <w:gridCol w:w="1313"/>
        <w:gridCol w:w="1601"/>
      </w:tblGrid>
      <w:tr w:rsidR="00D131AC" w:rsidRPr="006258D8" w:rsidTr="0056100B">
        <w:trPr>
          <w:tblHeader/>
        </w:trPr>
        <w:tc>
          <w:tcPr>
            <w:tcW w:w="1289" w:type="pct"/>
            <w:vMerge w:val="restart"/>
            <w:tcBorders>
              <w:top w:val="sing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Outcome/treatment arm</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 xml:space="preserve">Fremanezumab </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C74141" w:rsidRDefault="00D131AC" w:rsidP="00613D0B">
            <w:pPr>
              <w:pStyle w:val="PbacTableHeading"/>
              <w:keepNext/>
              <w:keepLines/>
              <w:tabs>
                <w:tab w:val="left" w:pos="167"/>
              </w:tabs>
              <w:spacing w:after="0"/>
              <w:jc w:val="center"/>
            </w:pPr>
            <w:r w:rsidRPr="006258D8">
              <w:t>Placebo</w:t>
            </w:r>
          </w:p>
          <w:p w:rsidR="00D131AC" w:rsidRPr="006258D8" w:rsidRDefault="00D131AC" w:rsidP="00613D0B">
            <w:pPr>
              <w:pStyle w:val="PbacTableHeading"/>
              <w:keepNext/>
              <w:keepLines/>
              <w:tabs>
                <w:tab w:val="left" w:pos="167"/>
              </w:tabs>
              <w:spacing w:after="0"/>
              <w:jc w:val="center"/>
            </w:pPr>
            <w:r w:rsidRPr="006258D8">
              <w:t>(N=167)</w:t>
            </w:r>
          </w:p>
        </w:tc>
        <w:tc>
          <w:tcPr>
            <w:tcW w:w="888" w:type="pct"/>
            <w:vMerge w:val="restart"/>
            <w:tcBorders>
              <w:top w:val="sing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Mean difference (95% CI)</w:t>
            </w:r>
          </w:p>
        </w:tc>
      </w:tr>
      <w:tr w:rsidR="00D131AC" w:rsidRPr="006258D8" w:rsidTr="0056100B">
        <w:trPr>
          <w:tblHeader/>
        </w:trPr>
        <w:tc>
          <w:tcPr>
            <w:tcW w:w="1289" w:type="pct"/>
            <w:vMerge/>
            <w:tcBorders>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Baseline mean (SD)</w:t>
            </w:r>
          </w:p>
        </w:tc>
        <w:tc>
          <w:tcPr>
            <w:tcW w:w="80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LSM change (95% CI)</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Baseline mean (SD)</w:t>
            </w:r>
          </w:p>
        </w:tc>
        <w:tc>
          <w:tcPr>
            <w:tcW w:w="728"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LSM change (95% CI)</w:t>
            </w:r>
          </w:p>
        </w:tc>
        <w:tc>
          <w:tcPr>
            <w:tcW w:w="888" w:type="pct"/>
            <w:vMerge/>
            <w:tcBorders>
              <w:left w:val="single" w:sz="4" w:space="0" w:color="auto"/>
              <w:bottom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p>
        </w:tc>
      </w:tr>
      <w:tr w:rsidR="00D131AC" w:rsidRPr="006258D8" w:rsidTr="00D96193">
        <w:tc>
          <w:tcPr>
            <w:tcW w:w="5000" w:type="pct"/>
            <w:gridSpan w:val="6"/>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rPr>
                <w:b/>
              </w:rPr>
            </w:pPr>
            <w:r w:rsidRPr="006258D8">
              <w:rPr>
                <w:b/>
              </w:rPr>
              <w:t xml:space="preserve">Change from baseline in monthly migraine days </w:t>
            </w:r>
          </w:p>
        </w:tc>
      </w:tr>
      <w:tr w:rsidR="00D131AC" w:rsidRPr="006258D8" w:rsidTr="00D96193">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A06308" w:rsidP="00613D0B">
            <w:pPr>
              <w:pStyle w:val="PBACTableText"/>
              <w:keepNext/>
              <w:keepLines/>
              <w:tabs>
                <w:tab w:val="left" w:pos="167"/>
              </w:tabs>
              <w:spacing w:before="0" w:after="0"/>
            </w:pPr>
            <w:r w:rsidRPr="006258D8">
              <w:t xml:space="preserve">FREM </w:t>
            </w:r>
            <w:r w:rsidR="00D131AC" w:rsidRPr="006258D8">
              <w:t>225 mg</w:t>
            </w:r>
            <w:r w:rsidR="00036871" w:rsidRPr="006258D8">
              <w:t xml:space="preserve"> 4-weekly</w:t>
            </w:r>
            <w:r w:rsidR="00D131AC" w:rsidRPr="006258D8">
              <w:t xml:space="preserve"> (N=173)</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Default="00D131AC" w:rsidP="00613D0B">
            <w:pPr>
              <w:pStyle w:val="PBACTableText"/>
              <w:keepNext/>
              <w:keepLines/>
              <w:tabs>
                <w:tab w:val="left" w:pos="167"/>
              </w:tabs>
              <w:spacing w:before="0" w:after="0"/>
              <w:jc w:val="center"/>
            </w:pPr>
            <w:r w:rsidRPr="006258D8">
              <w:t>-4.5</w:t>
            </w:r>
          </w:p>
          <w:p w:rsidR="00D131AC" w:rsidRPr="006258D8" w:rsidRDefault="00D131AC" w:rsidP="00613D0B">
            <w:pPr>
              <w:pStyle w:val="PBACTableText"/>
              <w:keepNext/>
              <w:keepLines/>
              <w:tabs>
                <w:tab w:val="left" w:pos="167"/>
              </w:tabs>
              <w:spacing w:before="0" w:after="0"/>
              <w:jc w:val="center"/>
            </w:pPr>
            <w:r w:rsidRPr="006258D8">
              <w:t xml:space="preserve">(-5.39, -3.61) </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Default="00D131AC" w:rsidP="00613D0B">
            <w:pPr>
              <w:pStyle w:val="PBACTableText"/>
              <w:keepNext/>
              <w:keepLines/>
              <w:tabs>
                <w:tab w:val="left" w:pos="167"/>
              </w:tabs>
              <w:spacing w:before="0" w:after="0"/>
              <w:jc w:val="center"/>
            </w:pPr>
            <w:r w:rsidRPr="006258D8">
              <w:t>-0.7</w:t>
            </w:r>
          </w:p>
          <w:p w:rsidR="00D131AC" w:rsidRPr="006258D8" w:rsidRDefault="00D131AC" w:rsidP="00613D0B">
            <w:pPr>
              <w:pStyle w:val="PBACTableText"/>
              <w:keepNext/>
              <w:keepLines/>
              <w:tabs>
                <w:tab w:val="left" w:pos="167"/>
              </w:tabs>
              <w:spacing w:before="0" w:after="0"/>
              <w:jc w:val="center"/>
            </w:pPr>
            <w:r w:rsidRPr="006258D8">
              <w:t>(-1.64, 0.20)</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jc w:val="center"/>
              <w:rPr>
                <w:b/>
              </w:rPr>
            </w:pPr>
            <w:r w:rsidRPr="006258D8">
              <w:rPr>
                <w:b/>
              </w:rPr>
              <w:t>-3.8 (-4.76, -2.80)</w:t>
            </w:r>
          </w:p>
        </w:tc>
      </w:tr>
      <w:tr w:rsidR="00D131AC" w:rsidRPr="006258D8" w:rsidTr="00D96193">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036871" w:rsidP="00613D0B">
            <w:pPr>
              <w:pStyle w:val="PBACTableText"/>
              <w:keepNext/>
              <w:keepLines/>
              <w:tabs>
                <w:tab w:val="left" w:pos="167"/>
              </w:tabs>
              <w:spacing w:before="0" w:after="0"/>
            </w:pPr>
            <w:r w:rsidRPr="006258D8">
              <w:t xml:space="preserve">FREM </w:t>
            </w:r>
            <w:r w:rsidR="00D131AC" w:rsidRPr="006258D8">
              <w:t xml:space="preserve">675 mg </w:t>
            </w:r>
            <w:r w:rsidRPr="006258D8">
              <w:t>12-weekly</w:t>
            </w:r>
            <w:r w:rsidR="00D131AC" w:rsidRPr="006258D8">
              <w:t xml:space="preserve"> (N=169)</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jc w:val="center"/>
            </w:pPr>
            <w:r w:rsidRPr="006258D8">
              <w:t>-3.9</w:t>
            </w:r>
          </w:p>
          <w:p w:rsidR="00D131AC" w:rsidRPr="006258D8" w:rsidRDefault="00D131AC" w:rsidP="00613D0B">
            <w:pPr>
              <w:pStyle w:val="PBACTableText"/>
              <w:keepNext/>
              <w:keepLines/>
              <w:tabs>
                <w:tab w:val="left" w:pos="167"/>
              </w:tabs>
              <w:spacing w:before="0" w:after="0"/>
              <w:jc w:val="center"/>
            </w:pPr>
            <w:r w:rsidRPr="006258D8">
              <w:t xml:space="preserve"> (-4.79, -2.99)</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Default="00D131AC" w:rsidP="00613D0B">
            <w:pPr>
              <w:pStyle w:val="PBACTableText"/>
              <w:keepNext/>
              <w:keepLines/>
              <w:tabs>
                <w:tab w:val="left" w:pos="167"/>
              </w:tabs>
              <w:spacing w:before="0" w:after="0"/>
              <w:jc w:val="center"/>
            </w:pPr>
            <w:r w:rsidRPr="006258D8">
              <w:t>-0.7</w:t>
            </w:r>
          </w:p>
          <w:p w:rsidR="00D131AC" w:rsidRPr="006258D8" w:rsidRDefault="00D131AC" w:rsidP="00613D0B">
            <w:pPr>
              <w:pStyle w:val="PBACTableText"/>
              <w:keepNext/>
              <w:keepLines/>
              <w:tabs>
                <w:tab w:val="left" w:pos="167"/>
              </w:tabs>
              <w:spacing w:before="0" w:after="0"/>
              <w:jc w:val="center"/>
            </w:pPr>
            <w:r w:rsidRPr="006258D8">
              <w:t>(-1.64, 0.20)</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jc w:val="center"/>
              <w:rPr>
                <w:b/>
              </w:rPr>
            </w:pPr>
            <w:r w:rsidRPr="006258D8">
              <w:rPr>
                <w:b/>
              </w:rPr>
              <w:t>-3.2 (-4.16, -2.18)</w:t>
            </w:r>
          </w:p>
        </w:tc>
      </w:tr>
      <w:tr w:rsidR="00CD7374" w:rsidRPr="006258D8" w:rsidTr="009B73DF">
        <w:tc>
          <w:tcPr>
            <w:tcW w:w="4112" w:type="pct"/>
            <w:gridSpan w:val="5"/>
            <w:tcBorders>
              <w:top w:val="single" w:sz="4" w:space="0" w:color="auto"/>
              <w:left w:val="single" w:sz="4" w:space="0" w:color="auto"/>
              <w:bottom w:val="single" w:sz="4" w:space="0" w:color="auto"/>
              <w:right w:val="single" w:sz="4" w:space="0" w:color="auto"/>
            </w:tcBorders>
            <w:vAlign w:val="center"/>
          </w:tcPr>
          <w:p w:rsidR="00CD7374" w:rsidRPr="006258D8" w:rsidRDefault="00CD7374" w:rsidP="00613D0B">
            <w:pPr>
              <w:pStyle w:val="PBACTableText"/>
              <w:keepNext/>
              <w:keepLines/>
              <w:tabs>
                <w:tab w:val="left" w:pos="167"/>
              </w:tabs>
              <w:spacing w:before="0" w:after="0"/>
              <w:jc w:val="right"/>
            </w:pPr>
            <w:r w:rsidRPr="006258D8">
              <w:t>Fremanezumab 225 mg 4-weekly versus fremanezumab 675 mg 12-weekly</w:t>
            </w:r>
          </w:p>
        </w:tc>
        <w:tc>
          <w:tcPr>
            <w:tcW w:w="888" w:type="pct"/>
            <w:tcBorders>
              <w:top w:val="single" w:sz="4" w:space="0" w:color="auto"/>
              <w:left w:val="single" w:sz="4" w:space="0" w:color="auto"/>
              <w:bottom w:val="single" w:sz="4" w:space="0" w:color="auto"/>
              <w:right w:val="single" w:sz="4" w:space="0" w:color="auto"/>
            </w:tcBorders>
            <w:vAlign w:val="center"/>
          </w:tcPr>
          <w:p w:rsidR="00CD7374" w:rsidRPr="006258D8" w:rsidRDefault="00CD7374" w:rsidP="00613D0B">
            <w:pPr>
              <w:pStyle w:val="PBACTableText"/>
              <w:keepNext/>
              <w:keepLines/>
              <w:tabs>
                <w:tab w:val="left" w:pos="167"/>
              </w:tabs>
              <w:spacing w:before="0" w:after="0"/>
              <w:jc w:val="center"/>
            </w:pPr>
            <w:r w:rsidRPr="006258D8">
              <w:t>-0.6 (-1.59, 0.37)</w:t>
            </w:r>
          </w:p>
        </w:tc>
      </w:tr>
      <w:tr w:rsidR="00D131AC" w:rsidRPr="006258D8" w:rsidTr="00D96193">
        <w:tc>
          <w:tcPr>
            <w:tcW w:w="5000" w:type="pct"/>
            <w:gridSpan w:val="6"/>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rPr>
                <w:b/>
              </w:rPr>
            </w:pPr>
            <w:r w:rsidRPr="006258D8">
              <w:rPr>
                <w:b/>
              </w:rPr>
              <w:t xml:space="preserve">Change from baseline in monthly headache days </w:t>
            </w:r>
          </w:p>
        </w:tc>
      </w:tr>
      <w:tr w:rsidR="00D131AC" w:rsidRPr="006258D8" w:rsidTr="00D96193">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036871" w:rsidP="00613D0B">
            <w:pPr>
              <w:pStyle w:val="PBACTableText"/>
              <w:keepNext/>
              <w:keepLines/>
              <w:tabs>
                <w:tab w:val="left" w:pos="167"/>
              </w:tabs>
              <w:spacing w:before="0" w:after="0"/>
            </w:pPr>
            <w:r w:rsidRPr="006258D8">
              <w:t xml:space="preserve">FREM </w:t>
            </w:r>
            <w:r w:rsidR="00D131AC" w:rsidRPr="006258D8">
              <w:t xml:space="preserve">225 mg </w:t>
            </w:r>
            <w:r w:rsidRPr="006258D8">
              <w:t xml:space="preserve">4-weekly </w:t>
            </w:r>
            <w:r w:rsidR="00D131AC" w:rsidRPr="006258D8">
              <w:t>(N=173)</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613D0B">
            <w:pPr>
              <w:pStyle w:val="PBACTableText"/>
              <w:keepNext/>
              <w:keepLines/>
              <w:tabs>
                <w:tab w:val="left" w:pos="167"/>
              </w:tabs>
              <w:spacing w:before="0" w:after="0"/>
              <w:jc w:val="center"/>
              <w:rPr>
                <w:highlight w:val="black"/>
              </w:rPr>
            </w:pPr>
            <w:r>
              <w:rPr>
                <w:noProof/>
                <w:color w:val="000000"/>
                <w:highlight w:val="black"/>
              </w:rPr>
              <w:t>'''''''''</w:t>
            </w:r>
          </w:p>
          <w:p w:rsidR="00D131AC" w:rsidRPr="006258D8" w:rsidRDefault="00D131AC" w:rsidP="00613D0B">
            <w:pPr>
              <w:pStyle w:val="PBACTableText"/>
              <w:keepNext/>
              <w:keepLines/>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613D0B">
            <w:pPr>
              <w:pStyle w:val="PBACTableText"/>
              <w:keepNext/>
              <w:keepLines/>
              <w:tabs>
                <w:tab w:val="left" w:pos="167"/>
              </w:tabs>
              <w:spacing w:before="0" w:after="0"/>
              <w:jc w:val="center"/>
              <w:rPr>
                <w:highlight w:val="black"/>
              </w:rPr>
            </w:pPr>
            <w:r>
              <w:rPr>
                <w:noProof/>
                <w:color w:val="000000"/>
                <w:highlight w:val="black"/>
              </w:rPr>
              <w:t>''''''''''</w:t>
            </w:r>
          </w:p>
          <w:p w:rsidR="00D131AC" w:rsidRPr="006258D8" w:rsidRDefault="00D131AC" w:rsidP="00613D0B">
            <w:pPr>
              <w:pStyle w:val="PBACTableText"/>
              <w:keepNext/>
              <w:keepLines/>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D96193">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036871" w:rsidP="00613D0B">
            <w:pPr>
              <w:pStyle w:val="PBACTableText"/>
              <w:keepNext/>
              <w:keepLines/>
              <w:tabs>
                <w:tab w:val="left" w:pos="167"/>
              </w:tabs>
              <w:spacing w:before="0" w:after="0"/>
            </w:pPr>
            <w:r w:rsidRPr="006258D8">
              <w:t xml:space="preserve">FREM </w:t>
            </w:r>
            <w:r w:rsidR="00D131AC" w:rsidRPr="006258D8">
              <w:t xml:space="preserve">675 mg </w:t>
            </w:r>
            <w:r w:rsidRPr="006258D8">
              <w:t>12-weekly</w:t>
            </w:r>
            <w:r w:rsidR="00D131AC" w:rsidRPr="006258D8">
              <w:t xml:space="preserve"> (N=169)</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613D0B">
            <w:pPr>
              <w:pStyle w:val="PBACTableText"/>
              <w:keepNext/>
              <w:keepLines/>
              <w:tabs>
                <w:tab w:val="left" w:pos="167"/>
              </w:tabs>
              <w:spacing w:before="0" w:after="0"/>
              <w:jc w:val="center"/>
              <w:rPr>
                <w:highlight w:val="black"/>
              </w:rPr>
            </w:pPr>
            <w:r>
              <w:rPr>
                <w:noProof/>
                <w:color w:val="000000"/>
                <w:highlight w:val="black"/>
              </w:rPr>
              <w:t>'''''''''</w:t>
            </w:r>
          </w:p>
          <w:p w:rsidR="00D131AC" w:rsidRPr="006258D8" w:rsidRDefault="00D131AC" w:rsidP="00613D0B">
            <w:pPr>
              <w:pStyle w:val="PBACTableText"/>
              <w:keepNext/>
              <w:keepLines/>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613D0B">
            <w:pPr>
              <w:pStyle w:val="PBACTableText"/>
              <w:keepNext/>
              <w:keepLines/>
              <w:tabs>
                <w:tab w:val="left" w:pos="167"/>
              </w:tabs>
              <w:spacing w:before="0" w:after="0"/>
              <w:jc w:val="center"/>
              <w:rPr>
                <w:highlight w:val="black"/>
              </w:rPr>
            </w:pPr>
            <w:r>
              <w:rPr>
                <w:noProof/>
                <w:color w:val="000000"/>
                <w:highlight w:val="black"/>
              </w:rPr>
              <w:t>'''''''''</w:t>
            </w:r>
          </w:p>
          <w:p w:rsidR="00D131AC" w:rsidRPr="006258D8" w:rsidRDefault="00D131AC" w:rsidP="00613D0B">
            <w:pPr>
              <w:pStyle w:val="PBACTableText"/>
              <w:keepNext/>
              <w:keepLines/>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D96193">
        <w:tc>
          <w:tcPr>
            <w:tcW w:w="1289" w:type="pct"/>
            <w:tcBorders>
              <w:top w:val="doub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pPr>
          </w:p>
        </w:tc>
        <w:tc>
          <w:tcPr>
            <w:tcW w:w="1452" w:type="pct"/>
            <w:gridSpan w:val="2"/>
            <w:tcBorders>
              <w:top w:val="doub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Fremanezumab</w:t>
            </w:r>
          </w:p>
          <w:p w:rsidR="00D131AC" w:rsidRPr="006258D8" w:rsidRDefault="00D131AC" w:rsidP="00613D0B">
            <w:pPr>
              <w:pStyle w:val="PbacTableHeading"/>
              <w:keepNext/>
              <w:keepLines/>
              <w:tabs>
                <w:tab w:val="left" w:pos="167"/>
              </w:tabs>
              <w:spacing w:after="0"/>
              <w:jc w:val="center"/>
            </w:pPr>
            <w:r w:rsidRPr="006258D8">
              <w:t>n with event/N (%)</w:t>
            </w:r>
          </w:p>
        </w:tc>
        <w:tc>
          <w:tcPr>
            <w:tcW w:w="1371" w:type="pct"/>
            <w:gridSpan w:val="2"/>
            <w:tcBorders>
              <w:top w:val="doub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Placebo</w:t>
            </w:r>
          </w:p>
          <w:p w:rsidR="00D131AC" w:rsidRPr="006258D8" w:rsidRDefault="00D131AC" w:rsidP="00613D0B">
            <w:pPr>
              <w:pStyle w:val="PbacTableHeading"/>
              <w:keepNext/>
              <w:keepLines/>
              <w:tabs>
                <w:tab w:val="left" w:pos="167"/>
              </w:tabs>
              <w:spacing w:after="0"/>
              <w:jc w:val="center"/>
            </w:pPr>
            <w:r w:rsidRPr="006258D8">
              <w:t xml:space="preserve">n with event/N (%) </w:t>
            </w:r>
          </w:p>
        </w:tc>
        <w:tc>
          <w:tcPr>
            <w:tcW w:w="888" w:type="pct"/>
            <w:tcBorders>
              <w:top w:val="double" w:sz="4" w:space="0" w:color="auto"/>
              <w:left w:val="single" w:sz="4" w:space="0" w:color="auto"/>
              <w:right w:val="single" w:sz="4" w:space="0" w:color="auto"/>
            </w:tcBorders>
            <w:vAlign w:val="center"/>
          </w:tcPr>
          <w:p w:rsidR="00D131AC" w:rsidRPr="006258D8" w:rsidRDefault="00D131AC" w:rsidP="00613D0B">
            <w:pPr>
              <w:pStyle w:val="PbacTableHeading"/>
              <w:keepNext/>
              <w:keepLines/>
              <w:tabs>
                <w:tab w:val="left" w:pos="167"/>
              </w:tabs>
              <w:spacing w:after="0"/>
              <w:jc w:val="center"/>
            </w:pPr>
            <w:r w:rsidRPr="006258D8">
              <w:t>Odds ratio</w:t>
            </w:r>
          </w:p>
          <w:p w:rsidR="00D131AC" w:rsidRPr="006258D8" w:rsidRDefault="00D131AC" w:rsidP="00613D0B">
            <w:pPr>
              <w:pStyle w:val="PbacTableHeading"/>
              <w:keepNext/>
              <w:keepLines/>
              <w:tabs>
                <w:tab w:val="left" w:pos="167"/>
              </w:tabs>
              <w:spacing w:after="0"/>
              <w:jc w:val="center"/>
            </w:pPr>
            <w:r w:rsidRPr="006258D8">
              <w:t>(95% CI)</w:t>
            </w:r>
          </w:p>
        </w:tc>
      </w:tr>
      <w:tr w:rsidR="00D131AC" w:rsidRPr="006258D8" w:rsidTr="00D96193">
        <w:tc>
          <w:tcPr>
            <w:tcW w:w="4112" w:type="pct"/>
            <w:gridSpan w:val="5"/>
            <w:tcBorders>
              <w:top w:val="single" w:sz="4" w:space="0" w:color="auto"/>
              <w:left w:val="single" w:sz="4" w:space="0" w:color="auto"/>
              <w:bottom w:val="single" w:sz="4" w:space="0" w:color="auto"/>
              <w:right w:val="single" w:sz="4" w:space="0" w:color="auto"/>
            </w:tcBorders>
            <w:vAlign w:val="center"/>
          </w:tcPr>
          <w:p w:rsidR="00D131AC" w:rsidRPr="006258D8" w:rsidRDefault="00D131AC" w:rsidP="00613D0B">
            <w:pPr>
              <w:pStyle w:val="PBACTableText"/>
              <w:keepNext/>
              <w:keepLines/>
              <w:tabs>
                <w:tab w:val="left" w:pos="167"/>
              </w:tabs>
              <w:spacing w:before="0" w:after="0"/>
              <w:rPr>
                <w:b/>
              </w:rPr>
            </w:pPr>
            <w:r w:rsidRPr="006258D8">
              <w:rPr>
                <w:b/>
              </w:rPr>
              <w:t>Proportion of patients with ≥50% reduction in monthly average number of migraine days</w:t>
            </w:r>
          </w:p>
        </w:tc>
        <w:tc>
          <w:tcPr>
            <w:tcW w:w="888" w:type="pct"/>
            <w:tcBorders>
              <w:top w:val="single" w:sz="4" w:space="0" w:color="auto"/>
              <w:left w:val="single" w:sz="4" w:space="0" w:color="auto"/>
              <w:bottom w:val="single" w:sz="4" w:space="0" w:color="auto"/>
              <w:right w:val="single" w:sz="4" w:space="0" w:color="auto"/>
            </w:tcBorders>
          </w:tcPr>
          <w:p w:rsidR="00D131AC" w:rsidRPr="006258D8" w:rsidRDefault="00D131AC" w:rsidP="00613D0B">
            <w:pPr>
              <w:pStyle w:val="PBACTableText"/>
              <w:keepNext/>
              <w:keepLines/>
              <w:tabs>
                <w:tab w:val="left" w:pos="167"/>
              </w:tabs>
              <w:spacing w:before="0" w:after="0"/>
              <w:rPr>
                <w:b/>
              </w:rPr>
            </w:pPr>
          </w:p>
        </w:tc>
      </w:tr>
      <w:tr w:rsidR="00D131AC" w:rsidRPr="006258D8" w:rsidTr="001D237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036871" w:rsidP="00613D0B">
            <w:pPr>
              <w:pStyle w:val="PBACTableText"/>
              <w:keepNext/>
              <w:keepLines/>
              <w:tabs>
                <w:tab w:val="left" w:pos="167"/>
              </w:tabs>
              <w:spacing w:before="0" w:after="0"/>
            </w:pPr>
            <w:r w:rsidRPr="006258D8">
              <w:t xml:space="preserve">FREM </w:t>
            </w:r>
            <w:r w:rsidR="00D131AC" w:rsidRPr="006258D8">
              <w:t xml:space="preserve">225 mg </w:t>
            </w:r>
            <w:r w:rsidRPr="006258D8">
              <w:t>4-weekly</w:t>
            </w:r>
            <w:r w:rsidR="00D131AC" w:rsidRPr="006258D8">
              <w:t xml:space="preserve"> (N=173)</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/173 (</w:t>
            </w:r>
            <w:r>
              <w:rPr>
                <w:noProof/>
                <w:color w:val="000000"/>
                <w:highlight w:val="black"/>
              </w:rPr>
              <w:t>''''''</w:t>
            </w:r>
            <w:r w:rsidR="00D131AC" w:rsidRPr="006258D8">
              <w:t>)</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noProof/>
                <w:color w:val="000000"/>
                <w:highlight w:val="black"/>
              </w:rPr>
              <w:t>''''''</w:t>
            </w:r>
            <w:r w:rsidR="00D131AC" w:rsidRPr="006258D8">
              <w:t>/167 (</w:t>
            </w:r>
            <w:r>
              <w:rPr>
                <w:noProof/>
                <w:color w:val="000000"/>
                <w:highlight w:val="black"/>
              </w:rPr>
              <w:t>'''</w:t>
            </w:r>
            <w:r w:rsidR="00D131AC"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1D237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036871" w:rsidP="00613D0B">
            <w:pPr>
              <w:pStyle w:val="PBACTableText"/>
              <w:keepNext/>
              <w:keepLines/>
              <w:tabs>
                <w:tab w:val="left" w:pos="167"/>
              </w:tabs>
              <w:spacing w:before="0" w:after="0"/>
            </w:pPr>
            <w:r w:rsidRPr="006258D8">
              <w:t xml:space="preserve">FREM </w:t>
            </w:r>
            <w:r w:rsidR="00D131AC" w:rsidRPr="006258D8">
              <w:t xml:space="preserve">675 mg </w:t>
            </w:r>
            <w:r w:rsidRPr="006258D8">
              <w:t>12-weekly</w:t>
            </w:r>
            <w:r w:rsidR="00340302">
              <w:t xml:space="preserve"> </w:t>
            </w:r>
            <w:r w:rsidR="00D131AC" w:rsidRPr="006258D8">
              <w:t>(N=169)</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pPr>
            <w:r>
              <w:rPr>
                <w:noProof/>
                <w:color w:val="000000"/>
                <w:highlight w:val="black"/>
              </w:rPr>
              <w:t>'''''</w:t>
            </w:r>
            <w:r w:rsidR="00D131AC" w:rsidRPr="006258D8">
              <w:t>/169 (</w:t>
            </w:r>
            <w:r>
              <w:rPr>
                <w:noProof/>
                <w:color w:val="000000"/>
                <w:highlight w:val="black"/>
              </w:rPr>
              <w:t>''''''</w:t>
            </w:r>
            <w:r w:rsidR="00D131AC" w:rsidRPr="006258D8">
              <w:t>)</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noProof/>
                <w:color w:val="000000"/>
                <w:highlight w:val="black"/>
              </w:rPr>
              <w:t>''''''</w:t>
            </w:r>
            <w:r w:rsidR="00D131AC" w:rsidRPr="006258D8">
              <w:t>/167 (</w:t>
            </w:r>
            <w:r>
              <w:rPr>
                <w:noProof/>
                <w:color w:val="000000"/>
                <w:highlight w:val="black"/>
              </w:rPr>
              <w:t>''''</w:t>
            </w:r>
            <w:r w:rsidR="00D131AC"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613D0B">
            <w:pPr>
              <w:pStyle w:val="PBACTableText"/>
              <w:keepNext/>
              <w:keepLines/>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bl>
    <w:p w:rsidR="00D131AC" w:rsidRPr="006258D8" w:rsidRDefault="00D131AC" w:rsidP="00613D0B">
      <w:pPr>
        <w:pStyle w:val="TableFigureFooter"/>
        <w:keepNext/>
        <w:keepLines/>
      </w:pPr>
      <w:r w:rsidRPr="006258D8">
        <w:t>Bolded results indicate a statistically significant difference.</w:t>
      </w:r>
    </w:p>
    <w:p w:rsidR="00D131AC" w:rsidRPr="006258D8" w:rsidRDefault="00D131AC" w:rsidP="00613D0B">
      <w:pPr>
        <w:pStyle w:val="TableFigureFooter"/>
        <w:keepNext/>
        <w:keepLines/>
      </w:pPr>
      <w:r w:rsidRPr="006258D8">
        <w:t xml:space="preserve">Source: </w:t>
      </w:r>
      <w:r w:rsidRPr="002A67DD">
        <w:t>Table</w:t>
      </w:r>
      <w:r w:rsidRPr="00B60EEE">
        <w:t xml:space="preserve"> 2.31, pp113-114; Table 2.32, pp115-116; Table 2.</w:t>
      </w:r>
      <w:r w:rsidRPr="006258D8">
        <w:t>35, pp119-120 of the submission.</w:t>
      </w:r>
    </w:p>
    <w:p w:rsidR="00D131AC" w:rsidRPr="006258D8" w:rsidRDefault="00D131AC" w:rsidP="00613D0B">
      <w:pPr>
        <w:pStyle w:val="TableFigureFooter"/>
        <w:keepNext/>
        <w:keepLines/>
      </w:pPr>
      <w:r w:rsidRPr="006258D8">
        <w:t xml:space="preserve">Abbreviations: CI, confidence interval; </w:t>
      </w:r>
      <w:r w:rsidR="007B2606">
        <w:t xml:space="preserve">FREM, fremanezumab; LSM, least squares mean; </w:t>
      </w:r>
      <w:r w:rsidRPr="006258D8">
        <w:t>SD, standard deviation.</w:t>
      </w:r>
    </w:p>
    <w:p w:rsidR="00C74141" w:rsidRDefault="00D43159" w:rsidP="000F2EE3">
      <w:pPr>
        <w:pStyle w:val="3-BodyText"/>
      </w:pPr>
      <w:r w:rsidRPr="006258D8">
        <w:t xml:space="preserve">Compared to placebo, treatment with fremanezumab 225 mg every 4 weeks was associated with statistically significant improvements in monthly migraine days (mean difference: -3.8; 95% CI: -4.76, -2.80), monthly headache days (mean difference: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and the proportion of patients with a </w:t>
      </w:r>
      <w:r w:rsidRPr="006258D8">
        <w:rPr>
          <w:rFonts w:cstheme="minorHAnsi"/>
        </w:rPr>
        <w:t>≥</w:t>
      </w:r>
      <w:r w:rsidRPr="006258D8">
        <w:t xml:space="preserve">50% reduction in monthly migraine days (odds ratio: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w:t>
      </w:r>
      <w:r w:rsidR="00DC09FD" w:rsidRPr="006258D8">
        <w:t xml:space="preserve">The </w:t>
      </w:r>
      <w:r w:rsidR="0009469A" w:rsidRPr="006258D8">
        <w:t xml:space="preserve">upper confidence interval </w:t>
      </w:r>
      <w:r w:rsidR="00DC09FD" w:rsidRPr="006258D8">
        <w:t>for the change in monthly migraine days</w:t>
      </w:r>
      <w:r w:rsidR="0009469A" w:rsidRPr="006258D8">
        <w:t xml:space="preserve"> (-2.80 days)</w:t>
      </w:r>
      <w:r w:rsidR="00DC09FD" w:rsidRPr="006258D8">
        <w:t xml:space="preserve"> </w:t>
      </w:r>
      <w:r w:rsidR="00D31F31" w:rsidRPr="006258D8">
        <w:t xml:space="preserve">was greater than the proposed </w:t>
      </w:r>
      <w:r w:rsidR="0009469A" w:rsidRPr="006258D8">
        <w:t xml:space="preserve">MCID </w:t>
      </w:r>
      <w:r w:rsidR="00D31F31" w:rsidRPr="006258D8">
        <w:t>of at least 2 days</w:t>
      </w:r>
      <w:r w:rsidR="0009469A" w:rsidRPr="006258D8">
        <w:t>.</w:t>
      </w:r>
    </w:p>
    <w:p w:rsidR="00D43159" w:rsidRPr="006258D8" w:rsidRDefault="00D43159" w:rsidP="000F2EE3">
      <w:pPr>
        <w:pStyle w:val="3-BodyText"/>
      </w:pPr>
      <w:r w:rsidRPr="006258D8">
        <w:t xml:space="preserve">Compared to placebo, treatment with fremanezumab 625 mg every 12 weeks was associated with statistically significant improvements in monthly migraine days (mean difference: -3.2 days; 95% CI: -4.16, -2.18), monthly headache days (mean difference: </w:t>
      </w:r>
      <w:r w:rsidR="00D11BC9">
        <w:rPr>
          <w:noProof/>
          <w:color w:val="000000"/>
          <w:highlight w:val="black"/>
        </w:rPr>
        <w:t>''''''''</w:t>
      </w:r>
      <w:r w:rsidRPr="006258D8">
        <w:t xml:space="preserve"> days; 95% CI: </w:t>
      </w:r>
      <w:r w:rsidR="00D11BC9">
        <w:rPr>
          <w:noProof/>
          <w:color w:val="000000"/>
          <w:highlight w:val="black"/>
        </w:rPr>
        <w:t>'''''''''</w:t>
      </w:r>
      <w:r w:rsidRPr="006258D8">
        <w:t xml:space="preserve">, </w:t>
      </w:r>
      <w:r w:rsidR="00D11BC9">
        <w:rPr>
          <w:noProof/>
          <w:color w:val="000000"/>
          <w:highlight w:val="black"/>
        </w:rPr>
        <w:t>''''''''''</w:t>
      </w:r>
      <w:r w:rsidRPr="006258D8">
        <w:t xml:space="preserve">), and the proportion of patients with a </w:t>
      </w:r>
      <w:r w:rsidRPr="006258D8">
        <w:rPr>
          <w:rFonts w:cstheme="minorHAnsi"/>
        </w:rPr>
        <w:t>≥</w:t>
      </w:r>
      <w:r w:rsidRPr="006258D8">
        <w:t xml:space="preserve">50% reduction in monthly migraine days (odds ratio: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w:t>
      </w:r>
      <w:r w:rsidR="00D31F31" w:rsidRPr="006258D8">
        <w:t>The upper confidence interval for the change in monthly migraine days (-2.18 days) was greater than the proposed MCID of at least 2 days.</w:t>
      </w:r>
    </w:p>
    <w:p w:rsidR="00D43159" w:rsidRPr="006258D8" w:rsidRDefault="007516D7" w:rsidP="00EC4C47">
      <w:pPr>
        <w:pStyle w:val="3-BodyText"/>
      </w:pPr>
      <w:r w:rsidRPr="006258D8">
        <w:t>The reductions in monthly migraine days in</w:t>
      </w:r>
      <w:r w:rsidR="00D43159" w:rsidRPr="006258D8">
        <w:t xml:space="preserve"> the fremanezumab 675 mg 12-weekly arm were numerically </w:t>
      </w:r>
      <w:r w:rsidRPr="006258D8">
        <w:t xml:space="preserve">smaller </w:t>
      </w:r>
      <w:r w:rsidR="00D43159" w:rsidRPr="006258D8">
        <w:t>across the monthly migraine day</w:t>
      </w:r>
      <w:r w:rsidR="007B2606">
        <w:t>s</w:t>
      </w:r>
      <w:r w:rsidR="00D43159" w:rsidRPr="006258D8">
        <w:t>, monthly headache day</w:t>
      </w:r>
      <w:r w:rsidR="007B2606">
        <w:t>s</w:t>
      </w:r>
      <w:r w:rsidR="00D43159" w:rsidRPr="006258D8">
        <w:t>, and responder outcomes</w:t>
      </w:r>
      <w:r w:rsidR="006A03BA" w:rsidRPr="006258D8">
        <w:t>, compared to the fremanezumab 225 mg 4-weekly arm.</w:t>
      </w:r>
      <w:r w:rsidR="00D43159" w:rsidRPr="006258D8">
        <w:t xml:space="preserve"> These differences may be due to the inclusion of the 675 mg loading dose in the 225 mg 4-weekly treatment regimen, which resulted in a higher cumulative dose of fremanezumab (1,125 mg) over the 12-week double-blind treatment period, compared to the fremanezumab 12-weekly treatment arm (675 mg).</w:t>
      </w:r>
      <w:r w:rsidR="00CD7374" w:rsidRPr="006258D8">
        <w:t xml:space="preserve"> However, a comparison of fremanezumab 225 mg 4-weekly and fremanezumab 675 mg 12-weekly for the outcome of change in mean monthly migraine days indicated that there was no statis</w:t>
      </w:r>
      <w:r w:rsidR="00285222">
        <w:t>tically significant difference.</w:t>
      </w:r>
    </w:p>
    <w:p w:rsidR="006A03BA" w:rsidRPr="006258D8" w:rsidRDefault="006A03BA" w:rsidP="00001A3D">
      <w:pPr>
        <w:pStyle w:val="3-BodyText"/>
      </w:pPr>
      <w:r w:rsidRPr="006258D8">
        <w:t xml:space="preserve">Treatment with fremanezumab 225 mg every 4 weeks and 675 mg every 12 weeks </w:t>
      </w:r>
      <w:r w:rsidR="002206AC" w:rsidRPr="006258D8">
        <w:t>w</w:t>
      </w:r>
      <w:r w:rsidR="002206AC">
        <w:t>as</w:t>
      </w:r>
      <w:r w:rsidR="002206AC" w:rsidRPr="006258D8">
        <w:t xml:space="preserve"> </w:t>
      </w:r>
      <w:r w:rsidRPr="006258D8">
        <w:t xml:space="preserve">associated with statistically significant improvements in </w:t>
      </w:r>
      <w:r w:rsidR="00DC09FD" w:rsidRPr="006258D8">
        <w:t>the Migraine-Specific Quality of Life Questionnaire (</w:t>
      </w:r>
      <w:r w:rsidRPr="006258D8">
        <w:t>MSQ</w:t>
      </w:r>
      <w:r w:rsidR="00DC09FD" w:rsidRPr="006258D8">
        <w:t>)</w:t>
      </w:r>
      <w:r w:rsidRPr="006258D8">
        <w:t xml:space="preserve"> role function restrictive, role function preventive, </w:t>
      </w:r>
      <w:r w:rsidR="007516D7" w:rsidRPr="006258D8">
        <w:t xml:space="preserve">and </w:t>
      </w:r>
      <w:r w:rsidRPr="006258D8">
        <w:t>role function emotional scores. The results did not meet the nominated MCIDs for role restrictive, role preventive, and emotional function.</w:t>
      </w:r>
    </w:p>
    <w:p w:rsidR="006A03BA" w:rsidRPr="006258D8" w:rsidRDefault="006A03BA" w:rsidP="00A450CD">
      <w:pPr>
        <w:pStyle w:val="3-BodyText"/>
      </w:pPr>
      <w:r w:rsidRPr="006258D8">
        <w:t xml:space="preserve">Treatment with fremanezumab 225 mg every 4 weeks and 675 mg every 12 weeks </w:t>
      </w:r>
      <w:r w:rsidR="002206AC" w:rsidRPr="006258D8">
        <w:t>w</w:t>
      </w:r>
      <w:r w:rsidR="002206AC">
        <w:t>as</w:t>
      </w:r>
      <w:r w:rsidR="002206AC" w:rsidRPr="006258D8">
        <w:t xml:space="preserve"> </w:t>
      </w:r>
      <w:r w:rsidRPr="006258D8">
        <w:t>associated with statistically significant improvements in the Headache Impact Test (HIT-6) compared to placebo. The 675 mg 12-weekly arm did not meet the nominated MCID</w:t>
      </w:r>
      <w:r w:rsidR="00A01A23">
        <w:t xml:space="preserve"> </w:t>
      </w:r>
      <w:r w:rsidRPr="006258D8">
        <w:t>for improvement in the HIT-6.</w:t>
      </w:r>
    </w:p>
    <w:p w:rsidR="00D131AC" w:rsidRPr="006258D8" w:rsidRDefault="002206AC" w:rsidP="006F0717">
      <w:pPr>
        <w:pStyle w:val="3-BodyText"/>
      </w:pPr>
      <w:r>
        <w:t>The r</w:t>
      </w:r>
      <w:r w:rsidRPr="006258D8">
        <w:t xml:space="preserve">esults </w:t>
      </w:r>
      <w:r w:rsidR="00D131AC" w:rsidRPr="006258D8">
        <w:t xml:space="preserve">of the comparison between fremanezumab and placebo </w:t>
      </w:r>
      <w:r w:rsidR="00D43159" w:rsidRPr="006258D8">
        <w:t>for</w:t>
      </w:r>
      <w:r w:rsidR="00D131AC" w:rsidRPr="006258D8">
        <w:t xml:space="preserve"> Study 30068 </w:t>
      </w:r>
      <w:r w:rsidR="007516D7" w:rsidRPr="006258D8">
        <w:t xml:space="preserve">for </w:t>
      </w:r>
      <w:r w:rsidR="00D131AC" w:rsidRPr="006258D8">
        <w:t xml:space="preserve">the chronic migraine population with </w:t>
      </w:r>
      <w:r w:rsidR="00D131AC" w:rsidRPr="006258D8">
        <w:rPr>
          <w:rFonts w:cstheme="minorHAnsi"/>
        </w:rPr>
        <w:t>≥</w:t>
      </w:r>
      <w:r w:rsidR="00D131AC" w:rsidRPr="006258D8">
        <w:t xml:space="preserve">3 </w:t>
      </w:r>
      <w:r w:rsidR="004174D7">
        <w:t xml:space="preserve">prior </w:t>
      </w:r>
      <w:r w:rsidR="007B2606">
        <w:t>treatment failures</w:t>
      </w:r>
      <w:r w:rsidR="00D131AC" w:rsidRPr="006258D8">
        <w:t xml:space="preserve"> are summarised in Table </w:t>
      </w:r>
      <w:r>
        <w:t>5</w:t>
      </w:r>
      <w:r w:rsidR="00D131AC" w:rsidRPr="006258D8">
        <w:t>.</w:t>
      </w:r>
    </w:p>
    <w:p w:rsidR="0056100B" w:rsidRDefault="0056100B" w:rsidP="00021367">
      <w:pPr>
        <w:pStyle w:val="TableFigureHeading"/>
      </w:pPr>
      <w:r>
        <w:t xml:space="preserve">Table </w:t>
      </w:r>
      <w:r w:rsidR="009D4178">
        <w:rPr>
          <w:noProof/>
        </w:rPr>
        <w:t>5</w:t>
      </w:r>
      <w:r w:rsidRPr="003E526B">
        <w:t>:</w:t>
      </w:r>
      <w:r w:rsidR="00340302">
        <w:t xml:space="preserve"> </w:t>
      </w:r>
      <w:r w:rsidR="0072277E" w:rsidRPr="003E526B">
        <w:t>Results for key outcomes of Study 30068 for the subgroup with ≥3 prior treatments</w:t>
      </w:r>
    </w:p>
    <w:tbl>
      <w:tblPr>
        <w:tblW w:w="5000" w:type="pct"/>
        <w:tblLook w:val="04A0" w:firstRow="1" w:lastRow="0" w:firstColumn="1" w:lastColumn="0" w:noHBand="0" w:noVBand="1"/>
        <w:tblCaption w:val="Table 7:  Results for key outcomes of Study 30068 for the subgroup with ≥3 prior treatments"/>
      </w:tblPr>
      <w:tblGrid>
        <w:gridCol w:w="2325"/>
        <w:gridCol w:w="1159"/>
        <w:gridCol w:w="1459"/>
        <w:gridCol w:w="1159"/>
        <w:gridCol w:w="1313"/>
        <w:gridCol w:w="1601"/>
      </w:tblGrid>
      <w:tr w:rsidR="00D131AC" w:rsidRPr="006258D8" w:rsidTr="00A941C2">
        <w:trPr>
          <w:tblHeader/>
        </w:trPr>
        <w:tc>
          <w:tcPr>
            <w:tcW w:w="1289" w:type="pct"/>
            <w:vMerge w:val="restart"/>
            <w:tcBorders>
              <w:top w:val="sing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Outcome/treatment arm</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 xml:space="preserve">Fremanezumab </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C74141" w:rsidRDefault="00D131AC" w:rsidP="00021367">
            <w:pPr>
              <w:pStyle w:val="PbacTableHeading"/>
              <w:tabs>
                <w:tab w:val="left" w:pos="167"/>
              </w:tabs>
              <w:spacing w:after="0"/>
              <w:jc w:val="center"/>
            </w:pPr>
            <w:r w:rsidRPr="006258D8">
              <w:t>Placebo</w:t>
            </w:r>
          </w:p>
          <w:p w:rsidR="00D131AC" w:rsidRPr="006258D8" w:rsidRDefault="00D131AC" w:rsidP="00021367">
            <w:pPr>
              <w:pStyle w:val="PbacTableHeading"/>
              <w:tabs>
                <w:tab w:val="left" w:pos="167"/>
              </w:tabs>
              <w:spacing w:after="0"/>
              <w:jc w:val="center"/>
            </w:pPr>
          </w:p>
        </w:tc>
        <w:tc>
          <w:tcPr>
            <w:tcW w:w="888" w:type="pct"/>
            <w:vMerge w:val="restart"/>
            <w:tcBorders>
              <w:top w:val="sing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Mean difference (95% CI)</w:t>
            </w:r>
          </w:p>
        </w:tc>
      </w:tr>
      <w:tr w:rsidR="00D131AC" w:rsidRPr="006258D8" w:rsidTr="00A941C2">
        <w:trPr>
          <w:tblHeader/>
        </w:trPr>
        <w:tc>
          <w:tcPr>
            <w:tcW w:w="1289" w:type="pct"/>
            <w:vMerge/>
            <w:tcBorders>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Baseline mean (SD)</w:t>
            </w:r>
          </w:p>
        </w:tc>
        <w:tc>
          <w:tcPr>
            <w:tcW w:w="80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LSM change (95% CI)</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Baseline mean (SD)</w:t>
            </w:r>
          </w:p>
        </w:tc>
        <w:tc>
          <w:tcPr>
            <w:tcW w:w="728"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LSM change (95% CI)</w:t>
            </w:r>
          </w:p>
        </w:tc>
        <w:tc>
          <w:tcPr>
            <w:tcW w:w="888" w:type="pct"/>
            <w:vMerge/>
            <w:tcBorders>
              <w:left w:val="single" w:sz="4" w:space="0" w:color="auto"/>
              <w:bottom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p>
        </w:tc>
      </w:tr>
      <w:tr w:rsidR="00D131AC" w:rsidRPr="006258D8" w:rsidTr="00A941C2">
        <w:tc>
          <w:tcPr>
            <w:tcW w:w="5000" w:type="pct"/>
            <w:gridSpan w:val="6"/>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rPr>
                <w:b/>
              </w:rPr>
            </w:pPr>
            <w:r w:rsidRPr="006258D8">
              <w:rPr>
                <w:b/>
              </w:rPr>
              <w:t xml:space="preserve">Change from baseline in monthly migraine days </w:t>
            </w: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 xml:space="preserve">FREM 225 mg 4-weekly </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FREM 675 mg 12-weekly</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CD7374" w:rsidRPr="006258D8" w:rsidTr="00A941C2">
        <w:tc>
          <w:tcPr>
            <w:tcW w:w="4112" w:type="pct"/>
            <w:gridSpan w:val="5"/>
            <w:tcBorders>
              <w:top w:val="single" w:sz="4" w:space="0" w:color="auto"/>
              <w:left w:val="single" w:sz="4" w:space="0" w:color="auto"/>
              <w:bottom w:val="single" w:sz="4" w:space="0" w:color="auto"/>
              <w:right w:val="single" w:sz="4" w:space="0" w:color="auto"/>
            </w:tcBorders>
            <w:vAlign w:val="center"/>
          </w:tcPr>
          <w:p w:rsidR="00CD7374" w:rsidRPr="006258D8" w:rsidRDefault="00CD7374" w:rsidP="00021367">
            <w:pPr>
              <w:pStyle w:val="PBACTableText"/>
              <w:tabs>
                <w:tab w:val="left" w:pos="167"/>
              </w:tabs>
              <w:spacing w:before="0" w:after="0"/>
              <w:jc w:val="right"/>
            </w:pPr>
            <w:r w:rsidRPr="006258D8">
              <w:t>Fremanezumab 225 mg 4-weekly versus fremanezumab 675 mg 12-weekly</w:t>
            </w:r>
          </w:p>
        </w:tc>
        <w:tc>
          <w:tcPr>
            <w:tcW w:w="888" w:type="pct"/>
            <w:tcBorders>
              <w:top w:val="single" w:sz="4" w:space="0" w:color="auto"/>
              <w:left w:val="single" w:sz="4" w:space="0" w:color="auto"/>
              <w:bottom w:val="single" w:sz="4" w:space="0" w:color="auto"/>
              <w:right w:val="single" w:sz="4" w:space="0" w:color="auto"/>
            </w:tcBorders>
            <w:vAlign w:val="center"/>
          </w:tcPr>
          <w:p w:rsidR="00CD7374" w:rsidRPr="006258D8" w:rsidRDefault="00D11BC9" w:rsidP="00021367">
            <w:pPr>
              <w:pStyle w:val="PBACTableText"/>
              <w:tabs>
                <w:tab w:val="left" w:pos="167"/>
              </w:tabs>
              <w:spacing w:before="0" w:after="0"/>
              <w:jc w:val="center"/>
            </w:pPr>
            <w:r>
              <w:rPr>
                <w:noProof/>
                <w:color w:val="000000"/>
                <w:highlight w:val="black"/>
              </w:rPr>
              <w:t>'''''''''</w:t>
            </w:r>
            <w:r w:rsidR="00CD7374" w:rsidRPr="006258D8">
              <w:t xml:space="preserve"> (</w:t>
            </w:r>
            <w:r>
              <w:rPr>
                <w:noProof/>
                <w:color w:val="000000"/>
                <w:highlight w:val="black"/>
              </w:rPr>
              <w:t>'''''''''''</w:t>
            </w:r>
            <w:r w:rsidR="00CD7374" w:rsidRPr="006258D8">
              <w:t xml:space="preserve">, </w:t>
            </w:r>
            <w:r>
              <w:rPr>
                <w:noProof/>
                <w:color w:val="000000"/>
                <w:highlight w:val="black"/>
              </w:rPr>
              <w:t>''''''''''</w:t>
            </w:r>
            <w:r w:rsidR="00CD7374" w:rsidRPr="006258D8">
              <w:t>)</w:t>
            </w:r>
          </w:p>
        </w:tc>
      </w:tr>
      <w:tr w:rsidR="00D131AC" w:rsidRPr="006258D8" w:rsidTr="00A941C2">
        <w:tc>
          <w:tcPr>
            <w:tcW w:w="5000" w:type="pct"/>
            <w:gridSpan w:val="6"/>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rPr>
                <w:b/>
              </w:rPr>
            </w:pPr>
            <w:r w:rsidRPr="006258D8">
              <w:rPr>
                <w:b/>
              </w:rPr>
              <w:t xml:space="preserve">Change from baseline in monthly headache days </w:t>
            </w: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 xml:space="preserve">FREM 225 mg 4-weekly </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FREM 675 mg 12-weekly</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809"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643"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 xml:space="preserve"> (</w:t>
            </w:r>
            <w:r>
              <w:rPr>
                <w:noProof/>
                <w:color w:val="000000"/>
                <w:highlight w:val="black"/>
              </w:rPr>
              <w:t>''''''''''</w:t>
            </w:r>
            <w:r w:rsidR="00D131AC" w:rsidRPr="006258D8">
              <w:t>)</w:t>
            </w:r>
          </w:p>
          <w:p w:rsidR="00D131AC" w:rsidRPr="006258D8" w:rsidRDefault="00D131AC" w:rsidP="00021367">
            <w:pPr>
              <w:pStyle w:val="PBACTableText"/>
              <w:tabs>
                <w:tab w:val="left" w:pos="167"/>
              </w:tabs>
              <w:spacing w:before="0" w:after="0"/>
              <w:jc w:val="center"/>
            </w:pPr>
            <w:r w:rsidRPr="006258D8">
              <w:t>(N=</w:t>
            </w:r>
            <w:r w:rsidR="00D11BC9">
              <w:rPr>
                <w:noProof/>
                <w:color w:val="000000"/>
                <w:highlight w:val="black"/>
              </w:rPr>
              <w:t>''''''</w:t>
            </w:r>
            <w:r w:rsidRPr="006258D8">
              <w:t>)</w:t>
            </w:r>
          </w:p>
        </w:tc>
        <w:tc>
          <w:tcPr>
            <w:tcW w:w="728" w:type="pct"/>
            <w:tcBorders>
              <w:top w:val="single" w:sz="4" w:space="0" w:color="auto"/>
              <w:left w:val="single" w:sz="4" w:space="0" w:color="auto"/>
              <w:bottom w:val="single" w:sz="4" w:space="0" w:color="auto"/>
              <w:right w:val="single" w:sz="4" w:space="0" w:color="auto"/>
            </w:tcBorders>
            <w:vAlign w:val="center"/>
          </w:tcPr>
          <w:p w:rsidR="00C74141" w:rsidRPr="00D11BC9" w:rsidRDefault="00D11BC9" w:rsidP="00021367">
            <w:pPr>
              <w:pStyle w:val="PBACTableText"/>
              <w:tabs>
                <w:tab w:val="left" w:pos="167"/>
              </w:tabs>
              <w:spacing w:before="0" w:after="0"/>
              <w:jc w:val="center"/>
              <w:rPr>
                <w:highlight w:val="black"/>
              </w:rPr>
            </w:pPr>
            <w:r>
              <w:rPr>
                <w:noProof/>
                <w:color w:val="000000"/>
                <w:highlight w:val="black"/>
              </w:rPr>
              <w:t>'''''''''</w:t>
            </w:r>
          </w:p>
          <w:p w:rsidR="00D131AC" w:rsidRPr="006258D8" w:rsidRDefault="00D131AC" w:rsidP="00021367">
            <w:pPr>
              <w:pStyle w:val="PBACTableText"/>
              <w:tabs>
                <w:tab w:val="left" w:pos="167"/>
              </w:tabs>
              <w:spacing w:before="0" w:after="0"/>
              <w:jc w:val="center"/>
            </w:pPr>
            <w:r w:rsidRPr="006258D8">
              <w:t>(</w:t>
            </w:r>
            <w:r w:rsidR="00D11BC9">
              <w:rPr>
                <w:noProof/>
                <w:color w:val="000000"/>
                <w:highlight w:val="black"/>
              </w:rPr>
              <w:t>''''''''''''</w:t>
            </w:r>
            <w:r w:rsidRPr="006258D8">
              <w:t xml:space="preserve">, </w:t>
            </w:r>
            <w:r w:rsidR="00D11BC9">
              <w:rPr>
                <w:noProof/>
                <w:color w:val="000000"/>
                <w:highlight w:val="black"/>
              </w:rPr>
              <w:t>'''''''''''</w:t>
            </w:r>
            <w:r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A941C2">
        <w:tc>
          <w:tcPr>
            <w:tcW w:w="1289" w:type="pct"/>
            <w:tcBorders>
              <w:top w:val="doub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pPr>
          </w:p>
        </w:tc>
        <w:tc>
          <w:tcPr>
            <w:tcW w:w="1452" w:type="pct"/>
            <w:gridSpan w:val="2"/>
            <w:tcBorders>
              <w:top w:val="doub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Fremanezumab</w:t>
            </w:r>
          </w:p>
          <w:p w:rsidR="00D131AC" w:rsidRPr="006258D8" w:rsidRDefault="00D131AC" w:rsidP="00021367">
            <w:pPr>
              <w:pStyle w:val="PbacTableHeading"/>
              <w:tabs>
                <w:tab w:val="left" w:pos="167"/>
              </w:tabs>
              <w:spacing w:after="0"/>
              <w:jc w:val="center"/>
            </w:pPr>
            <w:r w:rsidRPr="006258D8">
              <w:t>n with event/N (%)</w:t>
            </w:r>
          </w:p>
        </w:tc>
        <w:tc>
          <w:tcPr>
            <w:tcW w:w="1371" w:type="pct"/>
            <w:gridSpan w:val="2"/>
            <w:tcBorders>
              <w:top w:val="doub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Placebo</w:t>
            </w:r>
          </w:p>
          <w:p w:rsidR="00D131AC" w:rsidRPr="006258D8" w:rsidRDefault="00D131AC" w:rsidP="00021367">
            <w:pPr>
              <w:pStyle w:val="PbacTableHeading"/>
              <w:tabs>
                <w:tab w:val="left" w:pos="167"/>
              </w:tabs>
              <w:spacing w:after="0"/>
              <w:jc w:val="center"/>
            </w:pPr>
            <w:r w:rsidRPr="006258D8">
              <w:t xml:space="preserve">n with event/N (%) </w:t>
            </w:r>
          </w:p>
        </w:tc>
        <w:tc>
          <w:tcPr>
            <w:tcW w:w="888" w:type="pct"/>
            <w:tcBorders>
              <w:top w:val="double" w:sz="4" w:space="0" w:color="auto"/>
              <w:left w:val="single" w:sz="4" w:space="0" w:color="auto"/>
              <w:right w:val="single" w:sz="4" w:space="0" w:color="auto"/>
            </w:tcBorders>
            <w:vAlign w:val="center"/>
          </w:tcPr>
          <w:p w:rsidR="00D131AC" w:rsidRPr="006258D8" w:rsidRDefault="00D131AC" w:rsidP="00021367">
            <w:pPr>
              <w:pStyle w:val="PbacTableHeading"/>
              <w:tabs>
                <w:tab w:val="left" w:pos="167"/>
              </w:tabs>
              <w:spacing w:after="0"/>
              <w:jc w:val="center"/>
            </w:pPr>
            <w:r w:rsidRPr="006258D8">
              <w:t>Odds ratio</w:t>
            </w:r>
          </w:p>
          <w:p w:rsidR="00D131AC" w:rsidRPr="006258D8" w:rsidRDefault="00D131AC" w:rsidP="00021367">
            <w:pPr>
              <w:pStyle w:val="PbacTableHeading"/>
              <w:tabs>
                <w:tab w:val="left" w:pos="167"/>
              </w:tabs>
              <w:spacing w:after="0"/>
              <w:jc w:val="center"/>
            </w:pPr>
            <w:r w:rsidRPr="006258D8">
              <w:t>(95% CI)</w:t>
            </w:r>
          </w:p>
        </w:tc>
      </w:tr>
      <w:tr w:rsidR="00D131AC" w:rsidRPr="006258D8" w:rsidTr="00A941C2">
        <w:tc>
          <w:tcPr>
            <w:tcW w:w="4112" w:type="pct"/>
            <w:gridSpan w:val="5"/>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rPr>
                <w:b/>
              </w:rPr>
            </w:pPr>
            <w:r w:rsidRPr="006258D8">
              <w:rPr>
                <w:b/>
              </w:rPr>
              <w:t>Proportion of patients with ≥50% reduction in monthly average number of migraine days</w:t>
            </w:r>
          </w:p>
        </w:tc>
        <w:tc>
          <w:tcPr>
            <w:tcW w:w="888" w:type="pct"/>
            <w:tcBorders>
              <w:top w:val="single" w:sz="4" w:space="0" w:color="auto"/>
              <w:left w:val="single" w:sz="4" w:space="0" w:color="auto"/>
              <w:bottom w:val="single" w:sz="4" w:space="0" w:color="auto"/>
              <w:right w:val="single" w:sz="4" w:space="0" w:color="auto"/>
            </w:tcBorders>
          </w:tcPr>
          <w:p w:rsidR="00D131AC" w:rsidRPr="006258D8" w:rsidRDefault="00D131AC" w:rsidP="00021367">
            <w:pPr>
              <w:pStyle w:val="PBACTableText"/>
              <w:tabs>
                <w:tab w:val="left" w:pos="167"/>
              </w:tabs>
              <w:spacing w:before="0" w:after="0"/>
              <w:rPr>
                <w:b/>
              </w:rPr>
            </w:pP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 xml:space="preserve">FREM 225 mg 4-weekly </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w:t>
            </w:r>
            <w:r>
              <w:rPr>
                <w:noProof/>
                <w:color w:val="000000"/>
                <w:highlight w:val="black"/>
              </w:rPr>
              <w:t>'''''''''</w:t>
            </w:r>
            <w:r w:rsidR="00D131AC" w:rsidRPr="006258D8">
              <w:t xml:space="preserve"> (</w:t>
            </w:r>
            <w:r>
              <w:rPr>
                <w:noProof/>
                <w:color w:val="000000"/>
                <w:highlight w:val="black"/>
              </w:rPr>
              <w:t>''''''</w:t>
            </w:r>
            <w:r w:rsidR="00D131AC" w:rsidRPr="006258D8">
              <w:t>)</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noProof/>
                <w:color w:val="000000"/>
                <w:highlight w:val="black"/>
              </w:rPr>
              <w:t>'''</w:t>
            </w:r>
            <w:r w:rsidR="00D131AC" w:rsidRPr="006258D8">
              <w:t>/</w:t>
            </w:r>
            <w:r>
              <w:rPr>
                <w:noProof/>
                <w:color w:val="000000"/>
                <w:highlight w:val="black"/>
              </w:rPr>
              <w:t>''''''</w:t>
            </w:r>
            <w:r w:rsidR="00D131AC" w:rsidRPr="006258D8">
              <w:t xml:space="preserve"> (</w:t>
            </w:r>
            <w:r>
              <w:rPr>
                <w:noProof/>
                <w:color w:val="000000"/>
                <w:highlight w:val="black"/>
              </w:rPr>
              <w:t>''''</w:t>
            </w:r>
            <w:r w:rsidR="00D131AC"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r w:rsidR="00D131AC" w:rsidRPr="006258D8" w:rsidTr="00A941C2">
        <w:tc>
          <w:tcPr>
            <w:tcW w:w="1289" w:type="pct"/>
            <w:tcBorders>
              <w:top w:val="single" w:sz="4" w:space="0" w:color="auto"/>
              <w:left w:val="single" w:sz="4" w:space="0" w:color="auto"/>
              <w:bottom w:val="single" w:sz="4" w:space="0" w:color="auto"/>
              <w:right w:val="single" w:sz="4" w:space="0" w:color="auto"/>
            </w:tcBorders>
            <w:vAlign w:val="center"/>
          </w:tcPr>
          <w:p w:rsidR="00D131AC" w:rsidRPr="006258D8" w:rsidRDefault="00D131AC" w:rsidP="00021367">
            <w:pPr>
              <w:pStyle w:val="PBACTableText"/>
              <w:tabs>
                <w:tab w:val="left" w:pos="167"/>
              </w:tabs>
              <w:spacing w:before="0" w:after="0"/>
            </w:pPr>
            <w:r w:rsidRPr="006258D8">
              <w:t>FREM 675 mg 12-weekly</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pPr>
            <w:r>
              <w:rPr>
                <w:noProof/>
                <w:color w:val="000000"/>
                <w:highlight w:val="black"/>
              </w:rPr>
              <w:t>''''''</w:t>
            </w:r>
            <w:r w:rsidR="00D131AC" w:rsidRPr="006258D8">
              <w:t>/</w:t>
            </w:r>
            <w:r>
              <w:rPr>
                <w:noProof/>
                <w:color w:val="000000"/>
                <w:highlight w:val="black"/>
              </w:rPr>
              <w:t>'''''''</w:t>
            </w:r>
            <w:r w:rsidR="00D131AC" w:rsidRPr="006258D8">
              <w:t xml:space="preserve"> (</w:t>
            </w:r>
            <w:r>
              <w:rPr>
                <w:noProof/>
                <w:color w:val="000000"/>
                <w:highlight w:val="black"/>
              </w:rPr>
              <w:t>''''''</w:t>
            </w:r>
            <w:r w:rsidR="00D131AC" w:rsidRPr="006258D8">
              <w:t>)</w:t>
            </w:r>
          </w:p>
        </w:tc>
        <w:tc>
          <w:tcPr>
            <w:tcW w:w="1371" w:type="pct"/>
            <w:gridSpan w:val="2"/>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noProof/>
                <w:color w:val="000000"/>
                <w:highlight w:val="black"/>
              </w:rPr>
              <w:t>''''</w:t>
            </w:r>
            <w:r w:rsidR="00D131AC" w:rsidRPr="006258D8">
              <w:t>/</w:t>
            </w:r>
            <w:r>
              <w:rPr>
                <w:noProof/>
                <w:color w:val="000000"/>
                <w:highlight w:val="black"/>
              </w:rPr>
              <w:t>'''''</w:t>
            </w:r>
            <w:r w:rsidR="00D131AC" w:rsidRPr="006258D8">
              <w:t xml:space="preserve"> (</w:t>
            </w:r>
            <w:r>
              <w:rPr>
                <w:noProof/>
                <w:color w:val="000000"/>
                <w:highlight w:val="black"/>
              </w:rPr>
              <w:t>'''</w:t>
            </w:r>
            <w:r w:rsidR="00D131AC" w:rsidRPr="006258D8">
              <w:t>)</w:t>
            </w:r>
          </w:p>
        </w:tc>
        <w:tc>
          <w:tcPr>
            <w:tcW w:w="888" w:type="pct"/>
            <w:tcBorders>
              <w:top w:val="single" w:sz="4" w:space="0" w:color="auto"/>
              <w:left w:val="single" w:sz="4" w:space="0" w:color="auto"/>
              <w:bottom w:val="single" w:sz="4" w:space="0" w:color="auto"/>
              <w:right w:val="single" w:sz="4" w:space="0" w:color="auto"/>
            </w:tcBorders>
            <w:vAlign w:val="center"/>
          </w:tcPr>
          <w:p w:rsidR="00D131AC" w:rsidRPr="006258D8" w:rsidRDefault="00D11BC9" w:rsidP="00021367">
            <w:pPr>
              <w:pStyle w:val="PBACTableText"/>
              <w:tabs>
                <w:tab w:val="left" w:pos="167"/>
              </w:tabs>
              <w:spacing w:before="0" w:after="0"/>
              <w:jc w:val="center"/>
              <w:rPr>
                <w:b/>
              </w:rPr>
            </w:pPr>
            <w:r>
              <w:rPr>
                <w:b/>
                <w:noProof/>
                <w:color w:val="000000"/>
                <w:highlight w:val="black"/>
              </w:rPr>
              <w:t>'''''''''</w:t>
            </w:r>
            <w:r w:rsidR="00D131AC" w:rsidRPr="006258D8">
              <w:rPr>
                <w:b/>
              </w:rPr>
              <w:t xml:space="preserve"> (</w:t>
            </w:r>
            <w:r>
              <w:rPr>
                <w:b/>
                <w:noProof/>
                <w:color w:val="000000"/>
                <w:highlight w:val="black"/>
              </w:rPr>
              <w:t>''''''''''</w:t>
            </w:r>
            <w:r w:rsidR="00D131AC" w:rsidRPr="006258D8">
              <w:rPr>
                <w:b/>
              </w:rPr>
              <w:t xml:space="preserve">, </w:t>
            </w:r>
            <w:r>
              <w:rPr>
                <w:b/>
                <w:noProof/>
                <w:color w:val="000000"/>
                <w:highlight w:val="black"/>
              </w:rPr>
              <w:t>''''''''''</w:t>
            </w:r>
            <w:r w:rsidR="00D131AC" w:rsidRPr="006258D8">
              <w:rPr>
                <w:b/>
              </w:rPr>
              <w:t>)</w:t>
            </w:r>
          </w:p>
        </w:tc>
      </w:tr>
    </w:tbl>
    <w:p w:rsidR="00D131AC" w:rsidRPr="006258D8" w:rsidRDefault="00D131AC" w:rsidP="00021367">
      <w:pPr>
        <w:pStyle w:val="TableFigureFooter"/>
      </w:pPr>
      <w:r w:rsidRPr="006258D8">
        <w:t>Bolded results indicate a statistically significant difference.</w:t>
      </w:r>
    </w:p>
    <w:p w:rsidR="00D131AC" w:rsidRPr="006258D8" w:rsidRDefault="00D131AC" w:rsidP="00021367">
      <w:pPr>
        <w:pStyle w:val="TableFigureFooter"/>
      </w:pPr>
      <w:r w:rsidRPr="006258D8">
        <w:t>Source</w:t>
      </w:r>
      <w:r w:rsidRPr="00B60EEE">
        <w:t>: Table 2.31, pp113-114; Table 2.32, pp115-116; Table 2.35, pp119-120 of the submission.</w:t>
      </w:r>
    </w:p>
    <w:p w:rsidR="00D131AC" w:rsidRPr="006258D8" w:rsidRDefault="00D131AC" w:rsidP="00021367">
      <w:pPr>
        <w:pStyle w:val="TableFigureFooter"/>
      </w:pPr>
      <w:r w:rsidRPr="006258D8">
        <w:t xml:space="preserve">Abbreviations: CI, confidence interval; </w:t>
      </w:r>
      <w:r w:rsidR="007B2606">
        <w:t xml:space="preserve">FREM, fremanezumab; LSM, least squares mean; </w:t>
      </w:r>
      <w:r w:rsidRPr="006258D8">
        <w:t>SD, standard deviation.</w:t>
      </w:r>
    </w:p>
    <w:p w:rsidR="00455FF9" w:rsidRPr="006258D8" w:rsidRDefault="00455FF9" w:rsidP="000F2EE3">
      <w:pPr>
        <w:pStyle w:val="3-BodyText"/>
      </w:pPr>
      <w:r w:rsidRPr="006258D8">
        <w:t xml:space="preserve">Compared to placebo, treatment with fremanezumab 225 mg every 4 weeks was associated with statistically significant improvements in monthly migraine days (mean difference: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monthly headache days (mean difference: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and the proportion of patients with a </w:t>
      </w:r>
      <w:r w:rsidRPr="006258D8">
        <w:rPr>
          <w:rFonts w:cstheme="minorHAnsi"/>
        </w:rPr>
        <w:t>≥</w:t>
      </w:r>
      <w:r w:rsidRPr="006258D8">
        <w:t xml:space="preserve">50% reduction in monthly migraine days (odds ratio: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w:t>
      </w:r>
      <w:r w:rsidR="00755762" w:rsidRPr="006258D8">
        <w:t>The upper confidence interval for the change in monthly migraine days (</w:t>
      </w:r>
      <w:r w:rsidR="00D11BC9">
        <w:rPr>
          <w:noProof/>
          <w:color w:val="000000"/>
          <w:highlight w:val="black"/>
        </w:rPr>
        <w:t xml:space="preserve">''''''''''' </w:t>
      </w:r>
      <w:r w:rsidR="00755762" w:rsidRPr="006258D8">
        <w:t xml:space="preserve">days) was less than the </w:t>
      </w:r>
      <w:r w:rsidR="00DC09FD" w:rsidRPr="006258D8">
        <w:t xml:space="preserve">proposed MCID of </w:t>
      </w:r>
      <w:r w:rsidR="00D31F31" w:rsidRPr="006258D8">
        <w:t xml:space="preserve">at least </w:t>
      </w:r>
      <w:r w:rsidR="00DC09FD" w:rsidRPr="006258D8">
        <w:t>2</w:t>
      </w:r>
      <w:r w:rsidR="00DA3328" w:rsidRPr="006258D8">
        <w:t xml:space="preserve"> </w:t>
      </w:r>
      <w:r w:rsidR="00D31F31" w:rsidRPr="006258D8">
        <w:t>days</w:t>
      </w:r>
      <w:r w:rsidR="00DC09FD" w:rsidRPr="006258D8">
        <w:t>.</w:t>
      </w:r>
    </w:p>
    <w:p w:rsidR="00C74141" w:rsidRDefault="00455FF9" w:rsidP="000F2EE3">
      <w:pPr>
        <w:pStyle w:val="3-BodyText"/>
      </w:pPr>
      <w:r w:rsidRPr="006258D8">
        <w:t xml:space="preserve">Compared to placebo, treatment with fremanezumab 625 mg every 12 weeks was associated with statistically significant improvements in monthly migraine days (mean difference: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monthly headache days (mean difference: </w:t>
      </w:r>
      <w:r w:rsidR="00D11BC9">
        <w:rPr>
          <w:noProof/>
          <w:color w:val="000000"/>
          <w:highlight w:val="black"/>
        </w:rPr>
        <w:t>''''''''</w:t>
      </w:r>
      <w:r w:rsidRPr="006258D8">
        <w:t xml:space="preserve"> days; 95% CI: </w:t>
      </w:r>
      <w:r w:rsidR="00D11BC9">
        <w:rPr>
          <w:noProof/>
          <w:color w:val="000000"/>
          <w:highlight w:val="black"/>
        </w:rPr>
        <w:t>'''''''''</w:t>
      </w:r>
      <w:r w:rsidRPr="006258D8">
        <w:t xml:space="preserve">, </w:t>
      </w:r>
      <w:r w:rsidR="00D11BC9">
        <w:rPr>
          <w:noProof/>
          <w:color w:val="000000"/>
          <w:highlight w:val="black"/>
        </w:rPr>
        <w:t>'''''''''''</w:t>
      </w:r>
      <w:r w:rsidRPr="006258D8">
        <w:t xml:space="preserve">), and the proportion of patients with a </w:t>
      </w:r>
      <w:r w:rsidRPr="006258D8">
        <w:rPr>
          <w:rFonts w:cstheme="minorHAnsi"/>
        </w:rPr>
        <w:t>≥</w:t>
      </w:r>
      <w:r w:rsidRPr="006258D8">
        <w:t xml:space="preserve">50% reduction in monthly migraine days (odds ratio: </w:t>
      </w:r>
      <w:r w:rsidR="00D11BC9">
        <w:rPr>
          <w:noProof/>
          <w:color w:val="000000"/>
          <w:highlight w:val="black"/>
        </w:rPr>
        <w:t>''''''''</w:t>
      </w:r>
      <w:r w:rsidRPr="006258D8">
        <w:t xml:space="preserve">; 95% CI: </w:t>
      </w:r>
      <w:r w:rsidR="00D11BC9">
        <w:rPr>
          <w:noProof/>
          <w:color w:val="000000"/>
          <w:highlight w:val="black"/>
        </w:rPr>
        <w:t>''''''''</w:t>
      </w:r>
      <w:r w:rsidRPr="006258D8">
        <w:t xml:space="preserve">, </w:t>
      </w:r>
      <w:r w:rsidR="00D11BC9">
        <w:rPr>
          <w:noProof/>
          <w:color w:val="000000"/>
          <w:highlight w:val="black"/>
        </w:rPr>
        <w:t>''''''''''</w:t>
      </w:r>
      <w:r w:rsidRPr="006258D8">
        <w:t xml:space="preserve">). </w:t>
      </w:r>
      <w:r w:rsidR="00755762" w:rsidRPr="006258D8">
        <w:t>The upper confidence interval for the change in monthly migraine days (</w:t>
      </w:r>
      <w:r w:rsidR="00D11BC9">
        <w:rPr>
          <w:noProof/>
          <w:color w:val="000000"/>
          <w:highlight w:val="black"/>
        </w:rPr>
        <w:t>''''''''''</w:t>
      </w:r>
      <w:r w:rsidR="00755762" w:rsidRPr="00F8656C">
        <w:t xml:space="preserve"> </w:t>
      </w:r>
      <w:r w:rsidR="00755762" w:rsidRPr="006258D8">
        <w:t>days) was less than the proposed MCID of</w:t>
      </w:r>
      <w:r w:rsidR="00D31F31" w:rsidRPr="006258D8">
        <w:t xml:space="preserve"> at least</w:t>
      </w:r>
      <w:r w:rsidR="00755762" w:rsidRPr="006258D8">
        <w:t xml:space="preserve"> 2 days.</w:t>
      </w:r>
    </w:p>
    <w:p w:rsidR="00136E3B" w:rsidRPr="006258D8" w:rsidRDefault="00136E3B" w:rsidP="00021367">
      <w:pPr>
        <w:pStyle w:val="5-SubsectionSubheading"/>
      </w:pPr>
      <w:r w:rsidRPr="00A510E0">
        <w:t>Fremanezumab versus Botox</w:t>
      </w:r>
    </w:p>
    <w:p w:rsidR="00E25C13" w:rsidRPr="006258D8" w:rsidRDefault="00E25C13" w:rsidP="000F2EE3">
      <w:pPr>
        <w:pStyle w:val="3-BodyText"/>
        <w:rPr>
          <w:color w:val="4472C4" w:themeColor="accent5"/>
        </w:rPr>
      </w:pPr>
      <w:r w:rsidRPr="006258D8">
        <w:t xml:space="preserve">Table </w:t>
      </w:r>
      <w:r w:rsidR="002206AC">
        <w:t>6</w:t>
      </w:r>
      <w:r w:rsidRPr="006258D8">
        <w:t xml:space="preserve"> presents the results of the indirect comparison of fremanezumab (12 weeks) and Botox (24 weeks) for the full </w:t>
      </w:r>
      <w:r w:rsidR="00455FF9" w:rsidRPr="006258D8">
        <w:t>chronic migraine</w:t>
      </w:r>
      <w:r w:rsidRPr="006258D8">
        <w:t xml:space="preserve"> population.</w:t>
      </w:r>
    </w:p>
    <w:p w:rsidR="00E668A3" w:rsidRDefault="00E668A3" w:rsidP="00021367">
      <w:pPr>
        <w:pStyle w:val="TableFigureHeading"/>
      </w:pPr>
      <w:r>
        <w:t xml:space="preserve">Table </w:t>
      </w:r>
      <w:r w:rsidR="009D4178">
        <w:rPr>
          <w:noProof/>
        </w:rPr>
        <w:t>6</w:t>
      </w:r>
      <w:r w:rsidRPr="000C5ACD">
        <w:t>:</w:t>
      </w:r>
      <w:r w:rsidR="00340302">
        <w:t xml:space="preserve"> </w:t>
      </w:r>
      <w:r w:rsidR="00F8656C" w:rsidRPr="000C5ACD">
        <w:t>Indirect comparisons for fremanezumab (12 weeks) versus Botox (24 weeks) for the full chronic migraine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s for fremanezumab (12 weeks) versus Botox (24 weeks) for the full chronic migraine population"/>
      </w:tblPr>
      <w:tblGrid>
        <w:gridCol w:w="1582"/>
        <w:gridCol w:w="1866"/>
        <w:gridCol w:w="1713"/>
        <w:gridCol w:w="1336"/>
        <w:gridCol w:w="2519"/>
      </w:tblGrid>
      <w:tr w:rsidR="00E25C13" w:rsidRPr="006258D8" w:rsidTr="00E668A3">
        <w:trPr>
          <w:tblHeader/>
          <w:jc w:val="center"/>
        </w:trPr>
        <w:tc>
          <w:tcPr>
            <w:tcW w:w="877" w:type="pct"/>
            <w:vMerge w:val="restart"/>
            <w:shd w:val="clear" w:color="auto" w:fill="auto"/>
            <w:vAlign w:val="center"/>
          </w:tcPr>
          <w:p w:rsidR="00E25C13" w:rsidRPr="006258D8" w:rsidRDefault="00E25C13" w:rsidP="00021367">
            <w:pPr>
              <w:pStyle w:val="Tabletext0"/>
              <w:keepNext/>
              <w:rPr>
                <w:b/>
              </w:rPr>
            </w:pPr>
            <w:r w:rsidRPr="006258D8">
              <w:rPr>
                <w:b/>
              </w:rPr>
              <w:t>Trial</w:t>
            </w:r>
          </w:p>
        </w:tc>
        <w:tc>
          <w:tcPr>
            <w:tcW w:w="2726" w:type="pct"/>
            <w:gridSpan w:val="3"/>
            <w:shd w:val="clear" w:color="auto" w:fill="auto"/>
            <w:vAlign w:val="center"/>
          </w:tcPr>
          <w:p w:rsidR="00E25C13" w:rsidRPr="006258D8" w:rsidRDefault="00E25C13" w:rsidP="00021367">
            <w:pPr>
              <w:pStyle w:val="Tabletext0"/>
              <w:jc w:val="center"/>
              <w:rPr>
                <w:b/>
              </w:rPr>
            </w:pPr>
            <w:r w:rsidRPr="006258D8">
              <w:rPr>
                <w:b/>
              </w:rPr>
              <w:t>Mean change from baseline (SE) in monthly migraine days</w:t>
            </w:r>
          </w:p>
        </w:tc>
        <w:tc>
          <w:tcPr>
            <w:tcW w:w="1397" w:type="pct"/>
            <w:vMerge w:val="restart"/>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E668A3">
        <w:trPr>
          <w:tblHeader/>
          <w:jc w:val="center"/>
        </w:trPr>
        <w:tc>
          <w:tcPr>
            <w:tcW w:w="877" w:type="pct"/>
            <w:vMerge/>
            <w:shd w:val="clear" w:color="auto" w:fill="auto"/>
            <w:vAlign w:val="center"/>
          </w:tcPr>
          <w:p w:rsidR="00E25C13" w:rsidRPr="006258D8" w:rsidRDefault="00E25C13" w:rsidP="00021367">
            <w:pPr>
              <w:pStyle w:val="Tabletext0"/>
            </w:pPr>
          </w:p>
        </w:tc>
        <w:tc>
          <w:tcPr>
            <w:tcW w:w="1035" w:type="pct"/>
            <w:shd w:val="clear" w:color="auto" w:fill="auto"/>
            <w:vAlign w:val="center"/>
          </w:tcPr>
          <w:p w:rsidR="00E25C13" w:rsidRPr="006258D8" w:rsidRDefault="00E25C13" w:rsidP="00021367">
            <w:pPr>
              <w:pStyle w:val="Tabletext0"/>
              <w:jc w:val="center"/>
              <w:rPr>
                <w:b/>
                <w:vertAlign w:val="superscript"/>
              </w:rPr>
            </w:pPr>
            <w:r w:rsidRPr="006258D8">
              <w:rPr>
                <w:b/>
              </w:rPr>
              <w:t>Fremanezumab</w:t>
            </w:r>
          </w:p>
        </w:tc>
        <w:tc>
          <w:tcPr>
            <w:tcW w:w="950" w:type="pct"/>
            <w:shd w:val="clear" w:color="auto" w:fill="auto"/>
            <w:vAlign w:val="center"/>
          </w:tcPr>
          <w:p w:rsidR="00E25C13" w:rsidRPr="006258D8" w:rsidRDefault="00E25C13" w:rsidP="00021367">
            <w:pPr>
              <w:pStyle w:val="Tabletext0"/>
              <w:jc w:val="center"/>
              <w:rPr>
                <w:b/>
              </w:rPr>
            </w:pPr>
            <w:r w:rsidRPr="006258D8">
              <w:rPr>
                <w:b/>
              </w:rPr>
              <w:t>Placebo</w:t>
            </w:r>
          </w:p>
        </w:tc>
        <w:tc>
          <w:tcPr>
            <w:tcW w:w="741" w:type="pct"/>
            <w:shd w:val="clear" w:color="auto" w:fill="auto"/>
            <w:vAlign w:val="center"/>
          </w:tcPr>
          <w:p w:rsidR="00E25C13" w:rsidRPr="006258D8" w:rsidRDefault="00E25C13" w:rsidP="00021367">
            <w:pPr>
              <w:pStyle w:val="Tabletext0"/>
              <w:jc w:val="center"/>
              <w:rPr>
                <w:b/>
              </w:rPr>
            </w:pPr>
            <w:r w:rsidRPr="006258D8">
              <w:rPr>
                <w:b/>
              </w:rPr>
              <w:t>Botox</w:t>
            </w:r>
          </w:p>
        </w:tc>
        <w:tc>
          <w:tcPr>
            <w:tcW w:w="1397" w:type="pct"/>
            <w:vMerge/>
            <w:shd w:val="clear" w:color="auto" w:fill="auto"/>
            <w:vAlign w:val="center"/>
          </w:tcPr>
          <w:p w:rsidR="00E25C13" w:rsidRPr="006258D8" w:rsidRDefault="00E25C13" w:rsidP="00021367">
            <w:pPr>
              <w:pStyle w:val="Tabletext0"/>
              <w:jc w:val="center"/>
            </w:pP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5" w:type="pct"/>
            <w:shd w:val="clear" w:color="auto" w:fill="auto"/>
            <w:vAlign w:val="center"/>
          </w:tcPr>
          <w:p w:rsidR="00E25C13" w:rsidRPr="006258D8" w:rsidRDefault="00E25C13" w:rsidP="00021367">
            <w:pPr>
              <w:pStyle w:val="Tabletext0"/>
              <w:jc w:val="center"/>
            </w:pPr>
            <w:r w:rsidRPr="006258D8">
              <w:t>N= 173</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741"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5" w:type="pct"/>
            <w:shd w:val="clear" w:color="auto" w:fill="auto"/>
            <w:vAlign w:val="center"/>
          </w:tcPr>
          <w:p w:rsidR="00E25C13" w:rsidRPr="006258D8" w:rsidRDefault="00E25C13" w:rsidP="00021367">
            <w:pPr>
              <w:pStyle w:val="Tabletext0"/>
              <w:jc w:val="center"/>
            </w:pPr>
            <w:r w:rsidRPr="006258D8">
              <w:t>N= 169</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741"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Pooled PREEMPT trials (24 weeks)</w:t>
            </w:r>
          </w:p>
        </w:tc>
        <w:tc>
          <w:tcPr>
            <w:tcW w:w="1035"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N=688</w:t>
            </w:r>
          </w:p>
          <w:p w:rsidR="00E25C13" w:rsidRPr="006258D8" w:rsidRDefault="00E25C13" w:rsidP="00021367">
            <w:pPr>
              <w:pStyle w:val="Tabletext0"/>
              <w:jc w:val="center"/>
            </w:pPr>
            <w:r w:rsidRPr="006258D8">
              <w:t>-6.2 (0.26)</w:t>
            </w:r>
          </w:p>
        </w:tc>
        <w:tc>
          <w:tcPr>
            <w:tcW w:w="741" w:type="pct"/>
            <w:tcBorders>
              <w:bottom w:val="single" w:sz="4" w:space="0" w:color="auto"/>
            </w:tcBorders>
            <w:shd w:val="clear" w:color="auto" w:fill="auto"/>
            <w:vAlign w:val="center"/>
          </w:tcPr>
          <w:p w:rsidR="00E25C13" w:rsidRPr="006258D8" w:rsidRDefault="00E25C13" w:rsidP="00021367">
            <w:pPr>
              <w:pStyle w:val="Tabletext0"/>
              <w:jc w:val="center"/>
            </w:pPr>
            <w:r w:rsidRPr="006258D8">
              <w:t>N=696</w:t>
            </w:r>
          </w:p>
          <w:p w:rsidR="00E25C13" w:rsidRPr="006258D8" w:rsidRDefault="00E25C13" w:rsidP="00021367">
            <w:pPr>
              <w:pStyle w:val="Tabletext0"/>
              <w:jc w:val="center"/>
            </w:pPr>
            <w:r w:rsidRPr="006258D8">
              <w:t>-8.2 (0.25)</w:t>
            </w:r>
          </w:p>
        </w:tc>
        <w:tc>
          <w:tcPr>
            <w:tcW w:w="1397" w:type="pct"/>
            <w:tcBorders>
              <w:bottom w:val="single" w:sz="4" w:space="0" w:color="auto"/>
            </w:tcBorders>
            <w:shd w:val="clear" w:color="auto" w:fill="auto"/>
            <w:vAlign w:val="center"/>
          </w:tcPr>
          <w:p w:rsidR="00E25C13" w:rsidRPr="006258D8" w:rsidRDefault="00E25C13" w:rsidP="00021367">
            <w:pPr>
              <w:pStyle w:val="Tabletext0"/>
              <w:jc w:val="center"/>
            </w:pPr>
            <w:r w:rsidRPr="006258D8">
              <w:t>-2.0 (NR)</w:t>
            </w:r>
          </w:p>
        </w:tc>
      </w:tr>
      <w:tr w:rsidR="00E25C13" w:rsidRPr="006258D8" w:rsidTr="00D96193">
        <w:trPr>
          <w:jc w:val="center"/>
        </w:trPr>
        <w:tc>
          <w:tcPr>
            <w:tcW w:w="3603"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Botox</w:t>
            </w:r>
          </w:p>
        </w:tc>
        <w:tc>
          <w:tcPr>
            <w:tcW w:w="1397" w:type="pct"/>
            <w:tcBorders>
              <w:bottom w:val="single" w:sz="4" w:space="0" w:color="auto"/>
            </w:tcBorders>
            <w:shd w:val="clear" w:color="auto" w:fill="auto"/>
            <w:vAlign w:val="center"/>
          </w:tcPr>
          <w:p w:rsidR="00E25C13" w:rsidRPr="006258D8" w:rsidRDefault="00D11BC9" w:rsidP="00021367">
            <w:pPr>
              <w:pStyle w:val="Tabletext0"/>
              <w:jc w:val="center"/>
              <w:rPr>
                <w:b/>
              </w:rPr>
            </w:pPr>
            <w:r>
              <w:rPr>
                <w:b/>
                <w:noProof/>
                <w:color w:val="000000"/>
                <w:highlight w:val="black"/>
              </w:rPr>
              <w:t>''''''''''</w:t>
            </w:r>
            <w:r w:rsidR="00E25C13" w:rsidRPr="006258D8">
              <w:rPr>
                <w:b/>
              </w:rPr>
              <w:t xml:space="preserve"> (</w:t>
            </w:r>
            <w:r>
              <w:rPr>
                <w:b/>
                <w:noProof/>
                <w:color w:val="000000"/>
                <w:highlight w:val="black"/>
              </w:rPr>
              <w:t>'''''''''''</w:t>
            </w:r>
            <w:r w:rsidR="00E25C13" w:rsidRPr="006258D8">
              <w:rPr>
                <w:b/>
              </w:rPr>
              <w:t xml:space="preserve">, </w:t>
            </w:r>
            <w:r>
              <w:rPr>
                <w:b/>
                <w:noProof/>
                <w:color w:val="000000"/>
                <w:highlight w:val="black"/>
              </w:rPr>
              <w:t>'''''''''</w:t>
            </w:r>
            <w:r w:rsidR="00E25C13" w:rsidRPr="006258D8">
              <w:rPr>
                <w:b/>
              </w:rPr>
              <w:t>)</w:t>
            </w:r>
          </w:p>
        </w:tc>
      </w:tr>
      <w:tr w:rsidR="00E25C13" w:rsidRPr="006258D8" w:rsidTr="00D96193">
        <w:trPr>
          <w:jc w:val="center"/>
        </w:trPr>
        <w:tc>
          <w:tcPr>
            <w:tcW w:w="3603" w:type="pct"/>
            <w:gridSpan w:val="4"/>
            <w:tcBorders>
              <w:top w:val="single" w:sz="4" w:space="0" w:color="auto"/>
              <w:bottom w:val="doub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Botox</w:t>
            </w:r>
          </w:p>
        </w:tc>
        <w:tc>
          <w:tcPr>
            <w:tcW w:w="1397" w:type="pct"/>
            <w:tcBorders>
              <w:top w:val="single" w:sz="4" w:space="0" w:color="auto"/>
              <w:bottom w:val="doub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vMerge w:val="restart"/>
            <w:tcBorders>
              <w:top w:val="double" w:sz="4" w:space="0" w:color="auto"/>
            </w:tcBorders>
            <w:shd w:val="clear" w:color="auto" w:fill="auto"/>
            <w:vAlign w:val="center"/>
          </w:tcPr>
          <w:p w:rsidR="00E25C13" w:rsidRPr="006258D8" w:rsidRDefault="00E25C13" w:rsidP="00021367">
            <w:pPr>
              <w:pStyle w:val="Tabletext0"/>
              <w:keepNext/>
              <w:rPr>
                <w:b/>
              </w:rPr>
            </w:pPr>
            <w:r w:rsidRPr="006258D8">
              <w:rPr>
                <w:b/>
              </w:rPr>
              <w:t>Trial</w:t>
            </w:r>
          </w:p>
        </w:tc>
        <w:tc>
          <w:tcPr>
            <w:tcW w:w="2726" w:type="pct"/>
            <w:gridSpan w:val="3"/>
            <w:tcBorders>
              <w:top w:val="double" w:sz="4" w:space="0" w:color="auto"/>
            </w:tcBorders>
            <w:shd w:val="clear" w:color="auto" w:fill="auto"/>
            <w:vAlign w:val="center"/>
          </w:tcPr>
          <w:p w:rsidR="00E25C13" w:rsidRPr="006258D8" w:rsidRDefault="00E25C13" w:rsidP="00021367">
            <w:pPr>
              <w:pStyle w:val="Tabletext0"/>
              <w:jc w:val="center"/>
              <w:rPr>
                <w:b/>
              </w:rPr>
            </w:pPr>
            <w:r w:rsidRPr="006258D8">
              <w:rPr>
                <w:b/>
              </w:rPr>
              <w:t>Mean change from baseline (SE) in monthly headache days</w:t>
            </w:r>
          </w:p>
        </w:tc>
        <w:tc>
          <w:tcPr>
            <w:tcW w:w="1397" w:type="pct"/>
            <w:vMerge w:val="restart"/>
            <w:tcBorders>
              <w:top w:val="double" w:sz="4" w:space="0" w:color="auto"/>
            </w:tcBorders>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D96193">
        <w:trPr>
          <w:jc w:val="center"/>
        </w:trPr>
        <w:tc>
          <w:tcPr>
            <w:tcW w:w="877" w:type="pct"/>
            <w:vMerge/>
            <w:shd w:val="clear" w:color="auto" w:fill="auto"/>
            <w:vAlign w:val="center"/>
          </w:tcPr>
          <w:p w:rsidR="00E25C13" w:rsidRPr="006258D8" w:rsidRDefault="00E25C13" w:rsidP="00021367">
            <w:pPr>
              <w:pStyle w:val="Tabletext0"/>
            </w:pPr>
          </w:p>
        </w:tc>
        <w:tc>
          <w:tcPr>
            <w:tcW w:w="1035" w:type="pct"/>
            <w:shd w:val="clear" w:color="auto" w:fill="auto"/>
            <w:vAlign w:val="center"/>
          </w:tcPr>
          <w:p w:rsidR="00E25C13" w:rsidRPr="006258D8" w:rsidRDefault="00E25C13" w:rsidP="00021367">
            <w:pPr>
              <w:pStyle w:val="Tabletext0"/>
              <w:jc w:val="center"/>
              <w:rPr>
                <w:b/>
                <w:vertAlign w:val="superscript"/>
              </w:rPr>
            </w:pPr>
            <w:r w:rsidRPr="006258D8">
              <w:rPr>
                <w:b/>
              </w:rPr>
              <w:t>Fremanezumab</w:t>
            </w:r>
          </w:p>
        </w:tc>
        <w:tc>
          <w:tcPr>
            <w:tcW w:w="950" w:type="pct"/>
            <w:shd w:val="clear" w:color="auto" w:fill="auto"/>
            <w:vAlign w:val="center"/>
          </w:tcPr>
          <w:p w:rsidR="00E25C13" w:rsidRPr="006258D8" w:rsidRDefault="00E25C13" w:rsidP="00021367">
            <w:pPr>
              <w:pStyle w:val="Tabletext0"/>
              <w:jc w:val="center"/>
              <w:rPr>
                <w:b/>
              </w:rPr>
            </w:pPr>
            <w:r w:rsidRPr="006258D8">
              <w:rPr>
                <w:b/>
              </w:rPr>
              <w:t>Placebo</w:t>
            </w:r>
          </w:p>
        </w:tc>
        <w:tc>
          <w:tcPr>
            <w:tcW w:w="741" w:type="pct"/>
            <w:shd w:val="clear" w:color="auto" w:fill="auto"/>
            <w:vAlign w:val="center"/>
          </w:tcPr>
          <w:p w:rsidR="00E25C13" w:rsidRPr="006258D8" w:rsidRDefault="00E25C13" w:rsidP="00021367">
            <w:pPr>
              <w:pStyle w:val="Tabletext0"/>
              <w:jc w:val="center"/>
              <w:rPr>
                <w:b/>
              </w:rPr>
            </w:pPr>
            <w:r w:rsidRPr="006258D8">
              <w:rPr>
                <w:b/>
              </w:rPr>
              <w:t>Botox</w:t>
            </w:r>
          </w:p>
        </w:tc>
        <w:tc>
          <w:tcPr>
            <w:tcW w:w="1397" w:type="pct"/>
            <w:vMerge/>
            <w:shd w:val="clear" w:color="auto" w:fill="auto"/>
            <w:vAlign w:val="center"/>
          </w:tcPr>
          <w:p w:rsidR="00E25C13" w:rsidRPr="006258D8" w:rsidRDefault="00E25C13" w:rsidP="00021367">
            <w:pPr>
              <w:pStyle w:val="Tabletext0"/>
              <w:jc w:val="center"/>
            </w:pP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5" w:type="pct"/>
            <w:shd w:val="clear" w:color="auto" w:fill="auto"/>
            <w:vAlign w:val="center"/>
          </w:tcPr>
          <w:p w:rsidR="00E25C13" w:rsidRPr="006258D8" w:rsidRDefault="00E25C13" w:rsidP="00021367">
            <w:pPr>
              <w:pStyle w:val="Tabletext0"/>
              <w:jc w:val="center"/>
            </w:pPr>
            <w:r w:rsidRPr="006258D8">
              <w:t>N= 173</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741"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5" w:type="pct"/>
            <w:shd w:val="clear" w:color="auto" w:fill="auto"/>
            <w:vAlign w:val="center"/>
          </w:tcPr>
          <w:p w:rsidR="00E25C13" w:rsidRPr="006258D8" w:rsidRDefault="00E25C13" w:rsidP="00021367">
            <w:pPr>
              <w:pStyle w:val="Tabletext0"/>
              <w:jc w:val="center"/>
            </w:pPr>
            <w:r w:rsidRPr="006258D8">
              <w:t>N= 169</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741"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Pooled PREEMPT trials (12 weeks)</w:t>
            </w:r>
          </w:p>
        </w:tc>
        <w:tc>
          <w:tcPr>
            <w:tcW w:w="1035"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N=688</w:t>
            </w:r>
          </w:p>
          <w:p w:rsidR="00E25C13" w:rsidRPr="006258D8" w:rsidRDefault="00E25C13" w:rsidP="00021367">
            <w:pPr>
              <w:pStyle w:val="Tabletext0"/>
              <w:jc w:val="center"/>
            </w:pPr>
            <w:r w:rsidRPr="006258D8">
              <w:t>-6.6 (0.25)</w:t>
            </w:r>
          </w:p>
        </w:tc>
        <w:tc>
          <w:tcPr>
            <w:tcW w:w="741" w:type="pct"/>
            <w:tcBorders>
              <w:bottom w:val="single" w:sz="4" w:space="0" w:color="auto"/>
            </w:tcBorders>
            <w:shd w:val="clear" w:color="auto" w:fill="auto"/>
            <w:vAlign w:val="center"/>
          </w:tcPr>
          <w:p w:rsidR="00E25C13" w:rsidRPr="006258D8" w:rsidRDefault="00E25C13" w:rsidP="00021367">
            <w:pPr>
              <w:pStyle w:val="Tabletext0"/>
              <w:jc w:val="center"/>
            </w:pPr>
            <w:r w:rsidRPr="006258D8">
              <w:t>N=696</w:t>
            </w:r>
          </w:p>
          <w:p w:rsidR="00E25C13" w:rsidRPr="006258D8" w:rsidRDefault="00E25C13" w:rsidP="00021367">
            <w:pPr>
              <w:pStyle w:val="Tabletext0"/>
              <w:jc w:val="center"/>
            </w:pPr>
            <w:r w:rsidRPr="006258D8">
              <w:t>-8.4 (0.25)</w:t>
            </w:r>
          </w:p>
        </w:tc>
        <w:tc>
          <w:tcPr>
            <w:tcW w:w="1397" w:type="pct"/>
            <w:tcBorders>
              <w:bottom w:val="single" w:sz="4" w:space="0" w:color="auto"/>
            </w:tcBorders>
            <w:shd w:val="clear" w:color="auto" w:fill="auto"/>
            <w:vAlign w:val="center"/>
          </w:tcPr>
          <w:p w:rsidR="00E25C13" w:rsidRPr="006258D8" w:rsidRDefault="00E25C13" w:rsidP="00021367">
            <w:pPr>
              <w:pStyle w:val="Tabletext0"/>
              <w:jc w:val="center"/>
            </w:pPr>
            <w:r w:rsidRPr="006258D8">
              <w:t>-1.8 (NR)</w:t>
            </w:r>
          </w:p>
        </w:tc>
      </w:tr>
      <w:tr w:rsidR="00E25C13" w:rsidRPr="006258D8" w:rsidTr="00D96193">
        <w:trPr>
          <w:jc w:val="center"/>
        </w:trPr>
        <w:tc>
          <w:tcPr>
            <w:tcW w:w="3603"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Botox</w:t>
            </w:r>
          </w:p>
        </w:tc>
        <w:tc>
          <w:tcPr>
            <w:tcW w:w="1397" w:type="pct"/>
            <w:tcBorders>
              <w:bottom w:val="single" w:sz="4" w:space="0" w:color="auto"/>
            </w:tcBorders>
            <w:shd w:val="clear" w:color="auto" w:fill="auto"/>
            <w:vAlign w:val="center"/>
          </w:tcPr>
          <w:p w:rsidR="00E25C13" w:rsidRPr="006258D8" w:rsidRDefault="00D11BC9" w:rsidP="00021367">
            <w:pPr>
              <w:pStyle w:val="Tabletext0"/>
              <w:jc w:val="center"/>
              <w:rPr>
                <w:b/>
              </w:rPr>
            </w:pPr>
            <w:r>
              <w:rPr>
                <w:b/>
                <w:noProof/>
                <w:color w:val="000000"/>
                <w:highlight w:val="black"/>
              </w:rPr>
              <w:t>''''''''''</w:t>
            </w:r>
            <w:r w:rsidR="00E25C13" w:rsidRPr="006258D8">
              <w:rPr>
                <w:b/>
              </w:rPr>
              <w:t xml:space="preserve"> (</w:t>
            </w:r>
            <w:r>
              <w:rPr>
                <w:b/>
                <w:noProof/>
                <w:color w:val="000000"/>
                <w:highlight w:val="black"/>
              </w:rPr>
              <w:t>''''''''''</w:t>
            </w:r>
            <w:r w:rsidR="00E25C13" w:rsidRPr="006258D8">
              <w:rPr>
                <w:b/>
              </w:rPr>
              <w:t xml:space="preserve">, </w:t>
            </w:r>
            <w:r>
              <w:rPr>
                <w:b/>
                <w:noProof/>
                <w:color w:val="000000"/>
                <w:highlight w:val="black"/>
              </w:rPr>
              <w:t>''''''''''</w:t>
            </w:r>
            <w:r w:rsidR="00E25C13" w:rsidRPr="006258D8">
              <w:rPr>
                <w:b/>
              </w:rPr>
              <w:t>)</w:t>
            </w:r>
          </w:p>
        </w:tc>
      </w:tr>
      <w:tr w:rsidR="00E25C13" w:rsidRPr="006258D8" w:rsidTr="00D96193">
        <w:trPr>
          <w:jc w:val="center"/>
        </w:trPr>
        <w:tc>
          <w:tcPr>
            <w:tcW w:w="3603" w:type="pct"/>
            <w:gridSpan w:val="4"/>
            <w:tcBorders>
              <w:top w:val="single" w:sz="4" w:space="0" w:color="auto"/>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Botox</w:t>
            </w:r>
          </w:p>
        </w:tc>
        <w:tc>
          <w:tcPr>
            <w:tcW w:w="1397" w:type="pct"/>
            <w:tcBorders>
              <w:top w:val="single" w:sz="4" w:space="0" w:color="auto"/>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vMerge w:val="restart"/>
            <w:tcBorders>
              <w:top w:val="double" w:sz="4" w:space="0" w:color="auto"/>
            </w:tcBorders>
            <w:shd w:val="clear" w:color="auto" w:fill="auto"/>
            <w:vAlign w:val="center"/>
          </w:tcPr>
          <w:p w:rsidR="00E25C13" w:rsidRPr="006258D8" w:rsidRDefault="00B60EEE" w:rsidP="00021367">
            <w:pPr>
              <w:pStyle w:val="Tabletext0"/>
            </w:pPr>
            <w:r w:rsidRPr="006258D8">
              <w:rPr>
                <w:b/>
              </w:rPr>
              <w:t>Trial</w:t>
            </w:r>
          </w:p>
        </w:tc>
        <w:tc>
          <w:tcPr>
            <w:tcW w:w="2726" w:type="pct"/>
            <w:gridSpan w:val="3"/>
            <w:tcBorders>
              <w:top w:val="double" w:sz="4" w:space="0" w:color="auto"/>
              <w:bottom w:val="single" w:sz="4" w:space="0" w:color="auto"/>
            </w:tcBorders>
            <w:shd w:val="clear" w:color="auto" w:fill="auto"/>
            <w:vAlign w:val="center"/>
          </w:tcPr>
          <w:p w:rsidR="00C74141" w:rsidRDefault="00E25C13" w:rsidP="00021367">
            <w:pPr>
              <w:pStyle w:val="Tabletext0"/>
              <w:jc w:val="center"/>
              <w:rPr>
                <w:b/>
              </w:rPr>
            </w:pPr>
            <w:r w:rsidRPr="006258D8">
              <w:rPr>
                <w:b/>
              </w:rPr>
              <w:t>≥50% reduction in monthly headache/migraine days</w:t>
            </w:r>
          </w:p>
          <w:p w:rsidR="00E25C13" w:rsidRPr="006258D8" w:rsidRDefault="00E25C13" w:rsidP="00021367">
            <w:pPr>
              <w:pStyle w:val="Tabletext0"/>
              <w:jc w:val="center"/>
            </w:pPr>
            <w:r w:rsidRPr="006258D8">
              <w:rPr>
                <w:b/>
              </w:rPr>
              <w:t>n with event/N (%)</w:t>
            </w:r>
          </w:p>
        </w:tc>
        <w:tc>
          <w:tcPr>
            <w:tcW w:w="1397" w:type="pct"/>
            <w:vMerge w:val="restart"/>
            <w:tcBorders>
              <w:top w:val="double" w:sz="4" w:space="0" w:color="auto"/>
            </w:tcBorders>
            <w:shd w:val="clear" w:color="auto" w:fill="auto"/>
            <w:vAlign w:val="center"/>
          </w:tcPr>
          <w:p w:rsidR="00E25C13" w:rsidRPr="006258D8" w:rsidRDefault="00E25C13" w:rsidP="00021367">
            <w:pPr>
              <w:pStyle w:val="Tabletext0"/>
              <w:jc w:val="center"/>
            </w:pPr>
            <w:r w:rsidRPr="006258D8">
              <w:rPr>
                <w:b/>
              </w:rPr>
              <w:t>Odds ratio (95% CI)</w:t>
            </w:r>
          </w:p>
        </w:tc>
      </w:tr>
      <w:tr w:rsidR="00E25C13" w:rsidRPr="006258D8" w:rsidTr="00D96193">
        <w:trPr>
          <w:jc w:val="center"/>
        </w:trPr>
        <w:tc>
          <w:tcPr>
            <w:tcW w:w="877" w:type="pct"/>
            <w:vMerge/>
            <w:shd w:val="clear" w:color="auto" w:fill="auto"/>
            <w:vAlign w:val="center"/>
          </w:tcPr>
          <w:p w:rsidR="00E25C13" w:rsidRPr="006258D8" w:rsidRDefault="00E25C13" w:rsidP="00021367">
            <w:pPr>
              <w:pStyle w:val="Tabletext0"/>
            </w:pPr>
          </w:p>
        </w:tc>
        <w:tc>
          <w:tcPr>
            <w:tcW w:w="1035" w:type="pct"/>
            <w:tcBorders>
              <w:top w:val="single" w:sz="4" w:space="0" w:color="auto"/>
            </w:tcBorders>
            <w:shd w:val="clear" w:color="auto" w:fill="auto"/>
            <w:vAlign w:val="center"/>
          </w:tcPr>
          <w:p w:rsidR="00E25C13" w:rsidRPr="006258D8" w:rsidRDefault="00E25C13" w:rsidP="00021367">
            <w:pPr>
              <w:pStyle w:val="Tabletext0"/>
              <w:jc w:val="center"/>
              <w:rPr>
                <w:vertAlign w:val="superscript"/>
              </w:rPr>
            </w:pPr>
            <w:r w:rsidRPr="006258D8">
              <w:rPr>
                <w:b/>
              </w:rPr>
              <w:t>Fremanezumab</w:t>
            </w:r>
          </w:p>
        </w:tc>
        <w:tc>
          <w:tcPr>
            <w:tcW w:w="950"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Placebo</w:t>
            </w:r>
          </w:p>
        </w:tc>
        <w:tc>
          <w:tcPr>
            <w:tcW w:w="741"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Botox</w:t>
            </w:r>
          </w:p>
        </w:tc>
        <w:tc>
          <w:tcPr>
            <w:tcW w:w="1397" w:type="pct"/>
            <w:vMerge/>
            <w:shd w:val="clear" w:color="auto" w:fill="auto"/>
            <w:vAlign w:val="center"/>
          </w:tcPr>
          <w:p w:rsidR="00E25C13" w:rsidRPr="006258D8" w:rsidRDefault="00E25C13" w:rsidP="00021367">
            <w:pPr>
              <w:pStyle w:val="Tabletext0"/>
              <w:jc w:val="center"/>
              <w:rPr>
                <w:b/>
              </w:rPr>
            </w:pP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/173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/167 (</w:t>
            </w:r>
            <w:r>
              <w:rPr>
                <w:noProof/>
                <w:color w:val="000000"/>
                <w:highlight w:val="black"/>
              </w:rPr>
              <w:t>'''''''''''</w:t>
            </w:r>
            <w:r w:rsidR="00E25C13" w:rsidRPr="006258D8">
              <w:t>%)</w:t>
            </w:r>
          </w:p>
        </w:tc>
        <w:tc>
          <w:tcPr>
            <w:tcW w:w="741"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97"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rPr>
                <w:color w:val="000000"/>
              </w:rPr>
              <w:t xml:space="preserve"> (</w:t>
            </w:r>
            <w:r>
              <w:rPr>
                <w:noProof/>
                <w:color w:val="000000"/>
                <w:highlight w:val="black"/>
              </w:rPr>
              <w:t>''''''''</w:t>
            </w:r>
            <w:r w:rsidR="00E25C13" w:rsidRPr="006258D8">
              <w:rPr>
                <w:color w:val="000000"/>
              </w:rPr>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/169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/167 (</w:t>
            </w:r>
            <w:r>
              <w:rPr>
                <w:noProof/>
                <w:color w:val="000000"/>
                <w:highlight w:val="black"/>
              </w:rPr>
              <w:t>'''''''''''</w:t>
            </w:r>
            <w:r w:rsidR="00E25C13" w:rsidRPr="006258D8">
              <w:t>%)</w:t>
            </w:r>
          </w:p>
        </w:tc>
        <w:tc>
          <w:tcPr>
            <w:tcW w:w="741"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97" w:type="pct"/>
            <w:tcBorders>
              <w:top w:val="single" w:sz="4" w:space="0" w:color="auto"/>
            </w:tcBorders>
            <w:shd w:val="clear" w:color="auto" w:fill="auto"/>
            <w:vAlign w:val="center"/>
          </w:tcPr>
          <w:p w:rsidR="00E25C13" w:rsidRPr="006258D8" w:rsidRDefault="00D11BC9" w:rsidP="00021367">
            <w:pPr>
              <w:pStyle w:val="Tabletext0"/>
              <w:jc w:val="center"/>
              <w:rPr>
                <w:color w:val="000000"/>
              </w:rP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Pooled PREEMPT trials (24 weeks)</w:t>
            </w:r>
          </w:p>
        </w:tc>
        <w:tc>
          <w:tcPr>
            <w:tcW w:w="1035"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top w:val="single" w:sz="4" w:space="0" w:color="auto"/>
            </w:tcBorders>
            <w:shd w:val="clear" w:color="auto" w:fill="auto"/>
            <w:vAlign w:val="center"/>
          </w:tcPr>
          <w:p w:rsidR="00E25C13" w:rsidRPr="006258D8" w:rsidRDefault="00E25C13" w:rsidP="00021367">
            <w:pPr>
              <w:pStyle w:val="Tabletext0"/>
              <w:jc w:val="center"/>
            </w:pPr>
            <w:r w:rsidRPr="006258D8">
              <w:t>222/693 (32.0%)</w:t>
            </w:r>
          </w:p>
        </w:tc>
        <w:tc>
          <w:tcPr>
            <w:tcW w:w="741" w:type="pct"/>
            <w:tcBorders>
              <w:top w:val="single" w:sz="4" w:space="0" w:color="auto"/>
            </w:tcBorders>
            <w:shd w:val="clear" w:color="auto" w:fill="auto"/>
            <w:vAlign w:val="center"/>
          </w:tcPr>
          <w:p w:rsidR="00E25C13" w:rsidRPr="006258D8" w:rsidRDefault="00E25C13" w:rsidP="00021367">
            <w:pPr>
              <w:pStyle w:val="Tabletext0"/>
              <w:jc w:val="center"/>
            </w:pPr>
            <w:r w:rsidRPr="006258D8">
              <w:t>286/685 (41.8%)</w:t>
            </w:r>
          </w:p>
        </w:tc>
        <w:tc>
          <w:tcPr>
            <w:tcW w:w="1397" w:type="pct"/>
            <w:tcBorders>
              <w:top w:val="single" w:sz="4" w:space="0" w:color="auto"/>
            </w:tcBorders>
            <w:shd w:val="clear" w:color="auto" w:fill="auto"/>
            <w:vAlign w:val="center"/>
          </w:tcPr>
          <w:p w:rsidR="00E25C13" w:rsidRPr="006258D8" w:rsidRDefault="00E25C13" w:rsidP="00021367">
            <w:pPr>
              <w:pStyle w:val="Tabletext0"/>
              <w:jc w:val="center"/>
            </w:pPr>
            <w:r w:rsidRPr="006258D8">
              <w:t>1.52 (NR)</w:t>
            </w:r>
          </w:p>
        </w:tc>
      </w:tr>
      <w:tr w:rsidR="00E25C13" w:rsidRPr="006258D8" w:rsidTr="00D96193">
        <w:trPr>
          <w:jc w:val="center"/>
        </w:trPr>
        <w:tc>
          <w:tcPr>
            <w:tcW w:w="3603" w:type="pct"/>
            <w:gridSpan w:val="4"/>
            <w:shd w:val="clear" w:color="auto" w:fill="auto"/>
            <w:vAlign w:val="center"/>
          </w:tcPr>
          <w:p w:rsidR="00E25C13" w:rsidRPr="006258D8" w:rsidRDefault="00E25C13" w:rsidP="00021367">
            <w:pPr>
              <w:pStyle w:val="Tabletext0"/>
              <w:jc w:val="right"/>
              <w:rPr>
                <w:b/>
              </w:rPr>
            </w:pPr>
            <w:r w:rsidRPr="006258D8">
              <w:t>Indirect odds ratio fremanezumab 4-weekly versus Botox</w:t>
            </w:r>
          </w:p>
        </w:tc>
        <w:tc>
          <w:tcPr>
            <w:tcW w:w="1397" w:type="pct"/>
            <w:shd w:val="clear" w:color="auto" w:fill="auto"/>
            <w:vAlign w:val="center"/>
          </w:tcPr>
          <w:p w:rsidR="00E25C13" w:rsidRPr="006258D8" w:rsidRDefault="00D11BC9" w:rsidP="00021367">
            <w:pPr>
              <w:pStyle w:val="Tabletext0"/>
              <w:jc w:val="center"/>
              <w:rPr>
                <w:b/>
              </w:rPr>
            </w:pPr>
            <w:r>
              <w:rPr>
                <w:b/>
                <w:noProof/>
                <w:color w:val="000000"/>
                <w:highlight w:val="black"/>
              </w:rPr>
              <w:t>'''''''''</w:t>
            </w:r>
            <w:r w:rsidR="00E25C13" w:rsidRPr="006258D8">
              <w:rPr>
                <w:b/>
              </w:rPr>
              <w:t xml:space="preserve"> (</w:t>
            </w:r>
            <w:r>
              <w:rPr>
                <w:b/>
                <w:noProof/>
                <w:color w:val="000000"/>
                <w:highlight w:val="black"/>
              </w:rPr>
              <w:t>'''''''''</w:t>
            </w:r>
            <w:r w:rsidR="00E25C13" w:rsidRPr="006258D8">
              <w:rPr>
                <w:b/>
              </w:rPr>
              <w:t xml:space="preserve">, </w:t>
            </w:r>
            <w:r>
              <w:rPr>
                <w:b/>
                <w:noProof/>
                <w:color w:val="000000"/>
                <w:highlight w:val="black"/>
              </w:rPr>
              <w:t>''''''''</w:t>
            </w:r>
            <w:r w:rsidR="00E25C13" w:rsidRPr="006258D8">
              <w:rPr>
                <w:b/>
              </w:rPr>
              <w:t>)</w:t>
            </w:r>
          </w:p>
        </w:tc>
      </w:tr>
      <w:tr w:rsidR="00E25C13" w:rsidRPr="006258D8" w:rsidTr="00D96193">
        <w:trPr>
          <w:jc w:val="center"/>
        </w:trPr>
        <w:tc>
          <w:tcPr>
            <w:tcW w:w="3603" w:type="pct"/>
            <w:gridSpan w:val="4"/>
            <w:shd w:val="clear" w:color="auto" w:fill="auto"/>
            <w:vAlign w:val="center"/>
          </w:tcPr>
          <w:p w:rsidR="00E25C13" w:rsidRPr="006258D8" w:rsidRDefault="00E25C13" w:rsidP="00021367">
            <w:pPr>
              <w:pStyle w:val="Tabletext0"/>
              <w:jc w:val="right"/>
              <w:rPr>
                <w:b/>
              </w:rPr>
            </w:pPr>
            <w:r w:rsidRPr="006258D8">
              <w:t>Indirect odds ratio fremanezumab 12-weekly versus Botox</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bl>
    <w:p w:rsidR="00E25C13" w:rsidRPr="006258D8" w:rsidRDefault="00E25C13" w:rsidP="00021367">
      <w:pPr>
        <w:pStyle w:val="TableFigureFooter"/>
      </w:pPr>
      <w:r w:rsidRPr="006258D8">
        <w:t>Bolded results indicate a statistically significant difference.</w:t>
      </w:r>
    </w:p>
    <w:p w:rsidR="00E25C13" w:rsidRPr="006258D8" w:rsidRDefault="00E25C13" w:rsidP="00021367">
      <w:pPr>
        <w:pStyle w:val="TableFigureFooter"/>
      </w:pPr>
      <w:r w:rsidRPr="006258D8">
        <w:t xml:space="preserve">Source: </w:t>
      </w:r>
      <w:r w:rsidRPr="002A67DD">
        <w:t>Table 2.57, p.152; Table 2.58, p.154; Table 2.59, pp155-156 of the submission.</w:t>
      </w:r>
    </w:p>
    <w:p w:rsidR="00E25C13" w:rsidRPr="006258D8" w:rsidRDefault="00E25C13" w:rsidP="00021367">
      <w:pPr>
        <w:pStyle w:val="TableFigureFooter"/>
      </w:pPr>
      <w:r w:rsidRPr="006258D8">
        <w:t>Abbreviations: CI, confidence interval; FREM, fremanezumab; NR, not reported; SE, standard error.</w:t>
      </w:r>
    </w:p>
    <w:p w:rsidR="00C30A12" w:rsidRPr="00742CD6" w:rsidRDefault="00455FF9" w:rsidP="000F2EE3">
      <w:pPr>
        <w:pStyle w:val="3-BodyText"/>
      </w:pPr>
      <w:r w:rsidRPr="006258D8">
        <w:t>Treatment with fremanezumab 225 mg every 4 weeks was associated with a statistically significant improvement in monthly migraine days, monthly headache days, and the proportion of patients with a ≥50% response compared</w:t>
      </w:r>
      <w:r w:rsidR="00742CD6">
        <w:t xml:space="preserve"> to Botox (24-week assessment).</w:t>
      </w:r>
    </w:p>
    <w:p w:rsidR="00C74141" w:rsidRDefault="00455FF9" w:rsidP="000F2EE3">
      <w:pPr>
        <w:pStyle w:val="3-BodyText"/>
      </w:pPr>
      <w:r w:rsidRPr="006258D8">
        <w:t>There were no statistically significant differences between fremanezumab 675 mg every 12 weeks and Botox (24-week assessment).</w:t>
      </w:r>
    </w:p>
    <w:p w:rsidR="00E25C13" w:rsidRPr="006258D8" w:rsidRDefault="00E25C13" w:rsidP="00EC4C47">
      <w:pPr>
        <w:pStyle w:val="3-BodyText"/>
      </w:pPr>
      <w:r w:rsidRPr="006258D8">
        <w:t xml:space="preserve">Table </w:t>
      </w:r>
      <w:r w:rsidR="002206AC">
        <w:t>7</w:t>
      </w:r>
      <w:r w:rsidRPr="006258D8">
        <w:t xml:space="preserve"> presents the results of the indirect comparison of fremanezumab (12 weeks) and Botox (24 weeks) for the subgroup of</w:t>
      </w:r>
      <w:r w:rsidR="00455FF9" w:rsidRPr="006258D8">
        <w:t xml:space="preserve"> chronic migraine</w:t>
      </w:r>
      <w:r w:rsidRPr="006258D8">
        <w:t xml:space="preserve"> patients with ≥3</w:t>
      </w:r>
      <w:r w:rsidR="004174D7">
        <w:t xml:space="preserve"> prior</w:t>
      </w:r>
      <w:r w:rsidRPr="006258D8">
        <w:t xml:space="preserve"> treatment</w:t>
      </w:r>
      <w:r w:rsidR="007B2606">
        <w:t xml:space="preserve"> failures</w:t>
      </w:r>
      <w:r w:rsidRPr="006258D8">
        <w:t>.</w:t>
      </w:r>
    </w:p>
    <w:p w:rsidR="00E668A3" w:rsidRDefault="00E668A3" w:rsidP="00021367">
      <w:pPr>
        <w:pStyle w:val="TableFigureHeading"/>
      </w:pPr>
      <w:r>
        <w:t xml:space="preserve">Table </w:t>
      </w:r>
      <w:r w:rsidR="009D4178">
        <w:rPr>
          <w:noProof/>
        </w:rPr>
        <w:t>7</w:t>
      </w:r>
      <w:r w:rsidRPr="00844798">
        <w:t>:</w:t>
      </w:r>
      <w:r w:rsidR="00340302">
        <w:t xml:space="preserve"> </w:t>
      </w:r>
      <w:r w:rsidR="00537033" w:rsidRPr="00844798">
        <w:t>Indirect comparisons of fremanezumab (12 weeks) versus Botox (24 weeks) for the subgroup of chronic migraine patients with ≥3 prior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Indirect comparisons of fremanezumab (12 weeks) versus Botox (24 weeks) for the subgroup of chronic migraine patients with ≥3 prior treatments"/>
      </w:tblPr>
      <w:tblGrid>
        <w:gridCol w:w="1582"/>
        <w:gridCol w:w="1673"/>
        <w:gridCol w:w="1702"/>
        <w:gridCol w:w="1540"/>
        <w:gridCol w:w="2519"/>
      </w:tblGrid>
      <w:tr w:rsidR="00E25C13" w:rsidRPr="006258D8" w:rsidTr="00E668A3">
        <w:trPr>
          <w:tblHeader/>
          <w:jc w:val="center"/>
        </w:trPr>
        <w:tc>
          <w:tcPr>
            <w:tcW w:w="877" w:type="pct"/>
            <w:vMerge w:val="restart"/>
            <w:shd w:val="clear" w:color="auto" w:fill="auto"/>
            <w:vAlign w:val="center"/>
          </w:tcPr>
          <w:p w:rsidR="00E25C13" w:rsidRPr="006258D8" w:rsidRDefault="00E25C13" w:rsidP="00021367">
            <w:pPr>
              <w:pStyle w:val="Tabletext0"/>
              <w:keepNext/>
              <w:rPr>
                <w:b/>
              </w:rPr>
            </w:pPr>
            <w:r w:rsidRPr="006258D8">
              <w:rPr>
                <w:b/>
              </w:rPr>
              <w:t>Trial</w:t>
            </w:r>
          </w:p>
        </w:tc>
        <w:tc>
          <w:tcPr>
            <w:tcW w:w="2726" w:type="pct"/>
            <w:gridSpan w:val="3"/>
            <w:shd w:val="clear" w:color="auto" w:fill="auto"/>
            <w:vAlign w:val="center"/>
          </w:tcPr>
          <w:p w:rsidR="00E25C13" w:rsidRPr="006258D8" w:rsidRDefault="00E25C13" w:rsidP="00021367">
            <w:pPr>
              <w:pStyle w:val="Tabletext0"/>
              <w:jc w:val="center"/>
              <w:rPr>
                <w:b/>
              </w:rPr>
            </w:pPr>
            <w:r w:rsidRPr="006258D8">
              <w:rPr>
                <w:b/>
              </w:rPr>
              <w:t>Mean change from baseline (SE) in monthly migraine days</w:t>
            </w:r>
          </w:p>
        </w:tc>
        <w:tc>
          <w:tcPr>
            <w:tcW w:w="1397" w:type="pct"/>
            <w:vMerge w:val="restart"/>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E668A3">
        <w:trPr>
          <w:tblHeader/>
          <w:jc w:val="center"/>
        </w:trPr>
        <w:tc>
          <w:tcPr>
            <w:tcW w:w="877" w:type="pct"/>
            <w:vMerge/>
            <w:shd w:val="clear" w:color="auto" w:fill="auto"/>
            <w:vAlign w:val="center"/>
          </w:tcPr>
          <w:p w:rsidR="00E25C13" w:rsidRPr="006258D8" w:rsidRDefault="00E25C13" w:rsidP="00021367">
            <w:pPr>
              <w:pStyle w:val="Tabletext0"/>
            </w:pPr>
          </w:p>
        </w:tc>
        <w:tc>
          <w:tcPr>
            <w:tcW w:w="928" w:type="pct"/>
            <w:shd w:val="clear" w:color="auto" w:fill="auto"/>
            <w:vAlign w:val="center"/>
          </w:tcPr>
          <w:p w:rsidR="00E25C13" w:rsidRPr="006258D8" w:rsidRDefault="00E25C13" w:rsidP="00021367">
            <w:pPr>
              <w:pStyle w:val="Tabletext0"/>
              <w:jc w:val="center"/>
              <w:rPr>
                <w:b/>
              </w:rPr>
            </w:pPr>
            <w:r w:rsidRPr="006258D8">
              <w:rPr>
                <w:b/>
              </w:rPr>
              <w:t>Fremanezumab</w:t>
            </w:r>
          </w:p>
        </w:tc>
        <w:tc>
          <w:tcPr>
            <w:tcW w:w="944" w:type="pct"/>
            <w:shd w:val="clear" w:color="auto" w:fill="auto"/>
            <w:vAlign w:val="center"/>
          </w:tcPr>
          <w:p w:rsidR="00E25C13" w:rsidRPr="006258D8" w:rsidRDefault="00E25C13" w:rsidP="00021367">
            <w:pPr>
              <w:pStyle w:val="Tabletext0"/>
              <w:jc w:val="center"/>
              <w:rPr>
                <w:b/>
              </w:rPr>
            </w:pPr>
            <w:r w:rsidRPr="006258D8">
              <w:rPr>
                <w:b/>
              </w:rPr>
              <w:t>Placebo</w:t>
            </w:r>
          </w:p>
        </w:tc>
        <w:tc>
          <w:tcPr>
            <w:tcW w:w="854" w:type="pct"/>
            <w:shd w:val="clear" w:color="auto" w:fill="auto"/>
            <w:vAlign w:val="center"/>
          </w:tcPr>
          <w:p w:rsidR="00E25C13" w:rsidRPr="006258D8" w:rsidRDefault="00E25C13" w:rsidP="00021367">
            <w:pPr>
              <w:pStyle w:val="Tabletext0"/>
              <w:jc w:val="center"/>
              <w:rPr>
                <w:b/>
              </w:rPr>
            </w:pPr>
            <w:r w:rsidRPr="006258D8">
              <w:rPr>
                <w:b/>
              </w:rPr>
              <w:t>Botox</w:t>
            </w:r>
          </w:p>
        </w:tc>
        <w:tc>
          <w:tcPr>
            <w:tcW w:w="1397" w:type="pct"/>
            <w:vMerge/>
            <w:shd w:val="clear" w:color="auto" w:fill="auto"/>
            <w:vAlign w:val="center"/>
          </w:tcPr>
          <w:p w:rsidR="00E25C13" w:rsidRPr="006258D8" w:rsidRDefault="00E25C13" w:rsidP="00021367">
            <w:pPr>
              <w:pStyle w:val="Tabletext0"/>
              <w:jc w:val="center"/>
            </w:pPr>
          </w:p>
        </w:tc>
      </w:tr>
      <w:tr w:rsidR="00E25C13" w:rsidRPr="006258D8" w:rsidTr="0052785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928"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54"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52785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928"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54"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52785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Pooled PREEMPT trials (24 weeks)</w:t>
            </w:r>
          </w:p>
        </w:tc>
        <w:tc>
          <w:tcPr>
            <w:tcW w:w="928"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44"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N=248</w:t>
            </w:r>
          </w:p>
          <w:p w:rsidR="00E25C13" w:rsidRPr="006258D8" w:rsidRDefault="00E25C13" w:rsidP="00021367">
            <w:pPr>
              <w:pStyle w:val="Tabletext0"/>
              <w:jc w:val="center"/>
            </w:pPr>
            <w:r w:rsidRPr="006258D8">
              <w:t>-4.3 (NR)</w:t>
            </w:r>
          </w:p>
        </w:tc>
        <w:tc>
          <w:tcPr>
            <w:tcW w:w="854"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N=231</w:t>
            </w:r>
          </w:p>
          <w:p w:rsidR="00E25C13" w:rsidRPr="006258D8" w:rsidRDefault="00E25C13" w:rsidP="00021367">
            <w:pPr>
              <w:pStyle w:val="Tabletext0"/>
              <w:jc w:val="center"/>
            </w:pPr>
            <w:r w:rsidRPr="006258D8">
              <w:t>-7.1 (NR)</w:t>
            </w:r>
          </w:p>
        </w:tc>
        <w:tc>
          <w:tcPr>
            <w:tcW w:w="1397" w:type="pct"/>
            <w:tcBorders>
              <w:bottom w:val="single" w:sz="4" w:space="0" w:color="auto"/>
            </w:tcBorders>
            <w:shd w:val="clear" w:color="auto" w:fill="auto"/>
            <w:vAlign w:val="center"/>
          </w:tcPr>
          <w:p w:rsidR="00E25C13" w:rsidRPr="006258D8" w:rsidRDefault="00E25C13" w:rsidP="00021367">
            <w:pPr>
              <w:pStyle w:val="Tabletext0"/>
              <w:jc w:val="center"/>
            </w:pPr>
            <w:r w:rsidRPr="006258D8">
              <w:t>-2.8 (NR)</w:t>
            </w:r>
          </w:p>
        </w:tc>
      </w:tr>
      <w:tr w:rsidR="00E25C13" w:rsidRPr="006258D8" w:rsidTr="00D96193">
        <w:trPr>
          <w:jc w:val="center"/>
        </w:trPr>
        <w:tc>
          <w:tcPr>
            <w:tcW w:w="3603"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Botox</w:t>
            </w:r>
          </w:p>
        </w:tc>
        <w:tc>
          <w:tcPr>
            <w:tcW w:w="1397"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03" w:type="pct"/>
            <w:gridSpan w:val="4"/>
            <w:tcBorders>
              <w:top w:val="single" w:sz="4" w:space="0" w:color="auto"/>
              <w:bottom w:val="doub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Botox</w:t>
            </w:r>
          </w:p>
        </w:tc>
        <w:tc>
          <w:tcPr>
            <w:tcW w:w="1397" w:type="pct"/>
            <w:tcBorders>
              <w:top w:val="single" w:sz="4" w:space="0" w:color="auto"/>
              <w:bottom w:val="doub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tblHeader/>
          <w:jc w:val="center"/>
        </w:trPr>
        <w:tc>
          <w:tcPr>
            <w:tcW w:w="877" w:type="pct"/>
            <w:vMerge w:val="restart"/>
            <w:tcBorders>
              <w:top w:val="double" w:sz="4" w:space="0" w:color="auto"/>
            </w:tcBorders>
            <w:shd w:val="clear" w:color="auto" w:fill="auto"/>
            <w:vAlign w:val="center"/>
          </w:tcPr>
          <w:p w:rsidR="00E25C13" w:rsidRPr="006258D8" w:rsidRDefault="00E25C13" w:rsidP="00021367">
            <w:pPr>
              <w:pStyle w:val="Tabletext0"/>
              <w:keepNext/>
              <w:rPr>
                <w:b/>
              </w:rPr>
            </w:pPr>
            <w:r w:rsidRPr="006258D8">
              <w:rPr>
                <w:b/>
              </w:rPr>
              <w:t>Trial</w:t>
            </w:r>
          </w:p>
        </w:tc>
        <w:tc>
          <w:tcPr>
            <w:tcW w:w="2726" w:type="pct"/>
            <w:gridSpan w:val="3"/>
            <w:tcBorders>
              <w:top w:val="double" w:sz="4" w:space="0" w:color="auto"/>
            </w:tcBorders>
            <w:shd w:val="clear" w:color="auto" w:fill="auto"/>
            <w:vAlign w:val="center"/>
          </w:tcPr>
          <w:p w:rsidR="00E25C13" w:rsidRPr="006258D8" w:rsidRDefault="00E25C13" w:rsidP="00021367">
            <w:pPr>
              <w:pStyle w:val="Tabletext0"/>
              <w:jc w:val="center"/>
              <w:rPr>
                <w:b/>
              </w:rPr>
            </w:pPr>
            <w:r w:rsidRPr="006258D8">
              <w:rPr>
                <w:b/>
              </w:rPr>
              <w:t>Mean change from baseline (SE) in monthly headache days</w:t>
            </w:r>
          </w:p>
        </w:tc>
        <w:tc>
          <w:tcPr>
            <w:tcW w:w="1397" w:type="pct"/>
            <w:vMerge w:val="restart"/>
            <w:tcBorders>
              <w:top w:val="double" w:sz="4" w:space="0" w:color="auto"/>
            </w:tcBorders>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527853">
        <w:trPr>
          <w:tblHeader/>
          <w:jc w:val="center"/>
        </w:trPr>
        <w:tc>
          <w:tcPr>
            <w:tcW w:w="877" w:type="pct"/>
            <w:vMerge/>
            <w:shd w:val="clear" w:color="auto" w:fill="auto"/>
            <w:vAlign w:val="center"/>
          </w:tcPr>
          <w:p w:rsidR="00E25C13" w:rsidRPr="006258D8" w:rsidRDefault="00E25C13" w:rsidP="00021367">
            <w:pPr>
              <w:pStyle w:val="Tabletext0"/>
            </w:pPr>
          </w:p>
        </w:tc>
        <w:tc>
          <w:tcPr>
            <w:tcW w:w="928" w:type="pct"/>
            <w:shd w:val="clear" w:color="auto" w:fill="auto"/>
            <w:vAlign w:val="center"/>
          </w:tcPr>
          <w:p w:rsidR="00E25C13" w:rsidRPr="006258D8" w:rsidRDefault="00E25C13" w:rsidP="00021367">
            <w:pPr>
              <w:pStyle w:val="Tabletext0"/>
              <w:jc w:val="center"/>
              <w:rPr>
                <w:b/>
              </w:rPr>
            </w:pPr>
            <w:r w:rsidRPr="006258D8">
              <w:rPr>
                <w:b/>
              </w:rPr>
              <w:t>Fremanezumab</w:t>
            </w:r>
          </w:p>
        </w:tc>
        <w:tc>
          <w:tcPr>
            <w:tcW w:w="944" w:type="pct"/>
            <w:shd w:val="clear" w:color="auto" w:fill="auto"/>
            <w:vAlign w:val="center"/>
          </w:tcPr>
          <w:p w:rsidR="00E25C13" w:rsidRPr="006258D8" w:rsidRDefault="00E25C13" w:rsidP="00021367">
            <w:pPr>
              <w:pStyle w:val="Tabletext0"/>
              <w:jc w:val="center"/>
              <w:rPr>
                <w:b/>
              </w:rPr>
            </w:pPr>
            <w:r w:rsidRPr="006258D8">
              <w:rPr>
                <w:b/>
              </w:rPr>
              <w:t>Placebo</w:t>
            </w:r>
          </w:p>
        </w:tc>
        <w:tc>
          <w:tcPr>
            <w:tcW w:w="854" w:type="pct"/>
            <w:shd w:val="clear" w:color="auto" w:fill="auto"/>
            <w:vAlign w:val="center"/>
          </w:tcPr>
          <w:p w:rsidR="00E25C13" w:rsidRPr="006258D8" w:rsidRDefault="00E25C13" w:rsidP="00021367">
            <w:pPr>
              <w:pStyle w:val="Tabletext0"/>
              <w:jc w:val="center"/>
              <w:rPr>
                <w:b/>
              </w:rPr>
            </w:pPr>
            <w:r w:rsidRPr="006258D8">
              <w:rPr>
                <w:b/>
              </w:rPr>
              <w:t>Botox</w:t>
            </w:r>
          </w:p>
        </w:tc>
        <w:tc>
          <w:tcPr>
            <w:tcW w:w="1397" w:type="pct"/>
            <w:vMerge/>
            <w:shd w:val="clear" w:color="auto" w:fill="auto"/>
            <w:vAlign w:val="center"/>
          </w:tcPr>
          <w:p w:rsidR="00E25C13" w:rsidRPr="006258D8" w:rsidRDefault="00E25C13" w:rsidP="00021367">
            <w:pPr>
              <w:pStyle w:val="Tabletext0"/>
              <w:jc w:val="center"/>
            </w:pPr>
          </w:p>
        </w:tc>
      </w:tr>
      <w:tr w:rsidR="00E25C13" w:rsidRPr="006258D8" w:rsidTr="0052785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928"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 xml:space="preserve">'''''''''' </w:t>
            </w:r>
            <w:r w:rsidR="00E25C13" w:rsidRPr="006258D8">
              <w:t>(</w:t>
            </w:r>
            <w:r>
              <w:rPr>
                <w:noProof/>
                <w:color w:val="000000"/>
                <w:highlight w:val="black"/>
              </w:rPr>
              <w:t>'''''''''''</w:t>
            </w:r>
            <w:r w:rsidR="00E25C13" w:rsidRPr="006258D8">
              <w:t>)</w:t>
            </w:r>
          </w:p>
        </w:tc>
        <w:tc>
          <w:tcPr>
            <w:tcW w:w="854"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52785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928"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54" w:type="pct"/>
            <w:shd w:val="clear" w:color="auto" w:fill="auto"/>
            <w:vAlign w:val="center"/>
          </w:tcPr>
          <w:p w:rsidR="00E25C13" w:rsidRPr="006258D8" w:rsidRDefault="00E25C13" w:rsidP="00021367">
            <w:pPr>
              <w:pStyle w:val="Tabletext0"/>
              <w:jc w:val="center"/>
            </w:pPr>
            <w:r w:rsidRPr="006258D8">
              <w:t>-</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527853">
        <w:trPr>
          <w:trHeight w:val="177"/>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Pooled PREEMPT trials (12 weeks)</w:t>
            </w:r>
          </w:p>
        </w:tc>
        <w:tc>
          <w:tcPr>
            <w:tcW w:w="928"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44"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N=248</w:t>
            </w:r>
          </w:p>
          <w:p w:rsidR="00E25C13" w:rsidRPr="006258D8" w:rsidRDefault="00E25C13" w:rsidP="00021367">
            <w:pPr>
              <w:pStyle w:val="Tabletext0"/>
              <w:jc w:val="center"/>
            </w:pPr>
            <w:r w:rsidRPr="006258D8">
              <w:t>-4.7 (NR)</w:t>
            </w:r>
          </w:p>
        </w:tc>
        <w:tc>
          <w:tcPr>
            <w:tcW w:w="854"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N=231</w:t>
            </w:r>
          </w:p>
          <w:p w:rsidR="00E25C13" w:rsidRPr="006258D8" w:rsidRDefault="00E25C13" w:rsidP="00021367">
            <w:pPr>
              <w:pStyle w:val="Tabletext0"/>
              <w:jc w:val="center"/>
            </w:pPr>
            <w:r w:rsidRPr="006258D8">
              <w:t>-7.4 (NR)</w:t>
            </w:r>
          </w:p>
        </w:tc>
        <w:tc>
          <w:tcPr>
            <w:tcW w:w="1397" w:type="pct"/>
            <w:tcBorders>
              <w:bottom w:val="single" w:sz="4" w:space="0" w:color="auto"/>
            </w:tcBorders>
            <w:shd w:val="clear" w:color="auto" w:fill="auto"/>
            <w:vAlign w:val="center"/>
          </w:tcPr>
          <w:p w:rsidR="00E25C13" w:rsidRPr="006258D8" w:rsidRDefault="00E25C13" w:rsidP="00021367">
            <w:pPr>
              <w:pStyle w:val="Tabletext0"/>
              <w:jc w:val="center"/>
            </w:pPr>
            <w:r w:rsidRPr="006258D8">
              <w:t>-2.7 (NR)</w:t>
            </w:r>
          </w:p>
        </w:tc>
      </w:tr>
      <w:tr w:rsidR="00E25C13" w:rsidRPr="006258D8" w:rsidTr="00D96193">
        <w:trPr>
          <w:jc w:val="center"/>
        </w:trPr>
        <w:tc>
          <w:tcPr>
            <w:tcW w:w="3603"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Botox</w:t>
            </w:r>
          </w:p>
        </w:tc>
        <w:tc>
          <w:tcPr>
            <w:tcW w:w="1397"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trHeight w:val="56"/>
          <w:jc w:val="center"/>
        </w:trPr>
        <w:tc>
          <w:tcPr>
            <w:tcW w:w="3603" w:type="pct"/>
            <w:gridSpan w:val="4"/>
            <w:tcBorders>
              <w:top w:val="single" w:sz="4" w:space="0" w:color="auto"/>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Botox</w:t>
            </w:r>
          </w:p>
        </w:tc>
        <w:tc>
          <w:tcPr>
            <w:tcW w:w="1397" w:type="pct"/>
            <w:tcBorders>
              <w:top w:val="single" w:sz="4" w:space="0" w:color="auto"/>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vMerge w:val="restart"/>
            <w:tcBorders>
              <w:top w:val="double" w:sz="4" w:space="0" w:color="auto"/>
            </w:tcBorders>
            <w:shd w:val="clear" w:color="auto" w:fill="auto"/>
            <w:vAlign w:val="center"/>
          </w:tcPr>
          <w:p w:rsidR="00E25C13" w:rsidRPr="006258D8" w:rsidRDefault="00B60EEE" w:rsidP="00021367">
            <w:pPr>
              <w:pStyle w:val="Tabletext0"/>
            </w:pPr>
            <w:r w:rsidRPr="006258D8">
              <w:rPr>
                <w:b/>
              </w:rPr>
              <w:t>Trial</w:t>
            </w:r>
          </w:p>
        </w:tc>
        <w:tc>
          <w:tcPr>
            <w:tcW w:w="2726" w:type="pct"/>
            <w:gridSpan w:val="3"/>
            <w:tcBorders>
              <w:top w:val="double" w:sz="4" w:space="0" w:color="auto"/>
              <w:bottom w:val="single" w:sz="4" w:space="0" w:color="auto"/>
            </w:tcBorders>
            <w:shd w:val="clear" w:color="auto" w:fill="auto"/>
            <w:vAlign w:val="center"/>
          </w:tcPr>
          <w:p w:rsidR="00C74141" w:rsidRDefault="00E25C13" w:rsidP="00021367">
            <w:pPr>
              <w:pStyle w:val="Tabletext0"/>
              <w:jc w:val="center"/>
              <w:rPr>
                <w:b/>
              </w:rPr>
            </w:pPr>
            <w:r w:rsidRPr="006258D8">
              <w:rPr>
                <w:b/>
              </w:rPr>
              <w:t xml:space="preserve">≥50% reduction in monthly </w:t>
            </w:r>
            <w:r w:rsidR="008F5F39" w:rsidRPr="006258D8">
              <w:rPr>
                <w:b/>
              </w:rPr>
              <w:t>migraine/</w:t>
            </w:r>
            <w:r w:rsidRPr="006258D8">
              <w:rPr>
                <w:b/>
              </w:rPr>
              <w:t>headache days</w:t>
            </w:r>
          </w:p>
          <w:p w:rsidR="00E25C13" w:rsidRPr="006258D8" w:rsidRDefault="00E25C13" w:rsidP="00021367">
            <w:pPr>
              <w:pStyle w:val="Tabletext0"/>
              <w:jc w:val="center"/>
            </w:pPr>
            <w:r w:rsidRPr="006258D8">
              <w:rPr>
                <w:b/>
              </w:rPr>
              <w:t>n with event/N (%)</w:t>
            </w:r>
          </w:p>
        </w:tc>
        <w:tc>
          <w:tcPr>
            <w:tcW w:w="1397" w:type="pct"/>
            <w:vMerge w:val="restart"/>
            <w:tcBorders>
              <w:top w:val="double" w:sz="4" w:space="0" w:color="auto"/>
            </w:tcBorders>
            <w:shd w:val="clear" w:color="auto" w:fill="auto"/>
            <w:vAlign w:val="center"/>
          </w:tcPr>
          <w:p w:rsidR="00E25C13" w:rsidRPr="006258D8" w:rsidRDefault="00E25C13" w:rsidP="00021367">
            <w:pPr>
              <w:pStyle w:val="Tabletext0"/>
              <w:jc w:val="center"/>
            </w:pPr>
            <w:r w:rsidRPr="006258D8">
              <w:rPr>
                <w:b/>
              </w:rPr>
              <w:t>Odds ratio (95% CI)</w:t>
            </w:r>
          </w:p>
        </w:tc>
      </w:tr>
      <w:tr w:rsidR="00E25C13" w:rsidRPr="006258D8" w:rsidTr="00527853">
        <w:trPr>
          <w:jc w:val="center"/>
        </w:trPr>
        <w:tc>
          <w:tcPr>
            <w:tcW w:w="877" w:type="pct"/>
            <w:vMerge/>
            <w:shd w:val="clear" w:color="auto" w:fill="auto"/>
            <w:vAlign w:val="center"/>
          </w:tcPr>
          <w:p w:rsidR="00E25C13" w:rsidRPr="006258D8" w:rsidRDefault="00E25C13" w:rsidP="00021367">
            <w:pPr>
              <w:pStyle w:val="Tabletext0"/>
            </w:pPr>
          </w:p>
        </w:tc>
        <w:tc>
          <w:tcPr>
            <w:tcW w:w="928"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Fremanezumab</w:t>
            </w:r>
          </w:p>
        </w:tc>
        <w:tc>
          <w:tcPr>
            <w:tcW w:w="944"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Placebo</w:t>
            </w:r>
          </w:p>
        </w:tc>
        <w:tc>
          <w:tcPr>
            <w:tcW w:w="854"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Botox</w:t>
            </w:r>
          </w:p>
        </w:tc>
        <w:tc>
          <w:tcPr>
            <w:tcW w:w="1397" w:type="pct"/>
            <w:vMerge/>
            <w:shd w:val="clear" w:color="auto" w:fill="auto"/>
            <w:vAlign w:val="center"/>
          </w:tcPr>
          <w:p w:rsidR="00E25C13" w:rsidRPr="006258D8" w:rsidRDefault="00E25C13" w:rsidP="00021367">
            <w:pPr>
              <w:pStyle w:val="Tabletext0"/>
              <w:jc w:val="center"/>
              <w:rPr>
                <w:b/>
              </w:rPr>
            </w:pPr>
          </w:p>
        </w:tc>
      </w:tr>
      <w:tr w:rsidR="00E25C13" w:rsidRPr="006258D8" w:rsidTr="0052785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928"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854"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97"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rPr>
                <w:color w:val="000000"/>
              </w:rPr>
              <w:t xml:space="preserve"> (NR)</w:t>
            </w:r>
          </w:p>
        </w:tc>
      </w:tr>
      <w:tr w:rsidR="00E25C13" w:rsidRPr="006258D8" w:rsidTr="0052785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928"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44"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854"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97" w:type="pct"/>
            <w:tcBorders>
              <w:top w:val="single" w:sz="4" w:space="0" w:color="auto"/>
            </w:tcBorders>
            <w:shd w:val="clear" w:color="auto" w:fill="auto"/>
            <w:vAlign w:val="center"/>
          </w:tcPr>
          <w:p w:rsidR="00E25C13" w:rsidRPr="006258D8" w:rsidRDefault="00D11BC9" w:rsidP="00021367">
            <w:pPr>
              <w:pStyle w:val="Tabletext0"/>
              <w:jc w:val="center"/>
              <w:rPr>
                <w:color w:val="000000"/>
              </w:rPr>
            </w:pPr>
            <w:r>
              <w:rPr>
                <w:noProof/>
                <w:color w:val="000000"/>
                <w:highlight w:val="black"/>
              </w:rPr>
              <w:t>''''''''''''</w:t>
            </w:r>
            <w:r w:rsidR="00E25C13" w:rsidRPr="006258D8">
              <w:t xml:space="preserve"> (NR)</w:t>
            </w:r>
          </w:p>
        </w:tc>
      </w:tr>
      <w:tr w:rsidR="00E40CFA" w:rsidRPr="006258D8" w:rsidTr="00527853">
        <w:trPr>
          <w:jc w:val="center"/>
        </w:trPr>
        <w:tc>
          <w:tcPr>
            <w:tcW w:w="877" w:type="pct"/>
            <w:tcBorders>
              <w:top w:val="single" w:sz="4" w:space="0" w:color="auto"/>
            </w:tcBorders>
            <w:shd w:val="clear" w:color="auto" w:fill="auto"/>
            <w:vAlign w:val="center"/>
          </w:tcPr>
          <w:p w:rsidR="00E40CFA" w:rsidRPr="006258D8" w:rsidRDefault="00E40CFA" w:rsidP="00021367">
            <w:pPr>
              <w:pStyle w:val="Tabletext0"/>
            </w:pPr>
            <w:r w:rsidRPr="006258D8">
              <w:t>Pooled PREEMPT trials (24 weeks)</w:t>
            </w:r>
          </w:p>
        </w:tc>
        <w:tc>
          <w:tcPr>
            <w:tcW w:w="928" w:type="pct"/>
            <w:tcBorders>
              <w:top w:val="single" w:sz="4" w:space="0" w:color="auto"/>
            </w:tcBorders>
            <w:shd w:val="clear" w:color="auto" w:fill="auto"/>
            <w:vAlign w:val="center"/>
          </w:tcPr>
          <w:p w:rsidR="00E40CFA" w:rsidRPr="006258D8" w:rsidRDefault="00E40CFA" w:rsidP="00021367">
            <w:pPr>
              <w:pStyle w:val="Tabletext0"/>
              <w:jc w:val="center"/>
            </w:pPr>
            <w:r w:rsidRPr="006258D8">
              <w:t>-</w:t>
            </w:r>
          </w:p>
        </w:tc>
        <w:tc>
          <w:tcPr>
            <w:tcW w:w="944" w:type="pct"/>
            <w:tcBorders>
              <w:top w:val="single" w:sz="4" w:space="0" w:color="auto"/>
            </w:tcBorders>
            <w:shd w:val="clear" w:color="auto" w:fill="auto"/>
            <w:vAlign w:val="center"/>
          </w:tcPr>
          <w:p w:rsidR="00E40CFA" w:rsidRPr="006258D8" w:rsidRDefault="00D11BC9" w:rsidP="00021367">
            <w:pPr>
              <w:pStyle w:val="Tabletext0"/>
              <w:jc w:val="center"/>
            </w:pPr>
            <w:r>
              <w:rPr>
                <w:noProof/>
                <w:color w:val="000000"/>
                <w:highlight w:val="black"/>
              </w:rPr>
              <w:t>''''''</w:t>
            </w:r>
            <w:r w:rsidR="00E40CFA" w:rsidRPr="006258D8">
              <w:t>/</w:t>
            </w:r>
            <w:r>
              <w:rPr>
                <w:noProof/>
                <w:color w:val="000000"/>
                <w:highlight w:val="black"/>
              </w:rPr>
              <w:t>'''''''''</w:t>
            </w:r>
            <w:r w:rsidR="00E40CFA" w:rsidRPr="006258D8">
              <w:t xml:space="preserve"> (</w:t>
            </w:r>
            <w:r>
              <w:rPr>
                <w:noProof/>
                <w:color w:val="000000"/>
                <w:highlight w:val="black"/>
              </w:rPr>
              <w:t>''''''''''</w:t>
            </w:r>
            <w:r w:rsidR="00E40CFA" w:rsidRPr="006258D8">
              <w:t>%)</w:t>
            </w:r>
          </w:p>
        </w:tc>
        <w:tc>
          <w:tcPr>
            <w:tcW w:w="854" w:type="pct"/>
            <w:tcBorders>
              <w:top w:val="single" w:sz="4" w:space="0" w:color="auto"/>
            </w:tcBorders>
            <w:shd w:val="clear" w:color="auto" w:fill="auto"/>
            <w:vAlign w:val="center"/>
          </w:tcPr>
          <w:p w:rsidR="00E40CFA" w:rsidRPr="006258D8" w:rsidRDefault="00E40CFA" w:rsidP="00021367">
            <w:pPr>
              <w:pStyle w:val="Tabletext0"/>
              <w:jc w:val="center"/>
            </w:pPr>
            <w:r w:rsidRPr="006258D8">
              <w:t>85/231 (36.8%)</w:t>
            </w:r>
          </w:p>
        </w:tc>
        <w:tc>
          <w:tcPr>
            <w:tcW w:w="1397" w:type="pct"/>
            <w:tcBorders>
              <w:top w:val="single" w:sz="4" w:space="0" w:color="auto"/>
            </w:tcBorders>
            <w:shd w:val="clear" w:color="auto" w:fill="auto"/>
            <w:vAlign w:val="center"/>
          </w:tcPr>
          <w:p w:rsidR="00E40CFA" w:rsidRPr="006258D8" w:rsidRDefault="00E40CFA" w:rsidP="00021367">
            <w:pPr>
              <w:pStyle w:val="Tabletext0"/>
              <w:jc w:val="center"/>
            </w:pPr>
            <w:r w:rsidRPr="006258D8">
              <w:t>1.94 (NR)</w:t>
            </w:r>
          </w:p>
        </w:tc>
      </w:tr>
      <w:tr w:rsidR="00E25C13" w:rsidRPr="006258D8" w:rsidTr="00D96193">
        <w:trPr>
          <w:jc w:val="center"/>
        </w:trPr>
        <w:tc>
          <w:tcPr>
            <w:tcW w:w="3603" w:type="pct"/>
            <w:gridSpan w:val="4"/>
            <w:shd w:val="clear" w:color="auto" w:fill="auto"/>
            <w:vAlign w:val="center"/>
          </w:tcPr>
          <w:p w:rsidR="00E25C13" w:rsidRPr="006258D8" w:rsidRDefault="00E25C13" w:rsidP="00021367">
            <w:pPr>
              <w:pStyle w:val="Tabletext0"/>
              <w:jc w:val="right"/>
              <w:rPr>
                <w:b/>
              </w:rPr>
            </w:pPr>
            <w:r w:rsidRPr="006258D8">
              <w:t>Indirect risk ratio fremanezumab 4-weekly versus Botox</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03" w:type="pct"/>
            <w:gridSpan w:val="4"/>
            <w:shd w:val="clear" w:color="auto" w:fill="auto"/>
            <w:vAlign w:val="center"/>
          </w:tcPr>
          <w:p w:rsidR="00E25C13" w:rsidRPr="006258D8" w:rsidRDefault="00E25C13" w:rsidP="00021367">
            <w:pPr>
              <w:pStyle w:val="Tabletext0"/>
              <w:jc w:val="right"/>
              <w:rPr>
                <w:b/>
              </w:rPr>
            </w:pPr>
            <w:r w:rsidRPr="006258D8">
              <w:t>Indirect risk ratio fremanezumab 12-weekly versus Botox</w:t>
            </w:r>
          </w:p>
        </w:tc>
        <w:tc>
          <w:tcPr>
            <w:tcW w:w="1397"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bl>
    <w:p w:rsidR="00E25C13" w:rsidRPr="006258D8" w:rsidRDefault="00E25C13" w:rsidP="00021367">
      <w:pPr>
        <w:pStyle w:val="TableFigureFooter"/>
      </w:pPr>
      <w:r w:rsidRPr="006258D8">
        <w:t>Bolded results indicate a statistically significant difference.</w:t>
      </w:r>
    </w:p>
    <w:p w:rsidR="00E25C13" w:rsidRPr="006258D8" w:rsidRDefault="00E25C13" w:rsidP="00021367">
      <w:pPr>
        <w:pStyle w:val="TableFigureFooter"/>
      </w:pPr>
      <w:r w:rsidRPr="006258D8">
        <w:t xml:space="preserve">Source: </w:t>
      </w:r>
      <w:r w:rsidRPr="00924CCF">
        <w:t>Table 2.57, p.152; Table 2.58, p.154; Table 2.59, pp155-156 of the submission.</w:t>
      </w:r>
    </w:p>
    <w:p w:rsidR="00E25C13" w:rsidRPr="006258D8" w:rsidRDefault="00E25C13" w:rsidP="00021367">
      <w:pPr>
        <w:pStyle w:val="TableFigureFooter"/>
      </w:pPr>
      <w:r w:rsidRPr="006258D8">
        <w:t>Abbreviations: CI, confidence interval; NR, not reported; SE, standard error.</w:t>
      </w:r>
    </w:p>
    <w:p w:rsidR="00D131AC" w:rsidRPr="006258D8" w:rsidRDefault="00455FF9" w:rsidP="000F2EE3">
      <w:pPr>
        <w:pStyle w:val="3-BodyText"/>
      </w:pPr>
      <w:r w:rsidRPr="006258D8">
        <w:t>There were no statistically significant differences between fremanezumab 225 mg every 4 weeks or fremanezumab 675 mg every 12 weeks</w:t>
      </w:r>
      <w:r w:rsidR="002A67DD">
        <w:t xml:space="preserve"> </w:t>
      </w:r>
      <w:r w:rsidRPr="006258D8">
        <w:t>and Botox (24 weeks) for the change in monthly migraine days, change in monthly headache days, or the proportion of patients with a ≥50% response.</w:t>
      </w:r>
      <w:r w:rsidR="00F63AE5" w:rsidRPr="006258D8">
        <w:t xml:space="preserve"> The </w:t>
      </w:r>
      <w:r w:rsidR="00C94887" w:rsidRPr="006258D8">
        <w:t xml:space="preserve">upper </w:t>
      </w:r>
      <w:r w:rsidR="00F63AE5" w:rsidRPr="006258D8">
        <w:t>95% confidence interval for the fremanezumab 675 mg 12-weekly subgroup comparison</w:t>
      </w:r>
      <w:r w:rsidR="00527853" w:rsidRPr="006258D8">
        <w:t xml:space="preserve"> (</w:t>
      </w:r>
      <w:r w:rsidR="00D11BC9">
        <w:rPr>
          <w:noProof/>
          <w:color w:val="000000"/>
          <w:highlight w:val="black"/>
        </w:rPr>
        <w:t>'''''''''</w:t>
      </w:r>
      <w:r w:rsidR="00527853" w:rsidRPr="006258D8">
        <w:t>)</w:t>
      </w:r>
      <w:r w:rsidR="00F63AE5" w:rsidRPr="006258D8">
        <w:t xml:space="preserve"> exceeded the nominated non-inferiority margin of 2 days for change in monthly migraine days</w:t>
      </w:r>
      <w:r w:rsidR="008F5F39" w:rsidRPr="006258D8">
        <w:t>.</w:t>
      </w:r>
    </w:p>
    <w:p w:rsidR="00E25C13" w:rsidRPr="006258D8" w:rsidRDefault="00E25C13" w:rsidP="00021367">
      <w:pPr>
        <w:pStyle w:val="5-SubsectionSubheading"/>
      </w:pPr>
      <w:r w:rsidRPr="006258D8">
        <w:t>Fremanezumab versus erenumab</w:t>
      </w:r>
    </w:p>
    <w:p w:rsidR="00E25C13" w:rsidRPr="006258D8" w:rsidRDefault="00537033" w:rsidP="000F2EE3">
      <w:pPr>
        <w:pStyle w:val="3-BodyText"/>
      </w:pPr>
      <w:r w:rsidRPr="006258D8">
        <w:t xml:space="preserve">Table </w:t>
      </w:r>
      <w:r>
        <w:t>8</w:t>
      </w:r>
      <w:r w:rsidRPr="006258D8">
        <w:t xml:space="preserve"> presents the results of the indirect comparison of fremanezumab and erenumab for the full chronic migraine population</w:t>
      </w:r>
      <w:r w:rsidR="008A1B75">
        <w:t>.</w:t>
      </w:r>
    </w:p>
    <w:p w:rsidR="00A96D4D" w:rsidRDefault="00A96D4D" w:rsidP="00021367">
      <w:pPr>
        <w:pStyle w:val="TableFigureHeading"/>
      </w:pPr>
      <w:r>
        <w:t xml:space="preserve">Table </w:t>
      </w:r>
      <w:r w:rsidR="009D4178">
        <w:rPr>
          <w:noProof/>
        </w:rPr>
        <w:t>8</w:t>
      </w:r>
      <w:r w:rsidRPr="00773E4C">
        <w:t>:</w:t>
      </w:r>
      <w:r w:rsidR="00340302">
        <w:t xml:space="preserve"> </w:t>
      </w:r>
      <w:r w:rsidRPr="00773E4C">
        <w:t>Indirect comparisons of fremanezumab versus erenumab for the full chronic migraine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Indirect comparisons of fremanezumab versus erenumab for the full chronic migraine population"/>
      </w:tblPr>
      <w:tblGrid>
        <w:gridCol w:w="1581"/>
        <w:gridCol w:w="1866"/>
        <w:gridCol w:w="1713"/>
        <w:gridCol w:w="1497"/>
        <w:gridCol w:w="2359"/>
      </w:tblGrid>
      <w:tr w:rsidR="00E25C13" w:rsidRPr="006258D8" w:rsidTr="00A96D4D">
        <w:trPr>
          <w:tblHeader/>
          <w:jc w:val="center"/>
        </w:trPr>
        <w:tc>
          <w:tcPr>
            <w:tcW w:w="877" w:type="pct"/>
            <w:vMerge w:val="restart"/>
            <w:shd w:val="clear" w:color="auto" w:fill="auto"/>
            <w:vAlign w:val="center"/>
          </w:tcPr>
          <w:p w:rsidR="00E25C13" w:rsidRPr="006258D8" w:rsidRDefault="00E25C13" w:rsidP="00021367">
            <w:pPr>
              <w:pStyle w:val="Tabletext0"/>
              <w:keepNext/>
              <w:rPr>
                <w:b/>
              </w:rPr>
            </w:pPr>
            <w:r w:rsidRPr="006258D8">
              <w:rPr>
                <w:b/>
              </w:rPr>
              <w:t>Trial</w:t>
            </w:r>
          </w:p>
        </w:tc>
        <w:tc>
          <w:tcPr>
            <w:tcW w:w="2815" w:type="pct"/>
            <w:gridSpan w:val="3"/>
            <w:shd w:val="clear" w:color="auto" w:fill="auto"/>
            <w:vAlign w:val="center"/>
          </w:tcPr>
          <w:p w:rsidR="00E25C13" w:rsidRPr="006258D8" w:rsidRDefault="00E25C13" w:rsidP="00021367">
            <w:pPr>
              <w:pStyle w:val="Tabletext0"/>
              <w:jc w:val="center"/>
              <w:rPr>
                <w:b/>
              </w:rPr>
            </w:pPr>
            <w:r w:rsidRPr="006258D8">
              <w:rPr>
                <w:b/>
              </w:rPr>
              <w:t>Mean change from baseline (SE) in monthly migraine days</w:t>
            </w:r>
          </w:p>
        </w:tc>
        <w:tc>
          <w:tcPr>
            <w:tcW w:w="1308" w:type="pct"/>
            <w:vMerge w:val="restart"/>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A96D4D">
        <w:trPr>
          <w:tblHeader/>
          <w:jc w:val="center"/>
        </w:trPr>
        <w:tc>
          <w:tcPr>
            <w:tcW w:w="877" w:type="pct"/>
            <w:vMerge/>
            <w:shd w:val="clear" w:color="auto" w:fill="auto"/>
            <w:vAlign w:val="center"/>
          </w:tcPr>
          <w:p w:rsidR="00E25C13" w:rsidRPr="006258D8" w:rsidRDefault="00E25C13" w:rsidP="00021367">
            <w:pPr>
              <w:pStyle w:val="Tabletext0"/>
            </w:pPr>
          </w:p>
        </w:tc>
        <w:tc>
          <w:tcPr>
            <w:tcW w:w="1035" w:type="pct"/>
            <w:shd w:val="clear" w:color="auto" w:fill="auto"/>
            <w:vAlign w:val="center"/>
          </w:tcPr>
          <w:p w:rsidR="00E25C13" w:rsidRPr="006258D8" w:rsidRDefault="00E25C13" w:rsidP="00021367">
            <w:pPr>
              <w:pStyle w:val="Tabletext0"/>
              <w:jc w:val="center"/>
              <w:rPr>
                <w:b/>
              </w:rPr>
            </w:pPr>
            <w:r w:rsidRPr="006258D8">
              <w:rPr>
                <w:b/>
              </w:rPr>
              <w:t>Fremanezumab</w:t>
            </w:r>
          </w:p>
        </w:tc>
        <w:tc>
          <w:tcPr>
            <w:tcW w:w="950" w:type="pct"/>
            <w:shd w:val="clear" w:color="auto" w:fill="auto"/>
            <w:vAlign w:val="center"/>
          </w:tcPr>
          <w:p w:rsidR="00E25C13" w:rsidRPr="006258D8" w:rsidRDefault="00E25C13" w:rsidP="00021367">
            <w:pPr>
              <w:pStyle w:val="Tabletext0"/>
              <w:jc w:val="center"/>
              <w:rPr>
                <w:b/>
              </w:rPr>
            </w:pPr>
            <w:r w:rsidRPr="006258D8">
              <w:rPr>
                <w:b/>
              </w:rPr>
              <w:t>Placebo</w:t>
            </w:r>
          </w:p>
        </w:tc>
        <w:tc>
          <w:tcPr>
            <w:tcW w:w="830" w:type="pct"/>
            <w:shd w:val="clear" w:color="auto" w:fill="auto"/>
            <w:vAlign w:val="center"/>
          </w:tcPr>
          <w:p w:rsidR="00E25C13" w:rsidRPr="006258D8" w:rsidRDefault="00E25C13" w:rsidP="00021367">
            <w:pPr>
              <w:pStyle w:val="Tabletext0"/>
              <w:jc w:val="center"/>
              <w:rPr>
                <w:b/>
              </w:rPr>
            </w:pPr>
            <w:r w:rsidRPr="006258D8">
              <w:rPr>
                <w:b/>
              </w:rPr>
              <w:t>Erenumab</w:t>
            </w:r>
          </w:p>
        </w:tc>
        <w:tc>
          <w:tcPr>
            <w:tcW w:w="1308" w:type="pct"/>
            <w:vMerge/>
            <w:shd w:val="clear" w:color="auto" w:fill="auto"/>
            <w:vAlign w:val="center"/>
          </w:tcPr>
          <w:p w:rsidR="00E25C13" w:rsidRPr="006258D8" w:rsidRDefault="00E25C13" w:rsidP="00021367">
            <w:pPr>
              <w:pStyle w:val="Tabletext0"/>
              <w:jc w:val="center"/>
            </w:pP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5" w:type="pct"/>
            <w:shd w:val="clear" w:color="auto" w:fill="auto"/>
            <w:vAlign w:val="center"/>
          </w:tcPr>
          <w:p w:rsidR="00E25C13" w:rsidRPr="006258D8" w:rsidRDefault="00E25C13" w:rsidP="00021367">
            <w:pPr>
              <w:pStyle w:val="Tabletext0"/>
              <w:jc w:val="center"/>
            </w:pPr>
            <w:r w:rsidRPr="006258D8">
              <w:t>N= 173</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shd w:val="clear" w:color="auto" w:fill="auto"/>
            <w:vAlign w:val="center"/>
          </w:tcPr>
          <w:p w:rsidR="00E25C13" w:rsidRPr="006258D8" w:rsidRDefault="00E25C13" w:rsidP="00021367">
            <w:pPr>
              <w:pStyle w:val="Tabletext0"/>
              <w:jc w:val="center"/>
            </w:pPr>
            <w:r w:rsidRPr="006258D8">
              <w:t>-</w:t>
            </w:r>
          </w:p>
        </w:tc>
        <w:tc>
          <w:tcPr>
            <w:tcW w:w="1308"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5" w:type="pct"/>
            <w:shd w:val="clear" w:color="auto" w:fill="auto"/>
            <w:vAlign w:val="center"/>
          </w:tcPr>
          <w:p w:rsidR="00E25C13" w:rsidRPr="006258D8" w:rsidRDefault="00E25C13" w:rsidP="00021367">
            <w:pPr>
              <w:pStyle w:val="Tabletext0"/>
              <w:jc w:val="center"/>
            </w:pPr>
            <w:r w:rsidRPr="006258D8">
              <w:t>N= 169</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B21B0" w:rsidRPr="00EB21B0">
              <w:t>)</w:t>
            </w:r>
          </w:p>
        </w:tc>
        <w:tc>
          <w:tcPr>
            <w:tcW w:w="950" w:type="pct"/>
            <w:shd w:val="clear" w:color="auto" w:fill="auto"/>
            <w:vAlign w:val="center"/>
          </w:tcPr>
          <w:p w:rsidR="00E25C13" w:rsidRPr="006258D8" w:rsidRDefault="00E25C13" w:rsidP="00021367">
            <w:pPr>
              <w:pStyle w:val="Tabletext0"/>
              <w:jc w:val="center"/>
            </w:pPr>
            <w:r w:rsidRPr="006258D8">
              <w:t>N=167</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shd w:val="clear" w:color="auto" w:fill="auto"/>
            <w:vAlign w:val="center"/>
          </w:tcPr>
          <w:p w:rsidR="00E25C13" w:rsidRPr="006258D8" w:rsidRDefault="00E25C13" w:rsidP="00021367">
            <w:pPr>
              <w:pStyle w:val="Tabletext0"/>
              <w:jc w:val="center"/>
            </w:pPr>
            <w:r w:rsidRPr="006258D8">
              <w:t>-</w:t>
            </w:r>
          </w:p>
        </w:tc>
        <w:tc>
          <w:tcPr>
            <w:tcW w:w="1308"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Study 295</w:t>
            </w:r>
          </w:p>
          <w:p w:rsidR="00E25C13" w:rsidRPr="006258D8" w:rsidRDefault="00E25C13" w:rsidP="00021367">
            <w:pPr>
              <w:pStyle w:val="Tabletext0"/>
            </w:pPr>
            <w:r w:rsidRPr="006258D8">
              <w:t>EREN 70 mg</w:t>
            </w:r>
          </w:p>
        </w:tc>
        <w:tc>
          <w:tcPr>
            <w:tcW w:w="1035"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N=281</w:t>
            </w:r>
          </w:p>
          <w:p w:rsidR="00E25C13" w:rsidRPr="006258D8" w:rsidRDefault="00E25C13" w:rsidP="00021367">
            <w:pPr>
              <w:pStyle w:val="Tabletext0"/>
              <w:jc w:val="center"/>
            </w:pPr>
            <w:r w:rsidRPr="006258D8">
              <w:t>-4.24 (0.38)</w:t>
            </w:r>
          </w:p>
        </w:tc>
        <w:tc>
          <w:tcPr>
            <w:tcW w:w="83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N=188</w:t>
            </w:r>
          </w:p>
          <w:p w:rsidR="00E25C13" w:rsidRPr="006258D8" w:rsidRDefault="00E25C13" w:rsidP="00021367">
            <w:pPr>
              <w:pStyle w:val="Tabletext0"/>
              <w:jc w:val="center"/>
            </w:pPr>
            <w:r w:rsidRPr="006258D8">
              <w:t>-6.63 (0.45)</w:t>
            </w:r>
          </w:p>
        </w:tc>
        <w:tc>
          <w:tcPr>
            <w:tcW w:w="1308" w:type="pct"/>
            <w:tcBorders>
              <w:bottom w:val="single" w:sz="4" w:space="0" w:color="auto"/>
            </w:tcBorders>
            <w:shd w:val="clear" w:color="auto" w:fill="auto"/>
            <w:vAlign w:val="center"/>
          </w:tcPr>
          <w:p w:rsidR="00E25C13" w:rsidRPr="006258D8" w:rsidRDefault="00E25C13" w:rsidP="00021367">
            <w:pPr>
              <w:pStyle w:val="Tabletext0"/>
              <w:jc w:val="center"/>
            </w:pPr>
            <w:r w:rsidRPr="006258D8">
              <w:t>-2.39 (NR)</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pPr>
            <w:r w:rsidRPr="006258D8">
              <w:t>Study 295</w:t>
            </w:r>
          </w:p>
          <w:p w:rsidR="00E25C13" w:rsidRPr="006258D8" w:rsidRDefault="00E25C13" w:rsidP="00021367">
            <w:pPr>
              <w:pStyle w:val="Tabletext0"/>
            </w:pPr>
            <w:r w:rsidRPr="006258D8">
              <w:t>EREN 140 mg</w:t>
            </w:r>
          </w:p>
        </w:tc>
        <w:tc>
          <w:tcPr>
            <w:tcW w:w="1035"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N=281</w:t>
            </w:r>
          </w:p>
          <w:p w:rsidR="00E25C13" w:rsidRPr="006258D8" w:rsidRDefault="00E25C13" w:rsidP="00021367">
            <w:pPr>
              <w:pStyle w:val="Tabletext0"/>
              <w:jc w:val="center"/>
            </w:pPr>
            <w:r w:rsidRPr="006258D8">
              <w:t>-4.24 (0.38)</w:t>
            </w:r>
          </w:p>
        </w:tc>
        <w:tc>
          <w:tcPr>
            <w:tcW w:w="830" w:type="pct"/>
            <w:tcBorders>
              <w:bottom w:val="single" w:sz="4" w:space="0" w:color="auto"/>
            </w:tcBorders>
            <w:shd w:val="clear" w:color="auto" w:fill="auto"/>
            <w:vAlign w:val="center"/>
          </w:tcPr>
          <w:p w:rsidR="00E25C13" w:rsidRPr="006258D8" w:rsidRDefault="00E25C13" w:rsidP="00021367">
            <w:pPr>
              <w:pStyle w:val="Tabletext0"/>
              <w:jc w:val="center"/>
            </w:pPr>
            <w:r w:rsidRPr="006258D8">
              <w:t>N=187</w:t>
            </w:r>
          </w:p>
          <w:p w:rsidR="00E25C13" w:rsidRPr="006258D8" w:rsidRDefault="00E25C13" w:rsidP="00021367">
            <w:pPr>
              <w:pStyle w:val="Tabletext0"/>
              <w:jc w:val="center"/>
            </w:pPr>
            <w:r w:rsidRPr="006258D8">
              <w:t>-6.53 (0.50)</w:t>
            </w:r>
          </w:p>
        </w:tc>
        <w:tc>
          <w:tcPr>
            <w:tcW w:w="1308" w:type="pct"/>
            <w:tcBorders>
              <w:bottom w:val="single" w:sz="4" w:space="0" w:color="auto"/>
            </w:tcBorders>
            <w:shd w:val="clear" w:color="auto" w:fill="auto"/>
            <w:vAlign w:val="center"/>
          </w:tcPr>
          <w:p w:rsidR="00E25C13" w:rsidRPr="006258D8" w:rsidRDefault="00E25C13" w:rsidP="00021367">
            <w:pPr>
              <w:pStyle w:val="Tabletext0"/>
              <w:jc w:val="center"/>
            </w:pPr>
            <w:r w:rsidRPr="006258D8">
              <w:t>-2.29 (NR)</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erenumab 70 mg</w:t>
            </w:r>
          </w:p>
        </w:tc>
        <w:tc>
          <w:tcPr>
            <w:tcW w:w="1308"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erenumab 70 mg</w:t>
            </w:r>
          </w:p>
        </w:tc>
        <w:tc>
          <w:tcPr>
            <w:tcW w:w="1308"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erenumab 140 mg</w:t>
            </w:r>
          </w:p>
        </w:tc>
        <w:tc>
          <w:tcPr>
            <w:tcW w:w="1308"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top w:val="single" w:sz="4" w:space="0" w:color="auto"/>
              <w:bottom w:val="doub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erenumab 140 mg</w:t>
            </w:r>
          </w:p>
        </w:tc>
        <w:tc>
          <w:tcPr>
            <w:tcW w:w="1308" w:type="pct"/>
            <w:tcBorders>
              <w:top w:val="single" w:sz="4" w:space="0" w:color="auto"/>
              <w:bottom w:val="doub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vMerge w:val="restart"/>
            <w:tcBorders>
              <w:top w:val="double" w:sz="4" w:space="0" w:color="auto"/>
            </w:tcBorders>
            <w:shd w:val="clear" w:color="auto" w:fill="auto"/>
            <w:vAlign w:val="center"/>
          </w:tcPr>
          <w:p w:rsidR="00E25C13" w:rsidRPr="006258D8" w:rsidRDefault="00E25C13" w:rsidP="00021367">
            <w:pPr>
              <w:pStyle w:val="Tabletext0"/>
            </w:pPr>
          </w:p>
        </w:tc>
        <w:tc>
          <w:tcPr>
            <w:tcW w:w="2815" w:type="pct"/>
            <w:gridSpan w:val="3"/>
            <w:tcBorders>
              <w:top w:val="double" w:sz="4" w:space="0" w:color="auto"/>
              <w:bottom w:val="single" w:sz="4" w:space="0" w:color="auto"/>
            </w:tcBorders>
            <w:shd w:val="clear" w:color="auto" w:fill="auto"/>
            <w:vAlign w:val="center"/>
          </w:tcPr>
          <w:p w:rsidR="00C74141" w:rsidRDefault="00E25C13" w:rsidP="00021367">
            <w:pPr>
              <w:pStyle w:val="Tabletext0"/>
              <w:jc w:val="center"/>
              <w:rPr>
                <w:b/>
              </w:rPr>
            </w:pPr>
            <w:r w:rsidRPr="006258D8">
              <w:rPr>
                <w:b/>
              </w:rPr>
              <w:t>≥50% reduction in monthly migraine days</w:t>
            </w:r>
          </w:p>
          <w:p w:rsidR="00E25C13" w:rsidRPr="006258D8" w:rsidRDefault="00E25C13" w:rsidP="00021367">
            <w:pPr>
              <w:pStyle w:val="Tabletext0"/>
              <w:jc w:val="center"/>
            </w:pPr>
            <w:r w:rsidRPr="006258D8">
              <w:rPr>
                <w:b/>
              </w:rPr>
              <w:t>n with event/N (%)</w:t>
            </w:r>
          </w:p>
        </w:tc>
        <w:tc>
          <w:tcPr>
            <w:tcW w:w="1308" w:type="pct"/>
            <w:vMerge w:val="restart"/>
            <w:tcBorders>
              <w:top w:val="double" w:sz="4" w:space="0" w:color="auto"/>
            </w:tcBorders>
            <w:shd w:val="clear" w:color="auto" w:fill="auto"/>
            <w:vAlign w:val="center"/>
          </w:tcPr>
          <w:p w:rsidR="00E25C13" w:rsidRPr="006258D8" w:rsidRDefault="00E25C13" w:rsidP="00021367">
            <w:pPr>
              <w:pStyle w:val="Tabletext0"/>
              <w:jc w:val="center"/>
            </w:pPr>
            <w:r w:rsidRPr="006258D8">
              <w:rPr>
                <w:b/>
              </w:rPr>
              <w:t>Odds ratio (95% CI)</w:t>
            </w:r>
          </w:p>
        </w:tc>
      </w:tr>
      <w:tr w:rsidR="00E25C13" w:rsidRPr="006258D8" w:rsidTr="00D96193">
        <w:trPr>
          <w:jc w:val="center"/>
        </w:trPr>
        <w:tc>
          <w:tcPr>
            <w:tcW w:w="877" w:type="pct"/>
            <w:vMerge/>
            <w:shd w:val="clear" w:color="auto" w:fill="auto"/>
            <w:vAlign w:val="center"/>
          </w:tcPr>
          <w:p w:rsidR="00E25C13" w:rsidRPr="006258D8" w:rsidRDefault="00E25C13" w:rsidP="00021367">
            <w:pPr>
              <w:pStyle w:val="Tabletext0"/>
            </w:pPr>
          </w:p>
        </w:tc>
        <w:tc>
          <w:tcPr>
            <w:tcW w:w="1035"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Fremanezumab</w:t>
            </w:r>
          </w:p>
        </w:tc>
        <w:tc>
          <w:tcPr>
            <w:tcW w:w="950"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Placebo</w:t>
            </w:r>
          </w:p>
        </w:tc>
        <w:tc>
          <w:tcPr>
            <w:tcW w:w="830"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Erenumab</w:t>
            </w:r>
          </w:p>
        </w:tc>
        <w:tc>
          <w:tcPr>
            <w:tcW w:w="1308" w:type="pct"/>
            <w:vMerge/>
            <w:shd w:val="clear" w:color="auto" w:fill="auto"/>
            <w:vAlign w:val="center"/>
          </w:tcPr>
          <w:p w:rsidR="00E25C13" w:rsidRPr="006258D8" w:rsidRDefault="00E25C13" w:rsidP="00021367">
            <w:pPr>
              <w:pStyle w:val="Tabletext0"/>
              <w:jc w:val="center"/>
              <w:rPr>
                <w:b/>
              </w:rPr>
            </w:pP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/173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/167 (</w:t>
            </w:r>
            <w:r>
              <w:rPr>
                <w:noProof/>
                <w:color w:val="000000"/>
                <w:highlight w:val="black"/>
              </w:rPr>
              <w:t>''''''''''</w:t>
            </w:r>
            <w:r w:rsidR="00E25C13" w:rsidRPr="006258D8">
              <w:t>%)</w:t>
            </w:r>
          </w:p>
        </w:tc>
        <w:tc>
          <w:tcPr>
            <w:tcW w:w="830"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08"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rPr>
                <w:color w:val="000000"/>
              </w:rPr>
              <w:t xml:space="preserve"> (</w:t>
            </w:r>
            <w:r>
              <w:rPr>
                <w:noProof/>
                <w:color w:val="000000"/>
                <w:highlight w:val="black"/>
              </w:rPr>
              <w:t>''''''''</w:t>
            </w:r>
            <w:r w:rsidR="00E25C13" w:rsidRPr="006258D8">
              <w:rPr>
                <w:color w:val="000000"/>
              </w:rPr>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/169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/167 (</w:t>
            </w:r>
            <w:r>
              <w:rPr>
                <w:noProof/>
                <w:color w:val="000000"/>
                <w:highlight w:val="black"/>
              </w:rPr>
              <w:t>'''''''''''</w:t>
            </w:r>
            <w:r w:rsidR="00E25C13" w:rsidRPr="006258D8">
              <w:t>%)</w:t>
            </w:r>
          </w:p>
        </w:tc>
        <w:tc>
          <w:tcPr>
            <w:tcW w:w="830"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308" w:type="pct"/>
            <w:tcBorders>
              <w:top w:val="single" w:sz="4" w:space="0" w:color="auto"/>
            </w:tcBorders>
            <w:shd w:val="clear" w:color="auto" w:fill="auto"/>
            <w:vAlign w:val="center"/>
          </w:tcPr>
          <w:p w:rsidR="00E25C13" w:rsidRPr="006258D8" w:rsidRDefault="00D11BC9" w:rsidP="00021367">
            <w:pPr>
              <w:pStyle w:val="Tabletext0"/>
              <w:jc w:val="center"/>
              <w:rPr>
                <w:color w:val="000000"/>
              </w:rP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295</w:t>
            </w:r>
          </w:p>
          <w:p w:rsidR="00E25C13" w:rsidRPr="006258D8" w:rsidRDefault="00E25C13" w:rsidP="00021367">
            <w:pPr>
              <w:pStyle w:val="Tabletext0"/>
            </w:pPr>
            <w:r w:rsidRPr="006258D8">
              <w:t>EREN 70 mg</w:t>
            </w:r>
          </w:p>
        </w:tc>
        <w:tc>
          <w:tcPr>
            <w:tcW w:w="1035"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top w:val="single" w:sz="4" w:space="0" w:color="auto"/>
            </w:tcBorders>
            <w:shd w:val="clear" w:color="auto" w:fill="auto"/>
            <w:vAlign w:val="center"/>
          </w:tcPr>
          <w:p w:rsidR="00E25C13" w:rsidRPr="006258D8" w:rsidRDefault="00E25C13" w:rsidP="00021367">
            <w:pPr>
              <w:pStyle w:val="Tabletext0"/>
              <w:jc w:val="center"/>
            </w:pPr>
            <w:r w:rsidRPr="006258D8">
              <w:t>66/281 (23.5%)</w:t>
            </w:r>
          </w:p>
        </w:tc>
        <w:tc>
          <w:tcPr>
            <w:tcW w:w="830" w:type="pct"/>
            <w:tcBorders>
              <w:top w:val="single" w:sz="4" w:space="0" w:color="auto"/>
            </w:tcBorders>
            <w:shd w:val="clear" w:color="auto" w:fill="auto"/>
            <w:vAlign w:val="center"/>
          </w:tcPr>
          <w:p w:rsidR="00E25C13" w:rsidRPr="006258D8" w:rsidRDefault="00E25C13" w:rsidP="00021367">
            <w:pPr>
              <w:pStyle w:val="Tabletext0"/>
              <w:jc w:val="center"/>
            </w:pPr>
            <w:r w:rsidRPr="006258D8">
              <w:t>75/188 (39.9%)</w:t>
            </w:r>
          </w:p>
        </w:tc>
        <w:tc>
          <w:tcPr>
            <w:tcW w:w="1308" w:type="pct"/>
            <w:tcBorders>
              <w:top w:val="single" w:sz="4" w:space="0" w:color="auto"/>
            </w:tcBorders>
            <w:shd w:val="clear" w:color="auto" w:fill="auto"/>
            <w:vAlign w:val="center"/>
          </w:tcPr>
          <w:p w:rsidR="00E25C13" w:rsidRPr="006258D8" w:rsidRDefault="00E25C13" w:rsidP="00021367">
            <w:pPr>
              <w:pStyle w:val="Tabletext0"/>
              <w:jc w:val="center"/>
            </w:pPr>
            <w:r w:rsidRPr="006258D8">
              <w:t>2.16 (NR)</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pPr>
            <w:r w:rsidRPr="006258D8">
              <w:t>Study 295</w:t>
            </w:r>
          </w:p>
          <w:p w:rsidR="00E25C13" w:rsidRPr="006258D8" w:rsidRDefault="00E25C13" w:rsidP="00021367">
            <w:pPr>
              <w:pStyle w:val="Tabletext0"/>
            </w:pPr>
            <w:r w:rsidRPr="006258D8">
              <w:t>EREN 140 mg</w:t>
            </w:r>
          </w:p>
        </w:tc>
        <w:tc>
          <w:tcPr>
            <w:tcW w:w="1035"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50" w:type="pct"/>
            <w:tcBorders>
              <w:top w:val="single" w:sz="4" w:space="0" w:color="auto"/>
            </w:tcBorders>
            <w:shd w:val="clear" w:color="auto" w:fill="auto"/>
            <w:vAlign w:val="center"/>
          </w:tcPr>
          <w:p w:rsidR="00E25C13" w:rsidRPr="006258D8" w:rsidRDefault="00E25C13" w:rsidP="00021367">
            <w:pPr>
              <w:pStyle w:val="Tabletext0"/>
              <w:jc w:val="center"/>
            </w:pPr>
            <w:r w:rsidRPr="006258D8">
              <w:t>66/281 (23.5%)</w:t>
            </w:r>
          </w:p>
        </w:tc>
        <w:tc>
          <w:tcPr>
            <w:tcW w:w="830" w:type="pct"/>
            <w:tcBorders>
              <w:top w:val="single" w:sz="4" w:space="0" w:color="auto"/>
            </w:tcBorders>
            <w:shd w:val="clear" w:color="auto" w:fill="auto"/>
            <w:vAlign w:val="center"/>
          </w:tcPr>
          <w:p w:rsidR="00E25C13" w:rsidRPr="006258D8" w:rsidRDefault="00E25C13" w:rsidP="00021367">
            <w:pPr>
              <w:pStyle w:val="Tabletext0"/>
              <w:jc w:val="center"/>
            </w:pPr>
            <w:r w:rsidRPr="006258D8">
              <w:t>77/187 (41.2%)</w:t>
            </w:r>
          </w:p>
        </w:tc>
        <w:tc>
          <w:tcPr>
            <w:tcW w:w="1308" w:type="pct"/>
            <w:tcBorders>
              <w:top w:val="single" w:sz="4" w:space="0" w:color="auto"/>
            </w:tcBorders>
            <w:shd w:val="clear" w:color="auto" w:fill="auto"/>
            <w:vAlign w:val="center"/>
          </w:tcPr>
          <w:p w:rsidR="00E25C13" w:rsidRPr="006258D8" w:rsidRDefault="00E25C13" w:rsidP="00021367">
            <w:pPr>
              <w:pStyle w:val="Tabletext0"/>
              <w:jc w:val="center"/>
            </w:pPr>
            <w:r w:rsidRPr="006258D8">
              <w:t>2.28 (NR)</w:t>
            </w:r>
          </w:p>
        </w:tc>
      </w:tr>
      <w:tr w:rsidR="00E40CFA" w:rsidRPr="006258D8" w:rsidTr="00D96193">
        <w:trPr>
          <w:jc w:val="center"/>
        </w:trPr>
        <w:tc>
          <w:tcPr>
            <w:tcW w:w="3692" w:type="pct"/>
            <w:gridSpan w:val="4"/>
            <w:shd w:val="clear" w:color="auto" w:fill="auto"/>
            <w:vAlign w:val="center"/>
          </w:tcPr>
          <w:p w:rsidR="00E40CFA" w:rsidRPr="006258D8" w:rsidRDefault="00E40CFA" w:rsidP="00021367">
            <w:pPr>
              <w:pStyle w:val="Tabletext0"/>
              <w:jc w:val="right"/>
              <w:rPr>
                <w:b/>
              </w:rPr>
            </w:pPr>
            <w:r w:rsidRPr="006258D8">
              <w:t>Indirect risk ratio fremanezumab 4-weekly versus erenumab 70 mg</w:t>
            </w:r>
          </w:p>
        </w:tc>
        <w:tc>
          <w:tcPr>
            <w:tcW w:w="1308" w:type="pct"/>
            <w:shd w:val="clear" w:color="auto" w:fill="auto"/>
            <w:vAlign w:val="center"/>
          </w:tcPr>
          <w:p w:rsidR="00E40CFA" w:rsidRPr="006258D8" w:rsidRDefault="00D11BC9" w:rsidP="00021367">
            <w:pPr>
              <w:pStyle w:val="Tabletext0"/>
              <w:jc w:val="center"/>
            </w:pPr>
            <w:r>
              <w:rPr>
                <w:noProof/>
                <w:color w:val="000000"/>
                <w:highlight w:val="black"/>
              </w:rPr>
              <w:t>''''''''''</w:t>
            </w:r>
            <w:r w:rsidR="00E40CFA" w:rsidRPr="006258D8">
              <w:t xml:space="preserve"> (</w:t>
            </w:r>
            <w:r>
              <w:rPr>
                <w:noProof/>
                <w:color w:val="000000"/>
                <w:highlight w:val="black"/>
              </w:rPr>
              <w:t>''''''''''</w:t>
            </w:r>
            <w:r w:rsidR="00E40CFA" w:rsidRPr="006258D8">
              <w:t xml:space="preserve">, </w:t>
            </w:r>
            <w:r>
              <w:rPr>
                <w:noProof/>
                <w:color w:val="000000"/>
                <w:highlight w:val="black"/>
              </w:rPr>
              <w:t>''''''''''</w:t>
            </w:r>
            <w:r w:rsidR="00E40CFA" w:rsidRPr="006258D8">
              <w:t>)</w:t>
            </w:r>
          </w:p>
        </w:tc>
      </w:tr>
      <w:tr w:rsidR="00E40CFA" w:rsidRPr="006258D8" w:rsidTr="00D96193">
        <w:trPr>
          <w:jc w:val="center"/>
        </w:trPr>
        <w:tc>
          <w:tcPr>
            <w:tcW w:w="3692" w:type="pct"/>
            <w:gridSpan w:val="4"/>
            <w:shd w:val="clear" w:color="auto" w:fill="auto"/>
            <w:vAlign w:val="center"/>
          </w:tcPr>
          <w:p w:rsidR="00E40CFA" w:rsidRPr="006258D8" w:rsidRDefault="00E40CFA" w:rsidP="00021367">
            <w:pPr>
              <w:pStyle w:val="Tabletext0"/>
              <w:jc w:val="right"/>
              <w:rPr>
                <w:b/>
              </w:rPr>
            </w:pPr>
            <w:r w:rsidRPr="006258D8">
              <w:t>Indirect risk ratio fremanezumab 12-weekly versus erenumab 70 mg</w:t>
            </w:r>
          </w:p>
        </w:tc>
        <w:tc>
          <w:tcPr>
            <w:tcW w:w="1308" w:type="pct"/>
            <w:shd w:val="clear" w:color="auto" w:fill="auto"/>
            <w:vAlign w:val="center"/>
          </w:tcPr>
          <w:p w:rsidR="00E40CFA" w:rsidRPr="006258D8" w:rsidRDefault="00D11BC9" w:rsidP="00021367">
            <w:pPr>
              <w:pStyle w:val="Tabletext0"/>
              <w:jc w:val="center"/>
            </w:pPr>
            <w:r>
              <w:rPr>
                <w:noProof/>
                <w:color w:val="000000"/>
                <w:highlight w:val="black"/>
              </w:rPr>
              <w:t>''''''''''</w:t>
            </w:r>
            <w:r w:rsidR="00E40CFA" w:rsidRPr="006258D8">
              <w:t xml:space="preserve"> (</w:t>
            </w:r>
            <w:r>
              <w:rPr>
                <w:noProof/>
                <w:color w:val="000000"/>
                <w:highlight w:val="black"/>
              </w:rPr>
              <w:t>''''''''''</w:t>
            </w:r>
            <w:r w:rsidR="00E40CFA" w:rsidRPr="006258D8">
              <w:t xml:space="preserve">, </w:t>
            </w:r>
            <w:r>
              <w:rPr>
                <w:noProof/>
                <w:color w:val="000000"/>
                <w:highlight w:val="black"/>
              </w:rPr>
              <w:t>''''''''''</w:t>
            </w:r>
            <w:r w:rsidR="00E40CFA" w:rsidRPr="006258D8">
              <w:t>)</w:t>
            </w:r>
          </w:p>
        </w:tc>
      </w:tr>
      <w:tr w:rsidR="00E40CFA" w:rsidRPr="006258D8" w:rsidTr="00D96193">
        <w:trPr>
          <w:jc w:val="center"/>
        </w:trPr>
        <w:tc>
          <w:tcPr>
            <w:tcW w:w="3692" w:type="pct"/>
            <w:gridSpan w:val="4"/>
            <w:shd w:val="clear" w:color="auto" w:fill="auto"/>
            <w:vAlign w:val="center"/>
          </w:tcPr>
          <w:p w:rsidR="00E40CFA" w:rsidRPr="006258D8" w:rsidRDefault="00E40CFA" w:rsidP="00021367">
            <w:pPr>
              <w:pStyle w:val="Tabletext0"/>
              <w:jc w:val="right"/>
            </w:pPr>
            <w:r w:rsidRPr="006258D8">
              <w:t>Indirect risk ratio fremanezumab 4-weekly versus erenumab 140 mg</w:t>
            </w:r>
          </w:p>
        </w:tc>
        <w:tc>
          <w:tcPr>
            <w:tcW w:w="1308" w:type="pct"/>
            <w:shd w:val="clear" w:color="auto" w:fill="auto"/>
            <w:vAlign w:val="center"/>
          </w:tcPr>
          <w:p w:rsidR="00E40CFA" w:rsidRPr="006258D8" w:rsidRDefault="00D11BC9" w:rsidP="00021367">
            <w:pPr>
              <w:pStyle w:val="Tabletext0"/>
              <w:jc w:val="center"/>
            </w:pPr>
            <w:r>
              <w:rPr>
                <w:noProof/>
                <w:color w:val="000000"/>
                <w:highlight w:val="black"/>
              </w:rPr>
              <w:t>''''''''''</w:t>
            </w:r>
            <w:r w:rsidR="00E40CFA" w:rsidRPr="006258D8">
              <w:t xml:space="preserve"> (</w:t>
            </w:r>
            <w:r>
              <w:rPr>
                <w:noProof/>
                <w:color w:val="000000"/>
                <w:highlight w:val="black"/>
              </w:rPr>
              <w:t>'''''''''''</w:t>
            </w:r>
            <w:r w:rsidR="00E40CFA" w:rsidRPr="006258D8">
              <w:t xml:space="preserve">, </w:t>
            </w:r>
            <w:r>
              <w:rPr>
                <w:noProof/>
                <w:color w:val="000000"/>
                <w:highlight w:val="black"/>
              </w:rPr>
              <w:t>'''''''''''</w:t>
            </w:r>
            <w:r w:rsidR="00E40CFA" w:rsidRPr="006258D8">
              <w:t>)</w:t>
            </w:r>
          </w:p>
        </w:tc>
      </w:tr>
      <w:tr w:rsidR="00E40CFA" w:rsidRPr="006258D8" w:rsidTr="00D96193">
        <w:trPr>
          <w:jc w:val="center"/>
        </w:trPr>
        <w:tc>
          <w:tcPr>
            <w:tcW w:w="3692" w:type="pct"/>
            <w:gridSpan w:val="4"/>
            <w:shd w:val="clear" w:color="auto" w:fill="auto"/>
            <w:vAlign w:val="center"/>
          </w:tcPr>
          <w:p w:rsidR="00E40CFA" w:rsidRPr="006258D8" w:rsidRDefault="00E40CFA" w:rsidP="00021367">
            <w:pPr>
              <w:pStyle w:val="Tabletext0"/>
              <w:jc w:val="right"/>
            </w:pPr>
            <w:r w:rsidRPr="006258D8">
              <w:t>Indirect risk ratio fremanezumab 12-weekly versus erenumab 140 mg</w:t>
            </w:r>
          </w:p>
        </w:tc>
        <w:tc>
          <w:tcPr>
            <w:tcW w:w="1308" w:type="pct"/>
            <w:shd w:val="clear" w:color="auto" w:fill="auto"/>
            <w:vAlign w:val="center"/>
          </w:tcPr>
          <w:p w:rsidR="00E40CFA" w:rsidRPr="006258D8" w:rsidRDefault="00D11BC9" w:rsidP="00021367">
            <w:pPr>
              <w:pStyle w:val="Tabletext0"/>
              <w:jc w:val="center"/>
            </w:pPr>
            <w:r>
              <w:rPr>
                <w:noProof/>
                <w:color w:val="000000"/>
                <w:highlight w:val="black"/>
              </w:rPr>
              <w:t>'''''''''''</w:t>
            </w:r>
            <w:r w:rsidR="00E40CFA" w:rsidRPr="006258D8">
              <w:t xml:space="preserve"> (</w:t>
            </w:r>
            <w:r>
              <w:rPr>
                <w:noProof/>
                <w:color w:val="000000"/>
                <w:highlight w:val="black"/>
              </w:rPr>
              <w:t>''''''''''</w:t>
            </w:r>
            <w:r w:rsidR="00E40CFA" w:rsidRPr="006258D8">
              <w:t xml:space="preserve">, </w:t>
            </w:r>
            <w:r>
              <w:rPr>
                <w:noProof/>
                <w:color w:val="000000"/>
                <w:highlight w:val="black"/>
              </w:rPr>
              <w:t>''''''''''</w:t>
            </w:r>
            <w:r w:rsidR="00E40CFA" w:rsidRPr="006258D8">
              <w:t>)</w:t>
            </w:r>
          </w:p>
        </w:tc>
      </w:tr>
    </w:tbl>
    <w:p w:rsidR="00E25C13" w:rsidRPr="006258D8" w:rsidRDefault="00E25C13" w:rsidP="00021367">
      <w:pPr>
        <w:pStyle w:val="TableFigureFooter"/>
      </w:pPr>
      <w:r w:rsidRPr="006258D8">
        <w:t>Bolded results indicate a statistically significant difference.</w:t>
      </w:r>
    </w:p>
    <w:p w:rsidR="00E25C13" w:rsidRPr="00B60EEE" w:rsidRDefault="00E25C13" w:rsidP="00021367">
      <w:pPr>
        <w:pStyle w:val="TableFigureFooter"/>
      </w:pPr>
      <w:r w:rsidRPr="006258D8">
        <w:t>Source</w:t>
      </w:r>
      <w:r w:rsidRPr="00B60EEE">
        <w:t>: Table 3.5, p.22; Table 3.6, p.23 of Attachment 5 of the submission.</w:t>
      </w:r>
    </w:p>
    <w:p w:rsidR="00E25C13" w:rsidRPr="006258D8" w:rsidRDefault="00E25C13" w:rsidP="00021367">
      <w:pPr>
        <w:pStyle w:val="TableFigureFooter"/>
      </w:pPr>
      <w:r w:rsidRPr="00BC6277">
        <w:t>Abbreviations: CI, confidence interval; EREN, erenumab; FREM, fremanezumab</w:t>
      </w:r>
      <w:r w:rsidRPr="006258D8">
        <w:t>; NR, not reported; SE, standard error.</w:t>
      </w:r>
    </w:p>
    <w:p w:rsidR="00C74141" w:rsidRDefault="00455FF9" w:rsidP="000F2EE3">
      <w:pPr>
        <w:pStyle w:val="3-BodyText"/>
      </w:pPr>
      <w:r w:rsidRPr="006258D8">
        <w:t>There were no statistically significant differences for any of the included indirect comparisons.</w:t>
      </w:r>
    </w:p>
    <w:p w:rsidR="00455FF9" w:rsidRPr="006258D8" w:rsidRDefault="006A03BA" w:rsidP="000F2EE3">
      <w:pPr>
        <w:pStyle w:val="3-BodyText"/>
      </w:pPr>
      <w:r w:rsidRPr="006258D8">
        <w:t xml:space="preserve">Table </w:t>
      </w:r>
      <w:r w:rsidR="002206AC">
        <w:t>9</w:t>
      </w:r>
      <w:r w:rsidR="00455FF9" w:rsidRPr="006258D8">
        <w:t xml:space="preserve"> presents the results of the indirect comparison of fremanezumab and erenumab for the subgroup of chronic migraine patients with ≥3</w:t>
      </w:r>
      <w:r w:rsidR="0019268E">
        <w:t xml:space="preserve"> prior</w:t>
      </w:r>
      <w:r w:rsidR="00455FF9" w:rsidRPr="006258D8">
        <w:t xml:space="preserve"> </w:t>
      </w:r>
      <w:r w:rsidR="007B2606">
        <w:t>treatment failures</w:t>
      </w:r>
      <w:r w:rsidR="00455FF9" w:rsidRPr="006258D8">
        <w:t>.</w:t>
      </w:r>
    </w:p>
    <w:p w:rsidR="00A10207" w:rsidRDefault="00A10207" w:rsidP="00A10207">
      <w:pPr>
        <w:pStyle w:val="TableFigureHeading"/>
      </w:pPr>
      <w:r>
        <w:t xml:space="preserve">Table </w:t>
      </w:r>
      <w:r>
        <w:rPr>
          <w:noProof/>
        </w:rPr>
        <w:t>9</w:t>
      </w:r>
      <w:r w:rsidRPr="00886887">
        <w:t>:</w:t>
      </w:r>
      <w:r>
        <w:t xml:space="preserve"> </w:t>
      </w:r>
      <w:r w:rsidRPr="00886887">
        <w:t>Indirect comparisons for fremanezumab versus erenumab for the subgroup of chronic migraine patients with ≥3 prior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Indirect comparisons for fremanezumab versus erenumab for the subgroup of chronic migraine patients with ≥3 prior treatments"/>
      </w:tblPr>
      <w:tblGrid>
        <w:gridCol w:w="1581"/>
        <w:gridCol w:w="1866"/>
        <w:gridCol w:w="1713"/>
        <w:gridCol w:w="1497"/>
        <w:gridCol w:w="2359"/>
      </w:tblGrid>
      <w:tr w:rsidR="00E25C13" w:rsidRPr="006258D8" w:rsidTr="00A96D4D">
        <w:trPr>
          <w:tblHeader/>
          <w:jc w:val="center"/>
        </w:trPr>
        <w:tc>
          <w:tcPr>
            <w:tcW w:w="877" w:type="pct"/>
            <w:vMerge w:val="restart"/>
            <w:shd w:val="clear" w:color="auto" w:fill="auto"/>
            <w:vAlign w:val="center"/>
          </w:tcPr>
          <w:p w:rsidR="00E25C13" w:rsidRPr="006258D8" w:rsidRDefault="00E25C13" w:rsidP="00021367">
            <w:pPr>
              <w:pStyle w:val="Tabletext0"/>
              <w:keepNext/>
              <w:rPr>
                <w:b/>
              </w:rPr>
            </w:pPr>
            <w:r w:rsidRPr="006258D8">
              <w:rPr>
                <w:b/>
              </w:rPr>
              <w:t>Trial</w:t>
            </w:r>
          </w:p>
        </w:tc>
        <w:tc>
          <w:tcPr>
            <w:tcW w:w="2815" w:type="pct"/>
            <w:gridSpan w:val="3"/>
            <w:shd w:val="clear" w:color="auto" w:fill="auto"/>
            <w:vAlign w:val="center"/>
          </w:tcPr>
          <w:p w:rsidR="00E25C13" w:rsidRPr="006258D8" w:rsidRDefault="00E25C13" w:rsidP="00021367">
            <w:pPr>
              <w:pStyle w:val="Tabletext0"/>
              <w:keepNext/>
              <w:jc w:val="center"/>
              <w:rPr>
                <w:b/>
              </w:rPr>
            </w:pPr>
            <w:r w:rsidRPr="006258D8">
              <w:rPr>
                <w:b/>
              </w:rPr>
              <w:t>Mean change from baseline (SE) in monthly migraine days</w:t>
            </w:r>
          </w:p>
        </w:tc>
        <w:tc>
          <w:tcPr>
            <w:tcW w:w="1308" w:type="pct"/>
            <w:vMerge w:val="restart"/>
            <w:shd w:val="clear" w:color="auto" w:fill="auto"/>
            <w:vAlign w:val="center"/>
          </w:tcPr>
          <w:p w:rsidR="00E25C13" w:rsidRPr="006258D8" w:rsidRDefault="00E25C13" w:rsidP="00021367">
            <w:pPr>
              <w:pStyle w:val="Tabletext0"/>
              <w:keepNext/>
              <w:jc w:val="center"/>
              <w:rPr>
                <w:b/>
              </w:rPr>
            </w:pPr>
            <w:r w:rsidRPr="006258D8">
              <w:rPr>
                <w:b/>
              </w:rPr>
              <w:t>Mean difference (95% CI)</w:t>
            </w:r>
          </w:p>
        </w:tc>
      </w:tr>
      <w:tr w:rsidR="00E25C13" w:rsidRPr="006258D8" w:rsidTr="00A96D4D">
        <w:trPr>
          <w:tblHeader/>
          <w:jc w:val="center"/>
        </w:trPr>
        <w:tc>
          <w:tcPr>
            <w:tcW w:w="877" w:type="pct"/>
            <w:vMerge/>
            <w:shd w:val="clear" w:color="auto" w:fill="auto"/>
            <w:vAlign w:val="center"/>
          </w:tcPr>
          <w:p w:rsidR="00E25C13" w:rsidRPr="006258D8" w:rsidRDefault="00E25C13" w:rsidP="00021367">
            <w:pPr>
              <w:pStyle w:val="Tabletext0"/>
              <w:keepNext/>
            </w:pPr>
          </w:p>
        </w:tc>
        <w:tc>
          <w:tcPr>
            <w:tcW w:w="1035" w:type="pct"/>
            <w:shd w:val="clear" w:color="auto" w:fill="auto"/>
            <w:vAlign w:val="center"/>
          </w:tcPr>
          <w:p w:rsidR="00E25C13" w:rsidRPr="006258D8" w:rsidRDefault="00E25C13" w:rsidP="00021367">
            <w:pPr>
              <w:pStyle w:val="Tabletext0"/>
              <w:keepNext/>
              <w:jc w:val="center"/>
              <w:rPr>
                <w:b/>
              </w:rPr>
            </w:pPr>
            <w:r w:rsidRPr="006258D8">
              <w:rPr>
                <w:b/>
              </w:rPr>
              <w:t>Fremanezumab</w:t>
            </w:r>
          </w:p>
        </w:tc>
        <w:tc>
          <w:tcPr>
            <w:tcW w:w="950" w:type="pct"/>
            <w:shd w:val="clear" w:color="auto" w:fill="auto"/>
            <w:vAlign w:val="center"/>
          </w:tcPr>
          <w:p w:rsidR="00E25C13" w:rsidRPr="006258D8" w:rsidRDefault="00E25C13" w:rsidP="00021367">
            <w:pPr>
              <w:pStyle w:val="Tabletext0"/>
              <w:keepNext/>
              <w:jc w:val="center"/>
              <w:rPr>
                <w:b/>
              </w:rPr>
            </w:pPr>
            <w:r w:rsidRPr="006258D8">
              <w:rPr>
                <w:b/>
              </w:rPr>
              <w:t>Placebo</w:t>
            </w:r>
          </w:p>
        </w:tc>
        <w:tc>
          <w:tcPr>
            <w:tcW w:w="830" w:type="pct"/>
            <w:shd w:val="clear" w:color="auto" w:fill="auto"/>
            <w:vAlign w:val="center"/>
          </w:tcPr>
          <w:p w:rsidR="00E25C13" w:rsidRPr="006258D8" w:rsidRDefault="00E25C13" w:rsidP="00021367">
            <w:pPr>
              <w:pStyle w:val="Tabletext0"/>
              <w:keepNext/>
              <w:jc w:val="center"/>
              <w:rPr>
                <w:b/>
              </w:rPr>
            </w:pPr>
            <w:r w:rsidRPr="006258D8">
              <w:rPr>
                <w:b/>
              </w:rPr>
              <w:t>Erenumab</w:t>
            </w:r>
          </w:p>
        </w:tc>
        <w:tc>
          <w:tcPr>
            <w:tcW w:w="1308" w:type="pct"/>
            <w:vMerge/>
            <w:shd w:val="clear" w:color="auto" w:fill="auto"/>
            <w:vAlign w:val="center"/>
          </w:tcPr>
          <w:p w:rsidR="00E25C13" w:rsidRPr="006258D8" w:rsidRDefault="00E25C13" w:rsidP="00021367">
            <w:pPr>
              <w:pStyle w:val="Tabletext0"/>
              <w:keepNext/>
              <w:jc w:val="center"/>
            </w:pP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keepNext/>
            </w:pPr>
            <w:r w:rsidRPr="006258D8">
              <w:t>Study 30068</w:t>
            </w:r>
          </w:p>
          <w:p w:rsidR="00E25C13" w:rsidRPr="006258D8" w:rsidRDefault="00E25C13" w:rsidP="00021367">
            <w:pPr>
              <w:pStyle w:val="Tabletext0"/>
              <w:keepNext/>
            </w:pPr>
            <w:r w:rsidRPr="006258D8">
              <w:t>FREM 4-weekly</w:t>
            </w:r>
          </w:p>
        </w:tc>
        <w:tc>
          <w:tcPr>
            <w:tcW w:w="1035" w:type="pct"/>
            <w:shd w:val="clear" w:color="auto" w:fill="auto"/>
            <w:vAlign w:val="center"/>
          </w:tcPr>
          <w:p w:rsidR="00E25C13" w:rsidRPr="00D11BC9" w:rsidRDefault="00E25C13" w:rsidP="00021367">
            <w:pPr>
              <w:pStyle w:val="Tabletext0"/>
              <w:keepNext/>
              <w:jc w:val="center"/>
            </w:pPr>
            <w:r w:rsidRPr="006258D8">
              <w:t>N=</w:t>
            </w:r>
            <w:r w:rsidR="00D11BC9">
              <w:rPr>
                <w:noProof/>
                <w:color w:val="000000"/>
                <w:highlight w:val="black"/>
              </w:rPr>
              <w:t>'''''''''</w:t>
            </w:r>
          </w:p>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keepNext/>
              <w:jc w:val="center"/>
            </w:pPr>
            <w:r w:rsidRPr="006258D8">
              <w:t>N=</w:t>
            </w:r>
            <w:r w:rsidR="00D11BC9">
              <w:rPr>
                <w:noProof/>
                <w:color w:val="000000"/>
                <w:highlight w:val="black"/>
              </w:rPr>
              <w:t>'''''''</w:t>
            </w:r>
          </w:p>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shd w:val="clear" w:color="auto" w:fill="auto"/>
            <w:vAlign w:val="center"/>
          </w:tcPr>
          <w:p w:rsidR="00E25C13" w:rsidRPr="00D11BC9" w:rsidRDefault="00D11BC9" w:rsidP="00021367">
            <w:pPr>
              <w:pStyle w:val="Tabletext0"/>
              <w:keepNext/>
              <w:jc w:val="center"/>
              <w:rPr>
                <w:highlight w:val="black"/>
              </w:rPr>
            </w:pPr>
            <w:r>
              <w:rPr>
                <w:noProof/>
                <w:color w:val="000000"/>
                <w:highlight w:val="black"/>
              </w:rPr>
              <w:t>'''</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shd w:val="clear" w:color="auto" w:fill="auto"/>
            <w:vAlign w:val="center"/>
          </w:tcPr>
          <w:p w:rsidR="00E25C13" w:rsidRPr="006258D8" w:rsidRDefault="00E25C13" w:rsidP="00021367">
            <w:pPr>
              <w:pStyle w:val="Tabletext0"/>
              <w:keepNext/>
            </w:pPr>
            <w:r w:rsidRPr="006258D8">
              <w:t>Study 30068</w:t>
            </w:r>
          </w:p>
          <w:p w:rsidR="00E25C13" w:rsidRPr="006258D8" w:rsidRDefault="00E25C13" w:rsidP="00021367">
            <w:pPr>
              <w:pStyle w:val="Tabletext0"/>
              <w:keepNext/>
            </w:pPr>
            <w:r w:rsidRPr="006258D8">
              <w:t>FREM 12-weekly</w:t>
            </w:r>
          </w:p>
        </w:tc>
        <w:tc>
          <w:tcPr>
            <w:tcW w:w="1035" w:type="pct"/>
            <w:shd w:val="clear" w:color="auto" w:fill="auto"/>
            <w:vAlign w:val="center"/>
          </w:tcPr>
          <w:p w:rsidR="00E25C13" w:rsidRPr="006258D8" w:rsidRDefault="00E25C13" w:rsidP="00021367">
            <w:pPr>
              <w:pStyle w:val="Tabletext0"/>
              <w:keepNext/>
              <w:jc w:val="center"/>
            </w:pPr>
            <w:r w:rsidRPr="006258D8">
              <w:t>N=</w:t>
            </w:r>
            <w:r w:rsidR="00D11BC9">
              <w:rPr>
                <w:noProof/>
                <w:color w:val="000000"/>
                <w:highlight w:val="black"/>
              </w:rPr>
              <w:t>'''''</w:t>
            </w:r>
          </w:p>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shd w:val="clear" w:color="auto" w:fill="auto"/>
            <w:vAlign w:val="center"/>
          </w:tcPr>
          <w:p w:rsidR="00E25C13" w:rsidRPr="006258D8" w:rsidRDefault="00E25C13" w:rsidP="00021367">
            <w:pPr>
              <w:pStyle w:val="Tabletext0"/>
              <w:keepNext/>
              <w:jc w:val="center"/>
            </w:pPr>
            <w:r w:rsidRPr="006258D8">
              <w:t>N=</w:t>
            </w:r>
            <w:r w:rsidR="00D11BC9">
              <w:rPr>
                <w:noProof/>
                <w:color w:val="000000"/>
                <w:highlight w:val="black"/>
              </w:rPr>
              <w:t>''''''</w:t>
            </w:r>
          </w:p>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shd w:val="clear" w:color="auto" w:fill="auto"/>
            <w:vAlign w:val="center"/>
          </w:tcPr>
          <w:p w:rsidR="00E25C13" w:rsidRPr="00D11BC9" w:rsidRDefault="00D11BC9" w:rsidP="00021367">
            <w:pPr>
              <w:pStyle w:val="Tabletext0"/>
              <w:keepNext/>
              <w:jc w:val="center"/>
              <w:rPr>
                <w:highlight w:val="black"/>
              </w:rPr>
            </w:pPr>
            <w:r>
              <w:rPr>
                <w:noProof/>
                <w:color w:val="000000"/>
                <w:highlight w:val="black"/>
              </w:rPr>
              <w:t>''</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keepNext/>
            </w:pPr>
            <w:r w:rsidRPr="006258D8">
              <w:t>Study 295</w:t>
            </w:r>
          </w:p>
          <w:p w:rsidR="00E25C13" w:rsidRPr="006258D8" w:rsidRDefault="00E25C13" w:rsidP="00021367">
            <w:pPr>
              <w:pStyle w:val="Tabletext0"/>
              <w:keepNext/>
            </w:pPr>
            <w:r w:rsidRPr="006258D8">
              <w:t>EREN 70 mg</w:t>
            </w:r>
          </w:p>
        </w:tc>
        <w:tc>
          <w:tcPr>
            <w:tcW w:w="1035"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N=98</w:t>
            </w:r>
          </w:p>
          <w:p w:rsidR="00E25C13" w:rsidRPr="006258D8" w:rsidRDefault="00E25C13" w:rsidP="00021367">
            <w:pPr>
              <w:pStyle w:val="Tabletext0"/>
              <w:keepNext/>
              <w:jc w:val="center"/>
            </w:pPr>
            <w:r w:rsidRPr="006258D8">
              <w:t>-2.8 (0.6)</w:t>
            </w:r>
          </w:p>
        </w:tc>
        <w:tc>
          <w:tcPr>
            <w:tcW w:w="830"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NR</w:t>
            </w:r>
          </w:p>
        </w:tc>
        <w:tc>
          <w:tcPr>
            <w:tcW w:w="1308" w:type="pct"/>
            <w:tcBorders>
              <w:bottom w:val="single" w:sz="4" w:space="0" w:color="auto"/>
            </w:tcBorders>
            <w:shd w:val="clear" w:color="auto" w:fill="auto"/>
            <w:vAlign w:val="center"/>
          </w:tcPr>
          <w:p w:rsidR="00E25C13" w:rsidRPr="006258D8" w:rsidRDefault="00E25C13" w:rsidP="00021367">
            <w:pPr>
              <w:pStyle w:val="Tabletext0"/>
              <w:keepNext/>
              <w:jc w:val="center"/>
              <w:rPr>
                <w:b/>
              </w:rPr>
            </w:pPr>
            <w:r w:rsidRPr="006258D8">
              <w:rPr>
                <w:b/>
              </w:rPr>
              <w:t>-2.5 (-4.3, -0.8)</w:t>
            </w:r>
          </w:p>
        </w:tc>
      </w:tr>
      <w:tr w:rsidR="00E25C13" w:rsidRPr="006258D8" w:rsidTr="00D96193">
        <w:trPr>
          <w:jc w:val="center"/>
        </w:trPr>
        <w:tc>
          <w:tcPr>
            <w:tcW w:w="877" w:type="pct"/>
            <w:tcBorders>
              <w:bottom w:val="single" w:sz="4" w:space="0" w:color="auto"/>
            </w:tcBorders>
            <w:shd w:val="clear" w:color="auto" w:fill="auto"/>
            <w:vAlign w:val="center"/>
          </w:tcPr>
          <w:p w:rsidR="00E25C13" w:rsidRPr="006258D8" w:rsidRDefault="00E25C13" w:rsidP="00021367">
            <w:pPr>
              <w:pStyle w:val="Tabletext0"/>
              <w:keepNext/>
            </w:pPr>
            <w:r w:rsidRPr="006258D8">
              <w:t>Study 295</w:t>
            </w:r>
          </w:p>
          <w:p w:rsidR="00E25C13" w:rsidRPr="006258D8" w:rsidRDefault="00E25C13" w:rsidP="00021367">
            <w:pPr>
              <w:pStyle w:val="Tabletext0"/>
              <w:keepNext/>
            </w:pPr>
            <w:r w:rsidRPr="006258D8">
              <w:t>EREN 140 mg</w:t>
            </w:r>
          </w:p>
        </w:tc>
        <w:tc>
          <w:tcPr>
            <w:tcW w:w="1035"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950"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N=98</w:t>
            </w:r>
          </w:p>
          <w:p w:rsidR="00E25C13" w:rsidRPr="006258D8" w:rsidRDefault="00E25C13" w:rsidP="00021367">
            <w:pPr>
              <w:pStyle w:val="Tabletext0"/>
              <w:keepNext/>
              <w:jc w:val="center"/>
            </w:pPr>
            <w:r w:rsidRPr="006258D8">
              <w:t>-2.8 (0.6)</w:t>
            </w:r>
          </w:p>
        </w:tc>
        <w:tc>
          <w:tcPr>
            <w:tcW w:w="830" w:type="pct"/>
            <w:tcBorders>
              <w:bottom w:val="single" w:sz="4" w:space="0" w:color="auto"/>
            </w:tcBorders>
            <w:shd w:val="clear" w:color="auto" w:fill="auto"/>
            <w:vAlign w:val="center"/>
          </w:tcPr>
          <w:p w:rsidR="00E25C13" w:rsidRPr="006258D8" w:rsidRDefault="00E25C13" w:rsidP="00021367">
            <w:pPr>
              <w:pStyle w:val="Tabletext0"/>
              <w:keepNext/>
              <w:jc w:val="center"/>
            </w:pPr>
            <w:r w:rsidRPr="006258D8">
              <w:t>-7.0 (0.9)</w:t>
            </w:r>
          </w:p>
        </w:tc>
        <w:tc>
          <w:tcPr>
            <w:tcW w:w="1308" w:type="pct"/>
            <w:tcBorders>
              <w:bottom w:val="single" w:sz="4" w:space="0" w:color="auto"/>
            </w:tcBorders>
            <w:shd w:val="clear" w:color="auto" w:fill="auto"/>
            <w:vAlign w:val="center"/>
          </w:tcPr>
          <w:p w:rsidR="00E25C13" w:rsidRPr="006258D8" w:rsidRDefault="00E25C13" w:rsidP="00021367">
            <w:pPr>
              <w:pStyle w:val="Tabletext0"/>
              <w:keepNext/>
              <w:jc w:val="center"/>
              <w:rPr>
                <w:b/>
              </w:rPr>
            </w:pPr>
            <w:r w:rsidRPr="006258D8">
              <w:rPr>
                <w:b/>
              </w:rPr>
              <w:t>-4.1 (-5.8, -2.3)</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keepNext/>
              <w:jc w:val="right"/>
            </w:pPr>
            <w:r w:rsidRPr="006258D8">
              <w:t>Indirect mean difference fremanezumab 4-weekly versus erenumab 70 mg</w:t>
            </w:r>
          </w:p>
        </w:tc>
        <w:tc>
          <w:tcPr>
            <w:tcW w:w="1308" w:type="pct"/>
            <w:tcBorders>
              <w:bottom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keepNext/>
              <w:jc w:val="right"/>
            </w:pPr>
            <w:r w:rsidRPr="006258D8">
              <w:t>Indirect mean difference fremanezumab 12-weekly versus erenumab 70 mg</w:t>
            </w:r>
          </w:p>
        </w:tc>
        <w:tc>
          <w:tcPr>
            <w:tcW w:w="1308" w:type="pct"/>
            <w:tcBorders>
              <w:bottom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bottom w:val="single" w:sz="4" w:space="0" w:color="auto"/>
            </w:tcBorders>
            <w:shd w:val="clear" w:color="auto" w:fill="auto"/>
            <w:vAlign w:val="center"/>
          </w:tcPr>
          <w:p w:rsidR="00E25C13" w:rsidRPr="006258D8" w:rsidRDefault="00E25C13" w:rsidP="00021367">
            <w:pPr>
              <w:pStyle w:val="Tabletext0"/>
              <w:keepNext/>
              <w:jc w:val="right"/>
            </w:pPr>
            <w:r w:rsidRPr="006258D8">
              <w:t>Indirect mean difference fremanezumab 4-weekly versus erenumab 140 mg</w:t>
            </w:r>
          </w:p>
        </w:tc>
        <w:tc>
          <w:tcPr>
            <w:tcW w:w="1308" w:type="pct"/>
            <w:tcBorders>
              <w:bottom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tcBorders>
              <w:top w:val="single" w:sz="4" w:space="0" w:color="auto"/>
              <w:bottom w:val="double" w:sz="4" w:space="0" w:color="auto"/>
            </w:tcBorders>
            <w:shd w:val="clear" w:color="auto" w:fill="auto"/>
            <w:vAlign w:val="center"/>
          </w:tcPr>
          <w:p w:rsidR="00E25C13" w:rsidRPr="006258D8" w:rsidRDefault="00E25C13" w:rsidP="00021367">
            <w:pPr>
              <w:pStyle w:val="Tabletext0"/>
              <w:keepNext/>
              <w:jc w:val="right"/>
            </w:pPr>
            <w:r w:rsidRPr="006258D8">
              <w:t>Indirect mean difference fremanezumab 12-weekly</w:t>
            </w:r>
            <w:r w:rsidR="00F63AE5" w:rsidRPr="006258D8">
              <w:t xml:space="preserve"> </w:t>
            </w:r>
            <w:r w:rsidRPr="006258D8">
              <w:t>versus erenumab 140 mg</w:t>
            </w:r>
          </w:p>
        </w:tc>
        <w:tc>
          <w:tcPr>
            <w:tcW w:w="1308" w:type="pct"/>
            <w:tcBorders>
              <w:top w:val="single" w:sz="4" w:space="0" w:color="auto"/>
              <w:bottom w:val="doub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vMerge w:val="restart"/>
            <w:tcBorders>
              <w:top w:val="double" w:sz="4" w:space="0" w:color="auto"/>
            </w:tcBorders>
            <w:shd w:val="clear" w:color="auto" w:fill="auto"/>
            <w:vAlign w:val="center"/>
          </w:tcPr>
          <w:p w:rsidR="00E25C13" w:rsidRPr="006258D8" w:rsidRDefault="00E25C13" w:rsidP="00021367">
            <w:pPr>
              <w:pStyle w:val="Tabletext0"/>
              <w:keepNext/>
            </w:pPr>
          </w:p>
        </w:tc>
        <w:tc>
          <w:tcPr>
            <w:tcW w:w="2815" w:type="pct"/>
            <w:gridSpan w:val="3"/>
            <w:tcBorders>
              <w:top w:val="double" w:sz="4" w:space="0" w:color="auto"/>
              <w:bottom w:val="single" w:sz="4" w:space="0" w:color="auto"/>
            </w:tcBorders>
            <w:shd w:val="clear" w:color="auto" w:fill="auto"/>
            <w:vAlign w:val="center"/>
          </w:tcPr>
          <w:p w:rsidR="00C74141" w:rsidRDefault="00E25C13" w:rsidP="00021367">
            <w:pPr>
              <w:pStyle w:val="Tabletext0"/>
              <w:keepNext/>
              <w:jc w:val="center"/>
              <w:rPr>
                <w:b/>
              </w:rPr>
            </w:pPr>
            <w:r w:rsidRPr="006258D8">
              <w:rPr>
                <w:b/>
              </w:rPr>
              <w:t>≥50% reduction in monthly migraine days</w:t>
            </w:r>
          </w:p>
          <w:p w:rsidR="00E25C13" w:rsidRPr="006258D8" w:rsidRDefault="00E25C13" w:rsidP="00021367">
            <w:pPr>
              <w:pStyle w:val="Tabletext0"/>
              <w:keepNext/>
              <w:jc w:val="center"/>
            </w:pPr>
            <w:r w:rsidRPr="006258D8">
              <w:rPr>
                <w:b/>
              </w:rPr>
              <w:t>n with event/N (%)</w:t>
            </w:r>
          </w:p>
        </w:tc>
        <w:tc>
          <w:tcPr>
            <w:tcW w:w="1308" w:type="pct"/>
            <w:vMerge w:val="restart"/>
            <w:tcBorders>
              <w:top w:val="double" w:sz="4" w:space="0" w:color="auto"/>
            </w:tcBorders>
            <w:shd w:val="clear" w:color="auto" w:fill="auto"/>
            <w:vAlign w:val="center"/>
          </w:tcPr>
          <w:p w:rsidR="00E25C13" w:rsidRPr="006258D8" w:rsidRDefault="00E25C13" w:rsidP="00021367">
            <w:pPr>
              <w:pStyle w:val="Tabletext0"/>
              <w:keepNext/>
              <w:jc w:val="center"/>
            </w:pPr>
            <w:r w:rsidRPr="006258D8">
              <w:rPr>
                <w:b/>
              </w:rPr>
              <w:t>Odds ratio (95% CI)</w:t>
            </w:r>
          </w:p>
        </w:tc>
      </w:tr>
      <w:tr w:rsidR="00E25C13" w:rsidRPr="006258D8" w:rsidTr="00D96193">
        <w:trPr>
          <w:jc w:val="center"/>
        </w:trPr>
        <w:tc>
          <w:tcPr>
            <w:tcW w:w="877" w:type="pct"/>
            <w:vMerge/>
            <w:shd w:val="clear" w:color="auto" w:fill="auto"/>
            <w:vAlign w:val="center"/>
          </w:tcPr>
          <w:p w:rsidR="00E25C13" w:rsidRPr="006258D8" w:rsidRDefault="00E25C13" w:rsidP="00021367">
            <w:pPr>
              <w:pStyle w:val="Tabletext0"/>
              <w:keepNext/>
            </w:pPr>
          </w:p>
        </w:tc>
        <w:tc>
          <w:tcPr>
            <w:tcW w:w="1035"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rPr>
                <w:b/>
              </w:rPr>
              <w:t>Fremanezumab</w:t>
            </w:r>
          </w:p>
        </w:tc>
        <w:tc>
          <w:tcPr>
            <w:tcW w:w="95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rPr>
                <w:b/>
              </w:rPr>
              <w:t>Placebo</w:t>
            </w:r>
          </w:p>
        </w:tc>
        <w:tc>
          <w:tcPr>
            <w:tcW w:w="83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rPr>
                <w:b/>
              </w:rPr>
              <w:t>Erenumab</w:t>
            </w:r>
          </w:p>
        </w:tc>
        <w:tc>
          <w:tcPr>
            <w:tcW w:w="1308" w:type="pct"/>
            <w:vMerge/>
            <w:shd w:val="clear" w:color="auto" w:fill="auto"/>
            <w:vAlign w:val="center"/>
          </w:tcPr>
          <w:p w:rsidR="00E25C13" w:rsidRPr="006258D8" w:rsidRDefault="00E25C13" w:rsidP="00021367">
            <w:pPr>
              <w:pStyle w:val="Tabletext0"/>
              <w:keepNext/>
              <w:jc w:val="center"/>
              <w:rPr>
                <w:b/>
              </w:rPr>
            </w:pP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keepNext/>
            </w:pPr>
            <w:r w:rsidRPr="006258D8">
              <w:t>Study 30068</w:t>
            </w:r>
          </w:p>
          <w:p w:rsidR="00E25C13" w:rsidRPr="006258D8" w:rsidRDefault="00E25C13" w:rsidP="00021367">
            <w:pPr>
              <w:pStyle w:val="Tabletext0"/>
              <w:keepNext/>
            </w:pPr>
            <w:r w:rsidRPr="006258D8">
              <w:t>FREM 4-weekly</w:t>
            </w:r>
          </w:p>
        </w:tc>
        <w:tc>
          <w:tcPr>
            <w:tcW w:w="1035" w:type="pct"/>
            <w:tcBorders>
              <w:top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1308" w:type="pct"/>
            <w:tcBorders>
              <w:top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rPr>
                <w:color w:val="000000"/>
              </w:rPr>
              <w:t xml:space="preserve"> (</w:t>
            </w:r>
            <w:r>
              <w:rPr>
                <w:noProof/>
                <w:color w:val="000000"/>
                <w:highlight w:val="black"/>
              </w:rPr>
              <w:t>''''''''</w:t>
            </w:r>
            <w:r w:rsidR="00E25C13" w:rsidRPr="006258D8">
              <w:rPr>
                <w:color w:val="000000"/>
              </w:rPr>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keepNext/>
            </w:pPr>
            <w:r w:rsidRPr="006258D8">
              <w:t>Study 30068</w:t>
            </w:r>
          </w:p>
          <w:p w:rsidR="00E25C13" w:rsidRPr="006258D8" w:rsidRDefault="00E25C13" w:rsidP="00021367">
            <w:pPr>
              <w:pStyle w:val="Tabletext0"/>
              <w:keepNext/>
            </w:pPr>
            <w:r w:rsidRPr="006258D8">
              <w:t>FREM 12-weekly</w:t>
            </w:r>
          </w:p>
        </w:tc>
        <w:tc>
          <w:tcPr>
            <w:tcW w:w="1035" w:type="pct"/>
            <w:tcBorders>
              <w:top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50" w:type="pct"/>
            <w:tcBorders>
              <w:top w:val="single" w:sz="4" w:space="0" w:color="auto"/>
            </w:tcBorders>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83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1308" w:type="pct"/>
            <w:tcBorders>
              <w:top w:val="single" w:sz="4" w:space="0" w:color="auto"/>
            </w:tcBorders>
            <w:shd w:val="clear" w:color="auto" w:fill="auto"/>
            <w:vAlign w:val="center"/>
          </w:tcPr>
          <w:p w:rsidR="00E25C13" w:rsidRPr="006258D8" w:rsidRDefault="00D11BC9" w:rsidP="00021367">
            <w:pPr>
              <w:pStyle w:val="Tabletext0"/>
              <w:keepNext/>
              <w:jc w:val="center"/>
              <w:rPr>
                <w:color w:val="000000"/>
              </w:rP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keepNext/>
            </w:pPr>
            <w:r w:rsidRPr="006258D8">
              <w:t>Study 295</w:t>
            </w:r>
          </w:p>
          <w:p w:rsidR="00E25C13" w:rsidRPr="006258D8" w:rsidRDefault="00E25C13" w:rsidP="00021367">
            <w:pPr>
              <w:pStyle w:val="Tabletext0"/>
              <w:keepNext/>
            </w:pPr>
            <w:r w:rsidRPr="006258D8">
              <w:t>EREN 70 mg</w:t>
            </w:r>
          </w:p>
        </w:tc>
        <w:tc>
          <w:tcPr>
            <w:tcW w:w="1035"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95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15/98 (15.3%)</w:t>
            </w:r>
          </w:p>
        </w:tc>
        <w:tc>
          <w:tcPr>
            <w:tcW w:w="83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23/6</w:t>
            </w:r>
            <w:r w:rsidR="00E23C2C" w:rsidRPr="006258D8">
              <w:t>9</w:t>
            </w:r>
            <w:r w:rsidRPr="006258D8">
              <w:t xml:space="preserve"> (34.8%)</w:t>
            </w:r>
          </w:p>
        </w:tc>
        <w:tc>
          <w:tcPr>
            <w:tcW w:w="1308"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2.95 (NR)</w:t>
            </w:r>
          </w:p>
        </w:tc>
      </w:tr>
      <w:tr w:rsidR="00E25C13" w:rsidRPr="006258D8" w:rsidTr="00D96193">
        <w:trPr>
          <w:jc w:val="center"/>
        </w:trPr>
        <w:tc>
          <w:tcPr>
            <w:tcW w:w="877" w:type="pct"/>
            <w:tcBorders>
              <w:top w:val="single" w:sz="4" w:space="0" w:color="auto"/>
            </w:tcBorders>
            <w:shd w:val="clear" w:color="auto" w:fill="auto"/>
            <w:vAlign w:val="center"/>
          </w:tcPr>
          <w:p w:rsidR="00E25C13" w:rsidRPr="006258D8" w:rsidRDefault="00E25C13" w:rsidP="00021367">
            <w:pPr>
              <w:pStyle w:val="Tabletext0"/>
              <w:keepNext/>
            </w:pPr>
            <w:r w:rsidRPr="006258D8">
              <w:t>Study 295</w:t>
            </w:r>
          </w:p>
          <w:p w:rsidR="00E25C13" w:rsidRPr="006258D8" w:rsidRDefault="00E25C13" w:rsidP="00021367">
            <w:pPr>
              <w:pStyle w:val="Tabletext0"/>
              <w:keepNext/>
            </w:pPr>
            <w:r w:rsidRPr="006258D8">
              <w:t>EREN 140 mg</w:t>
            </w:r>
          </w:p>
        </w:tc>
        <w:tc>
          <w:tcPr>
            <w:tcW w:w="1035"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w:t>
            </w:r>
          </w:p>
        </w:tc>
        <w:tc>
          <w:tcPr>
            <w:tcW w:w="95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15/98 (15.3%)</w:t>
            </w:r>
          </w:p>
        </w:tc>
        <w:tc>
          <w:tcPr>
            <w:tcW w:w="830"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25/65 (38.5%)</w:t>
            </w:r>
          </w:p>
        </w:tc>
        <w:tc>
          <w:tcPr>
            <w:tcW w:w="1308" w:type="pct"/>
            <w:tcBorders>
              <w:top w:val="single" w:sz="4" w:space="0" w:color="auto"/>
            </w:tcBorders>
            <w:shd w:val="clear" w:color="auto" w:fill="auto"/>
            <w:vAlign w:val="center"/>
          </w:tcPr>
          <w:p w:rsidR="00E25C13" w:rsidRPr="006258D8" w:rsidRDefault="00E25C13" w:rsidP="00021367">
            <w:pPr>
              <w:pStyle w:val="Tabletext0"/>
              <w:keepNext/>
              <w:jc w:val="center"/>
            </w:pPr>
            <w:r w:rsidRPr="006258D8">
              <w:t>3.47 (NR)</w:t>
            </w:r>
          </w:p>
        </w:tc>
      </w:tr>
      <w:tr w:rsidR="00E25C13" w:rsidRPr="006258D8" w:rsidTr="00D96193">
        <w:trPr>
          <w:jc w:val="center"/>
        </w:trPr>
        <w:tc>
          <w:tcPr>
            <w:tcW w:w="3692" w:type="pct"/>
            <w:gridSpan w:val="4"/>
            <w:shd w:val="clear" w:color="auto" w:fill="auto"/>
            <w:vAlign w:val="center"/>
          </w:tcPr>
          <w:p w:rsidR="00E25C13" w:rsidRPr="006258D8" w:rsidRDefault="00E25C13" w:rsidP="00021367">
            <w:pPr>
              <w:pStyle w:val="Tabletext0"/>
              <w:keepNext/>
              <w:jc w:val="right"/>
              <w:rPr>
                <w:b/>
              </w:rPr>
            </w:pPr>
            <w:r w:rsidRPr="006258D8">
              <w:t>Indirect risk ratio fremanezumab 4-weekly versus erenumab 70 mg</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shd w:val="clear" w:color="auto" w:fill="auto"/>
            <w:vAlign w:val="center"/>
          </w:tcPr>
          <w:p w:rsidR="00E25C13" w:rsidRPr="006258D8" w:rsidRDefault="00E25C13" w:rsidP="00021367">
            <w:pPr>
              <w:pStyle w:val="Tabletext0"/>
              <w:keepNext/>
              <w:jc w:val="right"/>
              <w:rPr>
                <w:b/>
              </w:rPr>
            </w:pPr>
            <w:r w:rsidRPr="006258D8">
              <w:t>Indirect risk ratio fremanezumab 12-weekly</w:t>
            </w:r>
            <w:r w:rsidR="00F63AE5" w:rsidRPr="006258D8">
              <w:t xml:space="preserve"> </w:t>
            </w:r>
            <w:r w:rsidRPr="006258D8">
              <w:t>versus erenumab 70 mg</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shd w:val="clear" w:color="auto" w:fill="auto"/>
            <w:vAlign w:val="center"/>
          </w:tcPr>
          <w:p w:rsidR="00E25C13" w:rsidRPr="006258D8" w:rsidRDefault="00E25C13" w:rsidP="00021367">
            <w:pPr>
              <w:pStyle w:val="Tabletext0"/>
              <w:keepNext/>
              <w:jc w:val="right"/>
            </w:pPr>
            <w:r w:rsidRPr="006258D8">
              <w:t>Indirect risk ratio fremanezumab 4-weekly versus erenumab 140 mg</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rPr>
          <w:jc w:val="center"/>
        </w:trPr>
        <w:tc>
          <w:tcPr>
            <w:tcW w:w="3692" w:type="pct"/>
            <w:gridSpan w:val="4"/>
            <w:shd w:val="clear" w:color="auto" w:fill="auto"/>
            <w:vAlign w:val="center"/>
          </w:tcPr>
          <w:p w:rsidR="00E25C13" w:rsidRPr="006258D8" w:rsidRDefault="00E25C13" w:rsidP="00021367">
            <w:pPr>
              <w:pStyle w:val="Tabletext0"/>
              <w:keepNext/>
              <w:jc w:val="right"/>
            </w:pPr>
            <w:r w:rsidRPr="006258D8">
              <w:t>Indirect risk ratio fremanezumab 12-weekly versus erenumab 140 mg</w:t>
            </w:r>
          </w:p>
        </w:tc>
        <w:tc>
          <w:tcPr>
            <w:tcW w:w="1308" w:type="pct"/>
            <w:shd w:val="clear" w:color="auto" w:fill="auto"/>
            <w:vAlign w:val="center"/>
          </w:tcPr>
          <w:p w:rsidR="00E25C13" w:rsidRPr="006258D8" w:rsidRDefault="00D11BC9" w:rsidP="00021367">
            <w:pPr>
              <w:pStyle w:val="Tabletext0"/>
              <w:keepNext/>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bl>
    <w:p w:rsidR="00E25C13" w:rsidRPr="00B60EEE" w:rsidRDefault="00E25C13" w:rsidP="00021367">
      <w:pPr>
        <w:pStyle w:val="TableFooter"/>
        <w:widowControl/>
      </w:pPr>
      <w:r w:rsidRPr="006258D8">
        <w:rPr>
          <w:szCs w:val="18"/>
        </w:rPr>
        <w:t xml:space="preserve">Bolded </w:t>
      </w:r>
      <w:r w:rsidRPr="00B60EEE">
        <w:rPr>
          <w:szCs w:val="18"/>
        </w:rPr>
        <w:t>results indicate a statistically significant difference.</w:t>
      </w:r>
    </w:p>
    <w:p w:rsidR="00E25C13" w:rsidRPr="006258D8" w:rsidRDefault="00E25C13" w:rsidP="00021367">
      <w:pPr>
        <w:pStyle w:val="TableFigureFooter"/>
      </w:pPr>
      <w:r w:rsidRPr="00B60EEE">
        <w:t>Source: Table 3.5, p.22; Table 3.6, p.23 of Attachment 5 of the submission.</w:t>
      </w:r>
    </w:p>
    <w:p w:rsidR="00E25C13" w:rsidRPr="006258D8" w:rsidRDefault="00E25C13" w:rsidP="00021367">
      <w:pPr>
        <w:pStyle w:val="TableFigureFooter"/>
      </w:pPr>
      <w:r w:rsidRPr="006258D8">
        <w:t xml:space="preserve">Abbreviations: CI, confidence interval; EREN, erenumab; </w:t>
      </w:r>
      <w:r w:rsidRPr="006258D8">
        <w:rPr>
          <w:szCs w:val="18"/>
        </w:rPr>
        <w:t xml:space="preserve">FREM, fremanezumab; </w:t>
      </w:r>
      <w:r w:rsidRPr="006258D8">
        <w:t>NR, not reported; SE, standard error.</w:t>
      </w:r>
    </w:p>
    <w:p w:rsidR="00C74141" w:rsidRDefault="00455FF9" w:rsidP="000F2EE3">
      <w:pPr>
        <w:pStyle w:val="3-BodyText"/>
      </w:pPr>
      <w:r w:rsidRPr="006258D8">
        <w:t>There were no statistically significant differences for any of the included indirect comparisons.</w:t>
      </w:r>
      <w:r w:rsidR="00F63AE5" w:rsidRPr="006258D8">
        <w:t xml:space="preserve"> The </w:t>
      </w:r>
      <w:r w:rsidR="008F5F39" w:rsidRPr="006258D8">
        <w:t xml:space="preserve">upper </w:t>
      </w:r>
      <w:r w:rsidR="00F63AE5" w:rsidRPr="006258D8">
        <w:t>95% confidence interval for the fremanezumab 675 mg 12-weekly versus erenumab 70 mg and 140 mg comparisons, and for the fremanezumab 225 mg 4-weekly comparison versus erenumab 140 mg exceeded the nominated non-inferiority margin of 2 days for the change in monthly migraine days.</w:t>
      </w:r>
    </w:p>
    <w:p w:rsidR="00E25C13" w:rsidRPr="006258D8" w:rsidRDefault="00E25C13" w:rsidP="00021367">
      <w:pPr>
        <w:pStyle w:val="5-SubsectionSubheading"/>
      </w:pPr>
      <w:r w:rsidRPr="006258D8">
        <w:t>Fremanezumab versus galcanezumab</w:t>
      </w:r>
    </w:p>
    <w:p w:rsidR="00613D0B" w:rsidRDefault="006A03BA" w:rsidP="00613D0B">
      <w:pPr>
        <w:pStyle w:val="3-BodyText"/>
      </w:pPr>
      <w:r w:rsidRPr="006258D8">
        <w:t>Table 1</w:t>
      </w:r>
      <w:r w:rsidR="002206AC">
        <w:t>0</w:t>
      </w:r>
      <w:r w:rsidR="00E25C13" w:rsidRPr="006258D8">
        <w:t xml:space="preserve"> presents the results of the indirect comparison of fremanezumab and galcanezumab for the full </w:t>
      </w:r>
      <w:r w:rsidRPr="006258D8">
        <w:t>chronic migraine</w:t>
      </w:r>
      <w:r w:rsidR="00E25C13" w:rsidRPr="006258D8">
        <w:t xml:space="preserve"> population.</w:t>
      </w:r>
    </w:p>
    <w:p w:rsidR="00613D0B" w:rsidRDefault="00613D0B">
      <w:pPr>
        <w:jc w:val="left"/>
        <w:rPr>
          <w:rFonts w:ascii="Arial Narrow" w:eastAsiaTheme="majorEastAsia" w:hAnsi="Arial Narrow" w:cstheme="majorBidi"/>
          <w:b/>
          <w:bCs/>
          <w:sz w:val="20"/>
        </w:rPr>
      </w:pPr>
      <w:r>
        <w:br w:type="page"/>
      </w:r>
    </w:p>
    <w:p w:rsidR="00136E4B" w:rsidRDefault="00136E4B" w:rsidP="00136E4B">
      <w:pPr>
        <w:pStyle w:val="TableFigureHeading"/>
        <w:widowControl w:val="0"/>
      </w:pPr>
      <w:r>
        <w:t xml:space="preserve">Table </w:t>
      </w:r>
      <w:r>
        <w:rPr>
          <w:noProof/>
        </w:rPr>
        <w:t>10</w:t>
      </w:r>
      <w:r w:rsidRPr="0080792B">
        <w:t>:</w:t>
      </w:r>
      <w:r>
        <w:t xml:space="preserve"> </w:t>
      </w:r>
      <w:r w:rsidRPr="0080792B">
        <w:t>Indirect comparisons for fremanezumab versus galcanezumab (full chronic migraine population)</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Indirect comparisons for fremanezumab versus galcanezumab (full chronic migraine population)"/>
      </w:tblPr>
      <w:tblGrid>
        <w:gridCol w:w="1571"/>
        <w:gridCol w:w="1857"/>
        <w:gridCol w:w="1704"/>
        <w:gridCol w:w="1668"/>
        <w:gridCol w:w="2216"/>
      </w:tblGrid>
      <w:tr w:rsidR="00E25C13" w:rsidRPr="006258D8" w:rsidTr="00613D0B">
        <w:trPr>
          <w:cantSplit/>
          <w:tblHeader/>
        </w:trPr>
        <w:tc>
          <w:tcPr>
            <w:tcW w:w="871" w:type="pct"/>
            <w:vMerge w:val="restart"/>
            <w:shd w:val="clear" w:color="auto" w:fill="auto"/>
            <w:vAlign w:val="center"/>
          </w:tcPr>
          <w:p w:rsidR="00E25C13" w:rsidRPr="006258D8" w:rsidRDefault="00E25C13" w:rsidP="00613D0B">
            <w:pPr>
              <w:pStyle w:val="Tabletext0"/>
              <w:keepNext/>
              <w:keepLines/>
              <w:rPr>
                <w:b/>
              </w:rPr>
            </w:pPr>
            <w:r w:rsidRPr="006258D8">
              <w:rPr>
                <w:b/>
              </w:rPr>
              <w:t>Trial</w:t>
            </w:r>
          </w:p>
        </w:tc>
        <w:tc>
          <w:tcPr>
            <w:tcW w:w="2900" w:type="pct"/>
            <w:gridSpan w:val="3"/>
            <w:shd w:val="clear" w:color="auto" w:fill="auto"/>
            <w:vAlign w:val="center"/>
          </w:tcPr>
          <w:p w:rsidR="00E25C13" w:rsidRPr="006258D8" w:rsidRDefault="00E25C13" w:rsidP="00613D0B">
            <w:pPr>
              <w:pStyle w:val="Tabletext0"/>
              <w:keepNext/>
              <w:keepLines/>
              <w:jc w:val="center"/>
              <w:rPr>
                <w:b/>
              </w:rPr>
            </w:pPr>
            <w:r w:rsidRPr="006258D8">
              <w:rPr>
                <w:b/>
              </w:rPr>
              <w:t>Mean change from baseline (SE) in monthly migraine days</w:t>
            </w:r>
          </w:p>
        </w:tc>
        <w:tc>
          <w:tcPr>
            <w:tcW w:w="1229" w:type="pct"/>
            <w:vMerge w:val="restart"/>
            <w:shd w:val="clear" w:color="auto" w:fill="auto"/>
            <w:vAlign w:val="center"/>
          </w:tcPr>
          <w:p w:rsidR="00E25C13" w:rsidRPr="006258D8" w:rsidRDefault="00E25C13" w:rsidP="00613D0B">
            <w:pPr>
              <w:pStyle w:val="Tabletext0"/>
              <w:keepNext/>
              <w:keepLines/>
              <w:jc w:val="center"/>
              <w:rPr>
                <w:b/>
              </w:rPr>
            </w:pPr>
            <w:r w:rsidRPr="006258D8">
              <w:rPr>
                <w:b/>
              </w:rPr>
              <w:t>Mean difference (95% CI)</w:t>
            </w:r>
          </w:p>
        </w:tc>
      </w:tr>
      <w:tr w:rsidR="00E25C13" w:rsidRPr="006258D8" w:rsidTr="00613D0B">
        <w:trPr>
          <w:cantSplit/>
          <w:tblHeader/>
        </w:trPr>
        <w:tc>
          <w:tcPr>
            <w:tcW w:w="871" w:type="pct"/>
            <w:vMerge/>
            <w:shd w:val="clear" w:color="auto" w:fill="auto"/>
            <w:vAlign w:val="center"/>
          </w:tcPr>
          <w:p w:rsidR="00E25C13" w:rsidRPr="006258D8" w:rsidRDefault="00E25C13" w:rsidP="00613D0B">
            <w:pPr>
              <w:pStyle w:val="Tabletext0"/>
              <w:keepNext/>
              <w:keepLines/>
            </w:pPr>
          </w:p>
        </w:tc>
        <w:tc>
          <w:tcPr>
            <w:tcW w:w="1030" w:type="pct"/>
            <w:shd w:val="clear" w:color="auto" w:fill="auto"/>
            <w:vAlign w:val="center"/>
          </w:tcPr>
          <w:p w:rsidR="00E25C13" w:rsidRPr="006258D8" w:rsidRDefault="00E25C13" w:rsidP="00613D0B">
            <w:pPr>
              <w:pStyle w:val="Tabletext0"/>
              <w:keepNext/>
              <w:keepLines/>
              <w:jc w:val="center"/>
              <w:rPr>
                <w:b/>
              </w:rPr>
            </w:pPr>
            <w:r w:rsidRPr="006258D8">
              <w:rPr>
                <w:b/>
              </w:rPr>
              <w:t>Fremanezumab</w:t>
            </w:r>
          </w:p>
        </w:tc>
        <w:tc>
          <w:tcPr>
            <w:tcW w:w="945" w:type="pct"/>
            <w:shd w:val="clear" w:color="auto" w:fill="auto"/>
            <w:vAlign w:val="center"/>
          </w:tcPr>
          <w:p w:rsidR="00E25C13" w:rsidRPr="006258D8" w:rsidRDefault="00E25C13" w:rsidP="00613D0B">
            <w:pPr>
              <w:pStyle w:val="Tabletext0"/>
              <w:keepNext/>
              <w:keepLines/>
              <w:jc w:val="center"/>
              <w:rPr>
                <w:b/>
              </w:rPr>
            </w:pPr>
            <w:r w:rsidRPr="006258D8">
              <w:rPr>
                <w:b/>
              </w:rPr>
              <w:t>Placebo</w:t>
            </w:r>
          </w:p>
        </w:tc>
        <w:tc>
          <w:tcPr>
            <w:tcW w:w="925" w:type="pct"/>
            <w:shd w:val="clear" w:color="auto" w:fill="auto"/>
            <w:vAlign w:val="center"/>
          </w:tcPr>
          <w:p w:rsidR="00E25C13" w:rsidRPr="006258D8" w:rsidRDefault="00E25C13" w:rsidP="00613D0B">
            <w:pPr>
              <w:pStyle w:val="Tabletext0"/>
              <w:keepNext/>
              <w:keepLines/>
              <w:jc w:val="center"/>
              <w:rPr>
                <w:b/>
              </w:rPr>
            </w:pPr>
            <w:r w:rsidRPr="006258D8">
              <w:rPr>
                <w:b/>
              </w:rPr>
              <w:t>Galcanezumab</w:t>
            </w:r>
          </w:p>
        </w:tc>
        <w:tc>
          <w:tcPr>
            <w:tcW w:w="1229" w:type="pct"/>
            <w:vMerge/>
            <w:shd w:val="clear" w:color="auto" w:fill="auto"/>
            <w:vAlign w:val="center"/>
          </w:tcPr>
          <w:p w:rsidR="00E25C13" w:rsidRPr="006258D8" w:rsidRDefault="00E25C13" w:rsidP="00613D0B">
            <w:pPr>
              <w:pStyle w:val="Tabletext0"/>
              <w:keepNext/>
              <w:keepLines/>
              <w:jc w:val="center"/>
            </w:pPr>
          </w:p>
        </w:tc>
      </w:tr>
      <w:tr w:rsidR="00E25C13" w:rsidRPr="006258D8" w:rsidTr="00613D0B">
        <w:trPr>
          <w:cantSplit/>
        </w:trPr>
        <w:tc>
          <w:tcPr>
            <w:tcW w:w="871" w:type="pct"/>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4-weekly</w:t>
            </w:r>
          </w:p>
        </w:tc>
        <w:tc>
          <w:tcPr>
            <w:tcW w:w="1030" w:type="pct"/>
            <w:shd w:val="clear" w:color="auto" w:fill="auto"/>
            <w:vAlign w:val="center"/>
          </w:tcPr>
          <w:p w:rsidR="00E25C13" w:rsidRPr="006258D8" w:rsidRDefault="00E25C13" w:rsidP="00613D0B">
            <w:pPr>
              <w:pStyle w:val="Tabletext0"/>
              <w:keepNext/>
              <w:keepLines/>
              <w:jc w:val="center"/>
            </w:pPr>
            <w:r w:rsidRPr="006258D8">
              <w:t>N=173</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613D0B">
            <w:pPr>
              <w:pStyle w:val="Tabletext0"/>
              <w:keepNext/>
              <w:keepLines/>
              <w:jc w:val="center"/>
            </w:pPr>
            <w:r w:rsidRPr="006258D8">
              <w:t>N=167</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613D0B">
            <w:pPr>
              <w:pStyle w:val="Tabletext0"/>
              <w:keepNext/>
              <w:keepLines/>
              <w:jc w:val="center"/>
            </w:pPr>
            <w:r w:rsidRPr="006258D8">
              <w:t>-</w:t>
            </w:r>
          </w:p>
        </w:tc>
        <w:tc>
          <w:tcPr>
            <w:tcW w:w="1229" w:type="pct"/>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Pr>
        <w:tc>
          <w:tcPr>
            <w:tcW w:w="871" w:type="pct"/>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12-weekly</w:t>
            </w:r>
          </w:p>
        </w:tc>
        <w:tc>
          <w:tcPr>
            <w:tcW w:w="1030" w:type="pct"/>
            <w:shd w:val="clear" w:color="auto" w:fill="auto"/>
            <w:vAlign w:val="center"/>
          </w:tcPr>
          <w:p w:rsidR="00E25C13" w:rsidRPr="006258D8" w:rsidRDefault="00E25C13" w:rsidP="00613D0B">
            <w:pPr>
              <w:pStyle w:val="Tabletext0"/>
              <w:keepNext/>
              <w:keepLines/>
              <w:jc w:val="center"/>
            </w:pPr>
            <w:r w:rsidRPr="006258D8">
              <w:t>N=169</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613D0B">
            <w:pPr>
              <w:pStyle w:val="Tabletext0"/>
              <w:keepNext/>
              <w:keepLines/>
              <w:jc w:val="center"/>
            </w:pPr>
            <w:r w:rsidRPr="006258D8">
              <w:t>N=167</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613D0B">
            <w:pPr>
              <w:pStyle w:val="Tabletext0"/>
              <w:keepNext/>
              <w:keepLines/>
              <w:jc w:val="center"/>
            </w:pPr>
            <w:r w:rsidRPr="006258D8">
              <w:t>-</w:t>
            </w:r>
          </w:p>
        </w:tc>
        <w:tc>
          <w:tcPr>
            <w:tcW w:w="1229" w:type="pct"/>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Pr>
        <w:tc>
          <w:tcPr>
            <w:tcW w:w="871" w:type="pct"/>
            <w:tcBorders>
              <w:bottom w:val="single" w:sz="4" w:space="0" w:color="auto"/>
            </w:tcBorders>
            <w:shd w:val="clear" w:color="auto" w:fill="auto"/>
            <w:vAlign w:val="center"/>
          </w:tcPr>
          <w:p w:rsidR="00E25C13" w:rsidRPr="006258D8" w:rsidRDefault="00E25C13" w:rsidP="00613D0B">
            <w:pPr>
              <w:pStyle w:val="Tabletext0"/>
              <w:keepNext/>
              <w:keepLines/>
            </w:pPr>
            <w:r w:rsidRPr="006258D8">
              <w:t>REGAIN</w:t>
            </w:r>
          </w:p>
          <w:p w:rsidR="00E25C13" w:rsidRPr="006258D8" w:rsidRDefault="00E25C13" w:rsidP="00613D0B">
            <w:pPr>
              <w:pStyle w:val="Tabletext0"/>
              <w:keepNext/>
              <w:keepLines/>
            </w:pPr>
            <w:r w:rsidRPr="006258D8">
              <w:t>GALC 120 mg</w:t>
            </w:r>
          </w:p>
        </w:tc>
        <w:tc>
          <w:tcPr>
            <w:tcW w:w="1030"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w:t>
            </w:r>
          </w:p>
        </w:tc>
        <w:tc>
          <w:tcPr>
            <w:tcW w:w="945"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N=538</w:t>
            </w:r>
          </w:p>
          <w:p w:rsidR="00E25C13" w:rsidRPr="006258D8" w:rsidRDefault="00E25C13" w:rsidP="00613D0B">
            <w:pPr>
              <w:pStyle w:val="Tabletext0"/>
              <w:keepNext/>
              <w:keepLines/>
              <w:jc w:val="center"/>
            </w:pPr>
            <w:r w:rsidRPr="006258D8">
              <w:t>-2.7 (0.4)</w:t>
            </w:r>
          </w:p>
        </w:tc>
        <w:tc>
          <w:tcPr>
            <w:tcW w:w="925"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N=273</w:t>
            </w:r>
          </w:p>
          <w:p w:rsidR="00E25C13" w:rsidRPr="006258D8" w:rsidRDefault="00E25C13" w:rsidP="00613D0B">
            <w:pPr>
              <w:pStyle w:val="Tabletext0"/>
              <w:keepNext/>
              <w:keepLines/>
              <w:jc w:val="center"/>
            </w:pPr>
            <w:r w:rsidRPr="006258D8">
              <w:t>-4.8 (0.4)</w:t>
            </w:r>
          </w:p>
        </w:tc>
        <w:tc>
          <w:tcPr>
            <w:tcW w:w="1229"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-2.1 (NR)</w:t>
            </w:r>
          </w:p>
        </w:tc>
      </w:tr>
      <w:tr w:rsidR="00E25C13" w:rsidRPr="006258D8" w:rsidTr="00613D0B">
        <w:trPr>
          <w:cantSplit/>
        </w:trPr>
        <w:tc>
          <w:tcPr>
            <w:tcW w:w="3771" w:type="pct"/>
            <w:gridSpan w:val="4"/>
            <w:tcBorders>
              <w:bottom w:val="single" w:sz="4" w:space="0" w:color="auto"/>
            </w:tcBorders>
            <w:shd w:val="clear" w:color="auto" w:fill="auto"/>
            <w:vAlign w:val="center"/>
          </w:tcPr>
          <w:p w:rsidR="00E25C13" w:rsidRPr="006258D8" w:rsidRDefault="00E25C13" w:rsidP="00613D0B">
            <w:pPr>
              <w:pStyle w:val="Tabletext0"/>
              <w:keepNext/>
              <w:keepLines/>
              <w:jc w:val="right"/>
            </w:pPr>
            <w:r w:rsidRPr="006258D8">
              <w:t>Indirect mean difference fremanezumab 4-weekly versus galcanezumab</w:t>
            </w:r>
          </w:p>
        </w:tc>
        <w:tc>
          <w:tcPr>
            <w:tcW w:w="1229" w:type="pct"/>
            <w:tcBorders>
              <w:bottom w:val="single" w:sz="4" w:space="0" w:color="auto"/>
            </w:tcBorders>
            <w:shd w:val="clear" w:color="auto" w:fill="auto"/>
            <w:vAlign w:val="center"/>
          </w:tcPr>
          <w:p w:rsidR="00E25C13" w:rsidRPr="006258D8" w:rsidRDefault="00D11BC9" w:rsidP="00613D0B">
            <w:pPr>
              <w:pStyle w:val="Tabletext0"/>
              <w:keepNext/>
              <w:keepLines/>
              <w:jc w:val="center"/>
              <w:rPr>
                <w:b/>
              </w:rPr>
            </w:pPr>
            <w:r>
              <w:rPr>
                <w:b/>
                <w:noProof/>
                <w:color w:val="000000"/>
                <w:highlight w:val="black"/>
              </w:rPr>
              <w:t>'''''''''</w:t>
            </w:r>
            <w:r w:rsidR="00E25C13" w:rsidRPr="006258D8">
              <w:rPr>
                <w:b/>
              </w:rPr>
              <w:t xml:space="preserve"> (</w:t>
            </w:r>
            <w:r>
              <w:rPr>
                <w:b/>
                <w:noProof/>
                <w:color w:val="000000"/>
                <w:highlight w:val="black"/>
              </w:rPr>
              <w:t>'''''''''</w:t>
            </w:r>
            <w:r w:rsidR="00E25C13" w:rsidRPr="006258D8">
              <w:rPr>
                <w:b/>
              </w:rPr>
              <w:t xml:space="preserve">, </w:t>
            </w:r>
            <w:r>
              <w:rPr>
                <w:b/>
                <w:noProof/>
                <w:color w:val="000000"/>
                <w:highlight w:val="black"/>
              </w:rPr>
              <w:t>'''''''''''</w:t>
            </w:r>
            <w:r w:rsidR="00E25C13" w:rsidRPr="006258D8">
              <w:rPr>
                <w:b/>
              </w:rPr>
              <w:t>)</w:t>
            </w:r>
          </w:p>
        </w:tc>
      </w:tr>
      <w:tr w:rsidR="00E25C13" w:rsidRPr="006258D8" w:rsidTr="00613D0B">
        <w:trPr>
          <w:cantSplit/>
        </w:trPr>
        <w:tc>
          <w:tcPr>
            <w:tcW w:w="3771" w:type="pct"/>
            <w:gridSpan w:val="4"/>
            <w:tcBorders>
              <w:top w:val="single" w:sz="4" w:space="0" w:color="auto"/>
              <w:bottom w:val="double" w:sz="4" w:space="0" w:color="auto"/>
            </w:tcBorders>
            <w:shd w:val="clear" w:color="auto" w:fill="auto"/>
            <w:vAlign w:val="center"/>
          </w:tcPr>
          <w:p w:rsidR="00E25C13" w:rsidRPr="006258D8" w:rsidRDefault="00E25C13" w:rsidP="00613D0B">
            <w:pPr>
              <w:pStyle w:val="Tabletext0"/>
              <w:keepNext/>
              <w:keepLines/>
              <w:jc w:val="right"/>
            </w:pPr>
            <w:r w:rsidRPr="006258D8">
              <w:t>Indirect mean difference fremanezumab 12-weekly versus galcanezumab</w:t>
            </w:r>
          </w:p>
        </w:tc>
        <w:tc>
          <w:tcPr>
            <w:tcW w:w="1229" w:type="pct"/>
            <w:tcBorders>
              <w:top w:val="single" w:sz="4" w:space="0" w:color="auto"/>
              <w:bottom w:val="doub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blHeader/>
        </w:trPr>
        <w:tc>
          <w:tcPr>
            <w:tcW w:w="871" w:type="pct"/>
            <w:vMerge w:val="restart"/>
            <w:tcBorders>
              <w:top w:val="double" w:sz="4" w:space="0" w:color="auto"/>
            </w:tcBorders>
            <w:shd w:val="clear" w:color="auto" w:fill="auto"/>
            <w:vAlign w:val="center"/>
          </w:tcPr>
          <w:p w:rsidR="00E25C13" w:rsidRPr="006258D8" w:rsidRDefault="00E25C13" w:rsidP="00613D0B">
            <w:pPr>
              <w:pStyle w:val="Tabletext0"/>
              <w:keepNext/>
              <w:keepLines/>
              <w:rPr>
                <w:b/>
              </w:rPr>
            </w:pPr>
            <w:r w:rsidRPr="006258D8">
              <w:rPr>
                <w:b/>
              </w:rPr>
              <w:t>Trial</w:t>
            </w:r>
          </w:p>
        </w:tc>
        <w:tc>
          <w:tcPr>
            <w:tcW w:w="2900" w:type="pct"/>
            <w:gridSpan w:val="3"/>
            <w:tcBorders>
              <w:top w:val="double" w:sz="4" w:space="0" w:color="auto"/>
            </w:tcBorders>
            <w:shd w:val="clear" w:color="auto" w:fill="auto"/>
            <w:vAlign w:val="center"/>
          </w:tcPr>
          <w:p w:rsidR="00E25C13" w:rsidRPr="006258D8" w:rsidRDefault="00E25C13" w:rsidP="00613D0B">
            <w:pPr>
              <w:pStyle w:val="Tabletext0"/>
              <w:keepNext/>
              <w:keepLines/>
              <w:jc w:val="center"/>
              <w:rPr>
                <w:b/>
              </w:rPr>
            </w:pPr>
            <w:r w:rsidRPr="006258D8">
              <w:rPr>
                <w:b/>
              </w:rPr>
              <w:t>Mean change from baseline (SE) in monthly headache days</w:t>
            </w:r>
          </w:p>
        </w:tc>
        <w:tc>
          <w:tcPr>
            <w:tcW w:w="1229" w:type="pct"/>
            <w:vMerge w:val="restart"/>
            <w:tcBorders>
              <w:top w:val="double" w:sz="4" w:space="0" w:color="auto"/>
            </w:tcBorders>
            <w:shd w:val="clear" w:color="auto" w:fill="auto"/>
            <w:vAlign w:val="center"/>
          </w:tcPr>
          <w:p w:rsidR="00E25C13" w:rsidRPr="006258D8" w:rsidRDefault="00E25C13" w:rsidP="00613D0B">
            <w:pPr>
              <w:pStyle w:val="Tabletext0"/>
              <w:keepNext/>
              <w:keepLines/>
              <w:jc w:val="center"/>
              <w:rPr>
                <w:b/>
              </w:rPr>
            </w:pPr>
            <w:r w:rsidRPr="006258D8">
              <w:rPr>
                <w:b/>
              </w:rPr>
              <w:t>Mean difference (95% CI)</w:t>
            </w:r>
          </w:p>
        </w:tc>
      </w:tr>
      <w:tr w:rsidR="00E25C13" w:rsidRPr="006258D8" w:rsidTr="00613D0B">
        <w:trPr>
          <w:cantSplit/>
          <w:tblHeader/>
        </w:trPr>
        <w:tc>
          <w:tcPr>
            <w:tcW w:w="871" w:type="pct"/>
            <w:vMerge/>
            <w:shd w:val="clear" w:color="auto" w:fill="auto"/>
            <w:vAlign w:val="center"/>
          </w:tcPr>
          <w:p w:rsidR="00E25C13" w:rsidRPr="006258D8" w:rsidRDefault="00E25C13" w:rsidP="00613D0B">
            <w:pPr>
              <w:pStyle w:val="Tabletext0"/>
              <w:keepNext/>
              <w:keepLines/>
            </w:pPr>
          </w:p>
        </w:tc>
        <w:tc>
          <w:tcPr>
            <w:tcW w:w="1030" w:type="pct"/>
            <w:shd w:val="clear" w:color="auto" w:fill="auto"/>
            <w:vAlign w:val="center"/>
          </w:tcPr>
          <w:p w:rsidR="00E25C13" w:rsidRPr="006258D8" w:rsidRDefault="00E25C13" w:rsidP="00613D0B">
            <w:pPr>
              <w:pStyle w:val="Tabletext0"/>
              <w:keepNext/>
              <w:keepLines/>
              <w:jc w:val="center"/>
              <w:rPr>
                <w:b/>
              </w:rPr>
            </w:pPr>
            <w:r w:rsidRPr="006258D8">
              <w:rPr>
                <w:b/>
              </w:rPr>
              <w:t>Fremanezumab</w:t>
            </w:r>
          </w:p>
        </w:tc>
        <w:tc>
          <w:tcPr>
            <w:tcW w:w="945" w:type="pct"/>
            <w:shd w:val="clear" w:color="auto" w:fill="auto"/>
            <w:vAlign w:val="center"/>
          </w:tcPr>
          <w:p w:rsidR="00E25C13" w:rsidRPr="006258D8" w:rsidRDefault="00E25C13" w:rsidP="00613D0B">
            <w:pPr>
              <w:pStyle w:val="Tabletext0"/>
              <w:keepNext/>
              <w:keepLines/>
              <w:jc w:val="center"/>
              <w:rPr>
                <w:b/>
              </w:rPr>
            </w:pPr>
            <w:r w:rsidRPr="006258D8">
              <w:rPr>
                <w:b/>
              </w:rPr>
              <w:t>Placebo</w:t>
            </w:r>
          </w:p>
        </w:tc>
        <w:tc>
          <w:tcPr>
            <w:tcW w:w="925" w:type="pct"/>
            <w:shd w:val="clear" w:color="auto" w:fill="auto"/>
            <w:vAlign w:val="center"/>
          </w:tcPr>
          <w:p w:rsidR="00E25C13" w:rsidRPr="006258D8" w:rsidRDefault="00E25C13" w:rsidP="00613D0B">
            <w:pPr>
              <w:pStyle w:val="Tabletext0"/>
              <w:keepNext/>
              <w:keepLines/>
              <w:jc w:val="center"/>
              <w:rPr>
                <w:b/>
              </w:rPr>
            </w:pPr>
            <w:r w:rsidRPr="006258D8">
              <w:rPr>
                <w:b/>
              </w:rPr>
              <w:t>Galcanezumab</w:t>
            </w:r>
          </w:p>
        </w:tc>
        <w:tc>
          <w:tcPr>
            <w:tcW w:w="1229" w:type="pct"/>
            <w:vMerge/>
            <w:shd w:val="clear" w:color="auto" w:fill="auto"/>
            <w:vAlign w:val="center"/>
          </w:tcPr>
          <w:p w:rsidR="00E25C13" w:rsidRPr="006258D8" w:rsidRDefault="00E25C13" w:rsidP="00613D0B">
            <w:pPr>
              <w:pStyle w:val="Tabletext0"/>
              <w:keepNext/>
              <w:keepLines/>
              <w:jc w:val="center"/>
            </w:pPr>
          </w:p>
        </w:tc>
      </w:tr>
      <w:tr w:rsidR="00E25C13" w:rsidRPr="006258D8" w:rsidTr="00613D0B">
        <w:trPr>
          <w:cantSplit/>
        </w:trPr>
        <w:tc>
          <w:tcPr>
            <w:tcW w:w="871" w:type="pct"/>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4-weekly</w:t>
            </w:r>
          </w:p>
        </w:tc>
        <w:tc>
          <w:tcPr>
            <w:tcW w:w="1030" w:type="pct"/>
            <w:shd w:val="clear" w:color="auto" w:fill="auto"/>
            <w:vAlign w:val="center"/>
          </w:tcPr>
          <w:p w:rsidR="00E25C13" w:rsidRPr="006258D8" w:rsidRDefault="00E25C13" w:rsidP="00613D0B">
            <w:pPr>
              <w:pStyle w:val="Tabletext0"/>
              <w:keepNext/>
              <w:keepLines/>
              <w:jc w:val="center"/>
            </w:pPr>
            <w:r w:rsidRPr="006258D8">
              <w:t>N=173</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613D0B">
            <w:pPr>
              <w:pStyle w:val="Tabletext0"/>
              <w:keepNext/>
              <w:keepLines/>
              <w:jc w:val="center"/>
            </w:pPr>
            <w:r w:rsidRPr="006258D8">
              <w:t>N=167</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613D0B">
            <w:pPr>
              <w:pStyle w:val="Tabletext0"/>
              <w:keepNext/>
              <w:keepLines/>
              <w:jc w:val="center"/>
            </w:pPr>
            <w:r w:rsidRPr="006258D8">
              <w:t>-</w:t>
            </w:r>
          </w:p>
        </w:tc>
        <w:tc>
          <w:tcPr>
            <w:tcW w:w="1229" w:type="pct"/>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Pr>
        <w:tc>
          <w:tcPr>
            <w:tcW w:w="871" w:type="pct"/>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12-weekly</w:t>
            </w:r>
          </w:p>
        </w:tc>
        <w:tc>
          <w:tcPr>
            <w:tcW w:w="1030" w:type="pct"/>
            <w:shd w:val="clear" w:color="auto" w:fill="auto"/>
            <w:vAlign w:val="center"/>
          </w:tcPr>
          <w:p w:rsidR="00E25C13" w:rsidRPr="006258D8" w:rsidRDefault="00E25C13" w:rsidP="00613D0B">
            <w:pPr>
              <w:pStyle w:val="Tabletext0"/>
              <w:keepNext/>
              <w:keepLines/>
              <w:jc w:val="center"/>
            </w:pPr>
            <w:r w:rsidRPr="006258D8">
              <w:t>N=169</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613D0B">
            <w:pPr>
              <w:pStyle w:val="Tabletext0"/>
              <w:keepNext/>
              <w:keepLines/>
              <w:jc w:val="center"/>
            </w:pPr>
            <w:r w:rsidRPr="006258D8">
              <w:t>N=167</w:t>
            </w:r>
          </w:p>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613D0B">
            <w:pPr>
              <w:pStyle w:val="Tabletext0"/>
              <w:keepNext/>
              <w:keepLines/>
              <w:jc w:val="center"/>
            </w:pPr>
            <w:r w:rsidRPr="006258D8">
              <w:t>-</w:t>
            </w:r>
          </w:p>
        </w:tc>
        <w:tc>
          <w:tcPr>
            <w:tcW w:w="1229" w:type="pct"/>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93075B">
              <w:t xml:space="preserve"> </w:t>
            </w:r>
            <w:r w:rsidR="00E25C13" w:rsidRPr="006258D8">
              <w:t>(</w:t>
            </w:r>
            <w:r>
              <w:rPr>
                <w:noProof/>
                <w:color w:val="000000"/>
                <w:highlight w:val="black"/>
              </w:rPr>
              <w:t>''''''''</w:t>
            </w:r>
            <w:r w:rsidR="00E25C13" w:rsidRPr="006258D8">
              <w:t>)</w:t>
            </w:r>
          </w:p>
        </w:tc>
      </w:tr>
      <w:tr w:rsidR="00E25C13" w:rsidRPr="006258D8" w:rsidTr="00613D0B">
        <w:trPr>
          <w:cantSplit/>
          <w:trHeight w:val="177"/>
        </w:trPr>
        <w:tc>
          <w:tcPr>
            <w:tcW w:w="871" w:type="pct"/>
            <w:tcBorders>
              <w:bottom w:val="single" w:sz="4" w:space="0" w:color="auto"/>
            </w:tcBorders>
            <w:shd w:val="clear" w:color="auto" w:fill="auto"/>
            <w:vAlign w:val="center"/>
          </w:tcPr>
          <w:p w:rsidR="00E25C13" w:rsidRPr="006258D8" w:rsidRDefault="00E25C13" w:rsidP="00613D0B">
            <w:pPr>
              <w:pStyle w:val="Tabletext0"/>
              <w:keepNext/>
              <w:keepLines/>
            </w:pPr>
            <w:r w:rsidRPr="006258D8">
              <w:t>REGAIN</w:t>
            </w:r>
          </w:p>
          <w:p w:rsidR="00E25C13" w:rsidRPr="006258D8" w:rsidRDefault="00E25C13" w:rsidP="00613D0B">
            <w:pPr>
              <w:pStyle w:val="Tabletext0"/>
              <w:keepNext/>
              <w:keepLines/>
            </w:pPr>
            <w:r w:rsidRPr="006258D8">
              <w:t>GALC 120 mg</w:t>
            </w:r>
          </w:p>
        </w:tc>
        <w:tc>
          <w:tcPr>
            <w:tcW w:w="1030"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w:t>
            </w:r>
          </w:p>
        </w:tc>
        <w:tc>
          <w:tcPr>
            <w:tcW w:w="945" w:type="pct"/>
            <w:tcBorders>
              <w:bottom w:val="single" w:sz="4" w:space="0" w:color="auto"/>
            </w:tcBorders>
            <w:shd w:val="clear" w:color="auto" w:fill="auto"/>
            <w:vAlign w:val="center"/>
          </w:tcPr>
          <w:p w:rsidR="00E25C13" w:rsidRPr="006258D8" w:rsidRDefault="00E25C13" w:rsidP="00613D0B">
            <w:pPr>
              <w:pStyle w:val="Tabletext0"/>
              <w:keepNext/>
              <w:keepLines/>
              <w:jc w:val="center"/>
            </w:pPr>
            <w:r w:rsidRPr="006258D8">
              <w:t>N=538</w:t>
            </w:r>
          </w:p>
          <w:p w:rsidR="00E25C13" w:rsidRPr="006258D8" w:rsidRDefault="00E25C13" w:rsidP="00613D0B">
            <w:pPr>
              <w:pStyle w:val="Tabletext0"/>
              <w:keepNext/>
              <w:keepLines/>
              <w:jc w:val="center"/>
            </w:pPr>
            <w:r w:rsidRPr="006258D8">
              <w:t>-3.0 (0.4)</w:t>
            </w:r>
          </w:p>
        </w:tc>
        <w:tc>
          <w:tcPr>
            <w:tcW w:w="925" w:type="pct"/>
            <w:tcBorders>
              <w:bottom w:val="single" w:sz="4" w:space="0" w:color="auto"/>
            </w:tcBorders>
            <w:shd w:val="clear" w:color="auto" w:fill="auto"/>
            <w:vAlign w:val="center"/>
          </w:tcPr>
          <w:p w:rsidR="00C74141" w:rsidRDefault="00E25C13" w:rsidP="00613D0B">
            <w:pPr>
              <w:pStyle w:val="Tabletext0"/>
              <w:keepNext/>
              <w:keepLines/>
              <w:jc w:val="center"/>
            </w:pPr>
            <w:r w:rsidRPr="006258D8">
              <w:t>N=273</w:t>
            </w:r>
          </w:p>
          <w:p w:rsidR="00E25C13" w:rsidRPr="006258D8" w:rsidRDefault="00E25C13" w:rsidP="00613D0B">
            <w:pPr>
              <w:pStyle w:val="Tabletext0"/>
              <w:keepNext/>
              <w:keepLines/>
              <w:jc w:val="center"/>
            </w:pPr>
            <w:r w:rsidRPr="006258D8">
              <w:t xml:space="preserve">-4.8 </w:t>
            </w:r>
            <w:r w:rsidR="008F5F39" w:rsidRPr="006258D8">
              <w:t>(</w:t>
            </w:r>
            <w:r w:rsidRPr="006258D8">
              <w:t>0.4)</w:t>
            </w:r>
          </w:p>
        </w:tc>
        <w:tc>
          <w:tcPr>
            <w:tcW w:w="1229" w:type="pct"/>
            <w:tcBorders>
              <w:bottom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Height w:val="56"/>
        </w:trPr>
        <w:tc>
          <w:tcPr>
            <w:tcW w:w="3771" w:type="pct"/>
            <w:gridSpan w:val="4"/>
            <w:tcBorders>
              <w:bottom w:val="single" w:sz="4" w:space="0" w:color="auto"/>
            </w:tcBorders>
            <w:shd w:val="clear" w:color="auto" w:fill="auto"/>
            <w:vAlign w:val="center"/>
          </w:tcPr>
          <w:p w:rsidR="00E25C13" w:rsidRPr="006258D8" w:rsidRDefault="00E25C13" w:rsidP="00613D0B">
            <w:pPr>
              <w:pStyle w:val="Tabletext0"/>
              <w:keepNext/>
              <w:keepLines/>
              <w:jc w:val="right"/>
            </w:pPr>
            <w:r w:rsidRPr="006258D8">
              <w:t>Indirect mean difference fremanezumab 4-weekly versus galcanezumab</w:t>
            </w:r>
          </w:p>
        </w:tc>
        <w:tc>
          <w:tcPr>
            <w:tcW w:w="1229" w:type="pct"/>
            <w:tcBorders>
              <w:bottom w:val="single" w:sz="4" w:space="0" w:color="auto"/>
            </w:tcBorders>
            <w:shd w:val="clear" w:color="auto" w:fill="auto"/>
            <w:vAlign w:val="center"/>
          </w:tcPr>
          <w:p w:rsidR="00E25C13" w:rsidRPr="006258D8" w:rsidRDefault="00D11BC9" w:rsidP="00613D0B">
            <w:pPr>
              <w:pStyle w:val="Tabletext0"/>
              <w:keepNext/>
              <w:keepLines/>
              <w:jc w:val="center"/>
              <w:rPr>
                <w:b/>
              </w:rPr>
            </w:pPr>
            <w:r>
              <w:rPr>
                <w:b/>
                <w:noProof/>
                <w:color w:val="000000"/>
                <w:highlight w:val="black"/>
              </w:rPr>
              <w:t>'''''''''''</w:t>
            </w:r>
            <w:r w:rsidR="00E25C13" w:rsidRPr="006258D8">
              <w:rPr>
                <w:b/>
              </w:rPr>
              <w:t xml:space="preserve"> (</w:t>
            </w:r>
            <w:r>
              <w:rPr>
                <w:b/>
                <w:noProof/>
                <w:color w:val="000000"/>
                <w:highlight w:val="black"/>
              </w:rPr>
              <w:t>''''''''''</w:t>
            </w:r>
            <w:r w:rsidR="00E25C13" w:rsidRPr="006258D8">
              <w:rPr>
                <w:b/>
              </w:rPr>
              <w:t xml:space="preserve">, </w:t>
            </w:r>
            <w:r>
              <w:rPr>
                <w:b/>
                <w:noProof/>
                <w:color w:val="000000"/>
                <w:highlight w:val="black"/>
              </w:rPr>
              <w:t>''''''''''</w:t>
            </w:r>
            <w:r w:rsidR="00E25C13" w:rsidRPr="006258D8">
              <w:rPr>
                <w:b/>
              </w:rPr>
              <w:t>)</w:t>
            </w:r>
          </w:p>
        </w:tc>
      </w:tr>
      <w:tr w:rsidR="00E25C13" w:rsidRPr="006258D8" w:rsidTr="00613D0B">
        <w:trPr>
          <w:cantSplit/>
          <w:trHeight w:val="56"/>
        </w:trPr>
        <w:tc>
          <w:tcPr>
            <w:tcW w:w="3771" w:type="pct"/>
            <w:gridSpan w:val="4"/>
            <w:tcBorders>
              <w:top w:val="single" w:sz="4" w:space="0" w:color="auto"/>
              <w:bottom w:val="single" w:sz="4" w:space="0" w:color="auto"/>
            </w:tcBorders>
            <w:shd w:val="clear" w:color="auto" w:fill="auto"/>
            <w:vAlign w:val="center"/>
          </w:tcPr>
          <w:p w:rsidR="00E25C13" w:rsidRPr="006258D8" w:rsidRDefault="00E25C13" w:rsidP="00613D0B">
            <w:pPr>
              <w:pStyle w:val="Tabletext0"/>
              <w:keepNext/>
              <w:keepLines/>
              <w:jc w:val="right"/>
            </w:pPr>
            <w:r w:rsidRPr="006258D8">
              <w:t>Indirect mean difference fremanezumab 12-weekly versus galcanezumab</w:t>
            </w:r>
          </w:p>
        </w:tc>
        <w:tc>
          <w:tcPr>
            <w:tcW w:w="1229" w:type="pct"/>
            <w:tcBorders>
              <w:top w:val="single" w:sz="4" w:space="0" w:color="auto"/>
              <w:bottom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Pr>
        <w:tc>
          <w:tcPr>
            <w:tcW w:w="871" w:type="pct"/>
            <w:vMerge w:val="restart"/>
            <w:tcBorders>
              <w:top w:val="double" w:sz="4" w:space="0" w:color="auto"/>
            </w:tcBorders>
            <w:shd w:val="clear" w:color="auto" w:fill="auto"/>
            <w:vAlign w:val="center"/>
          </w:tcPr>
          <w:p w:rsidR="00E25C13" w:rsidRPr="006258D8" w:rsidRDefault="00E25C13" w:rsidP="00613D0B">
            <w:pPr>
              <w:pStyle w:val="Tabletext0"/>
              <w:keepNext/>
              <w:keepLines/>
            </w:pPr>
          </w:p>
        </w:tc>
        <w:tc>
          <w:tcPr>
            <w:tcW w:w="2900" w:type="pct"/>
            <w:gridSpan w:val="3"/>
            <w:tcBorders>
              <w:top w:val="double" w:sz="4" w:space="0" w:color="auto"/>
              <w:bottom w:val="single" w:sz="4" w:space="0" w:color="auto"/>
            </w:tcBorders>
            <w:shd w:val="clear" w:color="auto" w:fill="auto"/>
            <w:vAlign w:val="center"/>
          </w:tcPr>
          <w:p w:rsidR="00C74141" w:rsidRDefault="00E25C13" w:rsidP="00613D0B">
            <w:pPr>
              <w:pStyle w:val="Tabletext0"/>
              <w:keepNext/>
              <w:keepLines/>
              <w:jc w:val="center"/>
              <w:rPr>
                <w:b/>
              </w:rPr>
            </w:pPr>
            <w:r w:rsidRPr="006258D8">
              <w:rPr>
                <w:b/>
              </w:rPr>
              <w:t>≥50% reduction in monthly migraine days</w:t>
            </w:r>
          </w:p>
          <w:p w:rsidR="00E25C13" w:rsidRPr="006258D8" w:rsidRDefault="00E25C13" w:rsidP="00613D0B">
            <w:pPr>
              <w:pStyle w:val="Tabletext0"/>
              <w:keepNext/>
              <w:keepLines/>
              <w:jc w:val="center"/>
            </w:pPr>
            <w:r w:rsidRPr="006258D8">
              <w:rPr>
                <w:b/>
              </w:rPr>
              <w:t>n with event/N (%)</w:t>
            </w:r>
          </w:p>
        </w:tc>
        <w:tc>
          <w:tcPr>
            <w:tcW w:w="1229" w:type="pct"/>
            <w:vMerge w:val="restart"/>
            <w:tcBorders>
              <w:top w:val="double" w:sz="4" w:space="0" w:color="auto"/>
            </w:tcBorders>
            <w:shd w:val="clear" w:color="auto" w:fill="auto"/>
            <w:vAlign w:val="center"/>
          </w:tcPr>
          <w:p w:rsidR="00E25C13" w:rsidRPr="006258D8" w:rsidRDefault="00E25C13" w:rsidP="00613D0B">
            <w:pPr>
              <w:pStyle w:val="Tabletext0"/>
              <w:keepNext/>
              <w:keepLines/>
              <w:jc w:val="center"/>
            </w:pPr>
            <w:r w:rsidRPr="006258D8">
              <w:rPr>
                <w:b/>
              </w:rPr>
              <w:t>Odds ratio (95% CI)</w:t>
            </w:r>
          </w:p>
        </w:tc>
      </w:tr>
      <w:tr w:rsidR="00E25C13" w:rsidRPr="006258D8" w:rsidTr="00613D0B">
        <w:trPr>
          <w:cantSplit/>
        </w:trPr>
        <w:tc>
          <w:tcPr>
            <w:tcW w:w="871" w:type="pct"/>
            <w:vMerge/>
            <w:shd w:val="clear" w:color="auto" w:fill="auto"/>
            <w:vAlign w:val="center"/>
          </w:tcPr>
          <w:p w:rsidR="00E25C13" w:rsidRPr="006258D8" w:rsidRDefault="00E25C13" w:rsidP="00613D0B">
            <w:pPr>
              <w:pStyle w:val="Tabletext0"/>
              <w:keepNext/>
              <w:keepLines/>
            </w:pPr>
          </w:p>
        </w:tc>
        <w:tc>
          <w:tcPr>
            <w:tcW w:w="1030" w:type="pct"/>
            <w:tcBorders>
              <w:top w:val="single" w:sz="4" w:space="0" w:color="auto"/>
            </w:tcBorders>
            <w:shd w:val="clear" w:color="auto" w:fill="auto"/>
            <w:vAlign w:val="center"/>
          </w:tcPr>
          <w:p w:rsidR="00E25C13" w:rsidRPr="006258D8" w:rsidRDefault="00E25C13" w:rsidP="00613D0B">
            <w:pPr>
              <w:pStyle w:val="Tabletext0"/>
              <w:keepNext/>
              <w:keepLines/>
              <w:jc w:val="center"/>
            </w:pPr>
            <w:r w:rsidRPr="006258D8">
              <w:rPr>
                <w:b/>
              </w:rPr>
              <w:t>Fremanezumab</w:t>
            </w:r>
          </w:p>
        </w:tc>
        <w:tc>
          <w:tcPr>
            <w:tcW w:w="945" w:type="pct"/>
            <w:tcBorders>
              <w:top w:val="single" w:sz="4" w:space="0" w:color="auto"/>
            </w:tcBorders>
            <w:shd w:val="clear" w:color="auto" w:fill="auto"/>
            <w:vAlign w:val="center"/>
          </w:tcPr>
          <w:p w:rsidR="00E25C13" w:rsidRPr="006258D8" w:rsidRDefault="00E25C13" w:rsidP="00613D0B">
            <w:pPr>
              <w:pStyle w:val="Tabletext0"/>
              <w:keepNext/>
              <w:keepLines/>
              <w:jc w:val="center"/>
            </w:pPr>
            <w:r w:rsidRPr="006258D8">
              <w:rPr>
                <w:b/>
              </w:rPr>
              <w:t>Placebo</w:t>
            </w:r>
          </w:p>
        </w:tc>
        <w:tc>
          <w:tcPr>
            <w:tcW w:w="925" w:type="pct"/>
            <w:tcBorders>
              <w:top w:val="single" w:sz="4" w:space="0" w:color="auto"/>
            </w:tcBorders>
            <w:shd w:val="clear" w:color="auto" w:fill="auto"/>
            <w:vAlign w:val="center"/>
          </w:tcPr>
          <w:p w:rsidR="00E25C13" w:rsidRPr="006258D8" w:rsidRDefault="00E25C13" w:rsidP="00613D0B">
            <w:pPr>
              <w:pStyle w:val="Tabletext0"/>
              <w:keepNext/>
              <w:keepLines/>
              <w:jc w:val="center"/>
            </w:pPr>
            <w:r w:rsidRPr="006258D8">
              <w:rPr>
                <w:b/>
              </w:rPr>
              <w:t>Galcanezumab</w:t>
            </w:r>
          </w:p>
        </w:tc>
        <w:tc>
          <w:tcPr>
            <w:tcW w:w="1229" w:type="pct"/>
            <w:vMerge/>
            <w:shd w:val="clear" w:color="auto" w:fill="auto"/>
            <w:vAlign w:val="center"/>
          </w:tcPr>
          <w:p w:rsidR="00E25C13" w:rsidRPr="006258D8" w:rsidRDefault="00E25C13" w:rsidP="00613D0B">
            <w:pPr>
              <w:pStyle w:val="Tabletext0"/>
              <w:keepNext/>
              <w:keepLines/>
              <w:jc w:val="center"/>
              <w:rPr>
                <w:b/>
              </w:rPr>
            </w:pPr>
          </w:p>
        </w:tc>
      </w:tr>
      <w:tr w:rsidR="00E25C13" w:rsidRPr="006258D8" w:rsidTr="00613D0B">
        <w:trPr>
          <w:cantSplit/>
        </w:trPr>
        <w:tc>
          <w:tcPr>
            <w:tcW w:w="871" w:type="pct"/>
            <w:tcBorders>
              <w:top w:val="single" w:sz="4" w:space="0" w:color="auto"/>
            </w:tcBorders>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4-weekly</w:t>
            </w:r>
          </w:p>
        </w:tc>
        <w:tc>
          <w:tcPr>
            <w:tcW w:w="1030" w:type="pct"/>
            <w:tcBorders>
              <w:top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/173 (</w:t>
            </w:r>
            <w:r>
              <w:rPr>
                <w:noProof/>
                <w:color w:val="000000"/>
                <w:highlight w:val="black"/>
              </w:rPr>
              <w:t>''''''''''</w:t>
            </w:r>
            <w:r w:rsidR="00E25C13" w:rsidRPr="006258D8">
              <w:t>%)</w:t>
            </w:r>
          </w:p>
        </w:tc>
        <w:tc>
          <w:tcPr>
            <w:tcW w:w="945" w:type="pct"/>
            <w:tcBorders>
              <w:top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/167 (</w:t>
            </w:r>
            <w:r>
              <w:rPr>
                <w:noProof/>
                <w:color w:val="000000"/>
                <w:highlight w:val="black"/>
              </w:rPr>
              <w:t>''''''''</w:t>
            </w:r>
            <w:r w:rsidR="00E25C13" w:rsidRPr="006258D8">
              <w:t>%)</w:t>
            </w:r>
          </w:p>
        </w:tc>
        <w:tc>
          <w:tcPr>
            <w:tcW w:w="925" w:type="pct"/>
            <w:tcBorders>
              <w:top w:val="single" w:sz="4" w:space="0" w:color="auto"/>
            </w:tcBorders>
            <w:shd w:val="clear" w:color="auto" w:fill="auto"/>
            <w:vAlign w:val="center"/>
          </w:tcPr>
          <w:p w:rsidR="00E25C13" w:rsidRPr="006258D8" w:rsidRDefault="00E25C13" w:rsidP="00613D0B">
            <w:pPr>
              <w:pStyle w:val="Tabletext0"/>
              <w:keepNext/>
              <w:keepLines/>
              <w:jc w:val="center"/>
            </w:pPr>
            <w:r w:rsidRPr="006258D8">
              <w:t>-</w:t>
            </w:r>
          </w:p>
        </w:tc>
        <w:tc>
          <w:tcPr>
            <w:tcW w:w="1229" w:type="pct"/>
            <w:tcBorders>
              <w:top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613D0B">
        <w:trPr>
          <w:cantSplit/>
        </w:trPr>
        <w:tc>
          <w:tcPr>
            <w:tcW w:w="871" w:type="pct"/>
            <w:tcBorders>
              <w:top w:val="single" w:sz="4" w:space="0" w:color="auto"/>
            </w:tcBorders>
            <w:shd w:val="clear" w:color="auto" w:fill="auto"/>
            <w:vAlign w:val="center"/>
          </w:tcPr>
          <w:p w:rsidR="00E25C13" w:rsidRPr="006258D8" w:rsidRDefault="00E25C13" w:rsidP="00613D0B">
            <w:pPr>
              <w:pStyle w:val="Tabletext0"/>
              <w:keepNext/>
              <w:keepLines/>
            </w:pPr>
            <w:r w:rsidRPr="006258D8">
              <w:t>Study 30068</w:t>
            </w:r>
          </w:p>
          <w:p w:rsidR="00E25C13" w:rsidRPr="006258D8" w:rsidRDefault="00E25C13" w:rsidP="00613D0B">
            <w:pPr>
              <w:pStyle w:val="Tabletext0"/>
              <w:keepNext/>
              <w:keepLines/>
            </w:pPr>
            <w:r w:rsidRPr="006258D8">
              <w:t>FREM 12-weekly</w:t>
            </w:r>
          </w:p>
        </w:tc>
        <w:tc>
          <w:tcPr>
            <w:tcW w:w="1030" w:type="pct"/>
            <w:tcBorders>
              <w:top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/169 (</w:t>
            </w:r>
            <w:r>
              <w:rPr>
                <w:noProof/>
                <w:color w:val="000000"/>
                <w:highlight w:val="black"/>
              </w:rPr>
              <w:t>''''''''''</w:t>
            </w:r>
            <w:r w:rsidR="00E25C13" w:rsidRPr="006258D8">
              <w:t>%)</w:t>
            </w:r>
          </w:p>
        </w:tc>
        <w:tc>
          <w:tcPr>
            <w:tcW w:w="945" w:type="pct"/>
            <w:tcBorders>
              <w:top w:val="single" w:sz="4" w:space="0" w:color="auto"/>
            </w:tcBorders>
            <w:shd w:val="clear" w:color="auto" w:fill="auto"/>
            <w:vAlign w:val="center"/>
          </w:tcPr>
          <w:p w:rsidR="00E25C13" w:rsidRPr="006258D8" w:rsidRDefault="00D11BC9" w:rsidP="00613D0B">
            <w:pPr>
              <w:pStyle w:val="Tabletext0"/>
              <w:keepNext/>
              <w:keepLines/>
              <w:jc w:val="center"/>
            </w:pPr>
            <w:r>
              <w:rPr>
                <w:noProof/>
                <w:color w:val="000000"/>
                <w:highlight w:val="black"/>
              </w:rPr>
              <w:t>''''''</w:t>
            </w:r>
            <w:r w:rsidR="00E25C13" w:rsidRPr="006258D8">
              <w:t>/167 (</w:t>
            </w:r>
            <w:r>
              <w:rPr>
                <w:noProof/>
                <w:color w:val="000000"/>
                <w:highlight w:val="black"/>
              </w:rPr>
              <w:t>'''''''</w:t>
            </w:r>
            <w:r w:rsidR="00E25C13" w:rsidRPr="006258D8">
              <w:t>%)</w:t>
            </w:r>
          </w:p>
        </w:tc>
        <w:tc>
          <w:tcPr>
            <w:tcW w:w="925" w:type="pct"/>
            <w:tcBorders>
              <w:top w:val="single" w:sz="4" w:space="0" w:color="auto"/>
            </w:tcBorders>
            <w:shd w:val="clear" w:color="auto" w:fill="auto"/>
            <w:vAlign w:val="center"/>
          </w:tcPr>
          <w:p w:rsidR="00E25C13" w:rsidRPr="006258D8" w:rsidRDefault="00E25C13" w:rsidP="00613D0B">
            <w:pPr>
              <w:pStyle w:val="Tabletext0"/>
              <w:keepNext/>
              <w:keepLines/>
              <w:jc w:val="center"/>
            </w:pPr>
            <w:r w:rsidRPr="006258D8">
              <w:t>-</w:t>
            </w:r>
          </w:p>
        </w:tc>
        <w:tc>
          <w:tcPr>
            <w:tcW w:w="1229" w:type="pct"/>
            <w:tcBorders>
              <w:top w:val="single" w:sz="4" w:space="0" w:color="auto"/>
            </w:tcBorders>
            <w:shd w:val="clear" w:color="auto" w:fill="auto"/>
            <w:vAlign w:val="center"/>
          </w:tcPr>
          <w:p w:rsidR="00E25C13" w:rsidRPr="006258D8" w:rsidRDefault="00D11BC9" w:rsidP="00613D0B">
            <w:pPr>
              <w:pStyle w:val="Tabletext0"/>
              <w:keepNext/>
              <w:keepLines/>
              <w:jc w:val="center"/>
              <w:rPr>
                <w:color w:val="000000"/>
              </w:rPr>
            </w:pPr>
            <w:r>
              <w:rPr>
                <w:noProof/>
                <w:color w:val="000000"/>
                <w:highlight w:val="black"/>
              </w:rPr>
              <w:t>'''''''''''</w:t>
            </w:r>
            <w:r w:rsidR="00E25C13" w:rsidRPr="006258D8">
              <w:rPr>
                <w:color w:val="000000"/>
              </w:rPr>
              <w:t xml:space="preserve"> (</w:t>
            </w:r>
            <w:r>
              <w:rPr>
                <w:noProof/>
                <w:color w:val="000000"/>
                <w:highlight w:val="black"/>
              </w:rPr>
              <w:t>''''''''</w:t>
            </w:r>
            <w:r w:rsidR="00E25C13" w:rsidRPr="006258D8">
              <w:rPr>
                <w:color w:val="000000"/>
              </w:rPr>
              <w:t>)</w:t>
            </w:r>
          </w:p>
        </w:tc>
      </w:tr>
      <w:tr w:rsidR="00E23C2C" w:rsidRPr="006258D8" w:rsidTr="00613D0B">
        <w:trPr>
          <w:cantSplit/>
        </w:trPr>
        <w:tc>
          <w:tcPr>
            <w:tcW w:w="871" w:type="pct"/>
            <w:tcBorders>
              <w:top w:val="single" w:sz="4" w:space="0" w:color="auto"/>
            </w:tcBorders>
            <w:shd w:val="clear" w:color="auto" w:fill="auto"/>
            <w:vAlign w:val="center"/>
          </w:tcPr>
          <w:p w:rsidR="00E23C2C" w:rsidRPr="006258D8" w:rsidRDefault="00E23C2C" w:rsidP="00613D0B">
            <w:pPr>
              <w:pStyle w:val="Tabletext0"/>
              <w:keepNext/>
              <w:keepLines/>
            </w:pPr>
            <w:r w:rsidRPr="006258D8">
              <w:t>REGAIN</w:t>
            </w:r>
          </w:p>
          <w:p w:rsidR="00E23C2C" w:rsidRPr="006258D8" w:rsidRDefault="00E23C2C" w:rsidP="00613D0B">
            <w:pPr>
              <w:pStyle w:val="Tabletext0"/>
              <w:keepNext/>
              <w:keepLines/>
            </w:pPr>
            <w:r w:rsidRPr="006258D8">
              <w:t>GALC 120 mg</w:t>
            </w:r>
          </w:p>
        </w:tc>
        <w:tc>
          <w:tcPr>
            <w:tcW w:w="1030" w:type="pct"/>
            <w:tcBorders>
              <w:top w:val="single" w:sz="4" w:space="0" w:color="auto"/>
            </w:tcBorders>
            <w:shd w:val="clear" w:color="auto" w:fill="auto"/>
            <w:vAlign w:val="center"/>
          </w:tcPr>
          <w:p w:rsidR="00E23C2C" w:rsidRPr="006258D8" w:rsidRDefault="00E23C2C" w:rsidP="00613D0B">
            <w:pPr>
              <w:pStyle w:val="Tabletext0"/>
              <w:keepNext/>
              <w:keepLines/>
              <w:jc w:val="center"/>
            </w:pPr>
            <w:r w:rsidRPr="006258D8">
              <w:t>-</w:t>
            </w:r>
          </w:p>
        </w:tc>
        <w:tc>
          <w:tcPr>
            <w:tcW w:w="945" w:type="pct"/>
            <w:tcBorders>
              <w:top w:val="single" w:sz="4" w:space="0" w:color="auto"/>
            </w:tcBorders>
            <w:shd w:val="clear" w:color="auto" w:fill="auto"/>
            <w:vAlign w:val="center"/>
          </w:tcPr>
          <w:p w:rsidR="00E23C2C" w:rsidRPr="006258D8" w:rsidRDefault="00E23C2C" w:rsidP="00613D0B">
            <w:pPr>
              <w:pStyle w:val="Tabletext0"/>
              <w:keepNext/>
              <w:keepLines/>
              <w:jc w:val="center"/>
            </w:pPr>
            <w:r w:rsidRPr="006258D8">
              <w:t>83/523 (15.9%)</w:t>
            </w:r>
          </w:p>
        </w:tc>
        <w:tc>
          <w:tcPr>
            <w:tcW w:w="925" w:type="pct"/>
            <w:tcBorders>
              <w:top w:val="single" w:sz="4" w:space="0" w:color="auto"/>
            </w:tcBorders>
            <w:shd w:val="clear" w:color="auto" w:fill="auto"/>
            <w:vAlign w:val="center"/>
          </w:tcPr>
          <w:p w:rsidR="00E23C2C" w:rsidRPr="006258D8" w:rsidRDefault="00E23C2C" w:rsidP="00613D0B">
            <w:pPr>
              <w:pStyle w:val="Tabletext0"/>
              <w:keepNext/>
              <w:keepLines/>
              <w:jc w:val="center"/>
            </w:pPr>
            <w:r w:rsidRPr="006258D8">
              <w:t>75/273 (27.4%)</w:t>
            </w:r>
          </w:p>
        </w:tc>
        <w:tc>
          <w:tcPr>
            <w:tcW w:w="1229" w:type="pct"/>
            <w:tcBorders>
              <w:top w:val="single" w:sz="4" w:space="0" w:color="auto"/>
            </w:tcBorders>
            <w:shd w:val="clear" w:color="auto" w:fill="auto"/>
            <w:vAlign w:val="center"/>
          </w:tcPr>
          <w:p w:rsidR="00E23C2C" w:rsidRPr="006258D8" w:rsidRDefault="008F5F39" w:rsidP="00613D0B">
            <w:pPr>
              <w:pStyle w:val="Tabletext0"/>
              <w:keepNext/>
              <w:keepLines/>
              <w:jc w:val="center"/>
            </w:pPr>
            <w:r w:rsidRPr="006258D8">
              <w:t>2.01</w:t>
            </w:r>
            <w:r w:rsidR="00E23C2C" w:rsidRPr="006258D8">
              <w:t xml:space="preserve"> (NR)</w:t>
            </w:r>
          </w:p>
        </w:tc>
      </w:tr>
      <w:tr w:rsidR="00E23C2C" w:rsidRPr="006258D8" w:rsidTr="00613D0B">
        <w:trPr>
          <w:cantSplit/>
        </w:trPr>
        <w:tc>
          <w:tcPr>
            <w:tcW w:w="3771" w:type="pct"/>
            <w:gridSpan w:val="4"/>
            <w:shd w:val="clear" w:color="auto" w:fill="auto"/>
            <w:vAlign w:val="center"/>
          </w:tcPr>
          <w:p w:rsidR="00E23C2C" w:rsidRPr="006258D8" w:rsidRDefault="00E23C2C" w:rsidP="00613D0B">
            <w:pPr>
              <w:pStyle w:val="Tabletext0"/>
              <w:keepNext/>
              <w:keepLines/>
              <w:jc w:val="right"/>
              <w:rPr>
                <w:b/>
              </w:rPr>
            </w:pPr>
            <w:r w:rsidRPr="006258D8">
              <w:t>Indirect odds ratio fremanezumab 4-weekly versus galcanezumab</w:t>
            </w:r>
          </w:p>
        </w:tc>
        <w:tc>
          <w:tcPr>
            <w:tcW w:w="1229" w:type="pct"/>
            <w:shd w:val="clear" w:color="auto" w:fill="auto"/>
            <w:vAlign w:val="center"/>
          </w:tcPr>
          <w:p w:rsidR="00E23C2C" w:rsidRPr="006258D8" w:rsidRDefault="00D11BC9" w:rsidP="00613D0B">
            <w:pPr>
              <w:pStyle w:val="Tabletext0"/>
              <w:keepNext/>
              <w:keepLines/>
              <w:jc w:val="center"/>
            </w:pPr>
            <w:r>
              <w:rPr>
                <w:b/>
                <w:noProof/>
                <w:color w:val="000000"/>
                <w:highlight w:val="black"/>
              </w:rPr>
              <w:t>'''''''''</w:t>
            </w:r>
            <w:r w:rsidR="00E23C2C" w:rsidRPr="006258D8">
              <w:rPr>
                <w:b/>
              </w:rPr>
              <w:t xml:space="preserve"> (</w:t>
            </w:r>
            <w:r>
              <w:rPr>
                <w:b/>
                <w:noProof/>
                <w:color w:val="000000"/>
                <w:highlight w:val="black"/>
              </w:rPr>
              <w:t>'''''''''</w:t>
            </w:r>
            <w:r w:rsidR="00E23C2C" w:rsidRPr="006258D8">
              <w:rPr>
                <w:b/>
              </w:rPr>
              <w:t xml:space="preserve">, </w:t>
            </w:r>
            <w:r>
              <w:rPr>
                <w:b/>
                <w:noProof/>
                <w:color w:val="000000"/>
                <w:highlight w:val="black"/>
              </w:rPr>
              <w:t>'''''''''</w:t>
            </w:r>
            <w:r w:rsidR="00E23C2C" w:rsidRPr="006258D8">
              <w:rPr>
                <w:b/>
              </w:rPr>
              <w:t>)</w:t>
            </w:r>
          </w:p>
        </w:tc>
      </w:tr>
      <w:tr w:rsidR="00E23C2C" w:rsidRPr="006258D8" w:rsidTr="00613D0B">
        <w:trPr>
          <w:cantSplit/>
        </w:trPr>
        <w:tc>
          <w:tcPr>
            <w:tcW w:w="3771" w:type="pct"/>
            <w:gridSpan w:val="4"/>
            <w:shd w:val="clear" w:color="auto" w:fill="auto"/>
            <w:vAlign w:val="center"/>
          </w:tcPr>
          <w:p w:rsidR="00E23C2C" w:rsidRPr="006258D8" w:rsidRDefault="00E23C2C" w:rsidP="00613D0B">
            <w:pPr>
              <w:pStyle w:val="Tabletext0"/>
              <w:keepNext/>
              <w:keepLines/>
              <w:jc w:val="right"/>
              <w:rPr>
                <w:b/>
              </w:rPr>
            </w:pPr>
            <w:r w:rsidRPr="006258D8">
              <w:t>Indirect odds ratio fremanezumab 12-weekly versus galcanezumab</w:t>
            </w:r>
          </w:p>
        </w:tc>
        <w:tc>
          <w:tcPr>
            <w:tcW w:w="1229" w:type="pct"/>
            <w:shd w:val="clear" w:color="auto" w:fill="auto"/>
            <w:vAlign w:val="center"/>
          </w:tcPr>
          <w:p w:rsidR="00E23C2C" w:rsidRPr="006258D8" w:rsidRDefault="00D11BC9" w:rsidP="00613D0B">
            <w:pPr>
              <w:pStyle w:val="Tabletext0"/>
              <w:keepNext/>
              <w:keepLines/>
              <w:jc w:val="center"/>
            </w:pPr>
            <w:r>
              <w:rPr>
                <w:b/>
                <w:noProof/>
                <w:color w:val="000000"/>
                <w:highlight w:val="black"/>
              </w:rPr>
              <w:t>''''''''''</w:t>
            </w:r>
            <w:r w:rsidR="00E23C2C" w:rsidRPr="006258D8">
              <w:rPr>
                <w:b/>
              </w:rPr>
              <w:t xml:space="preserve"> (</w:t>
            </w:r>
            <w:r>
              <w:rPr>
                <w:b/>
                <w:noProof/>
                <w:color w:val="000000"/>
                <w:highlight w:val="black"/>
              </w:rPr>
              <w:t>''''''''</w:t>
            </w:r>
            <w:r w:rsidR="00E23C2C" w:rsidRPr="006258D8">
              <w:rPr>
                <w:b/>
              </w:rPr>
              <w:t xml:space="preserve">, </w:t>
            </w:r>
            <w:r>
              <w:rPr>
                <w:b/>
                <w:noProof/>
                <w:color w:val="000000"/>
                <w:highlight w:val="black"/>
              </w:rPr>
              <w:t>'''''''''</w:t>
            </w:r>
            <w:r w:rsidR="00E23C2C" w:rsidRPr="006258D8">
              <w:rPr>
                <w:b/>
              </w:rPr>
              <w:t>)</w:t>
            </w:r>
          </w:p>
        </w:tc>
      </w:tr>
    </w:tbl>
    <w:p w:rsidR="00E25C13" w:rsidRPr="006258D8" w:rsidRDefault="00E25C13" w:rsidP="00613D0B">
      <w:pPr>
        <w:pStyle w:val="TableFigureFooter"/>
        <w:keepNext/>
        <w:keepLines/>
        <w:widowControl w:val="0"/>
      </w:pPr>
      <w:r w:rsidRPr="006258D8">
        <w:t>Bolded results indicate a statistically significant difference.</w:t>
      </w:r>
    </w:p>
    <w:p w:rsidR="00E25C13" w:rsidRPr="006258D8" w:rsidRDefault="00E25C13" w:rsidP="00613D0B">
      <w:pPr>
        <w:pStyle w:val="TableFigureFooter"/>
        <w:keepNext/>
        <w:keepLines/>
        <w:widowControl w:val="0"/>
      </w:pPr>
      <w:r w:rsidRPr="00B60EEE">
        <w:t>Source: Table 4.5, p.39; Table 4.9, pp41-42 of the submission.</w:t>
      </w:r>
    </w:p>
    <w:p w:rsidR="00E25C13" w:rsidRPr="006258D8" w:rsidRDefault="00E25C13" w:rsidP="00613D0B">
      <w:pPr>
        <w:pStyle w:val="TableFigureFooter"/>
        <w:keepNext/>
        <w:keepLines/>
        <w:widowControl w:val="0"/>
      </w:pPr>
      <w:r w:rsidRPr="006258D8">
        <w:t xml:space="preserve">Abbreviations: CI, confidence interval; FREM, fremanezumab; GALC, galcanezumab; </w:t>
      </w:r>
      <w:r w:rsidR="007B2606">
        <w:t xml:space="preserve">NR, not reported; </w:t>
      </w:r>
      <w:r w:rsidRPr="006258D8">
        <w:t>SE, standard error.</w:t>
      </w:r>
    </w:p>
    <w:p w:rsidR="00C74141" w:rsidRDefault="006A03BA" w:rsidP="000F2EE3">
      <w:pPr>
        <w:pStyle w:val="3-BodyText"/>
      </w:pPr>
      <w:r w:rsidRPr="006258D8">
        <w:t>Treatment with fremanezumab 225 mg every 4 weeks was associated with a statistically significant improvement in monthly migraine days</w:t>
      </w:r>
      <w:r w:rsidR="008F5F39" w:rsidRPr="006258D8">
        <w:t xml:space="preserve">, </w:t>
      </w:r>
      <w:r w:rsidRPr="006258D8">
        <w:t>monthly headache days</w:t>
      </w:r>
      <w:r w:rsidR="008F5F39" w:rsidRPr="006258D8">
        <w:t xml:space="preserve"> and</w:t>
      </w:r>
      <w:r w:rsidRPr="006258D8">
        <w:t xml:space="preserve"> the proportion of patients with a ≥50% reduction in monthly migraine days.</w:t>
      </w:r>
    </w:p>
    <w:p w:rsidR="00E25C13" w:rsidRPr="006258D8" w:rsidRDefault="006A03BA" w:rsidP="000F2EE3">
      <w:pPr>
        <w:pStyle w:val="3-BodyText"/>
      </w:pPr>
      <w:r w:rsidRPr="006258D8">
        <w:t>There were no statistically significant differences between fremanezumab 675 mg every 12 weeks and galcanezumab 120mg every 4 weeks for the change in monthly migraine days</w:t>
      </w:r>
      <w:r w:rsidR="004023D8" w:rsidRPr="006258D8">
        <w:t xml:space="preserve"> or </w:t>
      </w:r>
      <w:r w:rsidRPr="006258D8">
        <w:t xml:space="preserve">monthly headache days, </w:t>
      </w:r>
      <w:r w:rsidR="004023D8" w:rsidRPr="006258D8">
        <w:t>and a marginally statistically significant difference f</w:t>
      </w:r>
      <w:r w:rsidRPr="006258D8">
        <w:t>or the proportion of patients with a ≥50% reduction in monthly migraine days.</w:t>
      </w:r>
    </w:p>
    <w:p w:rsidR="00C74141" w:rsidRDefault="00E25C13" w:rsidP="00EC4C47">
      <w:pPr>
        <w:pStyle w:val="3-BodyText"/>
      </w:pPr>
      <w:r w:rsidRPr="006258D8">
        <w:t xml:space="preserve">Table </w:t>
      </w:r>
      <w:r w:rsidR="006A03BA" w:rsidRPr="006258D8">
        <w:t>1</w:t>
      </w:r>
      <w:r w:rsidR="00153831">
        <w:t>1</w:t>
      </w:r>
      <w:r w:rsidRPr="006258D8">
        <w:t xml:space="preserve"> presents the results of the indirect comparison of fremanezumab and galcanezumab for the subgroup of </w:t>
      </w:r>
      <w:r w:rsidR="006A03BA" w:rsidRPr="006258D8">
        <w:t xml:space="preserve">chronic migraine </w:t>
      </w:r>
      <w:r w:rsidRPr="006258D8">
        <w:t xml:space="preserve">patients with </w:t>
      </w:r>
      <w:r w:rsidRPr="006258D8">
        <w:rPr>
          <w:rFonts w:cstheme="minorHAnsi"/>
        </w:rPr>
        <w:t>≥</w:t>
      </w:r>
      <w:r w:rsidRPr="006258D8">
        <w:t xml:space="preserve">3 </w:t>
      </w:r>
      <w:r w:rsidR="0019268E">
        <w:t xml:space="preserve">prior </w:t>
      </w:r>
      <w:r w:rsidRPr="006258D8">
        <w:t>treatment</w:t>
      </w:r>
      <w:r w:rsidR="007B2606">
        <w:t xml:space="preserve"> failures</w:t>
      </w:r>
      <w:r w:rsidRPr="006258D8">
        <w:t>.</w:t>
      </w:r>
    </w:p>
    <w:p w:rsidR="00522A61" w:rsidRDefault="0074778F" w:rsidP="00021367">
      <w:pPr>
        <w:pStyle w:val="TableFigureHeading"/>
      </w:pPr>
      <w:r>
        <w:t xml:space="preserve">Table </w:t>
      </w:r>
      <w:r>
        <w:rPr>
          <w:noProof/>
        </w:rPr>
        <w:t>11</w:t>
      </w:r>
      <w:r w:rsidRPr="00B93173">
        <w:t>:</w:t>
      </w:r>
      <w:r>
        <w:t xml:space="preserve"> </w:t>
      </w:r>
      <w:r w:rsidRPr="00B93173">
        <w:t>Indirect comparisons for fremanezumab versus galcanezumab (subgroup with ≥3 prior treatments)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Indirect comparisons for fremanezumab versus galcanezumab (subgroup with ≥3 prior treatments)"/>
      </w:tblPr>
      <w:tblGrid>
        <w:gridCol w:w="1571"/>
        <w:gridCol w:w="1857"/>
        <w:gridCol w:w="1704"/>
        <w:gridCol w:w="1668"/>
        <w:gridCol w:w="2216"/>
      </w:tblGrid>
      <w:tr w:rsidR="00E25C13" w:rsidRPr="006258D8" w:rsidTr="00D96193">
        <w:trPr>
          <w:tblHeader/>
        </w:trPr>
        <w:tc>
          <w:tcPr>
            <w:tcW w:w="871" w:type="pct"/>
            <w:vMerge w:val="restart"/>
            <w:shd w:val="clear" w:color="auto" w:fill="auto"/>
            <w:vAlign w:val="center"/>
          </w:tcPr>
          <w:p w:rsidR="00E25C13" w:rsidRPr="006258D8" w:rsidRDefault="00E25C13" w:rsidP="00021367">
            <w:pPr>
              <w:pStyle w:val="Tabletext0"/>
              <w:keepNext/>
              <w:rPr>
                <w:b/>
              </w:rPr>
            </w:pPr>
            <w:r w:rsidRPr="006258D8">
              <w:rPr>
                <w:b/>
              </w:rPr>
              <w:t>Trial</w:t>
            </w:r>
          </w:p>
        </w:tc>
        <w:tc>
          <w:tcPr>
            <w:tcW w:w="2900" w:type="pct"/>
            <w:gridSpan w:val="3"/>
            <w:shd w:val="clear" w:color="auto" w:fill="auto"/>
            <w:vAlign w:val="center"/>
          </w:tcPr>
          <w:p w:rsidR="00E25C13" w:rsidRPr="006258D8" w:rsidRDefault="00E25C13" w:rsidP="00021367">
            <w:pPr>
              <w:pStyle w:val="Tabletext0"/>
              <w:jc w:val="center"/>
              <w:rPr>
                <w:b/>
              </w:rPr>
            </w:pPr>
            <w:r w:rsidRPr="006258D8">
              <w:rPr>
                <w:b/>
              </w:rPr>
              <w:t>Mean change from baseline (SE) in monthly migraine days</w:t>
            </w:r>
          </w:p>
        </w:tc>
        <w:tc>
          <w:tcPr>
            <w:tcW w:w="1229" w:type="pct"/>
            <w:vMerge w:val="restart"/>
            <w:shd w:val="clear" w:color="auto" w:fill="auto"/>
            <w:vAlign w:val="center"/>
          </w:tcPr>
          <w:p w:rsidR="00E25C13" w:rsidRPr="006258D8" w:rsidRDefault="00E25C13" w:rsidP="00021367">
            <w:pPr>
              <w:pStyle w:val="Tabletext0"/>
              <w:jc w:val="center"/>
              <w:rPr>
                <w:b/>
              </w:rPr>
            </w:pPr>
            <w:r w:rsidRPr="006258D8">
              <w:rPr>
                <w:b/>
              </w:rPr>
              <w:t>Mean difference (95% CI)</w:t>
            </w:r>
          </w:p>
        </w:tc>
      </w:tr>
      <w:tr w:rsidR="00E25C13" w:rsidRPr="006258D8" w:rsidTr="00D96193">
        <w:trPr>
          <w:tblHeader/>
        </w:trPr>
        <w:tc>
          <w:tcPr>
            <w:tcW w:w="871" w:type="pct"/>
            <w:vMerge/>
            <w:shd w:val="clear" w:color="auto" w:fill="auto"/>
            <w:vAlign w:val="center"/>
          </w:tcPr>
          <w:p w:rsidR="00E25C13" w:rsidRPr="006258D8" w:rsidRDefault="00E25C13" w:rsidP="00021367">
            <w:pPr>
              <w:pStyle w:val="Tabletext0"/>
            </w:pPr>
          </w:p>
        </w:tc>
        <w:tc>
          <w:tcPr>
            <w:tcW w:w="1030" w:type="pct"/>
            <w:shd w:val="clear" w:color="auto" w:fill="auto"/>
            <w:vAlign w:val="center"/>
          </w:tcPr>
          <w:p w:rsidR="00E25C13" w:rsidRPr="006258D8" w:rsidRDefault="00E25C13" w:rsidP="00021367">
            <w:pPr>
              <w:pStyle w:val="Tabletext0"/>
              <w:jc w:val="center"/>
              <w:rPr>
                <w:b/>
              </w:rPr>
            </w:pPr>
            <w:r w:rsidRPr="006258D8">
              <w:rPr>
                <w:b/>
              </w:rPr>
              <w:t>Fremanezumab</w:t>
            </w:r>
          </w:p>
        </w:tc>
        <w:tc>
          <w:tcPr>
            <w:tcW w:w="945" w:type="pct"/>
            <w:shd w:val="clear" w:color="auto" w:fill="auto"/>
            <w:vAlign w:val="center"/>
          </w:tcPr>
          <w:p w:rsidR="00E25C13" w:rsidRPr="006258D8" w:rsidRDefault="00E25C13" w:rsidP="00021367">
            <w:pPr>
              <w:pStyle w:val="Tabletext0"/>
              <w:jc w:val="center"/>
              <w:rPr>
                <w:b/>
              </w:rPr>
            </w:pPr>
            <w:r w:rsidRPr="006258D8">
              <w:rPr>
                <w:b/>
              </w:rPr>
              <w:t>Placebo</w:t>
            </w:r>
          </w:p>
        </w:tc>
        <w:tc>
          <w:tcPr>
            <w:tcW w:w="925" w:type="pct"/>
            <w:shd w:val="clear" w:color="auto" w:fill="auto"/>
            <w:vAlign w:val="center"/>
          </w:tcPr>
          <w:p w:rsidR="00E25C13" w:rsidRPr="006258D8" w:rsidRDefault="00E25C13" w:rsidP="00021367">
            <w:pPr>
              <w:pStyle w:val="Tabletext0"/>
              <w:jc w:val="center"/>
              <w:rPr>
                <w:b/>
              </w:rPr>
            </w:pPr>
            <w:r w:rsidRPr="006258D8">
              <w:rPr>
                <w:b/>
              </w:rPr>
              <w:t>Galcanezumab</w:t>
            </w:r>
          </w:p>
        </w:tc>
        <w:tc>
          <w:tcPr>
            <w:tcW w:w="1229" w:type="pct"/>
            <w:vMerge/>
            <w:shd w:val="clear" w:color="auto" w:fill="auto"/>
            <w:vAlign w:val="center"/>
          </w:tcPr>
          <w:p w:rsidR="00E25C13" w:rsidRPr="006258D8" w:rsidRDefault="00E25C13" w:rsidP="00021367">
            <w:pPr>
              <w:pStyle w:val="Tabletext0"/>
              <w:jc w:val="center"/>
            </w:pPr>
          </w:p>
        </w:tc>
      </w:tr>
      <w:tr w:rsidR="00E25C13" w:rsidRPr="006258D8" w:rsidTr="00D96193">
        <w:tc>
          <w:tcPr>
            <w:tcW w:w="871"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0"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021367">
            <w:pPr>
              <w:pStyle w:val="Tabletext0"/>
              <w:jc w:val="center"/>
            </w:pPr>
            <w:r w:rsidRPr="006258D8">
              <w:t>-</w:t>
            </w:r>
          </w:p>
        </w:tc>
        <w:tc>
          <w:tcPr>
            <w:tcW w:w="1229"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c>
          <w:tcPr>
            <w:tcW w:w="871" w:type="pct"/>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0"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shd w:val="clear" w:color="auto" w:fill="auto"/>
            <w:vAlign w:val="center"/>
          </w:tcPr>
          <w:p w:rsidR="00E25C13" w:rsidRPr="006258D8" w:rsidRDefault="00E25C13" w:rsidP="00021367">
            <w:pPr>
              <w:pStyle w:val="Tabletext0"/>
              <w:jc w:val="center"/>
            </w:pPr>
            <w:r w:rsidRPr="006258D8">
              <w:t>N=</w:t>
            </w:r>
            <w:r w:rsidR="00D11BC9">
              <w:rPr>
                <w:noProof/>
                <w:color w:val="000000"/>
                <w:highlight w:val="black"/>
              </w:rPr>
              <w:t>''''''</w:t>
            </w:r>
          </w:p>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shd w:val="clear" w:color="auto" w:fill="auto"/>
            <w:vAlign w:val="center"/>
          </w:tcPr>
          <w:p w:rsidR="00E25C13" w:rsidRPr="006258D8" w:rsidRDefault="00E25C13" w:rsidP="00021367">
            <w:pPr>
              <w:pStyle w:val="Tabletext0"/>
              <w:jc w:val="center"/>
            </w:pPr>
            <w:r w:rsidRPr="006258D8">
              <w:t>-</w:t>
            </w:r>
          </w:p>
        </w:tc>
        <w:tc>
          <w:tcPr>
            <w:tcW w:w="1229"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c>
          <w:tcPr>
            <w:tcW w:w="871" w:type="pct"/>
            <w:tcBorders>
              <w:bottom w:val="single" w:sz="4" w:space="0" w:color="auto"/>
            </w:tcBorders>
            <w:shd w:val="clear" w:color="auto" w:fill="auto"/>
            <w:vAlign w:val="center"/>
          </w:tcPr>
          <w:p w:rsidR="00E25C13" w:rsidRPr="006258D8" w:rsidRDefault="00E25C13" w:rsidP="00021367">
            <w:pPr>
              <w:pStyle w:val="Tabletext0"/>
            </w:pPr>
            <w:r w:rsidRPr="006258D8">
              <w:t>REGAIN</w:t>
            </w:r>
          </w:p>
          <w:p w:rsidR="00E25C13" w:rsidRPr="006258D8" w:rsidRDefault="00E25C13" w:rsidP="00021367">
            <w:pPr>
              <w:pStyle w:val="Tabletext0"/>
            </w:pPr>
            <w:r w:rsidRPr="006258D8">
              <w:t>GALC 120 mg</w:t>
            </w:r>
          </w:p>
        </w:tc>
        <w:tc>
          <w:tcPr>
            <w:tcW w:w="1030" w:type="pct"/>
            <w:tcBorders>
              <w:bottom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45" w:type="pct"/>
            <w:tcBorders>
              <w:bottom w:val="single" w:sz="4" w:space="0" w:color="auto"/>
            </w:tcBorders>
            <w:shd w:val="clear" w:color="auto" w:fill="auto"/>
            <w:vAlign w:val="center"/>
          </w:tcPr>
          <w:p w:rsidR="00E25C13" w:rsidRPr="006258D8" w:rsidRDefault="00E25C13" w:rsidP="00021367">
            <w:pPr>
              <w:pStyle w:val="Tabletext0"/>
              <w:jc w:val="center"/>
            </w:pPr>
            <w:r w:rsidRPr="006258D8">
              <w:t>N=103</w:t>
            </w:r>
          </w:p>
          <w:p w:rsidR="00E25C13" w:rsidRPr="006258D8" w:rsidRDefault="00E25C13" w:rsidP="00021367">
            <w:pPr>
              <w:pStyle w:val="Tabletext0"/>
              <w:jc w:val="center"/>
            </w:pPr>
            <w:r w:rsidRPr="006258D8">
              <w:t>-0.39 (0.76)</w:t>
            </w:r>
          </w:p>
        </w:tc>
        <w:tc>
          <w:tcPr>
            <w:tcW w:w="925" w:type="pct"/>
            <w:tcBorders>
              <w:bottom w:val="single" w:sz="4" w:space="0" w:color="auto"/>
            </w:tcBorders>
            <w:shd w:val="clear" w:color="auto" w:fill="auto"/>
            <w:vAlign w:val="center"/>
          </w:tcPr>
          <w:p w:rsidR="00E25C13" w:rsidRPr="006258D8" w:rsidRDefault="00E25C13" w:rsidP="00021367">
            <w:pPr>
              <w:pStyle w:val="Tabletext0"/>
              <w:jc w:val="center"/>
            </w:pPr>
            <w:r w:rsidRPr="006258D8">
              <w:t>N=36</w:t>
            </w:r>
          </w:p>
          <w:p w:rsidR="00E25C13" w:rsidRPr="006258D8" w:rsidRDefault="00E25C13" w:rsidP="00021367">
            <w:pPr>
              <w:pStyle w:val="Tabletext0"/>
              <w:jc w:val="center"/>
            </w:pPr>
            <w:r w:rsidRPr="006258D8">
              <w:t>-5.64 (0.97)</w:t>
            </w:r>
          </w:p>
        </w:tc>
        <w:tc>
          <w:tcPr>
            <w:tcW w:w="1229" w:type="pct"/>
            <w:tcBorders>
              <w:bottom w:val="single" w:sz="4" w:space="0" w:color="auto"/>
            </w:tcBorders>
            <w:shd w:val="clear" w:color="auto" w:fill="auto"/>
            <w:vAlign w:val="center"/>
          </w:tcPr>
          <w:p w:rsidR="00E25C13" w:rsidRPr="006258D8" w:rsidRDefault="00E25C13" w:rsidP="00021367">
            <w:pPr>
              <w:pStyle w:val="Tabletext0"/>
              <w:jc w:val="center"/>
            </w:pPr>
            <w:r w:rsidRPr="006258D8">
              <w:t>-5.25 (NR)</w:t>
            </w:r>
          </w:p>
        </w:tc>
      </w:tr>
      <w:tr w:rsidR="00E25C13" w:rsidRPr="006258D8" w:rsidTr="00D96193">
        <w:tc>
          <w:tcPr>
            <w:tcW w:w="3771" w:type="pct"/>
            <w:gridSpan w:val="4"/>
            <w:tcBorders>
              <w:bottom w:val="single" w:sz="4" w:space="0" w:color="auto"/>
            </w:tcBorders>
            <w:shd w:val="clear" w:color="auto" w:fill="auto"/>
            <w:vAlign w:val="center"/>
          </w:tcPr>
          <w:p w:rsidR="00E25C13" w:rsidRPr="006258D8" w:rsidRDefault="00E25C13" w:rsidP="00021367">
            <w:pPr>
              <w:pStyle w:val="Tabletext0"/>
              <w:jc w:val="right"/>
            </w:pPr>
            <w:r w:rsidRPr="006258D8">
              <w:t>Indirect mean difference fremanezumab 4-weekly versus galcanezumab</w:t>
            </w:r>
          </w:p>
        </w:tc>
        <w:tc>
          <w:tcPr>
            <w:tcW w:w="1229" w:type="pct"/>
            <w:tcBorders>
              <w:bottom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c>
          <w:tcPr>
            <w:tcW w:w="3771" w:type="pct"/>
            <w:gridSpan w:val="4"/>
            <w:tcBorders>
              <w:top w:val="single" w:sz="4" w:space="0" w:color="auto"/>
              <w:bottom w:val="double" w:sz="4" w:space="0" w:color="auto"/>
            </w:tcBorders>
            <w:shd w:val="clear" w:color="auto" w:fill="auto"/>
            <w:vAlign w:val="center"/>
          </w:tcPr>
          <w:p w:rsidR="00E25C13" w:rsidRPr="006258D8" w:rsidRDefault="00E25C13" w:rsidP="00021367">
            <w:pPr>
              <w:pStyle w:val="Tabletext0"/>
              <w:jc w:val="right"/>
            </w:pPr>
            <w:r w:rsidRPr="006258D8">
              <w:t>Indirect mean difference fremanezumab 12-weekly versus galcanezumab</w:t>
            </w:r>
          </w:p>
        </w:tc>
        <w:tc>
          <w:tcPr>
            <w:tcW w:w="1229" w:type="pct"/>
            <w:tcBorders>
              <w:top w:val="single" w:sz="4" w:space="0" w:color="auto"/>
              <w:bottom w:val="doub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c>
          <w:tcPr>
            <w:tcW w:w="871" w:type="pct"/>
            <w:vMerge w:val="restart"/>
            <w:tcBorders>
              <w:top w:val="double" w:sz="4" w:space="0" w:color="auto"/>
            </w:tcBorders>
            <w:shd w:val="clear" w:color="auto" w:fill="auto"/>
            <w:vAlign w:val="center"/>
          </w:tcPr>
          <w:p w:rsidR="00E25C13" w:rsidRPr="006258D8" w:rsidRDefault="00E25C13" w:rsidP="00021367">
            <w:pPr>
              <w:pStyle w:val="Tabletext0"/>
            </w:pPr>
          </w:p>
        </w:tc>
        <w:tc>
          <w:tcPr>
            <w:tcW w:w="2900" w:type="pct"/>
            <w:gridSpan w:val="3"/>
            <w:tcBorders>
              <w:top w:val="double" w:sz="4" w:space="0" w:color="auto"/>
              <w:bottom w:val="single" w:sz="4" w:space="0" w:color="auto"/>
            </w:tcBorders>
            <w:shd w:val="clear" w:color="auto" w:fill="auto"/>
            <w:vAlign w:val="center"/>
          </w:tcPr>
          <w:p w:rsidR="00C74141" w:rsidRDefault="00E25C13" w:rsidP="00021367">
            <w:pPr>
              <w:pStyle w:val="Tabletext0"/>
              <w:jc w:val="center"/>
              <w:rPr>
                <w:b/>
              </w:rPr>
            </w:pPr>
            <w:r w:rsidRPr="006258D8">
              <w:rPr>
                <w:b/>
              </w:rPr>
              <w:t>≥50% reduction in monthly migraine days</w:t>
            </w:r>
          </w:p>
          <w:p w:rsidR="00E25C13" w:rsidRPr="006258D8" w:rsidRDefault="00E25C13" w:rsidP="00021367">
            <w:pPr>
              <w:pStyle w:val="Tabletext0"/>
              <w:jc w:val="center"/>
            </w:pPr>
            <w:r w:rsidRPr="006258D8">
              <w:rPr>
                <w:b/>
              </w:rPr>
              <w:t>n with event/N (%)</w:t>
            </w:r>
          </w:p>
        </w:tc>
        <w:tc>
          <w:tcPr>
            <w:tcW w:w="1229" w:type="pct"/>
            <w:vMerge w:val="restart"/>
            <w:tcBorders>
              <w:top w:val="double" w:sz="4" w:space="0" w:color="auto"/>
            </w:tcBorders>
            <w:shd w:val="clear" w:color="auto" w:fill="auto"/>
            <w:vAlign w:val="center"/>
          </w:tcPr>
          <w:p w:rsidR="00E25C13" w:rsidRPr="006258D8" w:rsidRDefault="00E25C13" w:rsidP="00021367">
            <w:pPr>
              <w:pStyle w:val="Tabletext0"/>
              <w:jc w:val="center"/>
            </w:pPr>
            <w:r w:rsidRPr="006258D8">
              <w:rPr>
                <w:b/>
              </w:rPr>
              <w:t>Odds ratio (95% CI)</w:t>
            </w:r>
          </w:p>
        </w:tc>
      </w:tr>
      <w:tr w:rsidR="00E25C13" w:rsidRPr="006258D8" w:rsidTr="00D96193">
        <w:tc>
          <w:tcPr>
            <w:tcW w:w="871" w:type="pct"/>
            <w:vMerge/>
            <w:shd w:val="clear" w:color="auto" w:fill="auto"/>
            <w:vAlign w:val="center"/>
          </w:tcPr>
          <w:p w:rsidR="00E25C13" w:rsidRPr="006258D8" w:rsidRDefault="00E25C13" w:rsidP="00021367">
            <w:pPr>
              <w:pStyle w:val="Tabletext0"/>
            </w:pPr>
          </w:p>
        </w:tc>
        <w:tc>
          <w:tcPr>
            <w:tcW w:w="1030"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Fremanezumab</w:t>
            </w:r>
          </w:p>
        </w:tc>
        <w:tc>
          <w:tcPr>
            <w:tcW w:w="945"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Placebo</w:t>
            </w:r>
          </w:p>
        </w:tc>
        <w:tc>
          <w:tcPr>
            <w:tcW w:w="925" w:type="pct"/>
            <w:tcBorders>
              <w:top w:val="single" w:sz="4" w:space="0" w:color="auto"/>
            </w:tcBorders>
            <w:shd w:val="clear" w:color="auto" w:fill="auto"/>
            <w:vAlign w:val="center"/>
          </w:tcPr>
          <w:p w:rsidR="00E25C13" w:rsidRPr="006258D8" w:rsidRDefault="00E25C13" w:rsidP="00021367">
            <w:pPr>
              <w:pStyle w:val="Tabletext0"/>
              <w:jc w:val="center"/>
            </w:pPr>
            <w:r w:rsidRPr="006258D8">
              <w:rPr>
                <w:b/>
              </w:rPr>
              <w:t>Galcanezumab</w:t>
            </w:r>
          </w:p>
        </w:tc>
        <w:tc>
          <w:tcPr>
            <w:tcW w:w="1229" w:type="pct"/>
            <w:vMerge/>
            <w:shd w:val="clear" w:color="auto" w:fill="auto"/>
            <w:vAlign w:val="center"/>
          </w:tcPr>
          <w:p w:rsidR="00E25C13" w:rsidRPr="006258D8" w:rsidRDefault="00E25C13" w:rsidP="00021367">
            <w:pPr>
              <w:pStyle w:val="Tabletext0"/>
              <w:jc w:val="center"/>
              <w:rPr>
                <w:b/>
              </w:rPr>
            </w:pPr>
          </w:p>
        </w:tc>
      </w:tr>
      <w:tr w:rsidR="00E25C13" w:rsidRPr="006258D8" w:rsidTr="00D96193">
        <w:tc>
          <w:tcPr>
            <w:tcW w:w="871"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4-weekly</w:t>
            </w:r>
          </w:p>
        </w:tc>
        <w:tc>
          <w:tcPr>
            <w:tcW w:w="103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06140" w:rsidRPr="00E06140">
              <w:t>%</w:t>
            </w:r>
            <w:r w:rsidR="00E25C13" w:rsidRPr="006258D8">
              <w:t>)</w:t>
            </w:r>
          </w:p>
        </w:tc>
        <w:tc>
          <w:tcPr>
            <w:tcW w:w="94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229"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 xml:space="preserve">'''''''''' </w:t>
            </w:r>
            <w:r w:rsidR="00E25C13" w:rsidRPr="006258D8">
              <w:t>(</w:t>
            </w:r>
            <w:r>
              <w:rPr>
                <w:noProof/>
                <w:color w:val="000000"/>
                <w:highlight w:val="black"/>
              </w:rPr>
              <w:t>''''''''</w:t>
            </w:r>
            <w:r w:rsidR="00E25C13" w:rsidRPr="006258D8">
              <w:t>)</w:t>
            </w:r>
          </w:p>
        </w:tc>
      </w:tr>
      <w:tr w:rsidR="00E25C13" w:rsidRPr="006258D8" w:rsidTr="00D96193">
        <w:tc>
          <w:tcPr>
            <w:tcW w:w="871" w:type="pct"/>
            <w:tcBorders>
              <w:top w:val="single" w:sz="4" w:space="0" w:color="auto"/>
            </w:tcBorders>
            <w:shd w:val="clear" w:color="auto" w:fill="auto"/>
            <w:vAlign w:val="center"/>
          </w:tcPr>
          <w:p w:rsidR="00E25C13" w:rsidRPr="006258D8" w:rsidRDefault="00E25C13" w:rsidP="00021367">
            <w:pPr>
              <w:pStyle w:val="Tabletext0"/>
            </w:pPr>
            <w:r w:rsidRPr="006258D8">
              <w:t>Study 30068</w:t>
            </w:r>
          </w:p>
          <w:p w:rsidR="00E25C13" w:rsidRPr="006258D8" w:rsidRDefault="00E25C13" w:rsidP="00021367">
            <w:pPr>
              <w:pStyle w:val="Tabletext0"/>
            </w:pPr>
            <w:r w:rsidRPr="006258D8">
              <w:t>FREM 12-weekly</w:t>
            </w:r>
          </w:p>
        </w:tc>
        <w:tc>
          <w:tcPr>
            <w:tcW w:w="1030"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45" w:type="pct"/>
            <w:tcBorders>
              <w:top w:val="single" w:sz="4" w:space="0" w:color="auto"/>
            </w:tcBorders>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w:t>
            </w:r>
            <w:r>
              <w:rPr>
                <w:noProof/>
                <w:color w:val="000000"/>
                <w:highlight w:val="black"/>
              </w:rPr>
              <w:t>''''''</w:t>
            </w:r>
            <w:r w:rsidR="00E25C13" w:rsidRPr="006258D8">
              <w:t xml:space="preserve"> (</w:t>
            </w:r>
            <w:r>
              <w:rPr>
                <w:noProof/>
                <w:color w:val="000000"/>
                <w:highlight w:val="black"/>
              </w:rPr>
              <w:t>''''''''</w:t>
            </w:r>
            <w:r w:rsidR="00E25C13" w:rsidRPr="006258D8">
              <w:t>%)</w:t>
            </w:r>
          </w:p>
        </w:tc>
        <w:tc>
          <w:tcPr>
            <w:tcW w:w="925"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1229" w:type="pct"/>
            <w:tcBorders>
              <w:top w:val="single" w:sz="4" w:space="0" w:color="auto"/>
            </w:tcBorders>
            <w:shd w:val="clear" w:color="auto" w:fill="auto"/>
            <w:vAlign w:val="center"/>
          </w:tcPr>
          <w:p w:rsidR="00E25C13" w:rsidRPr="006258D8" w:rsidRDefault="00D11BC9" w:rsidP="00021367">
            <w:pPr>
              <w:pStyle w:val="Tabletext0"/>
              <w:jc w:val="center"/>
              <w:rPr>
                <w:color w:val="000000"/>
              </w:rPr>
            </w:pPr>
            <w:r>
              <w:rPr>
                <w:noProof/>
                <w:color w:val="000000"/>
                <w:highlight w:val="black"/>
              </w:rPr>
              <w:t xml:space="preserve">'''''''''' </w:t>
            </w:r>
            <w:r w:rsidR="00E25C13" w:rsidRPr="006258D8">
              <w:t>(</w:t>
            </w:r>
            <w:r>
              <w:rPr>
                <w:noProof/>
                <w:color w:val="000000"/>
                <w:highlight w:val="black"/>
              </w:rPr>
              <w:t>'''''''''</w:t>
            </w:r>
            <w:r w:rsidR="00E25C13" w:rsidRPr="006258D8">
              <w:t>)</w:t>
            </w:r>
          </w:p>
        </w:tc>
      </w:tr>
      <w:tr w:rsidR="00E25C13" w:rsidRPr="006258D8" w:rsidTr="00D96193">
        <w:tc>
          <w:tcPr>
            <w:tcW w:w="871" w:type="pct"/>
            <w:tcBorders>
              <w:top w:val="single" w:sz="4" w:space="0" w:color="auto"/>
            </w:tcBorders>
            <w:shd w:val="clear" w:color="auto" w:fill="auto"/>
            <w:vAlign w:val="center"/>
          </w:tcPr>
          <w:p w:rsidR="00E25C13" w:rsidRPr="006258D8" w:rsidRDefault="00E25C13" w:rsidP="00021367">
            <w:pPr>
              <w:pStyle w:val="Tabletext0"/>
            </w:pPr>
            <w:r w:rsidRPr="006258D8">
              <w:t>REGAIN</w:t>
            </w:r>
          </w:p>
          <w:p w:rsidR="00E25C13" w:rsidRPr="006258D8" w:rsidRDefault="00E25C13" w:rsidP="00021367">
            <w:pPr>
              <w:pStyle w:val="Tabletext0"/>
            </w:pPr>
            <w:r w:rsidRPr="006258D8">
              <w:t>GALC 120 mg</w:t>
            </w:r>
          </w:p>
        </w:tc>
        <w:tc>
          <w:tcPr>
            <w:tcW w:w="1030" w:type="pct"/>
            <w:tcBorders>
              <w:top w:val="single" w:sz="4" w:space="0" w:color="auto"/>
            </w:tcBorders>
            <w:shd w:val="clear" w:color="auto" w:fill="auto"/>
            <w:vAlign w:val="center"/>
          </w:tcPr>
          <w:p w:rsidR="00E25C13" w:rsidRPr="006258D8" w:rsidRDefault="00E25C13" w:rsidP="00021367">
            <w:pPr>
              <w:pStyle w:val="Tabletext0"/>
              <w:jc w:val="center"/>
            </w:pPr>
            <w:r w:rsidRPr="006258D8">
              <w:t>-</w:t>
            </w:r>
          </w:p>
        </w:tc>
        <w:tc>
          <w:tcPr>
            <w:tcW w:w="945" w:type="pct"/>
            <w:tcBorders>
              <w:top w:val="single" w:sz="4" w:space="0" w:color="auto"/>
            </w:tcBorders>
            <w:shd w:val="clear" w:color="auto" w:fill="auto"/>
            <w:vAlign w:val="center"/>
          </w:tcPr>
          <w:p w:rsidR="00E25C13" w:rsidRPr="006258D8" w:rsidRDefault="00E25C13" w:rsidP="00021367">
            <w:pPr>
              <w:pStyle w:val="Tabletext0"/>
              <w:jc w:val="center"/>
            </w:pPr>
            <w:r w:rsidRPr="006258D8">
              <w:t>NR (6.1%)</w:t>
            </w:r>
          </w:p>
        </w:tc>
        <w:tc>
          <w:tcPr>
            <w:tcW w:w="925" w:type="pct"/>
            <w:tcBorders>
              <w:top w:val="single" w:sz="4" w:space="0" w:color="auto"/>
            </w:tcBorders>
            <w:shd w:val="clear" w:color="auto" w:fill="auto"/>
            <w:vAlign w:val="center"/>
          </w:tcPr>
          <w:p w:rsidR="00E25C13" w:rsidRPr="006258D8" w:rsidRDefault="00E25C13" w:rsidP="00021367">
            <w:pPr>
              <w:pStyle w:val="Tabletext0"/>
              <w:jc w:val="center"/>
            </w:pPr>
            <w:r w:rsidRPr="006258D8">
              <w:t>NR (29.1%)</w:t>
            </w:r>
          </w:p>
        </w:tc>
        <w:tc>
          <w:tcPr>
            <w:tcW w:w="1229" w:type="pct"/>
            <w:tcBorders>
              <w:top w:val="single" w:sz="4" w:space="0" w:color="auto"/>
            </w:tcBorders>
            <w:shd w:val="clear" w:color="auto" w:fill="auto"/>
            <w:vAlign w:val="center"/>
          </w:tcPr>
          <w:p w:rsidR="00E25C13" w:rsidRPr="006258D8" w:rsidRDefault="00E25C13" w:rsidP="00021367">
            <w:pPr>
              <w:pStyle w:val="Tabletext0"/>
              <w:jc w:val="center"/>
            </w:pPr>
            <w:r w:rsidRPr="006258D8">
              <w:t>6.32 (NR)</w:t>
            </w:r>
          </w:p>
        </w:tc>
      </w:tr>
      <w:tr w:rsidR="00E25C13" w:rsidRPr="006258D8" w:rsidTr="00D96193">
        <w:tc>
          <w:tcPr>
            <w:tcW w:w="3771" w:type="pct"/>
            <w:gridSpan w:val="4"/>
            <w:shd w:val="clear" w:color="auto" w:fill="auto"/>
            <w:vAlign w:val="center"/>
          </w:tcPr>
          <w:p w:rsidR="00E25C13" w:rsidRPr="006258D8" w:rsidRDefault="00E25C13" w:rsidP="00021367">
            <w:pPr>
              <w:pStyle w:val="Tabletext0"/>
              <w:jc w:val="right"/>
              <w:rPr>
                <w:b/>
              </w:rPr>
            </w:pPr>
            <w:r w:rsidRPr="006258D8">
              <w:t>Indirect odds ratio fremanezumab 4-weekly versus galcanezumab</w:t>
            </w:r>
          </w:p>
        </w:tc>
        <w:tc>
          <w:tcPr>
            <w:tcW w:w="1229"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r w:rsidR="00E25C13" w:rsidRPr="006258D8" w:rsidTr="00D96193">
        <w:tc>
          <w:tcPr>
            <w:tcW w:w="3771" w:type="pct"/>
            <w:gridSpan w:val="4"/>
            <w:shd w:val="clear" w:color="auto" w:fill="auto"/>
            <w:vAlign w:val="center"/>
          </w:tcPr>
          <w:p w:rsidR="00E25C13" w:rsidRPr="006258D8" w:rsidRDefault="00E25C13" w:rsidP="00021367">
            <w:pPr>
              <w:pStyle w:val="Tabletext0"/>
              <w:jc w:val="right"/>
              <w:rPr>
                <w:b/>
              </w:rPr>
            </w:pPr>
            <w:r w:rsidRPr="006258D8">
              <w:t>Indirect odds ratio fremanezumab 12-weekly versus galcanezumab</w:t>
            </w:r>
          </w:p>
        </w:tc>
        <w:tc>
          <w:tcPr>
            <w:tcW w:w="1229" w:type="pct"/>
            <w:shd w:val="clear" w:color="auto" w:fill="auto"/>
            <w:vAlign w:val="center"/>
          </w:tcPr>
          <w:p w:rsidR="00E25C13" w:rsidRPr="006258D8" w:rsidRDefault="00D11BC9" w:rsidP="00021367">
            <w:pPr>
              <w:pStyle w:val="Tabletext0"/>
              <w:jc w:val="center"/>
            </w:pPr>
            <w:r>
              <w:rPr>
                <w:noProof/>
                <w:color w:val="000000"/>
                <w:highlight w:val="black"/>
              </w:rPr>
              <w:t>''''''''''</w:t>
            </w:r>
            <w:r w:rsidR="00E25C13" w:rsidRPr="006258D8">
              <w:t xml:space="preserve"> (</w:t>
            </w:r>
            <w:r>
              <w:rPr>
                <w:noProof/>
                <w:color w:val="000000"/>
                <w:highlight w:val="black"/>
              </w:rPr>
              <w:t>'''''''</w:t>
            </w:r>
            <w:r w:rsidR="00E25C13" w:rsidRPr="006258D8">
              <w:t xml:space="preserve">, </w:t>
            </w:r>
            <w:r>
              <w:rPr>
                <w:noProof/>
                <w:color w:val="000000"/>
                <w:highlight w:val="black"/>
              </w:rPr>
              <w:t>''''''''''</w:t>
            </w:r>
            <w:r w:rsidR="00E25C13" w:rsidRPr="006258D8">
              <w:t>)</w:t>
            </w:r>
          </w:p>
        </w:tc>
      </w:tr>
    </w:tbl>
    <w:p w:rsidR="00E25C13" w:rsidRPr="006258D8" w:rsidRDefault="00E25C13" w:rsidP="00021367">
      <w:pPr>
        <w:pStyle w:val="TableFigureFooter"/>
      </w:pPr>
      <w:r w:rsidRPr="006258D8">
        <w:t>Bolded results indicate a statistically significant difference.</w:t>
      </w:r>
    </w:p>
    <w:p w:rsidR="00E25C13" w:rsidRPr="006258D8" w:rsidRDefault="00E25C13" w:rsidP="00021367">
      <w:pPr>
        <w:pStyle w:val="TableFigureFooter"/>
      </w:pPr>
      <w:r w:rsidRPr="006258D8">
        <w:t>Source</w:t>
      </w:r>
      <w:r w:rsidRPr="00B60EEE">
        <w:t>: Table 4.5, p.39; Table 4.9, pp41-42 of the submission.</w:t>
      </w:r>
    </w:p>
    <w:p w:rsidR="00E25C13" w:rsidRPr="006258D8" w:rsidRDefault="00E25C13" w:rsidP="00021367">
      <w:pPr>
        <w:pStyle w:val="TableFigureFooter"/>
      </w:pPr>
      <w:r w:rsidRPr="006258D8">
        <w:t>Abbreviations: CI, confidence interval; FREM, fremanezumab; GALC, galcanezumab; NR, not reported; SE, standard error.</w:t>
      </w:r>
    </w:p>
    <w:p w:rsidR="00C74141" w:rsidRDefault="006A03BA" w:rsidP="000F2EE3">
      <w:pPr>
        <w:pStyle w:val="3-BodyText"/>
      </w:pPr>
      <w:r w:rsidRPr="006258D8">
        <w:t>There were no statistically significant differences for any of the included indirect comparisons.</w:t>
      </w:r>
      <w:r w:rsidR="00F63AE5" w:rsidRPr="006258D8">
        <w:t xml:space="preserve"> The </w:t>
      </w:r>
      <w:r w:rsidR="00C94887" w:rsidRPr="006258D8">
        <w:t xml:space="preserve">upper </w:t>
      </w:r>
      <w:r w:rsidR="00F63AE5" w:rsidRPr="006258D8">
        <w:t xml:space="preserve">95% confidence interval for the fremanezumab 225 mg and 675 mg 12-weekly versus galcanezumab 120 mg </w:t>
      </w:r>
      <w:r w:rsidR="004023D8" w:rsidRPr="006258D8">
        <w:t xml:space="preserve">monthly </w:t>
      </w:r>
      <w:r w:rsidR="00F63AE5" w:rsidRPr="006258D8">
        <w:t>comparisons exceeded the nominated non-inferiority margin of 2 days for the change in monthly migraine days.</w:t>
      </w:r>
    </w:p>
    <w:p w:rsidR="00C317F3" w:rsidRPr="006258D8" w:rsidRDefault="00C317F3" w:rsidP="00021367">
      <w:pPr>
        <w:pStyle w:val="Heading2"/>
      </w:pPr>
      <w:bookmarkStart w:id="16" w:name="_Toc413139279"/>
      <w:bookmarkStart w:id="17" w:name="_Toc19693420"/>
      <w:r w:rsidRPr="006258D8">
        <w:t>Comparative harms</w:t>
      </w:r>
      <w:bookmarkEnd w:id="16"/>
      <w:bookmarkEnd w:id="17"/>
    </w:p>
    <w:p w:rsidR="002D448D" w:rsidRPr="006258D8" w:rsidRDefault="002D448D" w:rsidP="000F2EE3">
      <w:pPr>
        <w:pStyle w:val="3-BodyText"/>
        <w:rPr>
          <w:color w:val="4472C4" w:themeColor="accent5"/>
        </w:rPr>
      </w:pPr>
      <w:r w:rsidRPr="006258D8">
        <w:t>Table 1</w:t>
      </w:r>
      <w:r w:rsidR="00153831">
        <w:t>2</w:t>
      </w:r>
      <w:r w:rsidRPr="006258D8">
        <w:t xml:space="preserve"> presents a summary of</w:t>
      </w:r>
      <w:r w:rsidR="007B2606">
        <w:t xml:space="preserve"> </w:t>
      </w:r>
      <w:r w:rsidRPr="006258D8">
        <w:t>adverse events reported in Study 30068 for the full chronic migraine population</w:t>
      </w:r>
      <w:r w:rsidR="004023D8" w:rsidRPr="006258D8">
        <w:t xml:space="preserve"> and the subgroup with </w:t>
      </w:r>
      <w:r w:rsidR="004023D8" w:rsidRPr="006258D8">
        <w:rPr>
          <w:rFonts w:cstheme="minorHAnsi"/>
        </w:rPr>
        <w:t>≥</w:t>
      </w:r>
      <w:r w:rsidR="004023D8" w:rsidRPr="006258D8">
        <w:t>3 prior treatment</w:t>
      </w:r>
      <w:r w:rsidR="0019268E">
        <w:t xml:space="preserve"> failures</w:t>
      </w:r>
      <w:r w:rsidRPr="006258D8">
        <w:t>.</w:t>
      </w:r>
    </w:p>
    <w:p w:rsidR="00522A61" w:rsidRDefault="00E06140" w:rsidP="00021367">
      <w:pPr>
        <w:pStyle w:val="TableFigureHeading"/>
      </w:pPr>
      <w:r>
        <w:t xml:space="preserve">Table </w:t>
      </w:r>
      <w:r>
        <w:rPr>
          <w:noProof/>
        </w:rPr>
        <w:t>12</w:t>
      </w:r>
      <w:r w:rsidRPr="00AC29FA">
        <w:t>: Summary of adverse events reported in Study 30068 for the full chronic migraine population</w:t>
      </w:r>
    </w:p>
    <w:tbl>
      <w:tblPr>
        <w:tblStyle w:val="AZTable"/>
        <w:tblW w:w="5000" w:type="pct"/>
        <w:tblLook w:val="04A0" w:firstRow="1" w:lastRow="0" w:firstColumn="1" w:lastColumn="0" w:noHBand="0" w:noVBand="1"/>
        <w:tblCaption w:val="Table 14: Summary of adverse events reported in Study 30068 for the full chronic migraine population"/>
      </w:tblPr>
      <w:tblGrid>
        <w:gridCol w:w="4076"/>
        <w:gridCol w:w="1646"/>
        <w:gridCol w:w="1646"/>
        <w:gridCol w:w="1648"/>
      </w:tblGrid>
      <w:tr w:rsidR="002D448D" w:rsidRPr="006258D8" w:rsidTr="00522A61">
        <w:trPr>
          <w:cnfStyle w:val="100000000000" w:firstRow="1" w:lastRow="0" w:firstColumn="0" w:lastColumn="0" w:oddVBand="0" w:evenVBand="0" w:oddHBand="0" w:evenHBand="0" w:firstRowFirstColumn="0" w:firstRowLastColumn="0" w:lastRowFirstColumn="0" w:lastRowLastColumn="0"/>
          <w:tblHeader/>
        </w:trPr>
        <w:tc>
          <w:tcPr>
            <w:tcW w:w="2260" w:type="pct"/>
            <w:hideMark/>
          </w:tcPr>
          <w:p w:rsidR="002D448D" w:rsidRPr="00924CCF" w:rsidRDefault="002D448D" w:rsidP="00021367">
            <w:pPr>
              <w:pStyle w:val="TableHeading0"/>
              <w:rPr>
                <w:szCs w:val="20"/>
              </w:rPr>
            </w:pPr>
            <w:r w:rsidRPr="00924CCF">
              <w:rPr>
                <w:szCs w:val="20"/>
              </w:rPr>
              <w:t>Event</w:t>
            </w:r>
          </w:p>
        </w:tc>
        <w:tc>
          <w:tcPr>
            <w:tcW w:w="913" w:type="pct"/>
            <w:hideMark/>
          </w:tcPr>
          <w:p w:rsidR="002D448D" w:rsidRPr="00924CCF" w:rsidRDefault="002D448D" w:rsidP="00021367">
            <w:pPr>
              <w:pStyle w:val="TableHeading0"/>
              <w:jc w:val="center"/>
              <w:rPr>
                <w:szCs w:val="20"/>
              </w:rPr>
            </w:pPr>
            <w:r w:rsidRPr="00924CCF">
              <w:rPr>
                <w:szCs w:val="20"/>
              </w:rPr>
              <w:t>FREM</w:t>
            </w:r>
          </w:p>
          <w:p w:rsidR="002D448D" w:rsidRPr="00924CCF" w:rsidRDefault="002D448D" w:rsidP="00021367">
            <w:pPr>
              <w:pStyle w:val="TableHeading0"/>
              <w:jc w:val="center"/>
              <w:rPr>
                <w:szCs w:val="20"/>
              </w:rPr>
            </w:pPr>
            <w:r w:rsidRPr="00924CCF">
              <w:rPr>
                <w:szCs w:val="20"/>
              </w:rPr>
              <w:t>225 mg 4-weekly</w:t>
            </w:r>
          </w:p>
        </w:tc>
        <w:tc>
          <w:tcPr>
            <w:tcW w:w="913" w:type="pct"/>
          </w:tcPr>
          <w:p w:rsidR="002D448D" w:rsidRPr="00924CCF" w:rsidRDefault="002D448D" w:rsidP="00021367">
            <w:pPr>
              <w:pStyle w:val="TableHeading0"/>
              <w:jc w:val="center"/>
              <w:rPr>
                <w:szCs w:val="20"/>
              </w:rPr>
            </w:pPr>
            <w:r w:rsidRPr="00924CCF">
              <w:rPr>
                <w:szCs w:val="20"/>
              </w:rPr>
              <w:t>FREM</w:t>
            </w:r>
          </w:p>
          <w:p w:rsidR="002D448D" w:rsidRPr="00924CCF" w:rsidRDefault="002D448D" w:rsidP="00021367">
            <w:pPr>
              <w:pStyle w:val="TableHeading0"/>
              <w:jc w:val="center"/>
              <w:rPr>
                <w:szCs w:val="20"/>
              </w:rPr>
            </w:pPr>
            <w:r w:rsidRPr="00924CCF">
              <w:rPr>
                <w:szCs w:val="20"/>
              </w:rPr>
              <w:t>675 mg 12-weekly</w:t>
            </w:r>
          </w:p>
        </w:tc>
        <w:tc>
          <w:tcPr>
            <w:tcW w:w="914" w:type="pct"/>
          </w:tcPr>
          <w:p w:rsidR="002D448D" w:rsidRPr="00924CCF" w:rsidRDefault="002D448D" w:rsidP="00021367">
            <w:pPr>
              <w:pStyle w:val="TableHeading0"/>
              <w:jc w:val="center"/>
              <w:rPr>
                <w:szCs w:val="20"/>
              </w:rPr>
            </w:pPr>
            <w:r w:rsidRPr="00924CCF">
              <w:rPr>
                <w:szCs w:val="20"/>
              </w:rPr>
              <w:t>PBO</w:t>
            </w:r>
          </w:p>
          <w:p w:rsidR="002D448D" w:rsidRPr="00924CCF" w:rsidRDefault="002D448D" w:rsidP="00021367">
            <w:pPr>
              <w:pStyle w:val="TableText"/>
              <w:rPr>
                <w:szCs w:val="20"/>
              </w:rPr>
            </w:pPr>
          </w:p>
        </w:tc>
      </w:tr>
      <w:tr w:rsidR="002D448D" w:rsidRPr="006258D8" w:rsidTr="002D448D">
        <w:tc>
          <w:tcPr>
            <w:tcW w:w="5000" w:type="pct"/>
            <w:gridSpan w:val="4"/>
          </w:tcPr>
          <w:p w:rsidR="002D448D" w:rsidRPr="00924CCF" w:rsidRDefault="002D448D" w:rsidP="00021367">
            <w:pPr>
              <w:pStyle w:val="TableText"/>
              <w:rPr>
                <w:b/>
                <w:szCs w:val="20"/>
              </w:rPr>
            </w:pPr>
            <w:r w:rsidRPr="00924CCF">
              <w:rPr>
                <w:b/>
                <w:szCs w:val="20"/>
              </w:rPr>
              <w:t>Full chronic migraine population</w:t>
            </w:r>
          </w:p>
        </w:tc>
      </w:tr>
      <w:tr w:rsidR="002D448D" w:rsidRPr="006258D8" w:rsidTr="00522A61">
        <w:tc>
          <w:tcPr>
            <w:tcW w:w="2260" w:type="pct"/>
          </w:tcPr>
          <w:p w:rsidR="002D448D" w:rsidRPr="00924CCF" w:rsidRDefault="002D448D" w:rsidP="00021367">
            <w:pPr>
              <w:pStyle w:val="TableText"/>
              <w:rPr>
                <w:szCs w:val="20"/>
              </w:rPr>
            </w:pPr>
            <w:r w:rsidRPr="00924CCF">
              <w:rPr>
                <w:szCs w:val="20"/>
              </w:rPr>
              <w:t>Any AE, n (%)</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r>
      <w:tr w:rsidR="002D448D" w:rsidRPr="006258D8" w:rsidTr="00522A61">
        <w:tc>
          <w:tcPr>
            <w:tcW w:w="2260" w:type="pct"/>
          </w:tcPr>
          <w:p w:rsidR="002D448D" w:rsidRPr="00924CCF" w:rsidRDefault="002D448D" w:rsidP="00021367">
            <w:pPr>
              <w:pStyle w:val="TableText"/>
              <w:rPr>
                <w:szCs w:val="20"/>
              </w:rPr>
            </w:pPr>
            <w:r w:rsidRPr="00924CCF">
              <w:rPr>
                <w:szCs w:val="20"/>
              </w:rPr>
              <w:t>Treatment-related AE, n (%)</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c>
          <w:tcPr>
            <w:tcW w:w="2260" w:type="pct"/>
          </w:tcPr>
          <w:p w:rsidR="002D448D" w:rsidRPr="00924CCF" w:rsidRDefault="002D448D" w:rsidP="00021367">
            <w:pPr>
              <w:pStyle w:val="TableText"/>
              <w:rPr>
                <w:szCs w:val="20"/>
              </w:rPr>
            </w:pPr>
            <w:r w:rsidRPr="00924CCF">
              <w:rPr>
                <w:szCs w:val="20"/>
              </w:rPr>
              <w:t>Serious AE, n (%)</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c>
          <w:tcPr>
            <w:tcW w:w="2260" w:type="pct"/>
          </w:tcPr>
          <w:p w:rsidR="002D448D" w:rsidRPr="00924CCF" w:rsidRDefault="002D448D" w:rsidP="00021367">
            <w:pPr>
              <w:pStyle w:val="TableText"/>
              <w:rPr>
                <w:szCs w:val="20"/>
              </w:rPr>
            </w:pPr>
            <w:r w:rsidRPr="00924CCF">
              <w:rPr>
                <w:szCs w:val="20"/>
              </w:rPr>
              <w:t>AE leading to withdrawal, n (%)</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/1</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c>
          <w:tcPr>
            <w:tcW w:w="2260" w:type="pct"/>
          </w:tcPr>
          <w:p w:rsidR="002D448D" w:rsidRPr="00924CCF" w:rsidRDefault="002D448D" w:rsidP="00021367">
            <w:pPr>
              <w:pStyle w:val="TableText"/>
              <w:rPr>
                <w:szCs w:val="20"/>
              </w:rPr>
            </w:pPr>
            <w:r w:rsidRPr="00924CCF">
              <w:rPr>
                <w:szCs w:val="20"/>
              </w:rPr>
              <w:t>Deaths, n (%)</w:t>
            </w:r>
          </w:p>
        </w:tc>
        <w:tc>
          <w:tcPr>
            <w:tcW w:w="913" w:type="pct"/>
          </w:tcPr>
          <w:p w:rsidR="002D448D" w:rsidRPr="00924CCF" w:rsidRDefault="002D448D" w:rsidP="00021367">
            <w:pPr>
              <w:pStyle w:val="TableText"/>
              <w:jc w:val="center"/>
              <w:rPr>
                <w:szCs w:val="20"/>
              </w:rPr>
            </w:pPr>
            <w:r w:rsidRPr="00924CCF">
              <w:rPr>
                <w:szCs w:val="20"/>
              </w:rPr>
              <w:t>0/</w:t>
            </w:r>
            <w:r w:rsidR="00D11BC9">
              <w:rPr>
                <w:noProof/>
                <w:color w:val="000000"/>
                <w:szCs w:val="20"/>
                <w:highlight w:val="black"/>
              </w:rPr>
              <w:t>''''''''''</w:t>
            </w:r>
            <w:r w:rsidRPr="00924CCF">
              <w:rPr>
                <w:szCs w:val="20"/>
              </w:rPr>
              <w:t xml:space="preserve"> (0)</w:t>
            </w:r>
          </w:p>
        </w:tc>
        <w:tc>
          <w:tcPr>
            <w:tcW w:w="913" w:type="pct"/>
          </w:tcPr>
          <w:p w:rsidR="002D448D" w:rsidRPr="00924CCF" w:rsidRDefault="002D448D" w:rsidP="00021367">
            <w:pPr>
              <w:pStyle w:val="TableText"/>
              <w:jc w:val="center"/>
              <w:rPr>
                <w:szCs w:val="20"/>
              </w:rPr>
            </w:pPr>
            <w:r w:rsidRPr="00924CCF">
              <w:rPr>
                <w:szCs w:val="20"/>
              </w:rPr>
              <w:t>0/</w:t>
            </w:r>
            <w:r w:rsidR="00D11BC9">
              <w:rPr>
                <w:noProof/>
                <w:color w:val="000000"/>
                <w:szCs w:val="20"/>
                <w:highlight w:val="black"/>
              </w:rPr>
              <w:t>'''''''''</w:t>
            </w:r>
            <w:r w:rsidRPr="00924CCF">
              <w:rPr>
                <w:szCs w:val="20"/>
              </w:rPr>
              <w:t xml:space="preserve"> (0)</w:t>
            </w:r>
          </w:p>
        </w:tc>
        <w:tc>
          <w:tcPr>
            <w:tcW w:w="914" w:type="pct"/>
          </w:tcPr>
          <w:p w:rsidR="002D448D" w:rsidRPr="00924CCF" w:rsidRDefault="002D448D" w:rsidP="00021367">
            <w:pPr>
              <w:pStyle w:val="TableText"/>
              <w:jc w:val="center"/>
              <w:rPr>
                <w:szCs w:val="20"/>
              </w:rPr>
            </w:pPr>
            <w:r w:rsidRPr="00924CCF">
              <w:rPr>
                <w:szCs w:val="20"/>
              </w:rPr>
              <w:t>0/</w:t>
            </w:r>
            <w:r w:rsidR="00D11BC9">
              <w:rPr>
                <w:noProof/>
                <w:color w:val="000000"/>
                <w:szCs w:val="20"/>
                <w:highlight w:val="black"/>
              </w:rPr>
              <w:t>'''''''''</w:t>
            </w:r>
            <w:r w:rsidRPr="00924CCF">
              <w:rPr>
                <w:szCs w:val="20"/>
              </w:rPr>
              <w:t xml:space="preserve"> (0)</w:t>
            </w:r>
          </w:p>
        </w:tc>
      </w:tr>
      <w:tr w:rsidR="002D448D" w:rsidRPr="006258D8" w:rsidTr="00522A61">
        <w:trPr>
          <w:trHeight w:val="1218"/>
        </w:trPr>
        <w:tc>
          <w:tcPr>
            <w:tcW w:w="2260" w:type="pct"/>
          </w:tcPr>
          <w:p w:rsidR="002D448D" w:rsidRPr="00924CCF" w:rsidRDefault="002D448D" w:rsidP="00021367">
            <w:pPr>
              <w:pStyle w:val="TableText"/>
              <w:rPr>
                <w:szCs w:val="20"/>
              </w:rPr>
            </w:pPr>
            <w:r w:rsidRPr="00924CCF">
              <w:rPr>
                <w:szCs w:val="20"/>
              </w:rPr>
              <w:t>Treatment-related AE ≥2%, n (%)</w:t>
            </w:r>
          </w:p>
          <w:p w:rsidR="00C74141" w:rsidRDefault="002D448D" w:rsidP="00021367">
            <w:pPr>
              <w:pStyle w:val="TableText"/>
              <w:rPr>
                <w:szCs w:val="20"/>
              </w:rPr>
            </w:pPr>
            <w:r w:rsidRPr="00924CCF">
              <w:rPr>
                <w:szCs w:val="20"/>
              </w:rPr>
              <w:t>- Injection site erythema</w:t>
            </w:r>
          </w:p>
          <w:p w:rsidR="00C74141" w:rsidRDefault="002D448D" w:rsidP="00021367">
            <w:pPr>
              <w:pStyle w:val="TableText"/>
              <w:rPr>
                <w:szCs w:val="20"/>
              </w:rPr>
            </w:pPr>
            <w:r w:rsidRPr="00924CCF">
              <w:rPr>
                <w:szCs w:val="20"/>
              </w:rPr>
              <w:t>- Injection site induration</w:t>
            </w:r>
          </w:p>
          <w:p w:rsidR="00C74141" w:rsidRDefault="002D448D" w:rsidP="00021367">
            <w:pPr>
              <w:pStyle w:val="TableText"/>
              <w:rPr>
                <w:szCs w:val="20"/>
              </w:rPr>
            </w:pPr>
            <w:r w:rsidRPr="00924CCF">
              <w:rPr>
                <w:szCs w:val="20"/>
              </w:rPr>
              <w:t>- Injection site pain</w:t>
            </w:r>
          </w:p>
          <w:p w:rsidR="002D448D" w:rsidRPr="00924CCF" w:rsidRDefault="002D448D" w:rsidP="00021367">
            <w:pPr>
              <w:pStyle w:val="TableText"/>
              <w:rPr>
                <w:szCs w:val="20"/>
              </w:rPr>
            </w:pPr>
            <w:r w:rsidRPr="00924CCF">
              <w:rPr>
                <w:szCs w:val="20"/>
              </w:rPr>
              <w:t>- Injection site bruising</w:t>
            </w:r>
          </w:p>
          <w:p w:rsidR="002D448D" w:rsidRPr="00924CCF" w:rsidRDefault="002D448D" w:rsidP="00021367">
            <w:pPr>
              <w:pStyle w:val="TableText"/>
              <w:rPr>
                <w:szCs w:val="20"/>
              </w:rPr>
            </w:pPr>
            <w:r w:rsidRPr="00924CCF">
              <w:rPr>
                <w:szCs w:val="20"/>
              </w:rPr>
              <w:t>- Injection site pruritus</w:t>
            </w:r>
          </w:p>
          <w:p w:rsidR="002D448D" w:rsidRPr="00924CCF" w:rsidRDefault="002D448D" w:rsidP="00021367">
            <w:pPr>
              <w:pStyle w:val="TableText"/>
              <w:rPr>
                <w:szCs w:val="20"/>
              </w:rPr>
            </w:pPr>
            <w:r w:rsidRPr="00924CCF">
              <w:rPr>
                <w:szCs w:val="20"/>
              </w:rPr>
              <w:t>- Fatigue</w:t>
            </w:r>
          </w:p>
        </w:tc>
        <w:tc>
          <w:tcPr>
            <w:tcW w:w="913" w:type="pct"/>
          </w:tcPr>
          <w:p w:rsidR="002D448D" w:rsidRPr="00924CCF" w:rsidRDefault="002D448D" w:rsidP="00021367">
            <w:pPr>
              <w:keepNext/>
              <w:jc w:val="center"/>
              <w:rPr>
                <w:rFonts w:ascii="Arial Narrow" w:hAnsi="Arial Narrow"/>
                <w:sz w:val="20"/>
                <w:szCs w:val="20"/>
              </w:rPr>
            </w:pP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C74141"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C74141"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p>
        </w:tc>
        <w:tc>
          <w:tcPr>
            <w:tcW w:w="913" w:type="pct"/>
          </w:tcPr>
          <w:p w:rsidR="002D448D" w:rsidRPr="00924CCF" w:rsidRDefault="002D448D" w:rsidP="00021367">
            <w:pPr>
              <w:pStyle w:val="TableText"/>
              <w:jc w:val="center"/>
              <w:rPr>
                <w:szCs w:val="20"/>
              </w:rPr>
            </w:pP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2D448D" w:rsidP="00021367">
            <w:pPr>
              <w:pStyle w:val="TableText"/>
              <w:jc w:val="center"/>
              <w:rPr>
                <w:szCs w:val="20"/>
              </w:rPr>
            </w:pP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2D448D">
        <w:trPr>
          <w:trHeight w:val="54"/>
        </w:trPr>
        <w:tc>
          <w:tcPr>
            <w:tcW w:w="5000" w:type="pct"/>
            <w:gridSpan w:val="4"/>
          </w:tcPr>
          <w:p w:rsidR="002D448D" w:rsidRPr="00924CCF" w:rsidRDefault="002D448D" w:rsidP="00021367">
            <w:pPr>
              <w:pStyle w:val="TableText"/>
              <w:rPr>
                <w:szCs w:val="20"/>
              </w:rPr>
            </w:pPr>
            <w:r w:rsidRPr="00924CCF">
              <w:rPr>
                <w:b/>
                <w:szCs w:val="20"/>
              </w:rPr>
              <w:t>Subgroup with ≥3 prior treatments</w:t>
            </w:r>
          </w:p>
        </w:tc>
      </w:tr>
      <w:tr w:rsidR="002D448D" w:rsidRPr="006258D8" w:rsidTr="00522A61">
        <w:trPr>
          <w:trHeight w:val="54"/>
        </w:trPr>
        <w:tc>
          <w:tcPr>
            <w:tcW w:w="2260" w:type="pct"/>
          </w:tcPr>
          <w:p w:rsidR="002D448D" w:rsidRPr="00924CCF" w:rsidRDefault="002D448D" w:rsidP="00021367">
            <w:pPr>
              <w:pStyle w:val="TableText"/>
              <w:rPr>
                <w:szCs w:val="20"/>
              </w:rPr>
            </w:pPr>
            <w:r w:rsidRPr="00924CCF">
              <w:rPr>
                <w:szCs w:val="20"/>
              </w:rPr>
              <w:t>Any AE, n (%)</w:t>
            </w:r>
          </w:p>
        </w:tc>
        <w:tc>
          <w:tcPr>
            <w:tcW w:w="913" w:type="pct"/>
          </w:tcPr>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rPr>
          <w:trHeight w:val="54"/>
        </w:trPr>
        <w:tc>
          <w:tcPr>
            <w:tcW w:w="2260" w:type="pct"/>
          </w:tcPr>
          <w:p w:rsidR="002D448D" w:rsidRPr="00924CCF" w:rsidRDefault="002D448D" w:rsidP="00021367">
            <w:pPr>
              <w:pStyle w:val="TableText"/>
              <w:rPr>
                <w:szCs w:val="20"/>
              </w:rPr>
            </w:pPr>
            <w:r w:rsidRPr="00924CCF">
              <w:rPr>
                <w:szCs w:val="20"/>
              </w:rPr>
              <w:t>Treatment-related AE, n (%)</w:t>
            </w:r>
          </w:p>
        </w:tc>
        <w:tc>
          <w:tcPr>
            <w:tcW w:w="913" w:type="pct"/>
          </w:tcPr>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rPr>
          <w:trHeight w:val="54"/>
        </w:trPr>
        <w:tc>
          <w:tcPr>
            <w:tcW w:w="2260" w:type="pct"/>
          </w:tcPr>
          <w:p w:rsidR="002D448D" w:rsidRPr="00924CCF" w:rsidRDefault="002D448D" w:rsidP="00021367">
            <w:pPr>
              <w:pStyle w:val="TableText"/>
              <w:rPr>
                <w:szCs w:val="20"/>
              </w:rPr>
            </w:pPr>
            <w:r w:rsidRPr="00924CCF">
              <w:rPr>
                <w:szCs w:val="20"/>
              </w:rPr>
              <w:t>Serious AE, n (%)</w:t>
            </w:r>
          </w:p>
        </w:tc>
        <w:tc>
          <w:tcPr>
            <w:tcW w:w="913" w:type="pct"/>
          </w:tcPr>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340302">
              <w:rPr>
                <w:rFonts w:ascii="Arial Narrow" w:hAnsi="Arial Narrow"/>
                <w:sz w:val="20"/>
                <w:szCs w:val="20"/>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rPr>
          <w:trHeight w:val="54"/>
        </w:trPr>
        <w:tc>
          <w:tcPr>
            <w:tcW w:w="2260" w:type="pct"/>
          </w:tcPr>
          <w:p w:rsidR="002D448D" w:rsidRPr="00924CCF" w:rsidRDefault="002D448D" w:rsidP="00021367">
            <w:pPr>
              <w:pStyle w:val="TableText"/>
              <w:rPr>
                <w:szCs w:val="20"/>
              </w:rPr>
            </w:pPr>
            <w:r w:rsidRPr="00924CCF">
              <w:rPr>
                <w:szCs w:val="20"/>
              </w:rPr>
              <w:t>AE leading to withdrawal, n (%)</w:t>
            </w:r>
          </w:p>
        </w:tc>
        <w:tc>
          <w:tcPr>
            <w:tcW w:w="913" w:type="pct"/>
          </w:tcPr>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tc>
      </w:tr>
      <w:tr w:rsidR="002D448D" w:rsidRPr="006258D8" w:rsidTr="00522A61">
        <w:trPr>
          <w:trHeight w:val="54"/>
        </w:trPr>
        <w:tc>
          <w:tcPr>
            <w:tcW w:w="2260" w:type="pct"/>
          </w:tcPr>
          <w:p w:rsidR="002D448D" w:rsidRPr="00924CCF" w:rsidRDefault="002D448D" w:rsidP="00021367">
            <w:pPr>
              <w:pStyle w:val="TableText"/>
              <w:rPr>
                <w:szCs w:val="20"/>
              </w:rPr>
            </w:pPr>
            <w:r w:rsidRPr="00924CCF">
              <w:rPr>
                <w:szCs w:val="20"/>
              </w:rPr>
              <w:t>Deaths, n (%)</w:t>
            </w:r>
          </w:p>
        </w:tc>
        <w:tc>
          <w:tcPr>
            <w:tcW w:w="913" w:type="pct"/>
          </w:tcPr>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r w:rsidR="002D448D" w:rsidRPr="006258D8" w:rsidTr="00522A61">
        <w:trPr>
          <w:trHeight w:val="2565"/>
        </w:trPr>
        <w:tc>
          <w:tcPr>
            <w:tcW w:w="2260" w:type="pct"/>
          </w:tcPr>
          <w:p w:rsidR="002D448D" w:rsidRPr="00924CCF" w:rsidRDefault="002D448D" w:rsidP="00021367">
            <w:pPr>
              <w:pStyle w:val="TableText"/>
              <w:rPr>
                <w:szCs w:val="20"/>
              </w:rPr>
            </w:pPr>
            <w:r w:rsidRPr="00924CCF">
              <w:rPr>
                <w:szCs w:val="20"/>
              </w:rPr>
              <w:t>Treatment-related AE ≥2%, n (%)</w:t>
            </w:r>
          </w:p>
          <w:p w:rsidR="002D448D" w:rsidRPr="00924CCF" w:rsidRDefault="002D448D" w:rsidP="00021367">
            <w:pPr>
              <w:pStyle w:val="TableText"/>
              <w:rPr>
                <w:szCs w:val="20"/>
              </w:rPr>
            </w:pPr>
            <w:r w:rsidRPr="00924CCF">
              <w:rPr>
                <w:szCs w:val="20"/>
              </w:rPr>
              <w:t>- Injection site erythema</w:t>
            </w:r>
          </w:p>
          <w:p w:rsidR="00C74141" w:rsidRDefault="002D448D" w:rsidP="00021367">
            <w:pPr>
              <w:pStyle w:val="TableText"/>
              <w:rPr>
                <w:szCs w:val="20"/>
              </w:rPr>
            </w:pPr>
            <w:r w:rsidRPr="00924CCF">
              <w:rPr>
                <w:szCs w:val="20"/>
              </w:rPr>
              <w:t>- Injection site induration</w:t>
            </w:r>
          </w:p>
          <w:p w:rsidR="00C74141" w:rsidRDefault="002D448D" w:rsidP="00021367">
            <w:pPr>
              <w:pStyle w:val="TableText"/>
              <w:rPr>
                <w:szCs w:val="20"/>
              </w:rPr>
            </w:pPr>
            <w:r w:rsidRPr="00924CCF">
              <w:rPr>
                <w:szCs w:val="20"/>
              </w:rPr>
              <w:t>- Injection site pain</w:t>
            </w:r>
          </w:p>
          <w:p w:rsidR="002D448D" w:rsidRPr="00924CCF" w:rsidRDefault="002D448D" w:rsidP="00021367">
            <w:pPr>
              <w:pStyle w:val="TableText"/>
              <w:rPr>
                <w:szCs w:val="20"/>
              </w:rPr>
            </w:pPr>
            <w:r w:rsidRPr="00924CCF">
              <w:rPr>
                <w:szCs w:val="20"/>
              </w:rPr>
              <w:t>- Injection site bruising</w:t>
            </w:r>
          </w:p>
          <w:p w:rsidR="00C74141" w:rsidRDefault="002D448D" w:rsidP="00021367">
            <w:pPr>
              <w:pStyle w:val="TableText"/>
              <w:rPr>
                <w:szCs w:val="20"/>
              </w:rPr>
            </w:pPr>
            <w:r w:rsidRPr="00924CCF">
              <w:rPr>
                <w:szCs w:val="20"/>
              </w:rPr>
              <w:t>- Injection site pruritus</w:t>
            </w:r>
          </w:p>
          <w:p w:rsidR="00C74141" w:rsidRDefault="002D448D" w:rsidP="00021367">
            <w:pPr>
              <w:pStyle w:val="TableText"/>
              <w:rPr>
                <w:szCs w:val="20"/>
              </w:rPr>
            </w:pPr>
            <w:r w:rsidRPr="00924CCF">
              <w:rPr>
                <w:szCs w:val="20"/>
              </w:rPr>
              <w:t>- Fatigue</w:t>
            </w:r>
          </w:p>
          <w:p w:rsidR="00C74141" w:rsidRDefault="002D448D" w:rsidP="00021367">
            <w:pPr>
              <w:pStyle w:val="TableText"/>
              <w:rPr>
                <w:szCs w:val="20"/>
              </w:rPr>
            </w:pPr>
            <w:r w:rsidRPr="00924CCF">
              <w:rPr>
                <w:szCs w:val="20"/>
              </w:rPr>
              <w:t>- Injection site rash</w:t>
            </w:r>
          </w:p>
          <w:p w:rsidR="002D448D" w:rsidRPr="00924CCF" w:rsidRDefault="002D448D" w:rsidP="00021367">
            <w:pPr>
              <w:pStyle w:val="TableText"/>
              <w:rPr>
                <w:szCs w:val="20"/>
              </w:rPr>
            </w:pPr>
            <w:r w:rsidRPr="00924CCF">
              <w:rPr>
                <w:szCs w:val="20"/>
              </w:rPr>
              <w:t>- Injection site discolouration</w:t>
            </w:r>
          </w:p>
          <w:p w:rsidR="00C74141" w:rsidRDefault="002D448D" w:rsidP="00021367">
            <w:pPr>
              <w:pStyle w:val="TableText"/>
              <w:rPr>
                <w:szCs w:val="20"/>
              </w:rPr>
            </w:pPr>
            <w:r w:rsidRPr="00924CCF">
              <w:rPr>
                <w:szCs w:val="20"/>
              </w:rPr>
              <w:t>- Injection site paraesthesia</w:t>
            </w:r>
          </w:p>
          <w:p w:rsidR="002D448D" w:rsidRPr="00924CCF" w:rsidRDefault="002D448D" w:rsidP="00021367">
            <w:pPr>
              <w:pStyle w:val="TableText"/>
              <w:rPr>
                <w:szCs w:val="20"/>
              </w:rPr>
            </w:pPr>
            <w:r w:rsidRPr="00924CCF">
              <w:rPr>
                <w:szCs w:val="20"/>
              </w:rPr>
              <w:t>- Injection site haematoma</w:t>
            </w:r>
          </w:p>
          <w:p w:rsidR="002D448D" w:rsidRPr="00924CCF" w:rsidRDefault="002D448D" w:rsidP="00021367">
            <w:pPr>
              <w:pStyle w:val="TableText"/>
              <w:rPr>
                <w:szCs w:val="20"/>
              </w:rPr>
            </w:pPr>
            <w:r w:rsidRPr="00924CCF">
              <w:rPr>
                <w:szCs w:val="20"/>
              </w:rPr>
              <w:t>- Constipation</w:t>
            </w:r>
          </w:p>
        </w:tc>
        <w:tc>
          <w:tcPr>
            <w:tcW w:w="913" w:type="pct"/>
          </w:tcPr>
          <w:p w:rsidR="002D448D" w:rsidRPr="00924CCF" w:rsidRDefault="002D448D" w:rsidP="00021367">
            <w:pPr>
              <w:keepNext/>
              <w:jc w:val="center"/>
              <w:rPr>
                <w:rFonts w:ascii="Arial Narrow" w:hAnsi="Arial Narrow"/>
                <w:sz w:val="20"/>
                <w:szCs w:val="20"/>
              </w:rPr>
            </w:pP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 xml:space="preserve">'''''''''' </w:t>
            </w:r>
            <w:r w:rsidR="002D448D" w:rsidRPr="00924CCF">
              <w:rPr>
                <w:szCs w:val="20"/>
              </w:rPr>
              <w:t>(</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tc>
        <w:tc>
          <w:tcPr>
            <w:tcW w:w="913" w:type="pct"/>
          </w:tcPr>
          <w:p w:rsidR="002D448D" w:rsidRPr="00924CCF" w:rsidRDefault="002D448D" w:rsidP="00021367">
            <w:pPr>
              <w:pStyle w:val="TableText"/>
              <w:jc w:val="center"/>
              <w:rPr>
                <w:szCs w:val="20"/>
              </w:rPr>
            </w:pP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794467">
              <w:rPr>
                <w:rFonts w:ascii="Arial Narrow" w:hAnsi="Arial Narrow"/>
                <w:sz w:val="20"/>
                <w:szCs w:val="20"/>
              </w:rPr>
              <w:t xml:space="preserve"> </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keepNext/>
              <w:jc w:val="center"/>
              <w:rPr>
                <w:rFonts w:ascii="Arial Narrow" w:hAnsi="Arial Narrow"/>
                <w:sz w:val="20"/>
                <w:szCs w:val="20"/>
              </w:rPr>
            </w:pPr>
            <w:r>
              <w:rPr>
                <w:rFonts w:ascii="Arial Narrow" w:hAnsi="Arial Narrow"/>
                <w:noProof/>
                <w:color w:val="000000"/>
                <w:sz w:val="20"/>
                <w:szCs w:val="20"/>
                <w:highlight w:val="black"/>
              </w:rPr>
              <w:t>''''</w:t>
            </w:r>
            <w:r w:rsidR="002D448D" w:rsidRPr="00924CCF">
              <w:rPr>
                <w:rFonts w:ascii="Arial Narrow" w:hAnsi="Arial Narrow"/>
                <w:sz w:val="20"/>
                <w:szCs w:val="20"/>
              </w:rPr>
              <w:t>/</w:t>
            </w:r>
            <w:r>
              <w:rPr>
                <w:rFonts w:ascii="Arial Narrow" w:hAnsi="Arial Narrow"/>
                <w:noProof/>
                <w:color w:val="000000"/>
                <w:sz w:val="20"/>
                <w:szCs w:val="20"/>
                <w:highlight w:val="black"/>
              </w:rPr>
              <w:t>'''''</w:t>
            </w:r>
            <w:r w:rsidR="002D448D" w:rsidRPr="00924CCF">
              <w:rPr>
                <w:rFonts w:ascii="Arial Narrow" w:hAnsi="Arial Narrow"/>
                <w:sz w:val="20"/>
                <w:szCs w:val="20"/>
              </w:rPr>
              <w:t xml:space="preserve"> (</w:t>
            </w:r>
            <w:r>
              <w:rPr>
                <w:rFonts w:ascii="Arial Narrow" w:hAnsi="Arial Narrow"/>
                <w:noProof/>
                <w:color w:val="000000"/>
                <w:sz w:val="20"/>
                <w:szCs w:val="20"/>
                <w:highlight w:val="black"/>
              </w:rPr>
              <w:t>'''</w:t>
            </w:r>
            <w:r w:rsidR="002D448D" w:rsidRPr="00924CCF">
              <w:rPr>
                <w:rFonts w:ascii="Arial Narrow" w:hAnsi="Arial Narrow"/>
                <w:sz w:val="20"/>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c>
          <w:tcPr>
            <w:tcW w:w="914" w:type="pct"/>
          </w:tcPr>
          <w:p w:rsidR="002D448D" w:rsidRPr="00924CCF" w:rsidRDefault="002D448D" w:rsidP="00021367">
            <w:pPr>
              <w:pStyle w:val="TableText"/>
              <w:jc w:val="center"/>
              <w:rPr>
                <w:szCs w:val="20"/>
              </w:rPr>
            </w:pP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794467">
              <w:rPr>
                <w:szCs w:val="20"/>
              </w:rPr>
              <w:t xml:space="preserve"> </w:t>
            </w:r>
            <w:r w:rsidR="002D448D" w:rsidRPr="00924CCF">
              <w:rPr>
                <w:szCs w:val="20"/>
              </w:rPr>
              <w:t>(</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p w:rsidR="002D448D" w:rsidRPr="00924CCF" w:rsidRDefault="00D11BC9" w:rsidP="00021367">
            <w:pPr>
              <w:pStyle w:val="TableText"/>
              <w:jc w:val="center"/>
              <w:rPr>
                <w:szCs w:val="20"/>
              </w:rPr>
            </w:pPr>
            <w:r>
              <w:rPr>
                <w:noProof/>
                <w:color w:val="000000"/>
                <w:szCs w:val="20"/>
                <w:highlight w:val="black"/>
              </w:rPr>
              <w:t>'''</w:t>
            </w:r>
            <w:r w:rsidR="002D448D" w:rsidRPr="00924CCF">
              <w:rPr>
                <w:szCs w:val="20"/>
              </w:rPr>
              <w:t>/</w:t>
            </w:r>
            <w:r>
              <w:rPr>
                <w:noProof/>
                <w:color w:val="000000"/>
                <w:szCs w:val="20"/>
                <w:highlight w:val="black"/>
              </w:rPr>
              <w:t>'''''</w:t>
            </w:r>
            <w:r w:rsidR="002D448D" w:rsidRPr="00924CCF">
              <w:rPr>
                <w:szCs w:val="20"/>
              </w:rPr>
              <w:t xml:space="preserve"> (</w:t>
            </w:r>
            <w:r>
              <w:rPr>
                <w:noProof/>
                <w:color w:val="000000"/>
                <w:szCs w:val="20"/>
                <w:highlight w:val="black"/>
              </w:rPr>
              <w:t>'''</w:t>
            </w:r>
            <w:r w:rsidR="002D448D" w:rsidRPr="00924CCF">
              <w:rPr>
                <w:szCs w:val="20"/>
              </w:rPr>
              <w:t>)</w:t>
            </w:r>
          </w:p>
        </w:tc>
      </w:tr>
    </w:tbl>
    <w:p w:rsidR="002D448D" w:rsidRPr="006258D8" w:rsidRDefault="002D448D" w:rsidP="00021367">
      <w:pPr>
        <w:pStyle w:val="TableFigureFooter"/>
      </w:pPr>
      <w:r w:rsidRPr="006258D8">
        <w:t>Bolded results indicate a statistically significant difference.</w:t>
      </w:r>
    </w:p>
    <w:p w:rsidR="002D448D" w:rsidRPr="00B60EEE" w:rsidRDefault="002D448D" w:rsidP="00021367">
      <w:pPr>
        <w:pStyle w:val="TableFigureFooter"/>
      </w:pPr>
      <w:r w:rsidRPr="006258D8">
        <w:t xml:space="preserve">Source: </w:t>
      </w:r>
      <w:r w:rsidRPr="00B60EEE">
        <w:t>Table 2.53, p.141 of the submission; Table 2.56, pp144-145 of the submission.</w:t>
      </w:r>
    </w:p>
    <w:p w:rsidR="002D448D" w:rsidRPr="006258D8" w:rsidRDefault="002D448D" w:rsidP="00021367">
      <w:pPr>
        <w:pStyle w:val="TableFigureFooter"/>
      </w:pPr>
      <w:r w:rsidRPr="00BC6277">
        <w:t>Abbreviations: AE, adverse event;</w:t>
      </w:r>
      <w:r w:rsidR="007B2606">
        <w:t xml:space="preserve"> FREM, fremanezumab;</w:t>
      </w:r>
      <w:r w:rsidRPr="00BC6277">
        <w:t xml:space="preserve"> </w:t>
      </w:r>
      <w:r w:rsidR="007B2606">
        <w:t xml:space="preserve">PBO, placebo; </w:t>
      </w:r>
      <w:r w:rsidRPr="00BC6277">
        <w:t>URTI, upper respiratory tract infection.</w:t>
      </w:r>
    </w:p>
    <w:p w:rsidR="003F1940" w:rsidRPr="006258D8" w:rsidRDefault="00FF4F43" w:rsidP="000F2EE3">
      <w:pPr>
        <w:pStyle w:val="3-BodyText"/>
      </w:pPr>
      <w:r w:rsidRPr="006258D8">
        <w:t>The proportion of patients who experienced any adverse event, a treatment-related adverse event, or a serious adverse event during the double-blind phase of the trial were broadly similar across the included treatment arms. The most commonly reported treatment-related adverse events in the fremanezumab treated patients were injection site erythema, induration, pain, br</w:t>
      </w:r>
      <w:r w:rsidR="00340302">
        <w:t>uising, pruritus, and fatigue.</w:t>
      </w:r>
    </w:p>
    <w:p w:rsidR="00FF4F43" w:rsidRPr="006258D8" w:rsidRDefault="00FF4F43" w:rsidP="000F2EE3">
      <w:pPr>
        <w:pStyle w:val="3-BodyText"/>
      </w:pPr>
      <w:r w:rsidRPr="006258D8">
        <w:t xml:space="preserve">The submission presented the results of statistical tests to assess for differences in the rates of summary adverse events and individual treatment-related adverse events (≥2%) between fremanezumab and placebo for the full chronic migraine population and for the subgroup of patients with ≥3 </w:t>
      </w:r>
      <w:r w:rsidR="007B2606">
        <w:t xml:space="preserve">prior </w:t>
      </w:r>
      <w:r w:rsidRPr="006258D8">
        <w:t>treatment</w:t>
      </w:r>
      <w:r w:rsidR="007B2606">
        <w:t xml:space="preserve"> failures</w:t>
      </w:r>
      <w:r w:rsidRPr="006258D8">
        <w:t xml:space="preserve">. </w:t>
      </w:r>
      <w:r w:rsidR="00235320" w:rsidRPr="006258D8">
        <w:t>N</w:t>
      </w:r>
      <w:r w:rsidRPr="006258D8">
        <w:t>o statistically significant differences</w:t>
      </w:r>
      <w:r w:rsidR="00235320" w:rsidRPr="006258D8">
        <w:t xml:space="preserve"> were noted</w:t>
      </w:r>
      <w:r w:rsidRPr="006258D8">
        <w:t xml:space="preserve"> for any of the included comparisons.</w:t>
      </w:r>
    </w:p>
    <w:p w:rsidR="00C74141" w:rsidRDefault="00452D5A" w:rsidP="00EC4C47">
      <w:pPr>
        <w:pStyle w:val="3-BodyText"/>
      </w:pPr>
      <w:r w:rsidRPr="006258D8">
        <w:t xml:space="preserve">The most commonly reported treatment-related adverse events for Botox over the 24-week double-blind phase of PREEMPT1/2 </w:t>
      </w:r>
      <w:r w:rsidR="00235320" w:rsidRPr="006258D8">
        <w:t xml:space="preserve">(full trial population) </w:t>
      </w:r>
      <w:r w:rsidRPr="006258D8">
        <w:t>were neck pain (6.7%), muscular weakness (5.5%), eyelid ptosis (3.3%), injection-site pain (3.2%), headache (2.9%), myalgia (2.6%), musculoskeletal stiffness (2.3%) and</w:t>
      </w:r>
      <w:r w:rsidR="00B06901">
        <w:t xml:space="preserve"> </w:t>
      </w:r>
      <w:r w:rsidRPr="006258D8">
        <w:t>musculoskeletal pain (2.2%).</w:t>
      </w:r>
    </w:p>
    <w:p w:rsidR="00C74141" w:rsidRDefault="00235320" w:rsidP="00001A3D">
      <w:pPr>
        <w:pStyle w:val="3-BodyText"/>
      </w:pPr>
      <w:r w:rsidRPr="006258D8">
        <w:t>Individual treatment-</w:t>
      </w:r>
      <w:r w:rsidR="00D47EC5" w:rsidRPr="006258D8">
        <w:t xml:space="preserve">related adverse events for Study 295 </w:t>
      </w:r>
      <w:r w:rsidRPr="006258D8">
        <w:t xml:space="preserve">and REGAIN </w:t>
      </w:r>
      <w:r w:rsidR="00D47EC5" w:rsidRPr="006258D8">
        <w:t xml:space="preserve">were not </w:t>
      </w:r>
      <w:r w:rsidRPr="006258D8">
        <w:t>reported</w:t>
      </w:r>
      <w:r w:rsidR="00D47EC5" w:rsidRPr="006258D8">
        <w:t xml:space="preserve">. </w:t>
      </w:r>
      <w:r w:rsidR="00452D5A" w:rsidRPr="006258D8">
        <w:t xml:space="preserve">The most commonly reported </w:t>
      </w:r>
      <w:r w:rsidRPr="006258D8">
        <w:t xml:space="preserve">treatment-emergent </w:t>
      </w:r>
      <w:r w:rsidR="00D47EC5" w:rsidRPr="006258D8">
        <w:t>adverse events</w:t>
      </w:r>
      <w:r w:rsidR="00452D5A" w:rsidRPr="006258D8">
        <w:t xml:space="preserve"> </w:t>
      </w:r>
      <w:r w:rsidR="00D47EC5" w:rsidRPr="006258D8">
        <w:t xml:space="preserve">among erenumab-treated patients </w:t>
      </w:r>
      <w:r w:rsidRPr="006258D8">
        <w:t xml:space="preserve">in Study 295 </w:t>
      </w:r>
      <w:r w:rsidR="00D47EC5" w:rsidRPr="006258D8">
        <w:t xml:space="preserve">over the 12-week double-blind phase </w:t>
      </w:r>
      <w:r w:rsidRPr="006258D8">
        <w:t xml:space="preserve">(full trial population) </w:t>
      </w:r>
      <w:r w:rsidR="00D47EC5" w:rsidRPr="006258D8">
        <w:t>were injection site pain (4%), constipation (0%-4%), muscle spasms (&lt;1%-4%), upper respiratory tract infection (3%), nausea (2%-3%), migraine (2%-3%), and nasopharyngitis (2%-3%).</w:t>
      </w:r>
    </w:p>
    <w:p w:rsidR="00D47EC5" w:rsidRPr="006258D8" w:rsidRDefault="00D47EC5" w:rsidP="00A450CD">
      <w:pPr>
        <w:pStyle w:val="3-BodyText"/>
      </w:pPr>
      <w:r w:rsidRPr="006258D8">
        <w:t>The most commonly reported</w:t>
      </w:r>
      <w:r w:rsidR="00235320" w:rsidRPr="006258D8">
        <w:t xml:space="preserve"> treatment-emergent adverse events</w:t>
      </w:r>
      <w:r w:rsidRPr="006258D8">
        <w:t xml:space="preserve"> for </w:t>
      </w:r>
      <w:r w:rsidR="00235320" w:rsidRPr="006258D8">
        <w:t xml:space="preserve">patients treated with </w:t>
      </w:r>
      <w:r w:rsidRPr="006258D8">
        <w:t>galcanezumab 120 mg in REGAIN</w:t>
      </w:r>
      <w:r w:rsidR="00235320" w:rsidRPr="006258D8">
        <w:t xml:space="preserve"> over the 12-week double-blind phase (full trial population) were injection site pain (6%), nasopharyngitis (6%), upper respiratory tract infection (3%), injection site reaction (3%), fatigue (2%), back pain (3%), urinary tract infection (2%), abdominal pain (2%), migraine (2%), influenza-lik</w:t>
      </w:r>
      <w:r w:rsidR="004315FD" w:rsidRPr="006258D8">
        <w:t xml:space="preserve">e illness (2%), neck pain (3%) and </w:t>
      </w:r>
      <w:r w:rsidR="00235320" w:rsidRPr="006258D8">
        <w:t>pyrexia (2%)</w:t>
      </w:r>
      <w:r w:rsidR="004315FD" w:rsidRPr="006258D8">
        <w:t>.</w:t>
      </w:r>
    </w:p>
    <w:p w:rsidR="00B83BDB" w:rsidRPr="006258D8" w:rsidRDefault="00B83BDB" w:rsidP="006F0717">
      <w:pPr>
        <w:pStyle w:val="3-BodyText"/>
      </w:pPr>
      <w:r w:rsidRPr="006258D8">
        <w:t>The submission presented the results of indirect comparisons of selected safety outcomes for Study 30068 versus PREEMPT1/</w:t>
      </w:r>
      <w:r w:rsidRPr="00B60EEE">
        <w:t>2), Study 295 and REGAIN</w:t>
      </w:r>
      <w:r w:rsidR="00A46859">
        <w:t>.</w:t>
      </w:r>
      <w:r w:rsidRPr="00B60EEE">
        <w:t xml:space="preserve"> </w:t>
      </w:r>
      <w:r w:rsidRPr="006258D8">
        <w:t>The submission noted the following in relation to the indirect comparisons:</w:t>
      </w:r>
    </w:p>
    <w:p w:rsidR="00C74141" w:rsidRDefault="00B83BDB" w:rsidP="00FB455F">
      <w:pPr>
        <w:pStyle w:val="ListParagraph"/>
      </w:pPr>
      <w:r w:rsidRPr="006258D8">
        <w:t>Compared to Botox in the full trial population, there was a statistically significant difference in treatment-related adverse events for fremanezumab 225 mg 4-weekly and 675 mg 12-weekly (favouring fremanezumab), and</w:t>
      </w:r>
      <w:r w:rsidR="00340302">
        <w:t xml:space="preserve"> </w:t>
      </w:r>
      <w:r w:rsidRPr="006258D8">
        <w:t>a statistically significant difference in treatment-emergent adverse events for fremanezumab 225 mg 4-weekly (favouring fremanezumab). Adverse event data for PREEMPT</w:t>
      </w:r>
      <w:r w:rsidR="002D58A5">
        <w:t>1/2 for the subgroup of patient</w:t>
      </w:r>
      <w:r w:rsidRPr="006258D8">
        <w:t xml:space="preserve"> treatments was not available. The results of the indirect comparisons should be interpreted with caution due to the differences in the adverse event reporting periods between the trials (12 weeks in Study 30068 and 24 weeks in PREEMPT1/2).</w:t>
      </w:r>
    </w:p>
    <w:p w:rsidR="00B83BDB" w:rsidRPr="006258D8" w:rsidRDefault="00B83BDB" w:rsidP="00556F39">
      <w:pPr>
        <w:pStyle w:val="ListParagraph"/>
      </w:pPr>
      <w:r w:rsidRPr="006258D8">
        <w:t>Compared to erenumab in the full trial population, there were no statistically significant differences for fremanezumab 225 mg 4-weekly or 675 mg 12-weekly compared to erenumab 70 mg or 140 mg. In the subgroup of patients with ≥3 prior treatment</w:t>
      </w:r>
      <w:r w:rsidR="00DA3324">
        <w:t xml:space="preserve"> failures</w:t>
      </w:r>
      <w:r w:rsidRPr="006258D8">
        <w:t>, there was a statistically significant difference in treatment-emergent adverse events for fremanezumab 225 mg 4-weekly compared to erenumab 140mg</w:t>
      </w:r>
      <w:r w:rsidR="004023D8" w:rsidRPr="006258D8">
        <w:t xml:space="preserve"> (favouring fremanezumab)</w:t>
      </w:r>
      <w:r w:rsidRPr="006258D8">
        <w:t>.</w:t>
      </w:r>
    </w:p>
    <w:p w:rsidR="00AC31A8" w:rsidRPr="006258D8" w:rsidRDefault="00B83BDB" w:rsidP="008B2C07">
      <w:pPr>
        <w:pStyle w:val="ListParagraph"/>
      </w:pPr>
      <w:r w:rsidRPr="006258D8">
        <w:t>Compared to galcanezumab in the full trial population, there were no statistically significant differences for fremanezumab 225 mg 4-weekly or 675 mg 12-weekly compared to galcanezumab 120 mg. Adverse event data for REGAIN for the subgroup of patients with ≥3 prior treatment</w:t>
      </w:r>
      <w:r w:rsidR="00DA3324">
        <w:t xml:space="preserve"> failures</w:t>
      </w:r>
      <w:r w:rsidRPr="006258D8">
        <w:t xml:space="preserve"> was not available.</w:t>
      </w:r>
    </w:p>
    <w:p w:rsidR="00624315" w:rsidRPr="006258D8" w:rsidRDefault="00624315" w:rsidP="00021367">
      <w:pPr>
        <w:pStyle w:val="Heading2"/>
      </w:pPr>
      <w:bookmarkStart w:id="18" w:name="_Toc19693421"/>
      <w:bookmarkStart w:id="19" w:name="_Toc413139281"/>
      <w:r w:rsidRPr="006258D8">
        <w:t>Benefits and harms</w:t>
      </w:r>
      <w:bookmarkEnd w:id="18"/>
    </w:p>
    <w:p w:rsidR="003D6AC8" w:rsidRDefault="00CE391C" w:rsidP="003D6AC8">
      <w:pPr>
        <w:pStyle w:val="3-BodyText"/>
      </w:pPr>
      <w:r w:rsidRPr="006258D8">
        <w:t>On the basis of the direct evidence presented in the submission</w:t>
      </w:r>
      <w:r w:rsidR="003816E7">
        <w:t>,</w:t>
      </w:r>
      <w:r w:rsidR="002307B9" w:rsidRPr="006258D8">
        <w:t xml:space="preserve"> </w:t>
      </w:r>
      <w:r w:rsidR="003D6AC8">
        <w:t xml:space="preserve">for the subgroup of patients </w:t>
      </w:r>
      <w:r w:rsidR="00DA3324">
        <w:t xml:space="preserve">with </w:t>
      </w:r>
      <w:r w:rsidR="003D6AC8" w:rsidRPr="006258D8">
        <w:t>≥3</w:t>
      </w:r>
      <w:r w:rsidR="00DA3324">
        <w:t xml:space="preserve"> prior treatment failures</w:t>
      </w:r>
      <w:r w:rsidR="003D6AC8">
        <w:t>:</w:t>
      </w:r>
      <w:r w:rsidR="003D6AC8" w:rsidRPr="006258D8">
        <w:t xml:space="preserve"> </w:t>
      </w:r>
    </w:p>
    <w:p w:rsidR="00A941C2" w:rsidRDefault="00CE391C" w:rsidP="00A941C2">
      <w:pPr>
        <w:pStyle w:val="3-BodyText"/>
        <w:numPr>
          <w:ilvl w:val="2"/>
          <w:numId w:val="3"/>
        </w:numPr>
        <w:ind w:left="1134" w:hanging="425"/>
        <w:rPr>
          <w:rFonts w:eastAsia="Times New Roman" w:cs="Arial"/>
          <w:snapToGrid w:val="0"/>
          <w:szCs w:val="24"/>
        </w:rPr>
      </w:pPr>
      <w:r w:rsidRPr="003D6AC8">
        <w:rPr>
          <w:rFonts w:eastAsia="Times New Roman" w:cs="Arial"/>
          <w:snapToGrid w:val="0"/>
          <w:szCs w:val="24"/>
        </w:rPr>
        <w:t>for every 100 patients treated with fremanezumab 225 mg 4-weekly</w:t>
      </w:r>
      <w:r w:rsidR="009F2622">
        <w:rPr>
          <w:rFonts w:eastAsia="Times New Roman" w:cs="Arial"/>
          <w:snapToGrid w:val="0"/>
          <w:szCs w:val="24"/>
        </w:rPr>
        <w:t xml:space="preserve"> or fremanezumab 675 mg 12-weekly</w:t>
      </w:r>
      <w:r w:rsidRPr="003D6AC8">
        <w:rPr>
          <w:rFonts w:eastAsia="Times New Roman" w:cs="Arial"/>
          <w:snapToGrid w:val="0"/>
          <w:szCs w:val="24"/>
        </w:rPr>
        <w:t xml:space="preserve"> in comparison to placebo</w:t>
      </w:r>
      <w:r w:rsidR="003D6AC8" w:rsidRPr="003D6AC8">
        <w:rPr>
          <w:rFonts w:eastAsia="Times New Roman" w:cs="Arial"/>
          <w:snapToGrid w:val="0"/>
          <w:szCs w:val="24"/>
        </w:rPr>
        <w:t xml:space="preserve">, </w:t>
      </w:r>
      <w:r w:rsidR="003D6AC8" w:rsidRPr="00EB7158">
        <w:rPr>
          <w:rFonts w:eastAsia="Times New Roman" w:cs="Arial"/>
          <w:snapToGrid w:val="0"/>
          <w:szCs w:val="24"/>
        </w:rPr>
        <w:t>a</w:t>
      </w:r>
      <w:r w:rsidRPr="00EB7158">
        <w:rPr>
          <w:rFonts w:eastAsia="Times New Roman" w:cs="Arial"/>
          <w:snapToGrid w:val="0"/>
          <w:szCs w:val="24"/>
        </w:rPr>
        <w:t xml:space="preserve">pproximately </w:t>
      </w:r>
      <w:r w:rsidR="00D11BC9">
        <w:rPr>
          <w:rFonts w:eastAsia="Times New Roman" w:cs="Arial"/>
          <w:noProof/>
          <w:snapToGrid w:val="0"/>
          <w:color w:val="000000"/>
          <w:szCs w:val="24"/>
          <w:highlight w:val="black"/>
        </w:rPr>
        <w:t>''''''</w:t>
      </w:r>
      <w:r w:rsidR="00EB7158" w:rsidRPr="00EB7158">
        <w:rPr>
          <w:rFonts w:eastAsia="Times New Roman" w:cs="Arial"/>
          <w:snapToGrid w:val="0"/>
          <w:szCs w:val="24"/>
        </w:rPr>
        <w:t xml:space="preserve"> - </w:t>
      </w:r>
      <w:r w:rsidR="00D11BC9">
        <w:rPr>
          <w:rFonts w:eastAsia="Times New Roman" w:cs="Arial"/>
          <w:noProof/>
          <w:snapToGrid w:val="0"/>
          <w:color w:val="000000"/>
          <w:szCs w:val="24"/>
          <w:highlight w:val="black"/>
        </w:rPr>
        <w:t>'''''</w:t>
      </w:r>
      <w:r w:rsidRPr="00EB7158">
        <w:rPr>
          <w:rFonts w:eastAsia="Times New Roman" w:cs="Arial"/>
          <w:snapToGrid w:val="0"/>
          <w:szCs w:val="24"/>
        </w:rPr>
        <w:t xml:space="preserve"> more patients would have a ≥50% reduction in monthly migraine days</w:t>
      </w:r>
      <w:r w:rsidR="003816E7" w:rsidRPr="00EB7158">
        <w:rPr>
          <w:rFonts w:eastAsia="Times New Roman" w:cs="Arial"/>
          <w:snapToGrid w:val="0"/>
          <w:szCs w:val="24"/>
        </w:rPr>
        <w:t xml:space="preserve"> over 12</w:t>
      </w:r>
      <w:r w:rsidR="003816E7">
        <w:rPr>
          <w:rFonts w:eastAsia="Times New Roman" w:cs="Arial"/>
          <w:snapToGrid w:val="0"/>
          <w:szCs w:val="24"/>
        </w:rPr>
        <w:t xml:space="preserve"> weeks</w:t>
      </w:r>
      <w:r w:rsidRPr="003D6AC8">
        <w:rPr>
          <w:rFonts w:eastAsia="Times New Roman" w:cs="Arial"/>
          <w:snapToGrid w:val="0"/>
          <w:szCs w:val="24"/>
        </w:rPr>
        <w:t>.</w:t>
      </w:r>
    </w:p>
    <w:p w:rsidR="001D543A" w:rsidRPr="00C970CC" w:rsidRDefault="00380CC4" w:rsidP="00380CC4">
      <w:pPr>
        <w:pStyle w:val="3-BodyText"/>
        <w:numPr>
          <w:ilvl w:val="2"/>
          <w:numId w:val="3"/>
        </w:numPr>
        <w:ind w:left="1134" w:hanging="425"/>
        <w:rPr>
          <w:rFonts w:eastAsia="Times New Roman" w:cs="Arial"/>
          <w:snapToGrid w:val="0"/>
          <w:szCs w:val="24"/>
        </w:rPr>
      </w:pPr>
      <w:r>
        <w:t>p</w:t>
      </w:r>
      <w:r w:rsidR="001D543A">
        <w:t xml:space="preserve">atients treated with fremanezumab </w:t>
      </w:r>
      <w:r w:rsidR="001D543A" w:rsidRPr="001D543A">
        <w:rPr>
          <w:rFonts w:eastAsia="Times New Roman" w:cs="Arial"/>
          <w:snapToGrid w:val="0"/>
          <w:szCs w:val="24"/>
        </w:rPr>
        <w:t xml:space="preserve">225 mg 4-weekly or 675 mg 12-weekly </w:t>
      </w:r>
      <w:r w:rsidR="001D543A" w:rsidRPr="00380CC4">
        <w:rPr>
          <w:rFonts w:eastAsia="Times New Roman" w:cs="Arial"/>
          <w:snapToGrid w:val="0"/>
          <w:szCs w:val="24"/>
        </w:rPr>
        <w:t>would experience, on average, approxima</w:t>
      </w:r>
      <w:r w:rsidR="00637A4B" w:rsidRPr="00380CC4">
        <w:rPr>
          <w:rFonts w:eastAsia="Times New Roman" w:cs="Arial"/>
          <w:snapToGrid w:val="0"/>
          <w:szCs w:val="24"/>
        </w:rPr>
        <w:t>t</w:t>
      </w:r>
      <w:r w:rsidR="001D543A" w:rsidRPr="00380CC4">
        <w:rPr>
          <w:rFonts w:eastAsia="Times New Roman" w:cs="Arial"/>
          <w:snapToGrid w:val="0"/>
          <w:szCs w:val="24"/>
        </w:rPr>
        <w:t xml:space="preserve">ely </w:t>
      </w:r>
      <w:r w:rsidR="00D11BC9">
        <w:rPr>
          <w:rFonts w:eastAsia="Times New Roman" w:cs="Arial"/>
          <w:noProof/>
          <w:snapToGrid w:val="0"/>
          <w:color w:val="000000"/>
          <w:szCs w:val="24"/>
          <w:highlight w:val="black"/>
        </w:rPr>
        <w:t>'''</w:t>
      </w:r>
      <w:r w:rsidR="001D543A" w:rsidRPr="00380CC4">
        <w:rPr>
          <w:rFonts w:eastAsia="Times New Roman" w:cs="Arial"/>
          <w:snapToGrid w:val="0"/>
          <w:szCs w:val="24"/>
        </w:rPr>
        <w:t xml:space="preserve"> fewer migraine days per month than patients treated with placebo (reduction of 4 with fremanezumab, reduction of </w:t>
      </w:r>
      <w:r w:rsidR="00D11BC9">
        <w:rPr>
          <w:rFonts w:eastAsia="Times New Roman" w:cs="Arial"/>
          <w:noProof/>
          <w:snapToGrid w:val="0"/>
          <w:color w:val="000000"/>
          <w:szCs w:val="24"/>
          <w:highlight w:val="black"/>
        </w:rPr>
        <w:t>''</w:t>
      </w:r>
      <w:r w:rsidR="001D543A" w:rsidRPr="00380CC4">
        <w:rPr>
          <w:rFonts w:eastAsia="Times New Roman" w:cs="Arial"/>
          <w:snapToGrid w:val="0"/>
          <w:szCs w:val="24"/>
        </w:rPr>
        <w:t xml:space="preserve"> with placebo) over 12 weeks of treatment</w:t>
      </w:r>
    </w:p>
    <w:p w:rsidR="002307B9" w:rsidRPr="006258D8" w:rsidRDefault="002307B9" w:rsidP="000F2EE3">
      <w:pPr>
        <w:pStyle w:val="3-BodyText"/>
        <w:rPr>
          <w:color w:val="4472C4" w:themeColor="accent5"/>
        </w:rPr>
      </w:pPr>
      <w:r w:rsidRPr="006258D8">
        <w:t xml:space="preserve">On the basis of the indirect evidence presented for patients </w:t>
      </w:r>
      <w:r w:rsidR="00DA3324">
        <w:t>with</w:t>
      </w:r>
      <w:r w:rsidR="00884E24">
        <w:t xml:space="preserve"> chronic migraine and the subgroup of patients with</w:t>
      </w:r>
      <w:r w:rsidR="00DA3324">
        <w:t xml:space="preserve"> </w:t>
      </w:r>
      <w:r w:rsidRPr="006258D8">
        <w:t>≥3 prior</w:t>
      </w:r>
      <w:r w:rsidR="00DA3324">
        <w:t xml:space="preserve"> treatment failures</w:t>
      </w:r>
      <w:r w:rsidRPr="006258D8">
        <w:t xml:space="preserve">, patients treated with fremanezumab 225 mg </w:t>
      </w:r>
      <w:r w:rsidR="003D6AC8">
        <w:t xml:space="preserve">4-weekly </w:t>
      </w:r>
      <w:r w:rsidRPr="006258D8">
        <w:t xml:space="preserve">or fremanezumab 675 mg </w:t>
      </w:r>
      <w:r w:rsidR="003D6AC8">
        <w:t xml:space="preserve">12-weekly </w:t>
      </w:r>
      <w:r w:rsidRPr="006258D8">
        <w:t xml:space="preserve">would experience </w:t>
      </w:r>
      <w:r w:rsidR="00D96193" w:rsidRPr="006258D8">
        <w:t xml:space="preserve">a </w:t>
      </w:r>
      <w:r w:rsidRPr="006258D8">
        <w:t xml:space="preserve">similar </w:t>
      </w:r>
      <w:r w:rsidR="00D96193" w:rsidRPr="006258D8">
        <w:t xml:space="preserve">reduction in </w:t>
      </w:r>
      <w:r w:rsidRPr="006258D8">
        <w:t xml:space="preserve">migraine </w:t>
      </w:r>
      <w:r w:rsidR="00D96193" w:rsidRPr="006258D8">
        <w:t xml:space="preserve">days per </w:t>
      </w:r>
      <w:r w:rsidRPr="006258D8">
        <w:t>month</w:t>
      </w:r>
      <w:r w:rsidR="00D96193" w:rsidRPr="006258D8">
        <w:t xml:space="preserve"> compared to B</w:t>
      </w:r>
      <w:r w:rsidR="0012120B" w:rsidRPr="006258D8">
        <w:t>otox, erenumab and galcanezumab</w:t>
      </w:r>
      <w:r w:rsidR="00DA3324">
        <w:t xml:space="preserve"> </w:t>
      </w:r>
      <w:r w:rsidR="0012120B" w:rsidRPr="006258D8">
        <w:t>and similar rates of adverse events.</w:t>
      </w:r>
    </w:p>
    <w:p w:rsidR="00C317F3" w:rsidRPr="006258D8" w:rsidRDefault="008058E8" w:rsidP="00021367">
      <w:pPr>
        <w:pStyle w:val="Heading2"/>
      </w:pPr>
      <w:bookmarkStart w:id="20" w:name="_Toc19693422"/>
      <w:bookmarkEnd w:id="19"/>
      <w:r w:rsidRPr="006258D8">
        <w:t>Interpretation of clinical evidence</w:t>
      </w:r>
      <w:bookmarkEnd w:id="20"/>
    </w:p>
    <w:p w:rsidR="00C317F3" w:rsidRPr="006258D8" w:rsidRDefault="00D96193" w:rsidP="000F2EE3">
      <w:pPr>
        <w:pStyle w:val="3-BodyText"/>
      </w:pPr>
      <w:r w:rsidRPr="006258D8">
        <w:t>The submission described fremanezumab 225 mg 4-weekly and fremanezumab 675 mg 12-weekly as superior in terms of effectiveness</w:t>
      </w:r>
      <w:r w:rsidR="003404DE">
        <w:t>,</w:t>
      </w:r>
      <w:r w:rsidRPr="006258D8">
        <w:t xml:space="preserve"> and non-inferior in terms of safety to placebo </w:t>
      </w:r>
      <w:r w:rsidR="005D64A3">
        <w:t>for</w:t>
      </w:r>
      <w:r w:rsidR="00A01A23">
        <w:t xml:space="preserve"> </w:t>
      </w:r>
      <w:r w:rsidRPr="006258D8">
        <w:t>the treatment of chronic migraine in patients who have tried and failed or are intolerant to ≥3 prior prophylactic treatments</w:t>
      </w:r>
      <w:r w:rsidR="00DB4375" w:rsidRPr="006258D8">
        <w:t>.</w:t>
      </w:r>
    </w:p>
    <w:p w:rsidR="00D96193" w:rsidRPr="006258D8" w:rsidRDefault="00D96193" w:rsidP="000F2EE3">
      <w:pPr>
        <w:pStyle w:val="3-BodyText"/>
      </w:pPr>
      <w:r w:rsidRPr="006258D8">
        <w:t>T</w:t>
      </w:r>
      <w:r w:rsidR="00B60620">
        <w:t xml:space="preserve">he </w:t>
      </w:r>
      <w:r w:rsidR="008C6A25">
        <w:t xml:space="preserve">evaluation </w:t>
      </w:r>
      <w:r w:rsidR="00B60620">
        <w:t>considered t</w:t>
      </w:r>
      <w:r w:rsidRPr="006258D8">
        <w:t>his claim was adequately supported.</w:t>
      </w:r>
    </w:p>
    <w:p w:rsidR="00D96193" w:rsidRPr="006258D8" w:rsidRDefault="00D96193" w:rsidP="00FB455F">
      <w:pPr>
        <w:pStyle w:val="ListParagraph"/>
        <w:numPr>
          <w:ilvl w:val="0"/>
          <w:numId w:val="16"/>
        </w:numPr>
      </w:pPr>
      <w:r w:rsidRPr="006258D8">
        <w:t xml:space="preserve">Compared to placebo in Study 30068, treatment with fremanezumab 225 mg every 4 weeks and 675 mg every 12 weeks was associated with statistically significant improvements in monthly migraine days, monthly headache days, and the proportion of patients achieving </w:t>
      </w:r>
      <w:r w:rsidR="00D1779A" w:rsidRPr="006258D8">
        <w:t xml:space="preserve">a </w:t>
      </w:r>
      <w:r w:rsidRPr="006258D8">
        <w:t>≥50% response in the full trial population and the subgroup of patients</w:t>
      </w:r>
      <w:r w:rsidR="00A01A23">
        <w:t xml:space="preserve"> </w:t>
      </w:r>
      <w:r w:rsidR="00DA3324">
        <w:t xml:space="preserve">with </w:t>
      </w:r>
      <w:r w:rsidRPr="006258D8">
        <w:t>≥3 prior treatment</w:t>
      </w:r>
      <w:r w:rsidR="00DA3324">
        <w:t xml:space="preserve"> failures</w:t>
      </w:r>
      <w:r w:rsidRPr="006258D8">
        <w:t>.</w:t>
      </w:r>
    </w:p>
    <w:p w:rsidR="00D96193" w:rsidRPr="006258D8" w:rsidRDefault="00D96193" w:rsidP="00556F39">
      <w:pPr>
        <w:pStyle w:val="ListParagraph"/>
        <w:numPr>
          <w:ilvl w:val="0"/>
          <w:numId w:val="16"/>
        </w:numPr>
      </w:pPr>
      <w:r w:rsidRPr="006258D8">
        <w:t>However, the clinical claim relied on the results of post hoc subgroup analyses to define a cohort who would fulfil the requirements under the proposed restriction</w:t>
      </w:r>
      <w:r w:rsidR="00D1779A" w:rsidRPr="006258D8">
        <w:t>,</w:t>
      </w:r>
      <w:r w:rsidRPr="006258D8">
        <w:t xml:space="preserve"> and </w:t>
      </w:r>
      <w:r w:rsidR="00D1779A" w:rsidRPr="006258D8">
        <w:t xml:space="preserve">these analyses were </w:t>
      </w:r>
      <w:r w:rsidRPr="006258D8">
        <w:t>considered to be at</w:t>
      </w:r>
      <w:r w:rsidR="00CE371A">
        <w:t xml:space="preserve"> </w:t>
      </w:r>
      <w:r w:rsidRPr="006258D8">
        <w:t>high risk of bias.</w:t>
      </w:r>
    </w:p>
    <w:p w:rsidR="00D96193" w:rsidRPr="006258D8" w:rsidRDefault="00D96193" w:rsidP="00CE371A">
      <w:pPr>
        <w:pStyle w:val="ListParagraph"/>
        <w:numPr>
          <w:ilvl w:val="0"/>
          <w:numId w:val="16"/>
        </w:numPr>
      </w:pPr>
      <w:r w:rsidRPr="006258D8">
        <w:t xml:space="preserve">There </w:t>
      </w:r>
      <w:r w:rsidR="00CE371A">
        <w:t>wa</w:t>
      </w:r>
      <w:r w:rsidRPr="006258D8">
        <w:t>s a lack of long-term comparative efficacy and safety</w:t>
      </w:r>
      <w:r w:rsidR="00D1779A" w:rsidRPr="006258D8">
        <w:t xml:space="preserve"> data for fremanezumab</w:t>
      </w:r>
      <w:r w:rsidRPr="006258D8">
        <w:t xml:space="preserve">, with the double-blind treatment period in Study 30068 limited to 12 weeks. </w:t>
      </w:r>
      <w:r w:rsidR="00460FD4" w:rsidRPr="00460FD4">
        <w:t>The ESC noted th</w:t>
      </w:r>
      <w:r w:rsidR="008C6A25">
        <w:t xml:space="preserve">e </w:t>
      </w:r>
      <w:r w:rsidR="003C3216">
        <w:t>lack of long-</w:t>
      </w:r>
      <w:r w:rsidR="008C6A25">
        <w:t xml:space="preserve">term data was </w:t>
      </w:r>
      <w:r w:rsidR="00460FD4" w:rsidRPr="00460FD4">
        <w:t>applicable to all CGRP inhibitors</w:t>
      </w:r>
      <w:r w:rsidR="00DA3324">
        <w:t xml:space="preserve"> and </w:t>
      </w:r>
      <w:r w:rsidR="00460FD4" w:rsidRPr="00460FD4">
        <w:t>considered that the clinical evidence presented</w:t>
      </w:r>
      <w:r w:rsidR="00460FD4">
        <w:t xml:space="preserve"> </w:t>
      </w:r>
      <w:r w:rsidR="00DA3324">
        <w:t xml:space="preserve">in the submission </w:t>
      </w:r>
      <w:r w:rsidR="00460FD4" w:rsidRPr="00460FD4">
        <w:t xml:space="preserve">supported the </w:t>
      </w:r>
      <w:r w:rsidR="00884E24">
        <w:t xml:space="preserve">safety of </w:t>
      </w:r>
      <w:r w:rsidR="00DA3324">
        <w:t xml:space="preserve">fremanezumab for </w:t>
      </w:r>
      <w:r w:rsidR="00460FD4" w:rsidRPr="00460FD4">
        <w:t>up to 15 months of treatment.</w:t>
      </w:r>
    </w:p>
    <w:p w:rsidR="00C74141" w:rsidRDefault="00D96193" w:rsidP="008B2C07">
      <w:pPr>
        <w:pStyle w:val="ListParagraph"/>
        <w:numPr>
          <w:ilvl w:val="0"/>
          <w:numId w:val="16"/>
        </w:numPr>
      </w:pPr>
      <w:r w:rsidRPr="006258D8">
        <w:t xml:space="preserve">Treatment with fremanezumab 225 mg 4-weekly was associated with numerically greater reductions in monthly migraine days and headache days than the fremanezumab 675 mg </w:t>
      </w:r>
      <w:r w:rsidR="00884E24">
        <w:t xml:space="preserve">12-weekly </w:t>
      </w:r>
      <w:r w:rsidRPr="006258D8">
        <w:t xml:space="preserve">arm. However, the fremanezumab 225 mg 4-weekly treatment regimen included a loading dose of 675 mg which resulted in a larger fremanezumab exposure over the 12 week trial period (1,125 mg vs 675 mg). </w:t>
      </w:r>
    </w:p>
    <w:p w:rsidR="00C74141" w:rsidRDefault="00AC4D57" w:rsidP="000F2EE3">
      <w:pPr>
        <w:pStyle w:val="3-BodyText"/>
      </w:pPr>
      <w:r w:rsidRPr="00906E2E">
        <w:t xml:space="preserve">The </w:t>
      </w:r>
      <w:r w:rsidR="005D64A3">
        <w:t xml:space="preserve">PBAC </w:t>
      </w:r>
      <w:r w:rsidRPr="00906E2E">
        <w:t>considered the claim that fremanezumab is superior to placebo</w:t>
      </w:r>
      <w:r w:rsidR="008678B0">
        <w:t xml:space="preserve"> in terms of effectiveness</w:t>
      </w:r>
      <w:r w:rsidRPr="00906E2E">
        <w:t xml:space="preserve"> </w:t>
      </w:r>
      <w:r w:rsidR="008678B0">
        <w:t xml:space="preserve">was </w:t>
      </w:r>
      <w:r w:rsidRPr="00906E2E">
        <w:t>reasonable</w:t>
      </w:r>
      <w:r w:rsidR="00E27B30">
        <w:t xml:space="preserve"> </w:t>
      </w:r>
      <w:r w:rsidR="00C970CC">
        <w:t xml:space="preserve">but </w:t>
      </w:r>
      <w:r w:rsidR="007623FF">
        <w:t>the magnitude of the benefit was</w:t>
      </w:r>
      <w:r w:rsidR="003C3216">
        <w:t xml:space="preserve"> uncertain (</w:t>
      </w:r>
      <w:r w:rsidR="008C6A25">
        <w:t>use of a post hoc subgroup</w:t>
      </w:r>
      <w:r w:rsidR="003C3216">
        <w:t xml:space="preserve"> </w:t>
      </w:r>
      <w:r w:rsidR="008C6A25">
        <w:t>and inclusion of a loading dose in the 4-weekly treatment arm</w:t>
      </w:r>
      <w:r w:rsidR="003C3216">
        <w:t>)</w:t>
      </w:r>
      <w:r w:rsidR="008C6A25">
        <w:t>.</w:t>
      </w:r>
      <w:r w:rsidR="003C3216">
        <w:t xml:space="preserve"> The PBAC noted the provision of </w:t>
      </w:r>
      <w:r w:rsidR="00884E24">
        <w:t xml:space="preserve">clinical </w:t>
      </w:r>
      <w:r w:rsidR="003C3216">
        <w:t xml:space="preserve">data up to 15 months but considered the longer term benefit of fremanezumab remained uncertain. </w:t>
      </w:r>
      <w:r w:rsidR="00A001C1">
        <w:t>The PBAC considered the claim of non-inferior safety to placebo was not reasonable given the higher occurrence of injection site reactions but overall considered fremanezumab was reasonably well-tolerated.</w:t>
      </w:r>
    </w:p>
    <w:p w:rsidR="00D96193" w:rsidRPr="00906E2E" w:rsidRDefault="00D96193" w:rsidP="000F2EE3">
      <w:pPr>
        <w:pStyle w:val="3-BodyText"/>
      </w:pPr>
      <w:r w:rsidRPr="006258D8">
        <w:t>The submission described fremanezumab 225 mg 4-weekly and fremanezumab 675 mg 12-weekly as non-inferior in terms of effectiveness and safety compared to Botox</w:t>
      </w:r>
      <w:r w:rsidR="000F11F6">
        <w:t>, galcanezumab and erenumab</w:t>
      </w:r>
      <w:r w:rsidRPr="006258D8">
        <w:t xml:space="preserve"> in the treatment of chronic migraine in patients </w:t>
      </w:r>
      <w:r w:rsidR="00025D19">
        <w:t xml:space="preserve">with </w:t>
      </w:r>
      <w:r w:rsidR="00025D19">
        <w:rPr>
          <w:rFonts w:cstheme="minorHAnsi"/>
        </w:rPr>
        <w:t>≥</w:t>
      </w:r>
      <w:r w:rsidR="00025D19">
        <w:t xml:space="preserve">3 prior treatment failures. </w:t>
      </w:r>
    </w:p>
    <w:p w:rsidR="00D96193" w:rsidRPr="00906E2E" w:rsidRDefault="00B60620" w:rsidP="00EC4C47">
      <w:pPr>
        <w:pStyle w:val="3-BodyText"/>
        <w:rPr>
          <w:color w:val="4472C4" w:themeColor="accent5"/>
        </w:rPr>
      </w:pPr>
      <w:r w:rsidRPr="00906E2E">
        <w:t>Th</w:t>
      </w:r>
      <w:r>
        <w:t>e</w:t>
      </w:r>
      <w:r w:rsidRPr="00906E2E">
        <w:t xml:space="preserve"> </w:t>
      </w:r>
      <w:r w:rsidR="003C3216">
        <w:t xml:space="preserve">evaluation </w:t>
      </w:r>
      <w:r w:rsidR="00881A24" w:rsidRPr="00906E2E">
        <w:t xml:space="preserve">considered this </w:t>
      </w:r>
      <w:r w:rsidR="00D96193" w:rsidRPr="00906E2E">
        <w:t xml:space="preserve">claim was </w:t>
      </w:r>
      <w:r w:rsidR="00881A24" w:rsidRPr="00906E2E">
        <w:t xml:space="preserve">not strongly </w:t>
      </w:r>
      <w:r w:rsidR="00D96193" w:rsidRPr="00906E2E">
        <w:t>supported.</w:t>
      </w:r>
    </w:p>
    <w:p w:rsidR="000F11F6" w:rsidRDefault="00D96193" w:rsidP="00FB455F">
      <w:pPr>
        <w:pStyle w:val="ListParagraph"/>
        <w:numPr>
          <w:ilvl w:val="0"/>
          <w:numId w:val="17"/>
        </w:numPr>
      </w:pPr>
      <w:r w:rsidRPr="006258D8">
        <w:t xml:space="preserve">Indirect comparisons for the subgroup of patients with </w:t>
      </w:r>
      <w:r w:rsidRPr="000F11F6">
        <w:rPr>
          <w:rFonts w:cstheme="minorHAnsi"/>
        </w:rPr>
        <w:t>≥</w:t>
      </w:r>
      <w:r w:rsidRPr="006258D8">
        <w:t xml:space="preserve">3 </w:t>
      </w:r>
      <w:r w:rsidR="00D1779A" w:rsidRPr="006258D8">
        <w:t>prior treatment</w:t>
      </w:r>
      <w:r w:rsidR="00DA3324">
        <w:t xml:space="preserve"> failures </w:t>
      </w:r>
      <w:r w:rsidRPr="006258D8">
        <w:t xml:space="preserve">were at high risk of bias as they were conducted post hoc. </w:t>
      </w:r>
      <w:r w:rsidR="000F11F6" w:rsidRPr="000F11F6">
        <w:t xml:space="preserve">The definitions used to specify the subgroup </w:t>
      </w:r>
      <w:r w:rsidR="000F11F6">
        <w:t>and</w:t>
      </w:r>
      <w:r w:rsidR="007A4D29">
        <w:t xml:space="preserve"> the</w:t>
      </w:r>
      <w:r w:rsidR="000F11F6">
        <w:t xml:space="preserve"> proportion of patients that met the definitions </w:t>
      </w:r>
      <w:r w:rsidR="000F11F6" w:rsidRPr="000F11F6">
        <w:t>differed between the studies, suggesting that the identified subgroups of patients with ≥3 prior treatment</w:t>
      </w:r>
      <w:r w:rsidR="00DA3324">
        <w:t xml:space="preserve"> failures</w:t>
      </w:r>
      <w:r w:rsidR="000F11F6" w:rsidRPr="000F11F6">
        <w:t xml:space="preserve"> may not be equivalent.</w:t>
      </w:r>
    </w:p>
    <w:p w:rsidR="00C74141" w:rsidRDefault="000F11F6" w:rsidP="00556F39">
      <w:pPr>
        <w:pStyle w:val="ListParagraph"/>
        <w:numPr>
          <w:ilvl w:val="0"/>
          <w:numId w:val="17"/>
        </w:numPr>
      </w:pPr>
      <w:r>
        <w:t>There were differences in trial design (outcome definition, concomitant medication allowed, time period for assessment of response</w:t>
      </w:r>
      <w:r w:rsidR="00E1795C">
        <w:t>) across the studies that may impact on transitivity.</w:t>
      </w:r>
    </w:p>
    <w:p w:rsidR="00D96193" w:rsidRPr="006258D8" w:rsidRDefault="00D96193" w:rsidP="008B2C07">
      <w:pPr>
        <w:pStyle w:val="ListParagraph"/>
        <w:numPr>
          <w:ilvl w:val="0"/>
          <w:numId w:val="17"/>
        </w:numPr>
      </w:pPr>
      <w:r w:rsidRPr="006258D8">
        <w:t xml:space="preserve">There were differences in the placebo interventions between the trials (route of administration, number of injections, duration of administration, timing of the injections) which suggest that the placebo results may not be adequately similar for use </w:t>
      </w:r>
      <w:r w:rsidR="00D1779A" w:rsidRPr="006258D8">
        <w:t>as</w:t>
      </w:r>
      <w:r w:rsidRPr="006258D8">
        <w:t xml:space="preserve"> </w:t>
      </w:r>
      <w:r w:rsidR="001C14E4">
        <w:t xml:space="preserve">a </w:t>
      </w:r>
      <w:r w:rsidRPr="006258D8">
        <w:t>common reference in an indirect comparison. Large differences in the results for the placebo arms between the studies suggest that an indirect comparison may not be appropriate.</w:t>
      </w:r>
    </w:p>
    <w:p w:rsidR="000F11F6" w:rsidRDefault="00D96193" w:rsidP="008B2C07">
      <w:pPr>
        <w:pStyle w:val="ListParagraph"/>
        <w:numPr>
          <w:ilvl w:val="0"/>
          <w:numId w:val="17"/>
        </w:numPr>
      </w:pPr>
      <w:r w:rsidRPr="006258D8">
        <w:t xml:space="preserve">The </w:t>
      </w:r>
      <w:r w:rsidR="00D1779A" w:rsidRPr="006258D8">
        <w:t xml:space="preserve">upper </w:t>
      </w:r>
      <w:r w:rsidRPr="006258D8">
        <w:t xml:space="preserve">95% confidence interval for </w:t>
      </w:r>
      <w:r w:rsidR="000F11F6">
        <w:t xml:space="preserve">several </w:t>
      </w:r>
      <w:r w:rsidRPr="006258D8">
        <w:t>comparison</w:t>
      </w:r>
      <w:r w:rsidR="000F11F6">
        <w:t>s</w:t>
      </w:r>
      <w:r w:rsidRPr="006258D8">
        <w:t xml:space="preserve"> exceeded the nominated non-inferiority margin of 2 days for </w:t>
      </w:r>
      <w:r w:rsidR="00C94887" w:rsidRPr="006258D8">
        <w:t xml:space="preserve">the </w:t>
      </w:r>
      <w:r w:rsidRPr="006258D8">
        <w:t>change in monthly migraine days</w:t>
      </w:r>
      <w:r w:rsidR="00C94887" w:rsidRPr="006258D8">
        <w:t>.</w:t>
      </w:r>
    </w:p>
    <w:p w:rsidR="00D334C7" w:rsidRPr="0014072B" w:rsidRDefault="002E3153" w:rsidP="00EC4C47">
      <w:pPr>
        <w:pStyle w:val="3-BodyText"/>
      </w:pPr>
      <w:r>
        <w:t>The PBA</w:t>
      </w:r>
      <w:r w:rsidR="00FF5389">
        <w:t xml:space="preserve">C </w:t>
      </w:r>
      <w:r>
        <w:t xml:space="preserve">noted a number of transitivity issues with the indirect comparisons but </w:t>
      </w:r>
      <w:r w:rsidR="00D334C7" w:rsidRPr="0014072B">
        <w:t>considered that</w:t>
      </w:r>
      <w:r w:rsidR="00FF5389">
        <w:t>, on balance,</w:t>
      </w:r>
      <w:r w:rsidR="003C3216" w:rsidRPr="00167267">
        <w:t xml:space="preserve"> </w:t>
      </w:r>
      <w:r w:rsidR="00D334C7" w:rsidRPr="0014072B">
        <w:t xml:space="preserve">the claim of non-inferior comparative effectiveness </w:t>
      </w:r>
      <w:r w:rsidR="002F3B10" w:rsidRPr="0014072B">
        <w:t xml:space="preserve">and safety compared to Botox, galcanezumab and erenumab </w:t>
      </w:r>
      <w:r w:rsidR="00D334C7" w:rsidRPr="0014072B">
        <w:t xml:space="preserve">was </w:t>
      </w:r>
      <w:r w:rsidR="00C77379">
        <w:t xml:space="preserve">uncertain but </w:t>
      </w:r>
      <w:r w:rsidR="00D334C7" w:rsidRPr="0014072B">
        <w:t>reasonably supported by the data.</w:t>
      </w:r>
    </w:p>
    <w:p w:rsidR="00C317F3" w:rsidRPr="006258D8" w:rsidRDefault="00C317F3" w:rsidP="00021367">
      <w:pPr>
        <w:pStyle w:val="4-SubsectionHeading"/>
      </w:pPr>
      <w:bookmarkStart w:id="21" w:name="_Toc413139282"/>
      <w:bookmarkStart w:id="22" w:name="_Toc19693423"/>
      <w:r w:rsidRPr="006258D8">
        <w:t>Economic analysis</w:t>
      </w:r>
      <w:bookmarkEnd w:id="21"/>
      <w:bookmarkEnd w:id="22"/>
    </w:p>
    <w:p w:rsidR="00B1311E" w:rsidRPr="006258D8" w:rsidRDefault="00B1311E" w:rsidP="00021367">
      <w:pPr>
        <w:pStyle w:val="5-SubsectionSubheading"/>
      </w:pPr>
      <w:r w:rsidRPr="006258D8">
        <w:t>Cost utility analysis versus placebo</w:t>
      </w:r>
    </w:p>
    <w:p w:rsidR="00285E5C" w:rsidRPr="006258D8" w:rsidRDefault="00AD4D3D" w:rsidP="000F2EE3">
      <w:pPr>
        <w:pStyle w:val="3-BodyText"/>
      </w:pPr>
      <w:r w:rsidRPr="006258D8">
        <w:t xml:space="preserve">The submission presented a </w:t>
      </w:r>
      <w:r w:rsidR="002D448D" w:rsidRPr="006258D8">
        <w:t>cost-effectiveness analysis and a cost-utility</w:t>
      </w:r>
      <w:r w:rsidR="00EE7CC8">
        <w:t xml:space="preserve"> (CUA)</w:t>
      </w:r>
      <w:r w:rsidR="002D448D" w:rsidRPr="006258D8">
        <w:t xml:space="preserve"> analysis </w:t>
      </w:r>
      <w:r w:rsidRPr="006258D8">
        <w:t xml:space="preserve">versus placebo (as a </w:t>
      </w:r>
      <w:r w:rsidR="00285E5C" w:rsidRPr="006258D8">
        <w:t xml:space="preserve">proxy for </w:t>
      </w:r>
      <w:r w:rsidR="00070838">
        <w:t>BSC</w:t>
      </w:r>
      <w:r w:rsidR="00285E5C" w:rsidRPr="006258D8">
        <w:t>) for patients who have either failed treatment with Botox or are considered unsuitable for Botox treatment</w:t>
      </w:r>
      <w:r w:rsidR="00A10ED8" w:rsidRPr="006258D8">
        <w:t xml:space="preserve"> (Botox ruled out)</w:t>
      </w:r>
      <w:r w:rsidR="006D003C">
        <w:t>.</w:t>
      </w:r>
    </w:p>
    <w:p w:rsidR="00285E5C" w:rsidRPr="006258D8" w:rsidRDefault="00285E5C" w:rsidP="000F2EE3">
      <w:pPr>
        <w:pStyle w:val="3-BodyText"/>
      </w:pPr>
      <w:r w:rsidRPr="006258D8">
        <w:t xml:space="preserve">The key components of the economic evaluation are presented in Table </w:t>
      </w:r>
      <w:r w:rsidR="00DB3E68">
        <w:t>1</w:t>
      </w:r>
      <w:r w:rsidR="00E10F4C">
        <w:t>3</w:t>
      </w:r>
      <w:r w:rsidRPr="006258D8">
        <w:t>.</w:t>
      </w:r>
    </w:p>
    <w:p w:rsidR="00AA28DA" w:rsidRDefault="00AA28DA" w:rsidP="00021367">
      <w:pPr>
        <w:pStyle w:val="TableFigureHeading"/>
      </w:pPr>
      <w:r>
        <w:t xml:space="preserve">Table </w:t>
      </w:r>
      <w:r w:rsidR="009D4178">
        <w:rPr>
          <w:noProof/>
        </w:rPr>
        <w:t>13</w:t>
      </w:r>
      <w:r w:rsidRPr="000B54DD">
        <w:t>: Key components of the economic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5: Key components of the economic evaluation"/>
      </w:tblPr>
      <w:tblGrid>
        <w:gridCol w:w="1980"/>
        <w:gridCol w:w="3260"/>
        <w:gridCol w:w="3827"/>
      </w:tblGrid>
      <w:tr w:rsidR="00CB610E" w:rsidRPr="004612D6" w:rsidTr="00C95043">
        <w:trPr>
          <w:tblHeader/>
        </w:trPr>
        <w:tc>
          <w:tcPr>
            <w:tcW w:w="1980" w:type="dxa"/>
            <w:shd w:val="clear" w:color="auto" w:fill="auto"/>
          </w:tcPr>
          <w:p w:rsidR="00CB610E" w:rsidRPr="004612D6" w:rsidRDefault="00CB610E" w:rsidP="00021367">
            <w:pPr>
              <w:pStyle w:val="TableText"/>
              <w:rPr>
                <w:b/>
                <w:szCs w:val="20"/>
              </w:rPr>
            </w:pPr>
            <w:r w:rsidRPr="004612D6">
              <w:rPr>
                <w:b/>
                <w:szCs w:val="20"/>
              </w:rPr>
              <w:t xml:space="preserve">Component </w:t>
            </w:r>
          </w:p>
        </w:tc>
        <w:tc>
          <w:tcPr>
            <w:tcW w:w="3260" w:type="dxa"/>
            <w:shd w:val="clear" w:color="auto" w:fill="auto"/>
          </w:tcPr>
          <w:p w:rsidR="00CB610E" w:rsidRPr="004612D6" w:rsidRDefault="00CB610E" w:rsidP="00021367">
            <w:pPr>
              <w:pStyle w:val="TableText"/>
              <w:rPr>
                <w:b/>
                <w:szCs w:val="20"/>
              </w:rPr>
            </w:pPr>
            <w:r w:rsidRPr="004612D6">
              <w:rPr>
                <w:b/>
                <w:szCs w:val="20"/>
              </w:rPr>
              <w:t>Description</w:t>
            </w:r>
          </w:p>
        </w:tc>
        <w:tc>
          <w:tcPr>
            <w:tcW w:w="3827" w:type="dxa"/>
          </w:tcPr>
          <w:p w:rsidR="00CB610E" w:rsidRPr="004612D6" w:rsidRDefault="00CB610E" w:rsidP="00021367">
            <w:pPr>
              <w:pStyle w:val="TableText"/>
              <w:rPr>
                <w:b/>
                <w:szCs w:val="20"/>
              </w:rPr>
            </w:pPr>
            <w:r w:rsidRPr="004612D6">
              <w:rPr>
                <w:b/>
                <w:szCs w:val="20"/>
              </w:rPr>
              <w:t>Comments</w:t>
            </w:r>
          </w:p>
        </w:tc>
      </w:tr>
      <w:tr w:rsidR="00CB610E" w:rsidRPr="004612D6" w:rsidTr="00643238">
        <w:tc>
          <w:tcPr>
            <w:tcW w:w="1980" w:type="dxa"/>
            <w:shd w:val="clear" w:color="auto" w:fill="auto"/>
            <w:vAlign w:val="center"/>
          </w:tcPr>
          <w:p w:rsidR="00CB610E" w:rsidRPr="004612D6" w:rsidRDefault="00CB610E" w:rsidP="00021367">
            <w:pPr>
              <w:pStyle w:val="TableText"/>
              <w:rPr>
                <w:szCs w:val="20"/>
              </w:rPr>
            </w:pPr>
            <w:r w:rsidRPr="004612D6">
              <w:rPr>
                <w:szCs w:val="20"/>
              </w:rPr>
              <w:t xml:space="preserve">Type of analysis </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Cost-effectiveness analysis and cost-utility analysis.</w:t>
            </w:r>
          </w:p>
        </w:tc>
        <w:tc>
          <w:tcPr>
            <w:tcW w:w="3827" w:type="dxa"/>
          </w:tcPr>
          <w:p w:rsidR="00CB610E" w:rsidRPr="004612D6" w:rsidRDefault="00CB610E" w:rsidP="00021367">
            <w:pPr>
              <w:pStyle w:val="TableText"/>
              <w:rPr>
                <w:szCs w:val="20"/>
              </w:rPr>
            </w:pPr>
            <w:r w:rsidRPr="004612D6">
              <w:rPr>
                <w:szCs w:val="20"/>
              </w:rPr>
              <w:t>This was reasonable.</w:t>
            </w:r>
          </w:p>
        </w:tc>
      </w:tr>
      <w:tr w:rsidR="00CB610E" w:rsidRPr="004612D6" w:rsidTr="00643238">
        <w:tc>
          <w:tcPr>
            <w:tcW w:w="1980" w:type="dxa"/>
            <w:shd w:val="clear" w:color="auto" w:fill="auto"/>
            <w:vAlign w:val="center"/>
          </w:tcPr>
          <w:p w:rsidR="00CB610E" w:rsidRPr="004612D6" w:rsidRDefault="00CB610E" w:rsidP="00021367">
            <w:pPr>
              <w:pStyle w:val="TableText"/>
              <w:rPr>
                <w:szCs w:val="20"/>
              </w:rPr>
            </w:pPr>
            <w:r w:rsidRPr="004612D6">
              <w:rPr>
                <w:szCs w:val="20"/>
              </w:rPr>
              <w:t>Options compared</w:t>
            </w:r>
          </w:p>
        </w:tc>
        <w:tc>
          <w:tcPr>
            <w:tcW w:w="3260" w:type="dxa"/>
            <w:shd w:val="clear" w:color="auto" w:fill="auto"/>
          </w:tcPr>
          <w:p w:rsidR="00CB610E" w:rsidRPr="004612D6" w:rsidRDefault="00CB610E" w:rsidP="00070838">
            <w:pPr>
              <w:pStyle w:val="TableText"/>
              <w:rPr>
                <w:szCs w:val="20"/>
              </w:rPr>
            </w:pPr>
            <w:r w:rsidRPr="004612D6">
              <w:rPr>
                <w:szCs w:val="20"/>
              </w:rPr>
              <w:t xml:space="preserve">Fremanezumab; placebo (as a proxy for </w:t>
            </w:r>
            <w:r w:rsidR="00070838">
              <w:rPr>
                <w:szCs w:val="20"/>
              </w:rPr>
              <w:t>BSC</w:t>
            </w:r>
            <w:r w:rsidRPr="004612D6">
              <w:rPr>
                <w:szCs w:val="20"/>
              </w:rPr>
              <w:t>).</w:t>
            </w:r>
          </w:p>
        </w:tc>
        <w:tc>
          <w:tcPr>
            <w:tcW w:w="3827" w:type="dxa"/>
          </w:tcPr>
          <w:p w:rsidR="00CB610E" w:rsidRPr="00742CD6" w:rsidRDefault="00CB610E" w:rsidP="00F31139">
            <w:pPr>
              <w:pStyle w:val="TableText"/>
              <w:rPr>
                <w:szCs w:val="20"/>
              </w:rPr>
            </w:pPr>
            <w:r w:rsidRPr="00742CD6">
              <w:rPr>
                <w:szCs w:val="20"/>
              </w:rPr>
              <w:t xml:space="preserve">The placebo arm of Study 30068 may not be a suitable proxy for </w:t>
            </w:r>
            <w:r w:rsidR="00070838">
              <w:rPr>
                <w:szCs w:val="20"/>
              </w:rPr>
              <w:t>BSC</w:t>
            </w:r>
            <w:r w:rsidRPr="00742CD6">
              <w:rPr>
                <w:szCs w:val="20"/>
              </w:rPr>
              <w:t>. While patients in the trial were allowed to use acute medicines for the treatment of migraines, they were not permitted to use any prophylactic medications during the trial. This may not reflect the management of patients in the PBS population.</w:t>
            </w:r>
            <w:r w:rsidR="00AA1C2C" w:rsidRPr="00742CD6">
              <w:rPr>
                <w:szCs w:val="20"/>
              </w:rPr>
              <w:t xml:space="preserve"> </w:t>
            </w:r>
            <w:r w:rsidR="00B06901" w:rsidRPr="00742CD6">
              <w:rPr>
                <w:rFonts w:cstheme="minorHAnsi"/>
                <w:szCs w:val="20"/>
              </w:rPr>
              <w:t xml:space="preserve">The ESC considered this </w:t>
            </w:r>
            <w:r w:rsidR="00E10F4C">
              <w:rPr>
                <w:rFonts w:cstheme="minorHAnsi"/>
                <w:szCs w:val="20"/>
              </w:rPr>
              <w:t>wa</w:t>
            </w:r>
            <w:r w:rsidR="00B06901" w:rsidRPr="00742CD6">
              <w:rPr>
                <w:rFonts w:cstheme="minorHAnsi"/>
                <w:szCs w:val="20"/>
              </w:rPr>
              <w:t>s unlikely to reflect the management of patients in clinical practice as patients treated with BSC or fremanezumab would receive additional treatment</w:t>
            </w:r>
            <w:r w:rsidR="0011529D" w:rsidRPr="00742CD6">
              <w:rPr>
                <w:rFonts w:cstheme="minorHAnsi"/>
                <w:szCs w:val="20"/>
              </w:rPr>
              <w:t>.</w:t>
            </w:r>
            <w:r w:rsidR="00B06901" w:rsidRPr="00742CD6" w:rsidDel="00B06901">
              <w:rPr>
                <w:rFonts w:cstheme="minorHAnsi"/>
                <w:szCs w:val="20"/>
              </w:rPr>
              <w:t xml:space="preserve"> </w:t>
            </w:r>
            <w:r w:rsidR="00B31C5B" w:rsidRPr="00742CD6">
              <w:rPr>
                <w:rFonts w:cstheme="minorHAnsi"/>
                <w:szCs w:val="20"/>
              </w:rPr>
              <w:t>The ESC further noted that patients may also receive subsequent treatment with Botox</w:t>
            </w:r>
            <w:r w:rsidR="007240BB" w:rsidRPr="00742CD6">
              <w:rPr>
                <w:rFonts w:cstheme="minorHAnsi"/>
                <w:szCs w:val="20"/>
              </w:rPr>
              <w:t xml:space="preserve"> </w:t>
            </w:r>
            <w:r w:rsidR="00B31C5B" w:rsidRPr="00742CD6">
              <w:rPr>
                <w:rFonts w:cstheme="minorHAnsi"/>
                <w:szCs w:val="20"/>
              </w:rPr>
              <w:t xml:space="preserve">or </w:t>
            </w:r>
            <w:r w:rsidR="007240BB" w:rsidRPr="00742CD6">
              <w:rPr>
                <w:rFonts w:cstheme="minorHAnsi"/>
                <w:szCs w:val="20"/>
              </w:rPr>
              <w:t xml:space="preserve">other </w:t>
            </w:r>
            <w:r w:rsidR="00B31C5B" w:rsidRPr="00742CD6">
              <w:rPr>
                <w:rFonts w:cstheme="minorHAnsi"/>
                <w:szCs w:val="20"/>
              </w:rPr>
              <w:t>prophylactic treatments but this was not modelled</w:t>
            </w:r>
            <w:r w:rsidR="00474D16" w:rsidRPr="00742CD6">
              <w:rPr>
                <w:rFonts w:cstheme="minorHAnsi"/>
                <w:szCs w:val="20"/>
              </w:rPr>
              <w:t xml:space="preserve"> and was likely to have a substantial impact on cost-effectiveness</w:t>
            </w:r>
            <w:r w:rsidR="00B31C5B" w:rsidRPr="00742CD6">
              <w:rPr>
                <w:rFonts w:cstheme="minorHAnsi"/>
                <w:szCs w:val="20"/>
              </w:rPr>
              <w:t>.</w:t>
            </w:r>
          </w:p>
        </w:tc>
      </w:tr>
      <w:tr w:rsidR="00CB610E" w:rsidRPr="004612D6" w:rsidTr="00643238">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Outcomes</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Quality-adjusted life years (QALYs)</w:t>
            </w:r>
          </w:p>
        </w:tc>
        <w:tc>
          <w:tcPr>
            <w:tcW w:w="3827" w:type="dxa"/>
          </w:tcPr>
          <w:p w:rsidR="00CB610E" w:rsidRPr="00742CD6" w:rsidRDefault="00CB610E" w:rsidP="00021367">
            <w:pPr>
              <w:pStyle w:val="TableText"/>
              <w:rPr>
                <w:szCs w:val="20"/>
              </w:rPr>
            </w:pPr>
            <w:r w:rsidRPr="00742CD6">
              <w:rPr>
                <w:szCs w:val="20"/>
              </w:rPr>
              <w:t>This was reasonable.</w:t>
            </w:r>
          </w:p>
        </w:tc>
      </w:tr>
      <w:tr w:rsidR="00CB610E" w:rsidRPr="004612D6" w:rsidTr="00643238">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Time horizon</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5 years in the model base case versus 12 weeks double-b</w:t>
            </w:r>
            <w:r w:rsidR="00340302">
              <w:rPr>
                <w:szCs w:val="20"/>
              </w:rPr>
              <w:t>lind treatment in Study 30068.</w:t>
            </w:r>
          </w:p>
        </w:tc>
        <w:tc>
          <w:tcPr>
            <w:tcW w:w="3827" w:type="dxa"/>
          </w:tcPr>
          <w:p w:rsidR="00CB610E" w:rsidRPr="00742CD6" w:rsidRDefault="00CB610E" w:rsidP="00021367">
            <w:pPr>
              <w:pStyle w:val="TableText"/>
              <w:rPr>
                <w:szCs w:val="20"/>
              </w:rPr>
            </w:pPr>
            <w:r w:rsidRPr="00742CD6">
              <w:rPr>
                <w:szCs w:val="20"/>
              </w:rPr>
              <w:t>The submission presented data from an ongoing extension study of fremanezumab (Study 300</w:t>
            </w:r>
            <w:r w:rsidR="001303C8" w:rsidRPr="00742CD6">
              <w:rPr>
                <w:szCs w:val="20"/>
              </w:rPr>
              <w:t>51</w:t>
            </w:r>
            <w:r w:rsidRPr="00742CD6">
              <w:rPr>
                <w:szCs w:val="20"/>
              </w:rPr>
              <w:t>) to support the durability of treatment effect beyond 12 weeks.</w:t>
            </w:r>
          </w:p>
        </w:tc>
      </w:tr>
      <w:tr w:rsidR="00CB610E" w:rsidRPr="004612D6" w:rsidTr="002D448D">
        <w:trPr>
          <w:trHeight w:val="343"/>
        </w:trPr>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Methods used to generate results</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Markov microsimulation model.</w:t>
            </w:r>
          </w:p>
        </w:tc>
        <w:tc>
          <w:tcPr>
            <w:tcW w:w="3827" w:type="dxa"/>
            <w:vAlign w:val="center"/>
          </w:tcPr>
          <w:p w:rsidR="00CB610E" w:rsidRPr="00742CD6" w:rsidRDefault="002D448D" w:rsidP="00DA3324">
            <w:pPr>
              <w:pStyle w:val="TableText"/>
              <w:rPr>
                <w:szCs w:val="20"/>
              </w:rPr>
            </w:pPr>
            <w:r w:rsidRPr="00742CD6">
              <w:rPr>
                <w:szCs w:val="20"/>
              </w:rPr>
              <w:t>The submission did not adequately justify the use of microsimulation to model the results of the comparison.</w:t>
            </w:r>
            <w:r w:rsidR="007240BB" w:rsidRPr="00742CD6">
              <w:rPr>
                <w:szCs w:val="20"/>
              </w:rPr>
              <w:t xml:space="preserve"> The PSCR state</w:t>
            </w:r>
            <w:r w:rsidR="00E10F4C">
              <w:rPr>
                <w:szCs w:val="20"/>
              </w:rPr>
              <w:t>d</w:t>
            </w:r>
            <w:r w:rsidR="007240BB" w:rsidRPr="00742CD6">
              <w:rPr>
                <w:szCs w:val="20"/>
              </w:rPr>
              <w:t xml:space="preserve"> a micro-simulation was used to capture the migraine day distributions (i.e. the number of migraines per month)</w:t>
            </w:r>
            <w:r w:rsidR="00E10F4C">
              <w:rPr>
                <w:szCs w:val="20"/>
              </w:rPr>
              <w:t>,</w:t>
            </w:r>
            <w:r w:rsidR="007240BB" w:rsidRPr="00742CD6">
              <w:rPr>
                <w:szCs w:val="20"/>
              </w:rPr>
              <w:t xml:space="preserve"> how these change</w:t>
            </w:r>
            <w:r w:rsidR="00E10F4C">
              <w:rPr>
                <w:szCs w:val="20"/>
              </w:rPr>
              <w:t>d</w:t>
            </w:r>
            <w:r w:rsidR="007240BB" w:rsidRPr="00742CD6">
              <w:rPr>
                <w:szCs w:val="20"/>
              </w:rPr>
              <w:t xml:space="preserve"> in each month of therapy</w:t>
            </w:r>
            <w:r w:rsidR="00E10F4C">
              <w:rPr>
                <w:szCs w:val="20"/>
              </w:rPr>
              <w:t>,</w:t>
            </w:r>
            <w:r w:rsidR="007240BB" w:rsidRPr="00742CD6">
              <w:rPr>
                <w:szCs w:val="20"/>
              </w:rPr>
              <w:t xml:space="preserve"> and the associated utilities and costs.</w:t>
            </w:r>
          </w:p>
        </w:tc>
      </w:tr>
      <w:tr w:rsidR="00CB610E" w:rsidRPr="004612D6" w:rsidTr="00643238">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Health states</w:t>
            </w:r>
          </w:p>
        </w:tc>
        <w:tc>
          <w:tcPr>
            <w:tcW w:w="3260" w:type="dxa"/>
            <w:shd w:val="clear" w:color="auto" w:fill="auto"/>
          </w:tcPr>
          <w:p w:rsidR="00CB610E" w:rsidRPr="004612D6" w:rsidRDefault="00CB610E" w:rsidP="00021367">
            <w:pPr>
              <w:pStyle w:val="TableText"/>
              <w:numPr>
                <w:ilvl w:val="0"/>
                <w:numId w:val="11"/>
              </w:numPr>
              <w:rPr>
                <w:szCs w:val="20"/>
              </w:rPr>
            </w:pPr>
            <w:r w:rsidRPr="004612D6">
              <w:rPr>
                <w:szCs w:val="20"/>
              </w:rPr>
              <w:t>On treatment - all patients</w:t>
            </w:r>
          </w:p>
          <w:p w:rsidR="00CB610E" w:rsidRPr="004612D6" w:rsidRDefault="00CB610E" w:rsidP="00021367">
            <w:pPr>
              <w:pStyle w:val="TableText"/>
              <w:numPr>
                <w:ilvl w:val="0"/>
                <w:numId w:val="11"/>
              </w:numPr>
              <w:rPr>
                <w:szCs w:val="20"/>
              </w:rPr>
            </w:pPr>
            <w:r w:rsidRPr="004612D6">
              <w:rPr>
                <w:szCs w:val="20"/>
              </w:rPr>
              <w:t>On treatment - responder</w:t>
            </w:r>
          </w:p>
          <w:p w:rsidR="00CB610E" w:rsidRPr="004612D6" w:rsidRDefault="00CB610E" w:rsidP="00021367">
            <w:pPr>
              <w:pStyle w:val="TableText"/>
              <w:numPr>
                <w:ilvl w:val="0"/>
                <w:numId w:val="11"/>
              </w:numPr>
              <w:rPr>
                <w:szCs w:val="20"/>
              </w:rPr>
            </w:pPr>
            <w:r w:rsidRPr="004612D6">
              <w:rPr>
                <w:szCs w:val="20"/>
              </w:rPr>
              <w:t>On treatment - non-responder</w:t>
            </w:r>
          </w:p>
          <w:p w:rsidR="00CB610E" w:rsidRPr="004612D6" w:rsidRDefault="00CB610E" w:rsidP="00021367">
            <w:pPr>
              <w:pStyle w:val="TableText"/>
              <w:numPr>
                <w:ilvl w:val="0"/>
                <w:numId w:val="11"/>
              </w:numPr>
              <w:rPr>
                <w:szCs w:val="20"/>
              </w:rPr>
            </w:pPr>
            <w:r w:rsidRPr="004612D6">
              <w:rPr>
                <w:szCs w:val="20"/>
              </w:rPr>
              <w:t>Off treatment</w:t>
            </w:r>
          </w:p>
          <w:p w:rsidR="00CB610E" w:rsidRPr="004612D6" w:rsidRDefault="00CB610E" w:rsidP="00021367">
            <w:pPr>
              <w:pStyle w:val="TableText"/>
              <w:numPr>
                <w:ilvl w:val="0"/>
                <w:numId w:val="11"/>
              </w:numPr>
              <w:rPr>
                <w:szCs w:val="20"/>
              </w:rPr>
            </w:pPr>
            <w:r w:rsidRPr="004612D6">
              <w:rPr>
                <w:szCs w:val="20"/>
              </w:rPr>
              <w:t>Death</w:t>
            </w:r>
          </w:p>
        </w:tc>
        <w:tc>
          <w:tcPr>
            <w:tcW w:w="3827" w:type="dxa"/>
          </w:tcPr>
          <w:p w:rsidR="00CB610E" w:rsidRPr="00742CD6" w:rsidRDefault="00CB610E" w:rsidP="00021367">
            <w:pPr>
              <w:pStyle w:val="TableText"/>
              <w:rPr>
                <w:szCs w:val="20"/>
              </w:rPr>
            </w:pPr>
            <w:r w:rsidRPr="00742CD6">
              <w:rPr>
                <w:szCs w:val="20"/>
              </w:rPr>
              <w:t>The choice of health states appeared reasonable. The ‘on treatment - non-responder’ health state was include</w:t>
            </w:r>
            <w:r w:rsidR="006D003C" w:rsidRPr="00742CD6">
              <w:rPr>
                <w:szCs w:val="20"/>
              </w:rPr>
              <w:t>d in sensitivity analyses only</w:t>
            </w:r>
            <w:r w:rsidR="00B31C5B" w:rsidRPr="00742CD6">
              <w:rPr>
                <w:szCs w:val="20"/>
              </w:rPr>
              <w:t>.</w:t>
            </w:r>
          </w:p>
        </w:tc>
      </w:tr>
      <w:tr w:rsidR="00CB610E" w:rsidRPr="004612D6" w:rsidTr="00643238">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Cycle length</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4 weeks</w:t>
            </w:r>
          </w:p>
        </w:tc>
        <w:tc>
          <w:tcPr>
            <w:tcW w:w="3827" w:type="dxa"/>
          </w:tcPr>
          <w:p w:rsidR="00CB610E" w:rsidRPr="004612D6" w:rsidRDefault="00CB610E" w:rsidP="00021367">
            <w:pPr>
              <w:pStyle w:val="TableText"/>
              <w:rPr>
                <w:szCs w:val="20"/>
              </w:rPr>
            </w:pPr>
            <w:r w:rsidRPr="004612D6">
              <w:rPr>
                <w:szCs w:val="20"/>
              </w:rPr>
              <w:t>This was reasonable.</w:t>
            </w:r>
          </w:p>
        </w:tc>
      </w:tr>
      <w:tr w:rsidR="00CB610E" w:rsidRPr="004612D6" w:rsidTr="00643238">
        <w:tc>
          <w:tcPr>
            <w:tcW w:w="1980" w:type="dxa"/>
            <w:shd w:val="clear" w:color="auto" w:fill="auto"/>
            <w:vAlign w:val="center"/>
          </w:tcPr>
          <w:p w:rsidR="00CB610E" w:rsidRPr="004612D6" w:rsidRDefault="00CB610E" w:rsidP="00021367">
            <w:pPr>
              <w:pStyle w:val="TableText"/>
              <w:rPr>
                <w:szCs w:val="20"/>
              </w:rPr>
            </w:pPr>
            <w:r w:rsidRPr="004612D6">
              <w:rPr>
                <w:szCs w:val="20"/>
              </w:rPr>
              <w:t xml:space="preserve">Transition probability </w:t>
            </w:r>
          </w:p>
        </w:tc>
        <w:tc>
          <w:tcPr>
            <w:tcW w:w="3260" w:type="dxa"/>
            <w:shd w:val="clear" w:color="auto" w:fill="auto"/>
          </w:tcPr>
          <w:p w:rsidR="00CB610E" w:rsidRPr="004612D6" w:rsidRDefault="00CB610E" w:rsidP="00021367">
            <w:pPr>
              <w:pStyle w:val="TableText"/>
              <w:rPr>
                <w:szCs w:val="20"/>
              </w:rPr>
            </w:pPr>
            <w:r w:rsidRPr="004612D6">
              <w:rPr>
                <w:szCs w:val="20"/>
              </w:rPr>
              <w:t>Based on the pooled results for the 225 mg 4-weekly and 675 mg 12-weekly treatment arms in Study 30068 for the subgroup of patients with ≥3 prior treatments.</w:t>
            </w:r>
          </w:p>
        </w:tc>
        <w:tc>
          <w:tcPr>
            <w:tcW w:w="3827" w:type="dxa"/>
          </w:tcPr>
          <w:p w:rsidR="00CB610E" w:rsidRPr="004612D6" w:rsidRDefault="00CB610E" w:rsidP="00021367">
            <w:pPr>
              <w:pStyle w:val="TableText"/>
              <w:rPr>
                <w:i/>
                <w:szCs w:val="20"/>
              </w:rPr>
            </w:pPr>
            <w:r w:rsidRPr="004612D6">
              <w:rPr>
                <w:szCs w:val="20"/>
              </w:rPr>
              <w:t>The inclusion of the 675 mg loading dose for the 225 mg 4-weekly arm included in the clinical trial may have resulted in overestimation of th</w:t>
            </w:r>
            <w:r w:rsidR="006D003C" w:rsidRPr="004612D6">
              <w:rPr>
                <w:szCs w:val="20"/>
              </w:rPr>
              <w:t>e treatment outcomes.</w:t>
            </w:r>
          </w:p>
        </w:tc>
      </w:tr>
      <w:tr w:rsidR="00CB610E" w:rsidRPr="004612D6" w:rsidTr="00643238">
        <w:tc>
          <w:tcPr>
            <w:tcW w:w="1980" w:type="dxa"/>
            <w:shd w:val="clear" w:color="auto" w:fill="auto"/>
            <w:vAlign w:val="center"/>
          </w:tcPr>
          <w:p w:rsidR="00CB610E" w:rsidRPr="004612D6" w:rsidRDefault="00CB610E" w:rsidP="00021367">
            <w:pPr>
              <w:pStyle w:val="TableText"/>
              <w:rPr>
                <w:szCs w:val="20"/>
              </w:rPr>
            </w:pPr>
            <w:r w:rsidRPr="004612D6">
              <w:rPr>
                <w:szCs w:val="20"/>
              </w:rPr>
              <w:t>Utility values</w:t>
            </w:r>
          </w:p>
        </w:tc>
        <w:tc>
          <w:tcPr>
            <w:tcW w:w="3260" w:type="dxa"/>
            <w:shd w:val="clear" w:color="auto" w:fill="auto"/>
          </w:tcPr>
          <w:p w:rsidR="00CB610E" w:rsidRPr="004612D6" w:rsidRDefault="00CB610E" w:rsidP="00021367">
            <w:pPr>
              <w:pStyle w:val="TableText"/>
              <w:rPr>
                <w:szCs w:val="20"/>
              </w:rPr>
            </w:pPr>
            <w:r w:rsidRPr="004612D6">
              <w:rPr>
                <w:szCs w:val="20"/>
              </w:rPr>
              <w:t>Utility values mapped from the MSQ to EQ-5D-3L using an algorithm published by Gillard et al. (2012).</w:t>
            </w:r>
          </w:p>
        </w:tc>
        <w:tc>
          <w:tcPr>
            <w:tcW w:w="3827" w:type="dxa"/>
          </w:tcPr>
          <w:p w:rsidR="00CB610E" w:rsidRPr="004612D6" w:rsidRDefault="00CB610E" w:rsidP="00021367">
            <w:pPr>
              <w:pStyle w:val="TableText"/>
              <w:rPr>
                <w:i/>
                <w:szCs w:val="20"/>
              </w:rPr>
            </w:pPr>
            <w:r w:rsidRPr="004612D6">
              <w:rPr>
                <w:szCs w:val="20"/>
              </w:rPr>
              <w:t>The submission did not present the results of EQ-5D-5L collected in the trial.</w:t>
            </w:r>
            <w:r w:rsidR="009F2A0E" w:rsidRPr="004612D6">
              <w:rPr>
                <w:szCs w:val="20"/>
              </w:rPr>
              <w:t xml:space="preserve"> </w:t>
            </w:r>
          </w:p>
        </w:tc>
      </w:tr>
      <w:tr w:rsidR="00CB610E" w:rsidRPr="004612D6" w:rsidTr="00643238">
        <w:trPr>
          <w:trHeight w:val="70"/>
        </w:trPr>
        <w:tc>
          <w:tcPr>
            <w:tcW w:w="1980" w:type="dxa"/>
            <w:shd w:val="clear" w:color="auto" w:fill="auto"/>
            <w:vAlign w:val="center"/>
          </w:tcPr>
          <w:p w:rsidR="00CB610E" w:rsidRPr="004612D6" w:rsidRDefault="00CB610E" w:rsidP="00021367">
            <w:pPr>
              <w:pStyle w:val="TableText"/>
              <w:rPr>
                <w:rFonts w:ascii="Times" w:hAnsi="Times"/>
                <w:szCs w:val="20"/>
              </w:rPr>
            </w:pPr>
            <w:r w:rsidRPr="004612D6">
              <w:rPr>
                <w:szCs w:val="20"/>
              </w:rPr>
              <w:t>Software package</w:t>
            </w:r>
          </w:p>
        </w:tc>
        <w:tc>
          <w:tcPr>
            <w:tcW w:w="3260" w:type="dxa"/>
            <w:shd w:val="clear" w:color="auto" w:fill="auto"/>
          </w:tcPr>
          <w:p w:rsidR="00CB610E" w:rsidRPr="004612D6" w:rsidRDefault="00CB610E" w:rsidP="00021367">
            <w:pPr>
              <w:pStyle w:val="TableText"/>
              <w:rPr>
                <w:rFonts w:ascii="Times" w:hAnsi="Times"/>
                <w:szCs w:val="20"/>
              </w:rPr>
            </w:pPr>
            <w:r w:rsidRPr="004612D6">
              <w:rPr>
                <w:szCs w:val="20"/>
              </w:rPr>
              <w:t>TreeAge Pro and Microsoft Excel</w:t>
            </w:r>
          </w:p>
        </w:tc>
        <w:tc>
          <w:tcPr>
            <w:tcW w:w="3827" w:type="dxa"/>
          </w:tcPr>
          <w:p w:rsidR="00CB610E" w:rsidRPr="004612D6" w:rsidRDefault="00CB610E" w:rsidP="00021367">
            <w:pPr>
              <w:pStyle w:val="TableText"/>
              <w:rPr>
                <w:szCs w:val="20"/>
              </w:rPr>
            </w:pPr>
            <w:r w:rsidRPr="004612D6">
              <w:rPr>
                <w:szCs w:val="20"/>
              </w:rPr>
              <w:t>This was reasonable.</w:t>
            </w:r>
          </w:p>
        </w:tc>
      </w:tr>
    </w:tbl>
    <w:p w:rsidR="00CB610E" w:rsidRPr="006258D8" w:rsidRDefault="00CB610E" w:rsidP="00021367">
      <w:pPr>
        <w:pStyle w:val="TableFigureFooter"/>
      </w:pPr>
      <w:r w:rsidRPr="006258D8">
        <w:t xml:space="preserve">Source: </w:t>
      </w:r>
      <w:r w:rsidRPr="00206D91">
        <w:t>Table 3.2, p.181 of the submission.</w:t>
      </w:r>
    </w:p>
    <w:p w:rsidR="00CB610E" w:rsidRPr="006258D8" w:rsidRDefault="00CB610E" w:rsidP="00021367">
      <w:pPr>
        <w:pStyle w:val="TableFigureFooter"/>
      </w:pPr>
      <w:r w:rsidRPr="006258D8">
        <w:t xml:space="preserve">Abbreviations: </w:t>
      </w:r>
      <w:r w:rsidR="00564A84">
        <w:t>MSQ</w:t>
      </w:r>
      <w:r w:rsidRPr="006258D8">
        <w:t>, Migraine-Specific Quality of Life Questionnaire.</w:t>
      </w:r>
    </w:p>
    <w:p w:rsidR="00E37424" w:rsidRPr="006258D8" w:rsidRDefault="00CB610E" w:rsidP="000F2EE3">
      <w:pPr>
        <w:pStyle w:val="3-BodyText"/>
      </w:pPr>
      <w:r w:rsidRPr="006258D8">
        <w:t>A summary of the key drivers of the economi</w:t>
      </w:r>
      <w:r w:rsidR="001B5B18" w:rsidRPr="006258D8">
        <w:t>c model is presented in Table 1</w:t>
      </w:r>
      <w:r w:rsidR="000C6D7E">
        <w:t>4</w:t>
      </w:r>
      <w:r w:rsidR="001B5B18" w:rsidRPr="006258D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Key drivers of the model"/>
      </w:tblPr>
      <w:tblGrid>
        <w:gridCol w:w="1502"/>
        <w:gridCol w:w="6154"/>
        <w:gridCol w:w="1370"/>
      </w:tblGrid>
      <w:tr w:rsidR="00C134CC" w:rsidRPr="004612D6" w:rsidTr="00C134CC">
        <w:trPr>
          <w:tblHeader/>
        </w:trPr>
        <w:tc>
          <w:tcPr>
            <w:tcW w:w="5000" w:type="pct"/>
            <w:gridSpan w:val="3"/>
            <w:tcBorders>
              <w:top w:val="nil"/>
              <w:left w:val="nil"/>
              <w:bottom w:val="single" w:sz="4" w:space="0" w:color="auto"/>
              <w:right w:val="nil"/>
            </w:tcBorders>
            <w:shd w:val="clear" w:color="auto" w:fill="auto"/>
            <w:vAlign w:val="center"/>
          </w:tcPr>
          <w:p w:rsidR="00C134CC" w:rsidRPr="004612D6" w:rsidRDefault="00C134CC" w:rsidP="00E3599F">
            <w:pPr>
              <w:pStyle w:val="TableText"/>
              <w:keepNext w:val="0"/>
              <w:rPr>
                <w:b/>
                <w:szCs w:val="20"/>
              </w:rPr>
            </w:pPr>
            <w:r w:rsidRPr="00C134CC">
              <w:rPr>
                <w:b/>
                <w:szCs w:val="20"/>
              </w:rPr>
              <w:t xml:space="preserve">Table </w:t>
            </w:r>
            <w:r w:rsidR="009D4178">
              <w:rPr>
                <w:b/>
                <w:noProof/>
                <w:szCs w:val="20"/>
              </w:rPr>
              <w:t>14</w:t>
            </w:r>
            <w:r w:rsidRPr="00C134CC">
              <w:rPr>
                <w:b/>
                <w:szCs w:val="20"/>
              </w:rPr>
              <w:t>: Key drivers of the model</w:t>
            </w:r>
          </w:p>
        </w:tc>
      </w:tr>
      <w:tr w:rsidR="00E37424" w:rsidRPr="004612D6" w:rsidTr="00C134CC">
        <w:trPr>
          <w:tblHeader/>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E37424" w:rsidRPr="004612D6" w:rsidRDefault="00E37424" w:rsidP="00E3599F">
            <w:pPr>
              <w:pStyle w:val="TableText"/>
              <w:keepNext w:val="0"/>
              <w:rPr>
                <w:b/>
                <w:szCs w:val="20"/>
              </w:rPr>
            </w:pPr>
            <w:r w:rsidRPr="004612D6">
              <w:rPr>
                <w:b/>
                <w:szCs w:val="20"/>
              </w:rPr>
              <w:t>Description</w:t>
            </w:r>
          </w:p>
        </w:tc>
        <w:tc>
          <w:tcPr>
            <w:tcW w:w="3409" w:type="pct"/>
            <w:tcBorders>
              <w:top w:val="single" w:sz="4" w:space="0" w:color="auto"/>
              <w:left w:val="single" w:sz="4" w:space="0" w:color="auto"/>
              <w:bottom w:val="single" w:sz="4" w:space="0" w:color="auto"/>
              <w:right w:val="single" w:sz="4" w:space="0" w:color="auto"/>
            </w:tcBorders>
            <w:shd w:val="clear" w:color="auto" w:fill="auto"/>
            <w:vAlign w:val="center"/>
          </w:tcPr>
          <w:p w:rsidR="00E37424" w:rsidRPr="004612D6" w:rsidRDefault="00E37424" w:rsidP="00E3599F">
            <w:pPr>
              <w:pStyle w:val="TableText"/>
              <w:keepNext w:val="0"/>
              <w:rPr>
                <w:b/>
                <w:szCs w:val="20"/>
              </w:rPr>
            </w:pPr>
            <w:r w:rsidRPr="004612D6">
              <w:rPr>
                <w:b/>
                <w:szCs w:val="20"/>
              </w:rPr>
              <w:t>Method/Value</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E37424" w:rsidRPr="004612D6" w:rsidRDefault="00E37424" w:rsidP="00E3599F">
            <w:pPr>
              <w:pStyle w:val="TableText"/>
              <w:keepNext w:val="0"/>
              <w:rPr>
                <w:b/>
                <w:szCs w:val="20"/>
              </w:rPr>
            </w:pPr>
            <w:r w:rsidRPr="004612D6">
              <w:rPr>
                <w:b/>
                <w:szCs w:val="20"/>
              </w:rPr>
              <w:t>Impact</w:t>
            </w:r>
          </w:p>
        </w:tc>
      </w:tr>
      <w:tr w:rsidR="00E37424" w:rsidRPr="004612D6" w:rsidTr="00C134CC">
        <w:tc>
          <w:tcPr>
            <w:tcW w:w="832" w:type="pct"/>
            <w:tcBorders>
              <w:top w:val="single" w:sz="4" w:space="0" w:color="auto"/>
            </w:tcBorders>
            <w:shd w:val="clear" w:color="auto" w:fill="auto"/>
            <w:vAlign w:val="center"/>
          </w:tcPr>
          <w:p w:rsidR="00E37424" w:rsidRPr="004612D6" w:rsidRDefault="00BC4ABF" w:rsidP="00E3599F">
            <w:pPr>
              <w:pStyle w:val="TableText"/>
              <w:keepNext w:val="0"/>
              <w:rPr>
                <w:szCs w:val="20"/>
              </w:rPr>
            </w:pPr>
            <w:r w:rsidRPr="004612D6">
              <w:rPr>
                <w:szCs w:val="20"/>
              </w:rPr>
              <w:t>Clinical evidence</w:t>
            </w:r>
          </w:p>
        </w:tc>
        <w:tc>
          <w:tcPr>
            <w:tcW w:w="3409" w:type="pct"/>
            <w:tcBorders>
              <w:top w:val="single" w:sz="4" w:space="0" w:color="auto"/>
            </w:tcBorders>
            <w:shd w:val="clear" w:color="auto" w:fill="auto"/>
            <w:vAlign w:val="center"/>
          </w:tcPr>
          <w:p w:rsidR="00200296" w:rsidRPr="004612D6" w:rsidRDefault="00152611" w:rsidP="00E3599F">
            <w:pPr>
              <w:pStyle w:val="TableText"/>
              <w:keepNext w:val="0"/>
              <w:rPr>
                <w:i/>
                <w:szCs w:val="20"/>
              </w:rPr>
            </w:pPr>
            <w:r w:rsidRPr="004612D6">
              <w:rPr>
                <w:szCs w:val="20"/>
              </w:rPr>
              <w:t>The proportion of patients continuing treatment beyond 12 weeks in the model was based on the proportion</w:t>
            </w:r>
            <w:r w:rsidR="00DA1BC6" w:rsidRPr="004612D6">
              <w:rPr>
                <w:szCs w:val="20"/>
              </w:rPr>
              <w:t xml:space="preserve"> of</w:t>
            </w:r>
            <w:r w:rsidRPr="004612D6">
              <w:rPr>
                <w:szCs w:val="20"/>
              </w:rPr>
              <w:t xml:space="preserve"> chronic migraine patients with ≥3 prior treatment</w:t>
            </w:r>
            <w:r w:rsidR="002F3B10">
              <w:rPr>
                <w:szCs w:val="20"/>
              </w:rPr>
              <w:t xml:space="preserve"> failures</w:t>
            </w:r>
            <w:r w:rsidRPr="004612D6">
              <w:rPr>
                <w:szCs w:val="20"/>
              </w:rPr>
              <w:t xml:space="preserve"> in Study 30068 who achieved a ≥50% reduction in monthly </w:t>
            </w:r>
            <w:r w:rsidRPr="00204BBD">
              <w:rPr>
                <w:szCs w:val="20"/>
              </w:rPr>
              <w:t>migraine days (</w:t>
            </w:r>
            <w:r w:rsidR="00D11BC9">
              <w:rPr>
                <w:noProof/>
                <w:color w:val="000000"/>
                <w:szCs w:val="20"/>
                <w:highlight w:val="black"/>
              </w:rPr>
              <w:t>''''''</w:t>
            </w:r>
            <w:r w:rsidR="00204BBD" w:rsidRPr="00204BBD">
              <w:rPr>
                <w:szCs w:val="20"/>
              </w:rPr>
              <w:t>%</w:t>
            </w:r>
            <w:r w:rsidRPr="00204BBD">
              <w:rPr>
                <w:szCs w:val="20"/>
              </w:rPr>
              <w:t xml:space="preserve"> in</w:t>
            </w:r>
            <w:r w:rsidRPr="004612D6">
              <w:rPr>
                <w:szCs w:val="20"/>
              </w:rPr>
              <w:t xml:space="preserve"> the fremanezumab arm; </w:t>
            </w:r>
            <w:r w:rsidR="00D11BC9">
              <w:rPr>
                <w:noProof/>
                <w:color w:val="000000"/>
                <w:szCs w:val="20"/>
                <w:highlight w:val="black"/>
              </w:rPr>
              <w:t>'''</w:t>
            </w:r>
            <w:r w:rsidRPr="004612D6">
              <w:rPr>
                <w:szCs w:val="20"/>
              </w:rPr>
              <w:t xml:space="preserve">% in the placebo arm). </w:t>
            </w:r>
            <w:r w:rsidR="00454434" w:rsidRPr="004612D6">
              <w:rPr>
                <w:szCs w:val="20"/>
              </w:rPr>
              <w:t>Fremanezumab response rates were based on the pooled results for the 225 mg 4-weekly and the 675 mg 12-weekly treatment arms. I</w:t>
            </w:r>
            <w:r w:rsidRPr="004612D6">
              <w:rPr>
                <w:szCs w:val="20"/>
              </w:rPr>
              <w:t xml:space="preserve">n the utilisation estimates presented in </w:t>
            </w:r>
            <w:r w:rsidR="00454434" w:rsidRPr="004612D6">
              <w:rPr>
                <w:szCs w:val="20"/>
              </w:rPr>
              <w:t xml:space="preserve">the submission, </w:t>
            </w:r>
            <w:r w:rsidR="00DA1BC6" w:rsidRPr="004612D6">
              <w:rPr>
                <w:szCs w:val="20"/>
              </w:rPr>
              <w:t xml:space="preserve">it </w:t>
            </w:r>
            <w:r w:rsidR="00454434" w:rsidRPr="004612D6">
              <w:rPr>
                <w:szCs w:val="20"/>
              </w:rPr>
              <w:t xml:space="preserve">was </w:t>
            </w:r>
            <w:r w:rsidRPr="004612D6">
              <w:rPr>
                <w:szCs w:val="20"/>
              </w:rPr>
              <w:t xml:space="preserve">assumed that </w:t>
            </w:r>
            <w:r w:rsidR="00D11BC9">
              <w:rPr>
                <w:noProof/>
                <w:color w:val="000000"/>
                <w:szCs w:val="20"/>
                <w:highlight w:val="black"/>
              </w:rPr>
              <w:t>'''''''''''</w:t>
            </w:r>
            <w:r w:rsidRPr="004612D6">
              <w:rPr>
                <w:szCs w:val="20"/>
              </w:rPr>
              <w:t>% of patients will continue fremanezumab treatment beyond 12 weeks. This implies that a substantial number of patients are expected to remain on treatment beyond 12 weeks despite not having achieved the required reductions in monthly migraine days.</w:t>
            </w:r>
            <w:r w:rsidR="00E04AE5" w:rsidRPr="004612D6">
              <w:rPr>
                <w:szCs w:val="20"/>
              </w:rPr>
              <w:t xml:space="preserve"> </w:t>
            </w:r>
            <w:r w:rsidR="00B31C5B" w:rsidRPr="00742CD6">
              <w:rPr>
                <w:szCs w:val="20"/>
              </w:rPr>
              <w:t>The ESC noted that the model was sensitive to this parameter and even small changes increased the ICER</w:t>
            </w:r>
            <w:r w:rsidR="007240BB" w:rsidRPr="00742CD6">
              <w:rPr>
                <w:szCs w:val="20"/>
              </w:rPr>
              <w:t xml:space="preserve"> significantly</w:t>
            </w:r>
            <w:r w:rsidR="00B31C5B" w:rsidRPr="00742CD6">
              <w:rPr>
                <w:szCs w:val="20"/>
              </w:rPr>
              <w:t>.</w:t>
            </w:r>
          </w:p>
        </w:tc>
        <w:tc>
          <w:tcPr>
            <w:tcW w:w="759" w:type="pct"/>
            <w:tcBorders>
              <w:top w:val="single" w:sz="4" w:space="0" w:color="auto"/>
            </w:tcBorders>
            <w:shd w:val="clear" w:color="auto" w:fill="auto"/>
            <w:vAlign w:val="center"/>
          </w:tcPr>
          <w:p w:rsidR="00E37424" w:rsidRPr="00742CD6" w:rsidRDefault="00B31C5B" w:rsidP="00E3599F">
            <w:pPr>
              <w:pStyle w:val="TableText"/>
              <w:keepNext w:val="0"/>
              <w:rPr>
                <w:szCs w:val="20"/>
              </w:rPr>
            </w:pPr>
            <w:r w:rsidRPr="00742CD6">
              <w:rPr>
                <w:szCs w:val="20"/>
              </w:rPr>
              <w:t>Moderate to likely high, favours fremanezumab</w:t>
            </w:r>
          </w:p>
        </w:tc>
      </w:tr>
      <w:tr w:rsidR="001B5B18" w:rsidRPr="004612D6" w:rsidTr="00C134CC">
        <w:tc>
          <w:tcPr>
            <w:tcW w:w="832" w:type="pct"/>
            <w:shd w:val="clear" w:color="auto" w:fill="auto"/>
            <w:vAlign w:val="center"/>
          </w:tcPr>
          <w:p w:rsidR="001B5B18" w:rsidRPr="004612D6" w:rsidRDefault="00BC4ABF" w:rsidP="00E3599F">
            <w:pPr>
              <w:pStyle w:val="TableText"/>
              <w:keepNext w:val="0"/>
              <w:rPr>
                <w:szCs w:val="20"/>
              </w:rPr>
            </w:pPr>
            <w:r w:rsidRPr="004612D6">
              <w:rPr>
                <w:szCs w:val="20"/>
              </w:rPr>
              <w:t>Discontinuations</w:t>
            </w:r>
          </w:p>
        </w:tc>
        <w:tc>
          <w:tcPr>
            <w:tcW w:w="3409" w:type="pct"/>
            <w:shd w:val="clear" w:color="auto" w:fill="auto"/>
            <w:vAlign w:val="center"/>
          </w:tcPr>
          <w:p w:rsidR="001B5B18" w:rsidRPr="004612D6" w:rsidRDefault="00162DBF" w:rsidP="00E3599F">
            <w:pPr>
              <w:pStyle w:val="TableText"/>
              <w:keepNext w:val="0"/>
              <w:rPr>
                <w:i/>
                <w:szCs w:val="20"/>
              </w:rPr>
            </w:pPr>
            <w:r w:rsidRPr="004612D6">
              <w:rPr>
                <w:szCs w:val="20"/>
              </w:rPr>
              <w:t xml:space="preserve">The submission </w:t>
            </w:r>
            <w:r w:rsidR="00963390">
              <w:rPr>
                <w:szCs w:val="20"/>
              </w:rPr>
              <w:t xml:space="preserve">assumed a discontinuation rate of </w:t>
            </w:r>
            <w:r w:rsidR="00D11BC9">
              <w:rPr>
                <w:noProof/>
                <w:color w:val="000000"/>
                <w:szCs w:val="20"/>
                <w:highlight w:val="black"/>
              </w:rPr>
              <w:t>''''''''''''</w:t>
            </w:r>
            <w:r w:rsidR="00963390">
              <w:rPr>
                <w:szCs w:val="20"/>
              </w:rPr>
              <w:t xml:space="preserve">% per year and </w:t>
            </w:r>
            <w:r w:rsidRPr="004612D6">
              <w:rPr>
                <w:szCs w:val="20"/>
              </w:rPr>
              <w:t xml:space="preserve">stated that </w:t>
            </w:r>
            <w:r w:rsidR="00454434" w:rsidRPr="004612D6">
              <w:rPr>
                <w:szCs w:val="20"/>
              </w:rPr>
              <w:t xml:space="preserve">the </w:t>
            </w:r>
            <w:r w:rsidRPr="004612D6">
              <w:rPr>
                <w:szCs w:val="20"/>
              </w:rPr>
              <w:t>rate</w:t>
            </w:r>
            <w:r w:rsidR="00454434" w:rsidRPr="004612D6">
              <w:rPr>
                <w:szCs w:val="20"/>
              </w:rPr>
              <w:t xml:space="preserve"> applied</w:t>
            </w:r>
            <w:r w:rsidRPr="004612D6">
              <w:rPr>
                <w:szCs w:val="20"/>
              </w:rPr>
              <w:t xml:space="preserve"> in the model </w:t>
            </w:r>
            <w:r w:rsidR="00454434" w:rsidRPr="004612D6">
              <w:rPr>
                <w:szCs w:val="20"/>
              </w:rPr>
              <w:t xml:space="preserve">was based on discontinuations in </w:t>
            </w:r>
            <w:r w:rsidRPr="004612D6">
              <w:rPr>
                <w:szCs w:val="20"/>
              </w:rPr>
              <w:t>Study 30051</w:t>
            </w:r>
            <w:r w:rsidR="00454434" w:rsidRPr="004612D6">
              <w:rPr>
                <w:szCs w:val="20"/>
              </w:rPr>
              <w:t xml:space="preserve">, </w:t>
            </w:r>
            <w:r w:rsidRPr="004612D6">
              <w:rPr>
                <w:szCs w:val="20"/>
              </w:rPr>
              <w:t>adjusted to match the 4-week cycles of the model (</w:t>
            </w:r>
            <w:r w:rsidR="00D11BC9">
              <w:rPr>
                <w:noProof/>
                <w:color w:val="000000"/>
                <w:szCs w:val="20"/>
                <w:highlight w:val="black"/>
              </w:rPr>
              <w:t>''''''''''</w:t>
            </w:r>
            <w:r w:rsidRPr="004612D6">
              <w:rPr>
                <w:szCs w:val="20"/>
              </w:rPr>
              <w:t xml:space="preserve">% per cycle). The source of the discontinuation rate was unclear and could not be validated during the evaluation. The assumed discontinuation rates were not considered to be reasonable, as they were </w:t>
            </w:r>
            <w:r w:rsidR="00963390">
              <w:rPr>
                <w:szCs w:val="20"/>
              </w:rPr>
              <w:t>likely to be higher than</w:t>
            </w:r>
            <w:r w:rsidRPr="004612D6">
              <w:rPr>
                <w:szCs w:val="20"/>
              </w:rPr>
              <w:t xml:space="preserve"> the continuation rates</w:t>
            </w:r>
            <w:r w:rsidR="001303C8" w:rsidRPr="004612D6">
              <w:rPr>
                <w:szCs w:val="20"/>
              </w:rPr>
              <w:t xml:space="preserve"> in clinical practice</w:t>
            </w:r>
            <w:r w:rsidRPr="004612D6">
              <w:rPr>
                <w:szCs w:val="20"/>
              </w:rPr>
              <w:t xml:space="preserve"> amongst patients who achieve a response (≥50% reduction in monthly migraine days).</w:t>
            </w:r>
            <w:r w:rsidR="008744CE" w:rsidRPr="004612D6">
              <w:rPr>
                <w:szCs w:val="20"/>
              </w:rPr>
              <w:t xml:space="preserve"> At the end of the 5 year model, only </w:t>
            </w:r>
            <w:r w:rsidR="00D11BC9">
              <w:rPr>
                <w:noProof/>
                <w:color w:val="000000"/>
                <w:szCs w:val="20"/>
                <w:highlight w:val="black"/>
              </w:rPr>
              <w:t>'''''''</w:t>
            </w:r>
            <w:r w:rsidR="008744CE" w:rsidRPr="004612D6">
              <w:rPr>
                <w:szCs w:val="20"/>
              </w:rPr>
              <w:t>% of fremanezumab patients remain on treatment.</w:t>
            </w:r>
          </w:p>
        </w:tc>
        <w:tc>
          <w:tcPr>
            <w:tcW w:w="759" w:type="pct"/>
            <w:shd w:val="clear" w:color="auto" w:fill="auto"/>
            <w:vAlign w:val="center"/>
          </w:tcPr>
          <w:p w:rsidR="001B5B18" w:rsidRPr="004612D6" w:rsidRDefault="00162DBF" w:rsidP="00E3599F">
            <w:pPr>
              <w:pStyle w:val="TableText"/>
              <w:keepNext w:val="0"/>
              <w:rPr>
                <w:szCs w:val="20"/>
              </w:rPr>
            </w:pPr>
            <w:r w:rsidRPr="004612D6">
              <w:rPr>
                <w:szCs w:val="20"/>
              </w:rPr>
              <w:t>Moderate, favours fremanezumab</w:t>
            </w:r>
          </w:p>
        </w:tc>
      </w:tr>
      <w:tr w:rsidR="00200296" w:rsidRPr="004612D6" w:rsidTr="00C134CC">
        <w:tc>
          <w:tcPr>
            <w:tcW w:w="832" w:type="pct"/>
            <w:shd w:val="clear" w:color="auto" w:fill="auto"/>
            <w:vAlign w:val="center"/>
          </w:tcPr>
          <w:p w:rsidR="00200296" w:rsidRPr="004612D6" w:rsidRDefault="00200296" w:rsidP="00E3599F">
            <w:pPr>
              <w:pStyle w:val="TableText"/>
              <w:keepNext w:val="0"/>
              <w:rPr>
                <w:szCs w:val="20"/>
              </w:rPr>
            </w:pPr>
            <w:r w:rsidRPr="004612D6">
              <w:rPr>
                <w:szCs w:val="20"/>
              </w:rPr>
              <w:t>Utilities</w:t>
            </w:r>
          </w:p>
        </w:tc>
        <w:tc>
          <w:tcPr>
            <w:tcW w:w="3409" w:type="pct"/>
            <w:shd w:val="clear" w:color="auto" w:fill="auto"/>
            <w:vAlign w:val="center"/>
          </w:tcPr>
          <w:p w:rsidR="00200296" w:rsidRPr="00742CD6" w:rsidRDefault="002D58A5" w:rsidP="00E3599F">
            <w:pPr>
              <w:pStyle w:val="TableText"/>
              <w:keepNext w:val="0"/>
              <w:rPr>
                <w:szCs w:val="20"/>
              </w:rPr>
            </w:pPr>
            <w:r w:rsidRPr="00742CD6">
              <w:rPr>
                <w:szCs w:val="20"/>
              </w:rPr>
              <w:t>Utilities</w:t>
            </w:r>
            <w:r w:rsidR="00924CCF" w:rsidRPr="00742CD6">
              <w:rPr>
                <w:szCs w:val="20"/>
              </w:rPr>
              <w:t xml:space="preserve"> were b</w:t>
            </w:r>
            <w:r w:rsidR="009324B9" w:rsidRPr="00742CD6">
              <w:rPr>
                <w:szCs w:val="20"/>
              </w:rPr>
              <w:t xml:space="preserve">ased on </w:t>
            </w:r>
            <w:r w:rsidR="00564A84" w:rsidRPr="00742CD6">
              <w:rPr>
                <w:szCs w:val="20"/>
              </w:rPr>
              <w:t>MSQ</w:t>
            </w:r>
            <w:r w:rsidR="00454434" w:rsidRPr="00742CD6">
              <w:rPr>
                <w:szCs w:val="20"/>
              </w:rPr>
              <w:t xml:space="preserve"> data (baseline, W</w:t>
            </w:r>
            <w:r w:rsidR="009324B9" w:rsidRPr="00742CD6">
              <w:rPr>
                <w:szCs w:val="20"/>
              </w:rPr>
              <w:t xml:space="preserve">eeks 4 and 12) from Study 30068. </w:t>
            </w:r>
            <w:r w:rsidR="00DA1BC6" w:rsidRPr="00742CD6">
              <w:rPr>
                <w:szCs w:val="20"/>
              </w:rPr>
              <w:t xml:space="preserve">The </w:t>
            </w:r>
            <w:r w:rsidR="00564A84" w:rsidRPr="00742CD6">
              <w:rPr>
                <w:szCs w:val="20"/>
              </w:rPr>
              <w:t>MSQ</w:t>
            </w:r>
            <w:r w:rsidR="009324B9" w:rsidRPr="00742CD6">
              <w:rPr>
                <w:szCs w:val="20"/>
              </w:rPr>
              <w:t xml:space="preserve"> scores in </w:t>
            </w:r>
            <w:r w:rsidR="00DA1BC6" w:rsidRPr="00742CD6">
              <w:rPr>
                <w:szCs w:val="20"/>
              </w:rPr>
              <w:t>Study 30068 (at baseline, and Weeks 4 and 12)</w:t>
            </w:r>
            <w:r w:rsidR="009324B9" w:rsidRPr="00742CD6">
              <w:rPr>
                <w:szCs w:val="20"/>
              </w:rPr>
              <w:t xml:space="preserve"> were mapped to the EQ-5D-3L (UK set) using the chronic migraine ‘simple’ algorithm </w:t>
            </w:r>
            <w:r w:rsidR="00BC4ABF" w:rsidRPr="00742CD6">
              <w:rPr>
                <w:szCs w:val="20"/>
              </w:rPr>
              <w:t xml:space="preserve">published by </w:t>
            </w:r>
            <w:r w:rsidR="009324B9" w:rsidRPr="00742CD6">
              <w:rPr>
                <w:szCs w:val="20"/>
              </w:rPr>
              <w:t xml:space="preserve">Gillard </w:t>
            </w:r>
            <w:r w:rsidR="00BC4ABF" w:rsidRPr="00742CD6">
              <w:rPr>
                <w:szCs w:val="20"/>
              </w:rPr>
              <w:t>et al. (</w:t>
            </w:r>
            <w:r w:rsidR="00E54B5A" w:rsidRPr="00742CD6">
              <w:rPr>
                <w:szCs w:val="20"/>
              </w:rPr>
              <w:t xml:space="preserve">2012). The submission did not adequately justify the need for a complex mapping approach given </w:t>
            </w:r>
            <w:r w:rsidR="00454434" w:rsidRPr="00742CD6">
              <w:rPr>
                <w:szCs w:val="20"/>
              </w:rPr>
              <w:t xml:space="preserve">that data for </w:t>
            </w:r>
            <w:r w:rsidR="00E54B5A" w:rsidRPr="00742CD6">
              <w:rPr>
                <w:szCs w:val="20"/>
              </w:rPr>
              <w:t>the EQ-5D-5L instrument were collected in the trial. Baseline results for the EQ-5D-5L questionnaire and results for the change from baseline were not presented in the submission.</w:t>
            </w:r>
            <w:r w:rsidR="00DF6EC0" w:rsidRPr="00742CD6">
              <w:rPr>
                <w:szCs w:val="20"/>
              </w:rPr>
              <w:t xml:space="preserve"> The ESC considered that the EQ-5D-5L results by responder status </w:t>
            </w:r>
            <w:r w:rsidR="00B31C5B" w:rsidRPr="00742CD6">
              <w:rPr>
                <w:szCs w:val="20"/>
              </w:rPr>
              <w:t xml:space="preserve">would have been informative and </w:t>
            </w:r>
            <w:r w:rsidR="00DF6EC0" w:rsidRPr="00742CD6">
              <w:rPr>
                <w:szCs w:val="20"/>
              </w:rPr>
              <w:t>should</w:t>
            </w:r>
            <w:r w:rsidR="00B31C5B" w:rsidRPr="00742CD6">
              <w:rPr>
                <w:szCs w:val="20"/>
              </w:rPr>
              <w:t xml:space="preserve"> have been provided with the submission</w:t>
            </w:r>
            <w:r w:rsidR="00DF6EC0" w:rsidRPr="00742CD6">
              <w:rPr>
                <w:szCs w:val="20"/>
              </w:rPr>
              <w:t>.</w:t>
            </w:r>
            <w:r w:rsidR="00E54B5A" w:rsidRPr="00742CD6">
              <w:rPr>
                <w:szCs w:val="20"/>
              </w:rPr>
              <w:t xml:space="preserve"> </w:t>
            </w:r>
            <w:r w:rsidR="00F35A16" w:rsidRPr="00742CD6">
              <w:rPr>
                <w:szCs w:val="20"/>
              </w:rPr>
              <w:t>An ‘on treatment’ utility estimate was used for patients remaining on treatment in both the fremanezumab and placebo arms, and the ‘off treatment’ utility estimate was applied to all patients who had discontinued treatment.</w:t>
            </w:r>
            <w:r w:rsidR="008744CE" w:rsidRPr="00742CD6">
              <w:rPr>
                <w:szCs w:val="20"/>
              </w:rPr>
              <w:t xml:space="preserve"> The </w:t>
            </w:r>
            <w:r w:rsidR="00A35132" w:rsidRPr="00742CD6">
              <w:rPr>
                <w:szCs w:val="20"/>
              </w:rPr>
              <w:t xml:space="preserve">ESC agreed with the evaluation that </w:t>
            </w:r>
            <w:r w:rsidR="008744CE" w:rsidRPr="00742CD6">
              <w:rPr>
                <w:szCs w:val="20"/>
              </w:rPr>
              <w:t xml:space="preserve">inclusion of a utility difference for being </w:t>
            </w:r>
            <w:r w:rsidR="00651C27" w:rsidRPr="00742CD6">
              <w:rPr>
                <w:szCs w:val="20"/>
              </w:rPr>
              <w:t>‘</w:t>
            </w:r>
            <w:r w:rsidR="008744CE" w:rsidRPr="00742CD6">
              <w:rPr>
                <w:szCs w:val="20"/>
              </w:rPr>
              <w:t>on treatment</w:t>
            </w:r>
            <w:r w:rsidR="00651C27" w:rsidRPr="00742CD6">
              <w:rPr>
                <w:szCs w:val="20"/>
              </w:rPr>
              <w:t>’</w:t>
            </w:r>
            <w:r w:rsidR="008744CE" w:rsidRPr="00742CD6">
              <w:rPr>
                <w:szCs w:val="20"/>
              </w:rPr>
              <w:t xml:space="preserve"> versus </w:t>
            </w:r>
            <w:r w:rsidR="00651C27" w:rsidRPr="00742CD6">
              <w:rPr>
                <w:szCs w:val="20"/>
              </w:rPr>
              <w:t>‘</w:t>
            </w:r>
            <w:r w:rsidR="008744CE" w:rsidRPr="00742CD6">
              <w:rPr>
                <w:szCs w:val="20"/>
              </w:rPr>
              <w:t>off treatment</w:t>
            </w:r>
            <w:r w:rsidR="00651C27" w:rsidRPr="00742CD6">
              <w:rPr>
                <w:szCs w:val="20"/>
              </w:rPr>
              <w:t>’</w:t>
            </w:r>
            <w:r w:rsidR="008744CE" w:rsidRPr="00742CD6">
              <w:rPr>
                <w:szCs w:val="20"/>
              </w:rPr>
              <w:t xml:space="preserve"> was not adequately justified. There is unlikely to be any difference in quality of life due to treatment status alone.</w:t>
            </w:r>
          </w:p>
        </w:tc>
        <w:tc>
          <w:tcPr>
            <w:tcW w:w="759" w:type="pct"/>
            <w:shd w:val="clear" w:color="auto" w:fill="auto"/>
            <w:vAlign w:val="center"/>
          </w:tcPr>
          <w:p w:rsidR="00200296" w:rsidRPr="004612D6" w:rsidRDefault="00162DBF" w:rsidP="00E3599F">
            <w:pPr>
              <w:pStyle w:val="TableText"/>
              <w:keepNext w:val="0"/>
              <w:rPr>
                <w:szCs w:val="20"/>
              </w:rPr>
            </w:pPr>
            <w:r w:rsidRPr="004612D6">
              <w:rPr>
                <w:szCs w:val="20"/>
              </w:rPr>
              <w:t>Moderate, favours fremanezumab</w:t>
            </w:r>
          </w:p>
        </w:tc>
      </w:tr>
      <w:tr w:rsidR="001B5B18" w:rsidRPr="004612D6" w:rsidTr="00C134CC">
        <w:tc>
          <w:tcPr>
            <w:tcW w:w="832" w:type="pct"/>
            <w:shd w:val="clear" w:color="auto" w:fill="auto"/>
            <w:vAlign w:val="center"/>
          </w:tcPr>
          <w:p w:rsidR="001B5B18" w:rsidRPr="004612D6" w:rsidRDefault="001B5B18" w:rsidP="00E3599F">
            <w:pPr>
              <w:pStyle w:val="TableText"/>
              <w:keepNext w:val="0"/>
              <w:rPr>
                <w:szCs w:val="20"/>
              </w:rPr>
            </w:pPr>
            <w:r w:rsidRPr="004612D6">
              <w:rPr>
                <w:szCs w:val="20"/>
              </w:rPr>
              <w:t>Monthly migraine days distributions</w:t>
            </w:r>
          </w:p>
        </w:tc>
        <w:tc>
          <w:tcPr>
            <w:tcW w:w="3409" w:type="pct"/>
            <w:shd w:val="clear" w:color="auto" w:fill="auto"/>
            <w:vAlign w:val="center"/>
          </w:tcPr>
          <w:p w:rsidR="001B5B18" w:rsidRPr="00742CD6" w:rsidRDefault="00BC4ABF" w:rsidP="00E3599F">
            <w:pPr>
              <w:pStyle w:val="TableText"/>
              <w:keepNext w:val="0"/>
              <w:rPr>
                <w:szCs w:val="20"/>
              </w:rPr>
            </w:pPr>
            <w:r w:rsidRPr="00742CD6">
              <w:rPr>
                <w:szCs w:val="20"/>
              </w:rPr>
              <w:t>A beta binomial model was used to estimate the distribution of monthly migraine days around the mean monthly migraine days at baseline and during treatment. No</w:t>
            </w:r>
            <w:r w:rsidR="00A01A23">
              <w:rPr>
                <w:szCs w:val="20"/>
              </w:rPr>
              <w:t xml:space="preserve"> </w:t>
            </w:r>
            <w:r w:rsidRPr="00742CD6">
              <w:rPr>
                <w:szCs w:val="20"/>
              </w:rPr>
              <w:t>models</w:t>
            </w:r>
            <w:r w:rsidR="001E519C" w:rsidRPr="00742CD6">
              <w:rPr>
                <w:szCs w:val="20"/>
              </w:rPr>
              <w:t xml:space="preserve"> based on Study 30068 data </w:t>
            </w:r>
            <w:r w:rsidRPr="00742CD6">
              <w:rPr>
                <w:szCs w:val="20"/>
              </w:rPr>
              <w:t>were provided in the submission. Due to th</w:t>
            </w:r>
            <w:r w:rsidR="006D003C" w:rsidRPr="00742CD6">
              <w:rPr>
                <w:szCs w:val="20"/>
              </w:rPr>
              <w:t>e structure of the model,</w:t>
            </w:r>
            <w:r w:rsidRPr="00742CD6">
              <w:rPr>
                <w:szCs w:val="20"/>
              </w:rPr>
              <w:t xml:space="preserve"> it was not possible to test the impact of using alternative distribution models for monthly migraine days.</w:t>
            </w:r>
            <w:r w:rsidR="00E73E50" w:rsidRPr="00742CD6">
              <w:rPr>
                <w:szCs w:val="20"/>
              </w:rPr>
              <w:t xml:space="preserve"> </w:t>
            </w:r>
            <w:r w:rsidR="00B31C5B" w:rsidRPr="00742CD6">
              <w:rPr>
                <w:szCs w:val="20"/>
              </w:rPr>
              <w:t xml:space="preserve">The PSCR considered the distribution used addressed the PBAC’s concern regarding implausible responder distributions observed in the erenumab economic model (erenumab, March 2019 PSD). </w:t>
            </w:r>
            <w:r w:rsidR="00A35132" w:rsidRPr="00742CD6">
              <w:rPr>
                <w:szCs w:val="20"/>
              </w:rPr>
              <w:t xml:space="preserve">The ESC considered the method for modelling the data was not well justified but noted </w:t>
            </w:r>
            <w:r w:rsidR="00C65CF9">
              <w:rPr>
                <w:szCs w:val="20"/>
              </w:rPr>
              <w:t>t</w:t>
            </w:r>
            <w:r w:rsidR="00A35132" w:rsidRPr="00742CD6">
              <w:rPr>
                <w:szCs w:val="20"/>
              </w:rPr>
              <w:t>he responder distributions appeared reasonable. The ESC considered it would have been informative to provide an analysis based on patient level data.</w:t>
            </w:r>
          </w:p>
        </w:tc>
        <w:tc>
          <w:tcPr>
            <w:tcW w:w="759" w:type="pct"/>
            <w:shd w:val="clear" w:color="auto" w:fill="auto"/>
            <w:vAlign w:val="center"/>
          </w:tcPr>
          <w:p w:rsidR="001B5B18" w:rsidRPr="004612D6" w:rsidRDefault="00162DBF" w:rsidP="00E3599F">
            <w:pPr>
              <w:pStyle w:val="TableText"/>
              <w:keepNext w:val="0"/>
              <w:rPr>
                <w:szCs w:val="20"/>
              </w:rPr>
            </w:pPr>
            <w:r w:rsidRPr="004612D6">
              <w:rPr>
                <w:szCs w:val="20"/>
              </w:rPr>
              <w:t>Unclear</w:t>
            </w:r>
          </w:p>
        </w:tc>
      </w:tr>
      <w:tr w:rsidR="001B5B18" w:rsidRPr="004612D6" w:rsidTr="00C134CC">
        <w:tc>
          <w:tcPr>
            <w:tcW w:w="832" w:type="pct"/>
            <w:shd w:val="clear" w:color="auto" w:fill="auto"/>
            <w:vAlign w:val="center"/>
          </w:tcPr>
          <w:p w:rsidR="001B5B18" w:rsidRPr="004612D6" w:rsidRDefault="00BC4ABF" w:rsidP="00E3599F">
            <w:pPr>
              <w:pStyle w:val="TableText"/>
              <w:keepNext w:val="0"/>
              <w:rPr>
                <w:szCs w:val="20"/>
              </w:rPr>
            </w:pPr>
            <w:r w:rsidRPr="004612D6">
              <w:rPr>
                <w:szCs w:val="20"/>
              </w:rPr>
              <w:t>Health r</w:t>
            </w:r>
            <w:r w:rsidR="001B5B18" w:rsidRPr="004612D6">
              <w:rPr>
                <w:szCs w:val="20"/>
              </w:rPr>
              <w:t>esource use</w:t>
            </w:r>
          </w:p>
        </w:tc>
        <w:tc>
          <w:tcPr>
            <w:tcW w:w="3409" w:type="pct"/>
            <w:shd w:val="clear" w:color="auto" w:fill="auto"/>
            <w:vAlign w:val="center"/>
          </w:tcPr>
          <w:p w:rsidR="001B5B18" w:rsidRPr="00742CD6" w:rsidRDefault="00162DBF" w:rsidP="00E3599F">
            <w:pPr>
              <w:pStyle w:val="TableText"/>
              <w:keepNext w:val="0"/>
              <w:rPr>
                <w:szCs w:val="20"/>
              </w:rPr>
            </w:pPr>
            <w:r w:rsidRPr="00742CD6">
              <w:rPr>
                <w:szCs w:val="20"/>
              </w:rPr>
              <w:t xml:space="preserve">Resource use (GP visits, Specialist visits, Nurse Practitioner visits, Emergency Department visits, hospitalisations, triptan use) by monthly migraine day categories </w:t>
            </w:r>
            <w:r w:rsidR="00454434" w:rsidRPr="00742CD6">
              <w:rPr>
                <w:szCs w:val="20"/>
              </w:rPr>
              <w:t xml:space="preserve">was </w:t>
            </w:r>
            <w:r w:rsidRPr="00742CD6">
              <w:rPr>
                <w:szCs w:val="20"/>
              </w:rPr>
              <w:t xml:space="preserve">based on the distribution used in the UK erenumab submission to NICE, with adjustments applied for the Australian population. The </w:t>
            </w:r>
            <w:r w:rsidR="00575713" w:rsidRPr="00742CD6">
              <w:rPr>
                <w:szCs w:val="20"/>
              </w:rPr>
              <w:t xml:space="preserve">ESC agreed with the evaluation that the </w:t>
            </w:r>
            <w:r w:rsidRPr="00742CD6">
              <w:rPr>
                <w:szCs w:val="20"/>
              </w:rPr>
              <w:t>complex, multi-step approach used in the submission to derive resource utilisation estimates was difficult to interpret</w:t>
            </w:r>
            <w:r w:rsidR="000D6CFA" w:rsidRPr="00742CD6">
              <w:rPr>
                <w:szCs w:val="20"/>
              </w:rPr>
              <w:t xml:space="preserve"> and included some inappropriate cost categories (e.g. nurse practitioner) for the Australian context</w:t>
            </w:r>
            <w:r w:rsidR="00835FF3" w:rsidRPr="00742CD6">
              <w:rPr>
                <w:szCs w:val="20"/>
              </w:rPr>
              <w:t>.</w:t>
            </w:r>
          </w:p>
        </w:tc>
        <w:tc>
          <w:tcPr>
            <w:tcW w:w="759" w:type="pct"/>
            <w:shd w:val="clear" w:color="auto" w:fill="auto"/>
            <w:vAlign w:val="center"/>
          </w:tcPr>
          <w:p w:rsidR="001B5B18" w:rsidRPr="004612D6" w:rsidRDefault="00162DBF" w:rsidP="00E3599F">
            <w:pPr>
              <w:pStyle w:val="TableText"/>
              <w:keepNext w:val="0"/>
              <w:rPr>
                <w:szCs w:val="20"/>
              </w:rPr>
            </w:pPr>
            <w:r w:rsidRPr="004612D6">
              <w:rPr>
                <w:szCs w:val="20"/>
              </w:rPr>
              <w:t>Moderate, favours fremanezumab</w:t>
            </w:r>
          </w:p>
        </w:tc>
      </w:tr>
      <w:tr w:rsidR="001B5B18" w:rsidRPr="004612D6" w:rsidTr="00C134CC">
        <w:tc>
          <w:tcPr>
            <w:tcW w:w="832" w:type="pct"/>
            <w:shd w:val="clear" w:color="auto" w:fill="auto"/>
            <w:vAlign w:val="center"/>
          </w:tcPr>
          <w:p w:rsidR="001B5B18" w:rsidRPr="004612D6" w:rsidRDefault="001B5B18" w:rsidP="00E3599F">
            <w:pPr>
              <w:pStyle w:val="TableText"/>
              <w:keepNext w:val="0"/>
              <w:rPr>
                <w:szCs w:val="20"/>
              </w:rPr>
            </w:pPr>
            <w:r w:rsidRPr="004612D6">
              <w:rPr>
                <w:szCs w:val="20"/>
              </w:rPr>
              <w:t>Extrapolation</w:t>
            </w:r>
          </w:p>
        </w:tc>
        <w:tc>
          <w:tcPr>
            <w:tcW w:w="3409" w:type="pct"/>
            <w:shd w:val="clear" w:color="auto" w:fill="auto"/>
            <w:vAlign w:val="center"/>
          </w:tcPr>
          <w:p w:rsidR="001B5B18" w:rsidRPr="00742CD6" w:rsidRDefault="00BC4ABF" w:rsidP="00E3599F">
            <w:pPr>
              <w:pStyle w:val="TableText"/>
              <w:keepNext w:val="0"/>
              <w:rPr>
                <w:szCs w:val="20"/>
              </w:rPr>
            </w:pPr>
            <w:r w:rsidRPr="00742CD6">
              <w:rPr>
                <w:szCs w:val="20"/>
              </w:rPr>
              <w:t>The economic model assumed that patients who achieve a response (≥50% reduction in monthly migraine days from baseline) in the fremanezumab and placebo arms of the trial will maintain the response over the five years of the model.</w:t>
            </w:r>
            <w:r w:rsidR="008744CE" w:rsidRPr="00742CD6">
              <w:rPr>
                <w:szCs w:val="20"/>
              </w:rPr>
              <w:t xml:space="preserve"> This assumption was uncertain given that lack of longer-term comparative effectiveness data for fremanezumab.</w:t>
            </w:r>
            <w:r w:rsidR="00E73E50" w:rsidRPr="00742CD6">
              <w:rPr>
                <w:szCs w:val="20"/>
              </w:rPr>
              <w:t xml:space="preserve"> </w:t>
            </w:r>
          </w:p>
        </w:tc>
        <w:tc>
          <w:tcPr>
            <w:tcW w:w="759" w:type="pct"/>
            <w:shd w:val="clear" w:color="auto" w:fill="auto"/>
            <w:vAlign w:val="center"/>
          </w:tcPr>
          <w:p w:rsidR="001B5B18" w:rsidRPr="00742CD6" w:rsidRDefault="00E73E50" w:rsidP="00E3599F">
            <w:pPr>
              <w:pStyle w:val="TableText"/>
              <w:keepNext w:val="0"/>
              <w:rPr>
                <w:szCs w:val="20"/>
              </w:rPr>
            </w:pPr>
            <w:r w:rsidRPr="00742CD6">
              <w:rPr>
                <w:szCs w:val="20"/>
              </w:rPr>
              <w:t>Likely h</w:t>
            </w:r>
            <w:r w:rsidR="00BC4ABF" w:rsidRPr="00742CD6">
              <w:rPr>
                <w:szCs w:val="20"/>
              </w:rPr>
              <w:t>igh, favours fremanezumab</w:t>
            </w:r>
          </w:p>
        </w:tc>
      </w:tr>
    </w:tbl>
    <w:p w:rsidR="00E37424" w:rsidRPr="006258D8" w:rsidRDefault="00E37424" w:rsidP="00021367">
      <w:pPr>
        <w:pStyle w:val="TableFigureFooter"/>
      </w:pPr>
      <w:r w:rsidRPr="006258D8">
        <w:t xml:space="preserve">Source: </w:t>
      </w:r>
      <w:r w:rsidR="00C0345A" w:rsidRPr="006258D8">
        <w:t xml:space="preserve">Compiled </w:t>
      </w:r>
      <w:r w:rsidR="00C0345A" w:rsidRPr="00A35132">
        <w:t>using Section 3</w:t>
      </w:r>
      <w:r w:rsidR="00C0345A" w:rsidRPr="006258D8">
        <w:t xml:space="preserve"> of the submission.</w:t>
      </w:r>
    </w:p>
    <w:p w:rsidR="00C0345A" w:rsidRPr="006258D8" w:rsidRDefault="00C0345A" w:rsidP="00021367">
      <w:pPr>
        <w:pStyle w:val="TableFigureFooter"/>
      </w:pPr>
      <w:r w:rsidRPr="006258D8">
        <w:t xml:space="preserve">Abbreviations: EQ-5D-3L, EuroQol 5-Dimension 3-Level; </w:t>
      </w:r>
      <w:r w:rsidR="00564A84">
        <w:t>MSQ</w:t>
      </w:r>
      <w:r w:rsidRPr="006258D8">
        <w:t>, Migraine-</w:t>
      </w:r>
      <w:r w:rsidR="00433E00" w:rsidRPr="006258D8">
        <w:t>Specific</w:t>
      </w:r>
      <w:r w:rsidRPr="006258D8">
        <w:t xml:space="preserve"> Quality of Life Questionnaire.</w:t>
      </w:r>
    </w:p>
    <w:p w:rsidR="00864368" w:rsidRPr="006258D8" w:rsidRDefault="002D448D" w:rsidP="000F2EE3">
      <w:pPr>
        <w:pStyle w:val="3-BodyText"/>
        <w:rPr>
          <w:rStyle w:val="CommentReference"/>
          <w:sz w:val="24"/>
          <w:szCs w:val="24"/>
        </w:rPr>
      </w:pPr>
      <w:r w:rsidRPr="006258D8">
        <w:rPr>
          <w:rStyle w:val="CommentReference"/>
          <w:sz w:val="24"/>
          <w:szCs w:val="24"/>
        </w:rPr>
        <w:t xml:space="preserve">Table </w:t>
      </w:r>
      <w:r w:rsidR="001B5B18" w:rsidRPr="006258D8">
        <w:rPr>
          <w:rStyle w:val="CommentReference"/>
          <w:sz w:val="24"/>
          <w:szCs w:val="24"/>
        </w:rPr>
        <w:t>1</w:t>
      </w:r>
      <w:r w:rsidR="00C65CF9">
        <w:rPr>
          <w:rStyle w:val="CommentReference"/>
          <w:sz w:val="24"/>
          <w:szCs w:val="24"/>
        </w:rPr>
        <w:t>5</w:t>
      </w:r>
      <w:r w:rsidRPr="006258D8">
        <w:rPr>
          <w:rStyle w:val="CommentReference"/>
          <w:sz w:val="24"/>
          <w:szCs w:val="24"/>
        </w:rPr>
        <w:t xml:space="preserve"> presents the results of the economic evaluation for fremanezumab versus </w:t>
      </w:r>
      <w:r w:rsidR="00070838">
        <w:rPr>
          <w:rStyle w:val="CommentReference"/>
          <w:sz w:val="24"/>
          <w:szCs w:val="24"/>
        </w:rPr>
        <w:t>BSC</w:t>
      </w:r>
      <w:r w:rsidRPr="006258D8">
        <w:rPr>
          <w:rStyle w:val="CommentReference"/>
          <w:sz w:val="24"/>
          <w:szCs w:val="24"/>
        </w:rPr>
        <w:t xml:space="preserve"> (placebo) for the base case.</w:t>
      </w:r>
    </w:p>
    <w:p w:rsidR="00952375" w:rsidRDefault="00952375" w:rsidP="00021367">
      <w:pPr>
        <w:pStyle w:val="TableFigureHeading"/>
      </w:pPr>
      <w:r>
        <w:t xml:space="preserve">Table </w:t>
      </w:r>
      <w:r w:rsidR="009D4178">
        <w:rPr>
          <w:noProof/>
        </w:rPr>
        <w:t>15</w:t>
      </w:r>
      <w:r w:rsidRPr="007B2586">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economic evaluation"/>
      </w:tblPr>
      <w:tblGrid>
        <w:gridCol w:w="2759"/>
        <w:gridCol w:w="2451"/>
        <w:gridCol w:w="2297"/>
        <w:gridCol w:w="1509"/>
      </w:tblGrid>
      <w:tr w:rsidR="002D448D" w:rsidRPr="006258D8" w:rsidTr="00DE29EB">
        <w:tc>
          <w:tcPr>
            <w:tcW w:w="1530" w:type="pct"/>
            <w:vAlign w:val="center"/>
          </w:tcPr>
          <w:p w:rsidR="002D448D" w:rsidRPr="006258D8" w:rsidRDefault="002D448D" w:rsidP="00021367">
            <w:pPr>
              <w:pStyle w:val="Tabletext0"/>
              <w:rPr>
                <w:b/>
              </w:rPr>
            </w:pPr>
          </w:p>
        </w:tc>
        <w:tc>
          <w:tcPr>
            <w:tcW w:w="1359" w:type="pct"/>
          </w:tcPr>
          <w:p w:rsidR="002D448D" w:rsidRPr="006258D8" w:rsidRDefault="002D448D" w:rsidP="00021367">
            <w:pPr>
              <w:pStyle w:val="Tabletext0"/>
              <w:jc w:val="center"/>
              <w:rPr>
                <w:b/>
              </w:rPr>
            </w:pPr>
            <w:r w:rsidRPr="006258D8">
              <w:rPr>
                <w:b/>
              </w:rPr>
              <w:t>Fremanezumab</w:t>
            </w:r>
          </w:p>
        </w:tc>
        <w:tc>
          <w:tcPr>
            <w:tcW w:w="1274" w:type="pct"/>
          </w:tcPr>
          <w:p w:rsidR="002D448D" w:rsidRPr="006258D8" w:rsidRDefault="002D448D" w:rsidP="00021367">
            <w:pPr>
              <w:pStyle w:val="Tabletext0"/>
              <w:jc w:val="center"/>
              <w:rPr>
                <w:b/>
              </w:rPr>
            </w:pPr>
            <w:r w:rsidRPr="006258D8">
              <w:rPr>
                <w:b/>
              </w:rPr>
              <w:t>Placebo/BSC</w:t>
            </w:r>
          </w:p>
        </w:tc>
        <w:tc>
          <w:tcPr>
            <w:tcW w:w="837" w:type="pct"/>
          </w:tcPr>
          <w:p w:rsidR="002D448D" w:rsidRPr="006258D8" w:rsidRDefault="002D448D" w:rsidP="00021367">
            <w:pPr>
              <w:pStyle w:val="Tabletext0"/>
              <w:jc w:val="center"/>
              <w:rPr>
                <w:b/>
              </w:rPr>
            </w:pPr>
            <w:r w:rsidRPr="006258D8">
              <w:rPr>
                <w:b/>
              </w:rPr>
              <w:t>Increment</w:t>
            </w:r>
          </w:p>
        </w:tc>
      </w:tr>
      <w:tr w:rsidR="002D448D" w:rsidRPr="006258D8" w:rsidTr="00DE29EB">
        <w:tc>
          <w:tcPr>
            <w:tcW w:w="1530" w:type="pct"/>
            <w:vAlign w:val="center"/>
          </w:tcPr>
          <w:p w:rsidR="002D448D" w:rsidRPr="006258D8" w:rsidRDefault="002D448D" w:rsidP="00021367">
            <w:pPr>
              <w:pStyle w:val="Tabletext0"/>
              <w:rPr>
                <w:rFonts w:ascii="Times" w:hAnsi="Times"/>
              </w:rPr>
            </w:pPr>
            <w:r w:rsidRPr="006258D8">
              <w:t>Costs</w:t>
            </w:r>
          </w:p>
        </w:tc>
        <w:tc>
          <w:tcPr>
            <w:tcW w:w="1359" w:type="pct"/>
          </w:tcPr>
          <w:p w:rsidR="002D448D" w:rsidRPr="006258D8" w:rsidRDefault="002D448D" w:rsidP="00021367">
            <w:pPr>
              <w:pStyle w:val="Tabletext0"/>
              <w:jc w:val="center"/>
            </w:pPr>
            <w:r w:rsidRPr="006258D8">
              <w:t>$</w:t>
            </w:r>
            <w:r w:rsidR="00D11BC9">
              <w:rPr>
                <w:noProof/>
                <w:color w:val="000000"/>
                <w:highlight w:val="black"/>
              </w:rPr>
              <w:t>'''''''''''''''''</w:t>
            </w:r>
          </w:p>
        </w:tc>
        <w:tc>
          <w:tcPr>
            <w:tcW w:w="1274" w:type="pct"/>
          </w:tcPr>
          <w:p w:rsidR="002D448D" w:rsidRPr="006258D8" w:rsidRDefault="002D448D" w:rsidP="00021367">
            <w:pPr>
              <w:pStyle w:val="Tabletext0"/>
              <w:jc w:val="center"/>
            </w:pPr>
            <w:r w:rsidRPr="006258D8">
              <w:t>$</w:t>
            </w:r>
            <w:r w:rsidR="00D11BC9">
              <w:rPr>
                <w:noProof/>
                <w:color w:val="000000"/>
                <w:highlight w:val="black"/>
              </w:rPr>
              <w:t>'''''''''''''''</w:t>
            </w:r>
          </w:p>
        </w:tc>
        <w:tc>
          <w:tcPr>
            <w:tcW w:w="837" w:type="pct"/>
          </w:tcPr>
          <w:p w:rsidR="002D448D" w:rsidRPr="006258D8" w:rsidRDefault="002D448D" w:rsidP="00021367">
            <w:pPr>
              <w:pStyle w:val="Tabletext0"/>
              <w:jc w:val="center"/>
            </w:pPr>
            <w:r w:rsidRPr="006258D8">
              <w:t>$</w:t>
            </w:r>
            <w:r w:rsidR="00D11BC9">
              <w:rPr>
                <w:noProof/>
                <w:color w:val="000000"/>
                <w:highlight w:val="black"/>
              </w:rPr>
              <w:t>''''''''''''</w:t>
            </w:r>
          </w:p>
        </w:tc>
      </w:tr>
      <w:tr w:rsidR="00B372B2" w:rsidRPr="006258D8" w:rsidTr="00DE29EB">
        <w:tc>
          <w:tcPr>
            <w:tcW w:w="1530" w:type="pct"/>
            <w:vAlign w:val="center"/>
          </w:tcPr>
          <w:p w:rsidR="00B372B2" w:rsidRPr="006258D8" w:rsidRDefault="00B372B2" w:rsidP="00B372B2">
            <w:pPr>
              <w:pStyle w:val="Tabletext0"/>
            </w:pPr>
            <w:r w:rsidRPr="006258D8">
              <w:t>Migraine days</w:t>
            </w:r>
          </w:p>
        </w:tc>
        <w:tc>
          <w:tcPr>
            <w:tcW w:w="1359" w:type="pct"/>
          </w:tcPr>
          <w:p w:rsidR="00B372B2" w:rsidRPr="00D11BC9" w:rsidRDefault="00D11BC9" w:rsidP="00B372B2">
            <w:pPr>
              <w:pStyle w:val="Tabletext0"/>
              <w:jc w:val="center"/>
              <w:rPr>
                <w:highlight w:val="black"/>
              </w:rPr>
            </w:pPr>
            <w:r>
              <w:rPr>
                <w:noProof/>
                <w:color w:val="000000"/>
                <w:highlight w:val="black"/>
              </w:rPr>
              <w:t>''''''''''''</w:t>
            </w:r>
          </w:p>
        </w:tc>
        <w:tc>
          <w:tcPr>
            <w:tcW w:w="1274" w:type="pct"/>
          </w:tcPr>
          <w:p w:rsidR="00B372B2" w:rsidRPr="00D11BC9" w:rsidRDefault="00D11BC9" w:rsidP="00B372B2">
            <w:pPr>
              <w:pStyle w:val="Tabletext0"/>
              <w:jc w:val="center"/>
              <w:rPr>
                <w:highlight w:val="black"/>
              </w:rPr>
            </w:pPr>
            <w:r>
              <w:rPr>
                <w:noProof/>
                <w:color w:val="000000"/>
                <w:highlight w:val="black"/>
              </w:rPr>
              <w:t>''''''''''''''</w:t>
            </w:r>
          </w:p>
        </w:tc>
        <w:tc>
          <w:tcPr>
            <w:tcW w:w="837" w:type="pct"/>
          </w:tcPr>
          <w:p w:rsidR="00B372B2" w:rsidRPr="00D11BC9" w:rsidRDefault="00D11BC9" w:rsidP="00B372B2">
            <w:pPr>
              <w:pStyle w:val="Tabletext0"/>
              <w:jc w:val="center"/>
              <w:rPr>
                <w:highlight w:val="black"/>
              </w:rPr>
            </w:pPr>
            <w:r>
              <w:rPr>
                <w:noProof/>
                <w:color w:val="000000"/>
                <w:highlight w:val="black"/>
              </w:rPr>
              <w:t>''''''''</w:t>
            </w:r>
          </w:p>
        </w:tc>
      </w:tr>
      <w:tr w:rsidR="002D448D" w:rsidRPr="006258D8" w:rsidTr="00DE29EB">
        <w:tc>
          <w:tcPr>
            <w:tcW w:w="1530" w:type="pct"/>
            <w:tcBorders>
              <w:bottom w:val="single" w:sz="4" w:space="0" w:color="auto"/>
            </w:tcBorders>
            <w:vAlign w:val="center"/>
          </w:tcPr>
          <w:p w:rsidR="002D448D" w:rsidRPr="006258D8" w:rsidRDefault="002D448D" w:rsidP="00021367">
            <w:pPr>
              <w:pStyle w:val="Tabletext0"/>
              <w:rPr>
                <w:rFonts w:ascii="Times" w:hAnsi="Times"/>
              </w:rPr>
            </w:pPr>
            <w:r w:rsidRPr="006258D8">
              <w:t>QALYs</w:t>
            </w:r>
          </w:p>
        </w:tc>
        <w:tc>
          <w:tcPr>
            <w:tcW w:w="1359" w:type="pct"/>
            <w:tcBorders>
              <w:top w:val="single" w:sz="4" w:space="0" w:color="auto"/>
              <w:left w:val="single" w:sz="4" w:space="0" w:color="auto"/>
              <w:bottom w:val="single" w:sz="4" w:space="0" w:color="auto"/>
              <w:right w:val="single" w:sz="4" w:space="0" w:color="auto"/>
            </w:tcBorders>
          </w:tcPr>
          <w:p w:rsidR="002D448D" w:rsidRPr="00D11BC9" w:rsidRDefault="00D11BC9" w:rsidP="00021367">
            <w:pPr>
              <w:pStyle w:val="Tabletext0"/>
              <w:jc w:val="center"/>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tcPr>
          <w:p w:rsidR="002D448D" w:rsidRPr="00D11BC9" w:rsidRDefault="00D11BC9" w:rsidP="00021367">
            <w:pPr>
              <w:pStyle w:val="Tabletext0"/>
              <w:jc w:val="center"/>
              <w:rPr>
                <w:highlight w:val="black"/>
              </w:rPr>
            </w:pPr>
            <w:r>
              <w:rPr>
                <w:noProof/>
                <w:color w:val="000000"/>
                <w:highlight w:val="black"/>
              </w:rPr>
              <w:t>'''''''''''''''</w:t>
            </w:r>
          </w:p>
        </w:tc>
        <w:tc>
          <w:tcPr>
            <w:tcW w:w="837" w:type="pct"/>
            <w:tcBorders>
              <w:top w:val="single" w:sz="4" w:space="0" w:color="auto"/>
              <w:left w:val="single" w:sz="4" w:space="0" w:color="auto"/>
              <w:bottom w:val="single" w:sz="4" w:space="0" w:color="auto"/>
              <w:right w:val="single" w:sz="4" w:space="0" w:color="auto"/>
            </w:tcBorders>
          </w:tcPr>
          <w:p w:rsidR="002D448D" w:rsidRPr="00D11BC9" w:rsidRDefault="00D11BC9" w:rsidP="00021367">
            <w:pPr>
              <w:pStyle w:val="Tabletext0"/>
              <w:jc w:val="center"/>
              <w:rPr>
                <w:highlight w:val="black"/>
              </w:rPr>
            </w:pPr>
            <w:r>
              <w:rPr>
                <w:noProof/>
                <w:color w:val="000000"/>
                <w:highlight w:val="black"/>
              </w:rPr>
              <w:t>''''''''''''</w:t>
            </w:r>
          </w:p>
        </w:tc>
      </w:tr>
      <w:tr w:rsidR="002D448D" w:rsidRPr="006258D8" w:rsidTr="00DE29EB">
        <w:tc>
          <w:tcPr>
            <w:tcW w:w="4163" w:type="pct"/>
            <w:gridSpan w:val="3"/>
          </w:tcPr>
          <w:p w:rsidR="002D448D" w:rsidRPr="006258D8" w:rsidRDefault="002D448D" w:rsidP="00021367">
            <w:pPr>
              <w:pStyle w:val="Tabletext0"/>
              <w:rPr>
                <w:rFonts w:ascii="Times" w:hAnsi="Times"/>
                <w:b/>
              </w:rPr>
            </w:pPr>
            <w:r w:rsidRPr="006258D8">
              <w:rPr>
                <w:rFonts w:eastAsia="Calibri"/>
                <w:b/>
              </w:rPr>
              <w:t>Incremental cost per migraine day averted</w:t>
            </w:r>
          </w:p>
        </w:tc>
        <w:tc>
          <w:tcPr>
            <w:tcW w:w="837" w:type="pct"/>
            <w:vAlign w:val="center"/>
          </w:tcPr>
          <w:p w:rsidR="002D448D" w:rsidRPr="006258D8" w:rsidRDefault="002D448D" w:rsidP="00021367">
            <w:pPr>
              <w:pStyle w:val="Tabletext0"/>
              <w:jc w:val="center"/>
              <w:rPr>
                <w:b/>
              </w:rPr>
            </w:pPr>
            <w:r w:rsidRPr="006258D8">
              <w:rPr>
                <w:b/>
              </w:rPr>
              <w:t>$</w:t>
            </w:r>
            <w:r w:rsidR="00D11BC9">
              <w:rPr>
                <w:b/>
                <w:noProof/>
                <w:color w:val="000000"/>
                <w:highlight w:val="black"/>
              </w:rPr>
              <w:t>''''''''''</w:t>
            </w:r>
          </w:p>
        </w:tc>
      </w:tr>
      <w:tr w:rsidR="002D448D" w:rsidRPr="006258D8" w:rsidTr="00DE29EB">
        <w:tc>
          <w:tcPr>
            <w:tcW w:w="4163" w:type="pct"/>
            <w:gridSpan w:val="3"/>
          </w:tcPr>
          <w:p w:rsidR="002D448D" w:rsidRPr="006258D8" w:rsidRDefault="002D448D" w:rsidP="00021367">
            <w:pPr>
              <w:pStyle w:val="Tabletext0"/>
              <w:rPr>
                <w:b/>
                <w:vertAlign w:val="superscript"/>
              </w:rPr>
            </w:pPr>
            <w:r w:rsidRPr="006258D8">
              <w:rPr>
                <w:rFonts w:eastAsia="Calibri"/>
                <w:b/>
              </w:rPr>
              <w:t>Incremental cost per QALY gained</w:t>
            </w:r>
            <w:r w:rsidRPr="006258D8">
              <w:rPr>
                <w:rFonts w:eastAsia="Calibri"/>
                <w:b/>
                <w:vertAlign w:val="superscript"/>
              </w:rPr>
              <w:t>a</w:t>
            </w:r>
          </w:p>
        </w:tc>
        <w:tc>
          <w:tcPr>
            <w:tcW w:w="837" w:type="pct"/>
            <w:vAlign w:val="center"/>
          </w:tcPr>
          <w:p w:rsidR="002D448D" w:rsidRPr="006258D8" w:rsidRDefault="002D448D" w:rsidP="00021367">
            <w:pPr>
              <w:pStyle w:val="Tabletext0"/>
              <w:jc w:val="center"/>
              <w:rPr>
                <w:b/>
              </w:rPr>
            </w:pPr>
            <w:r w:rsidRPr="006258D8">
              <w:rPr>
                <w:b/>
              </w:rPr>
              <w:t>$</w:t>
            </w:r>
            <w:r w:rsidR="00D11BC9">
              <w:rPr>
                <w:b/>
                <w:noProof/>
                <w:color w:val="000000"/>
                <w:highlight w:val="black"/>
              </w:rPr>
              <w:t>''''''''''''</w:t>
            </w:r>
          </w:p>
        </w:tc>
      </w:tr>
    </w:tbl>
    <w:p w:rsidR="002D448D" w:rsidRPr="006258D8" w:rsidRDefault="002D448D" w:rsidP="00021367">
      <w:pPr>
        <w:pStyle w:val="TableFigureFooter"/>
      </w:pPr>
      <w:r w:rsidRPr="006258D8">
        <w:t xml:space="preserve">Source: </w:t>
      </w:r>
      <w:r w:rsidRPr="004729C8">
        <w:t>Table 3.15, p.227 of the submission.</w:t>
      </w:r>
    </w:p>
    <w:p w:rsidR="002D448D" w:rsidRPr="006258D8" w:rsidRDefault="002D448D" w:rsidP="00021367">
      <w:pPr>
        <w:pStyle w:val="TableFigureFooter"/>
      </w:pPr>
      <w:r w:rsidRPr="006258D8">
        <w:t>Abbreviations: BSC, best supportive care; QALY, quality-adjusted life year.</w:t>
      </w:r>
    </w:p>
    <w:p w:rsidR="002D448D" w:rsidRPr="006258D8" w:rsidRDefault="002D448D" w:rsidP="00021367">
      <w:pPr>
        <w:pStyle w:val="TableFigureFooter"/>
        <w:rPr>
          <w:vertAlign w:val="superscript"/>
        </w:rPr>
      </w:pPr>
      <w:r w:rsidRPr="006258D8">
        <w:rPr>
          <w:vertAlign w:val="superscript"/>
        </w:rPr>
        <w:t xml:space="preserve">a </w:t>
      </w:r>
      <w:r w:rsidRPr="00742CD6">
        <w:t>The incremental cost per QALY reported in the submission differed slightly due to rounding of results in the submission.</w:t>
      </w:r>
    </w:p>
    <w:p w:rsidR="001B5B18" w:rsidRPr="006258D8" w:rsidRDefault="009324B9" w:rsidP="000F2EE3">
      <w:pPr>
        <w:pStyle w:val="3-BodyText"/>
      </w:pPr>
      <w:r w:rsidRPr="006258D8">
        <w:t>The submission estimated that treatment with fremanezumab was associated with an incremental cost per QALY gained of $</w:t>
      </w:r>
      <w:r w:rsidR="00D11BC9">
        <w:rPr>
          <w:noProof/>
          <w:color w:val="000000"/>
          <w:highlight w:val="black"/>
        </w:rPr>
        <w:t>''''''''''''''</w:t>
      </w:r>
      <w:r w:rsidRPr="006258D8">
        <w:rPr>
          <w:b/>
        </w:rPr>
        <w:t xml:space="preserve"> </w:t>
      </w:r>
      <w:r w:rsidRPr="006258D8">
        <w:t xml:space="preserve">compared to </w:t>
      </w:r>
      <w:r w:rsidR="00070838">
        <w:t>BSC</w:t>
      </w:r>
      <w:r w:rsidRPr="006258D8">
        <w:t>.</w:t>
      </w:r>
      <w:r w:rsidR="0090626F">
        <w:t xml:space="preserve"> </w:t>
      </w:r>
    </w:p>
    <w:p w:rsidR="00082DDE" w:rsidRPr="00906E2E" w:rsidRDefault="00644F90" w:rsidP="000F2EE3">
      <w:pPr>
        <w:pStyle w:val="3-BodyText"/>
      </w:pPr>
      <w:r w:rsidRPr="006258D8">
        <w:t xml:space="preserve">Sensitivity analyses indicate that the model is most sensitive to changes in assumptions regarding the discontinuation rates for placebo, the probability of a response in the placebo arm, changes in the assumed utility values, and the proportion of patients continuing treatment without a response. The model appeared to be </w:t>
      </w:r>
      <w:r w:rsidRPr="00906E2E">
        <w:t>relatively insensitive to changes in the fremanezumab response rates, with costs and benefits changing proportionately over various test</w:t>
      </w:r>
      <w:r w:rsidR="005B46E3" w:rsidRPr="00906E2E">
        <w:t>ed response rates.</w:t>
      </w:r>
    </w:p>
    <w:p w:rsidR="00614E28" w:rsidRPr="00906E2E" w:rsidRDefault="002F15CF" w:rsidP="00B038A6">
      <w:pPr>
        <w:pStyle w:val="3-BodyText"/>
        <w:rPr>
          <w:sz w:val="28"/>
        </w:rPr>
      </w:pPr>
      <w:r w:rsidRPr="004929CE">
        <w:t xml:space="preserve">The PSCR noted that a sensitivity analysis was provided in the submission that </w:t>
      </w:r>
      <w:r w:rsidRPr="00D14D44">
        <w:t xml:space="preserve">assumed </w:t>
      </w:r>
      <w:r w:rsidR="00D11BC9">
        <w:rPr>
          <w:noProof/>
          <w:color w:val="000000"/>
          <w:highlight w:val="black"/>
        </w:rPr>
        <w:t>''''''</w:t>
      </w:r>
      <w:r w:rsidRPr="00D14D44">
        <w:t>% of non-</w:t>
      </w:r>
      <w:r w:rsidRPr="004929CE">
        <w:t xml:space="preserve">responders continued on therapy and derived no clinical benefit but incurred additional drug costs, resulting in an ICER of </w:t>
      </w:r>
      <w:r w:rsidR="005F70C2">
        <w:t>$45,000 - $75,000</w:t>
      </w:r>
      <w:r w:rsidR="002E3153">
        <w:t xml:space="preserve"> per </w:t>
      </w:r>
      <w:r w:rsidRPr="004929CE">
        <w:t xml:space="preserve">QALY </w:t>
      </w:r>
      <w:r w:rsidR="002E3153">
        <w:t xml:space="preserve">gained </w:t>
      </w:r>
      <w:r w:rsidRPr="004929CE">
        <w:t xml:space="preserve">(compared to a base case of </w:t>
      </w:r>
      <w:r w:rsidR="005F70C2">
        <w:t>$15,000 - $45,000</w:t>
      </w:r>
      <w:r w:rsidRPr="004929CE">
        <w:t xml:space="preserve">). </w:t>
      </w:r>
      <w:r w:rsidR="00614E28" w:rsidRPr="00906E2E">
        <w:t xml:space="preserve">The ESC noted that </w:t>
      </w:r>
      <w:r w:rsidR="00614E28" w:rsidRPr="009E766F">
        <w:t xml:space="preserve">assuming </w:t>
      </w:r>
      <w:r w:rsidR="00D11BC9">
        <w:rPr>
          <w:noProof/>
          <w:color w:val="000000"/>
          <w:highlight w:val="black"/>
        </w:rPr>
        <w:t>'''''</w:t>
      </w:r>
      <w:r w:rsidR="00614E28" w:rsidRPr="009E766F">
        <w:t>% of</w:t>
      </w:r>
      <w:r w:rsidR="00614E28" w:rsidRPr="00906E2E">
        <w:t xml:space="preserve"> fremanezumab non-responders continued on therapy (consistent with the assumption in the financial estimates) and achieved partial responses </w:t>
      </w:r>
      <w:r w:rsidR="00614E28" w:rsidRPr="008F69D9">
        <w:t xml:space="preserve">of </w:t>
      </w:r>
      <w:r w:rsidR="00D11BC9">
        <w:rPr>
          <w:noProof/>
          <w:color w:val="000000"/>
          <w:highlight w:val="black"/>
        </w:rPr>
        <w:t>'''</w:t>
      </w:r>
      <w:r w:rsidR="008F69D9" w:rsidRPr="008F69D9">
        <w:t xml:space="preserve"> to </w:t>
      </w:r>
      <w:r w:rsidR="00D11BC9">
        <w:rPr>
          <w:noProof/>
          <w:color w:val="000000"/>
          <w:highlight w:val="black"/>
        </w:rPr>
        <w:t>'''</w:t>
      </w:r>
      <w:r w:rsidR="008F69D9" w:rsidRPr="008F69D9">
        <w:t xml:space="preserve"> </w:t>
      </w:r>
      <w:r w:rsidR="00614E28" w:rsidRPr="008F69D9">
        <w:t>days</w:t>
      </w:r>
      <w:r w:rsidR="002E3153">
        <w:t xml:space="preserve"> per </w:t>
      </w:r>
      <w:r w:rsidR="00614E28" w:rsidRPr="00906E2E">
        <w:t xml:space="preserve">month reduction resulted in ICERs between </w:t>
      </w:r>
      <w:r w:rsidR="00B038A6">
        <w:t xml:space="preserve">$45,000 and </w:t>
      </w:r>
      <w:r w:rsidR="005F70C2">
        <w:t>$75,000</w:t>
      </w:r>
      <w:r w:rsidR="00614E28" w:rsidRPr="00906E2E">
        <w:t xml:space="preserve"> (Table </w:t>
      </w:r>
      <w:r w:rsidR="00DD7995" w:rsidRPr="00906E2E">
        <w:t>1</w:t>
      </w:r>
      <w:r w:rsidR="00DD7995">
        <w:t>6</w:t>
      </w:r>
      <w:r w:rsidR="00614E28" w:rsidRPr="00906E2E">
        <w:t>).</w:t>
      </w:r>
      <w:r>
        <w:t xml:space="preserve"> </w:t>
      </w:r>
      <w:r w:rsidRPr="004929CE">
        <w:t>The ESC noted that the economic model was sensitive to this assumption</w:t>
      </w:r>
      <w:r>
        <w:t>.</w:t>
      </w:r>
    </w:p>
    <w:p w:rsidR="000C6489" w:rsidRPr="00F30EB2" w:rsidRDefault="000C6489" w:rsidP="000C6489">
      <w:pPr>
        <w:pStyle w:val="TableFigureHeading"/>
      </w:pPr>
      <w:r w:rsidRPr="00F30EB2">
        <w:t xml:space="preserve">Table </w:t>
      </w:r>
      <w:r>
        <w:rPr>
          <w:noProof/>
        </w:rPr>
        <w:t>16</w:t>
      </w:r>
      <w:r w:rsidRPr="00F30EB2">
        <w:t xml:space="preserve">: Results of multivariate sensitivity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1"/>
        <w:gridCol w:w="1022"/>
        <w:gridCol w:w="1022"/>
        <w:gridCol w:w="1021"/>
      </w:tblGrid>
      <w:tr w:rsidR="00614E28" w:rsidRPr="00614E28" w:rsidTr="00F30EB2">
        <w:trPr>
          <w:tblHeader/>
        </w:trPr>
        <w:tc>
          <w:tcPr>
            <w:tcW w:w="3300"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rPr>
                <w:rFonts w:ascii="Arial Narrow" w:eastAsia="Calibri" w:hAnsi="Arial Narrow" w:cstheme="minorBidi"/>
                <w:b/>
                <w:sz w:val="20"/>
                <w:szCs w:val="22"/>
              </w:rPr>
            </w:pPr>
          </w:p>
        </w:tc>
        <w:tc>
          <w:tcPr>
            <w:tcW w:w="567"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jc w:val="center"/>
              <w:rPr>
                <w:rFonts w:ascii="Arial Narrow" w:eastAsia="Calibri" w:hAnsi="Arial Narrow" w:cstheme="minorBidi"/>
                <w:b/>
                <w:sz w:val="20"/>
                <w:szCs w:val="22"/>
              </w:rPr>
            </w:pPr>
            <w:r w:rsidRPr="00614E28">
              <w:rPr>
                <w:rFonts w:ascii="Arial Narrow" w:eastAsia="Calibri" w:hAnsi="Arial Narrow" w:cstheme="minorBidi"/>
                <w:b/>
                <w:sz w:val="20"/>
                <w:szCs w:val="22"/>
              </w:rPr>
              <w:t>Incremental costs</w:t>
            </w:r>
          </w:p>
        </w:tc>
        <w:tc>
          <w:tcPr>
            <w:tcW w:w="567"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jc w:val="center"/>
              <w:rPr>
                <w:rFonts w:ascii="Arial Narrow" w:eastAsia="Calibri" w:hAnsi="Arial Narrow" w:cstheme="minorBidi"/>
                <w:b/>
                <w:sz w:val="20"/>
                <w:szCs w:val="22"/>
              </w:rPr>
            </w:pPr>
            <w:r w:rsidRPr="00614E28">
              <w:rPr>
                <w:rFonts w:ascii="Arial Narrow" w:eastAsia="Calibri" w:hAnsi="Arial Narrow" w:cstheme="minorBidi"/>
                <w:b/>
                <w:sz w:val="20"/>
                <w:szCs w:val="22"/>
              </w:rPr>
              <w:t>Incremental QALYs</w:t>
            </w:r>
          </w:p>
        </w:tc>
        <w:tc>
          <w:tcPr>
            <w:tcW w:w="566"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jc w:val="center"/>
              <w:rPr>
                <w:rFonts w:ascii="Arial Narrow" w:eastAsia="Calibri" w:hAnsi="Arial Narrow" w:cstheme="minorBidi"/>
                <w:b/>
                <w:sz w:val="20"/>
                <w:szCs w:val="22"/>
              </w:rPr>
            </w:pPr>
            <w:r w:rsidRPr="00614E28">
              <w:rPr>
                <w:rFonts w:ascii="Arial Narrow" w:eastAsia="Calibri" w:hAnsi="Arial Narrow" w:cstheme="minorBidi"/>
                <w:b/>
                <w:sz w:val="20"/>
                <w:szCs w:val="22"/>
              </w:rPr>
              <w:t>ICER</w:t>
            </w:r>
          </w:p>
        </w:tc>
      </w:tr>
      <w:tr w:rsidR="00614E28" w:rsidRPr="00614E28" w:rsidTr="00F30EB2">
        <w:tc>
          <w:tcPr>
            <w:tcW w:w="3300"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rPr>
                <w:rFonts w:ascii="Arial Narrow" w:eastAsia="Calibri" w:hAnsi="Arial Narrow" w:cstheme="minorBidi"/>
                <w:b/>
                <w:sz w:val="20"/>
                <w:szCs w:val="22"/>
              </w:rPr>
            </w:pPr>
            <w:r w:rsidRPr="00614E28">
              <w:rPr>
                <w:rFonts w:ascii="Arial Narrow" w:eastAsia="Calibri" w:hAnsi="Arial Narrow" w:cstheme="minorBidi"/>
                <w:b/>
                <w:sz w:val="20"/>
                <w:szCs w:val="22"/>
              </w:rPr>
              <w:t>Base case:</w:t>
            </w:r>
          </w:p>
          <w:p w:rsidR="00614E28" w:rsidRPr="00614E28" w:rsidRDefault="00614E28" w:rsidP="00613D0B">
            <w:pPr>
              <w:keepNext/>
              <w:keepLines/>
              <w:numPr>
                <w:ilvl w:val="0"/>
                <w:numId w:val="40"/>
              </w:numPr>
              <w:ind w:left="245" w:hanging="168"/>
              <w:contextualSpacing/>
              <w:rPr>
                <w:rFonts w:ascii="Arial Narrow" w:eastAsia="Calibri" w:hAnsi="Arial Narrow" w:cstheme="minorBidi"/>
                <w:sz w:val="20"/>
                <w:szCs w:val="22"/>
              </w:rPr>
            </w:pPr>
            <w:r w:rsidRPr="00614E28">
              <w:rPr>
                <w:rFonts w:ascii="Arial Narrow" w:eastAsia="Calibri" w:hAnsi="Arial Narrow" w:cstheme="minorBidi"/>
                <w:sz w:val="20"/>
                <w:szCs w:val="22"/>
              </w:rPr>
              <w:t xml:space="preserve">Fremanezumab: </w:t>
            </w:r>
            <w:r w:rsidR="00D11BC9">
              <w:rPr>
                <w:rFonts w:ascii="Arial Narrow" w:eastAsia="Calibri" w:hAnsi="Arial Narrow" w:cstheme="minorBidi"/>
                <w:noProof/>
                <w:color w:val="000000"/>
                <w:sz w:val="20"/>
                <w:szCs w:val="22"/>
                <w:highlight w:val="black"/>
              </w:rPr>
              <w:t>'''''</w:t>
            </w:r>
            <w:r w:rsidRPr="00614E28">
              <w:rPr>
                <w:rFonts w:ascii="Arial Narrow" w:eastAsia="Calibri" w:hAnsi="Arial Narrow" w:cstheme="minorBidi"/>
                <w:sz w:val="20"/>
                <w:szCs w:val="22"/>
              </w:rPr>
              <w:t xml:space="preserve">% responders; </w:t>
            </w:r>
            <w:r w:rsidR="00D11BC9">
              <w:rPr>
                <w:rFonts w:ascii="Arial Narrow" w:eastAsia="Calibri" w:hAnsi="Arial Narrow" w:cstheme="minorBidi"/>
                <w:noProof/>
                <w:color w:val="000000"/>
                <w:sz w:val="20"/>
                <w:szCs w:val="22"/>
                <w:highlight w:val="black"/>
              </w:rPr>
              <w:t>''''''</w:t>
            </w:r>
            <w:r w:rsidRPr="00614E28">
              <w:rPr>
                <w:rFonts w:ascii="Arial Narrow" w:eastAsia="Calibri" w:hAnsi="Arial Narrow" w:cstheme="minorBidi"/>
                <w:sz w:val="20"/>
                <w:szCs w:val="22"/>
              </w:rPr>
              <w:t xml:space="preserve">% non-responders; </w:t>
            </w:r>
            <w:r w:rsidR="00D11BC9">
              <w:rPr>
                <w:rFonts w:ascii="Arial Narrow" w:eastAsia="Calibri" w:hAnsi="Arial Narrow" w:cstheme="minorBidi"/>
                <w:noProof/>
                <w:color w:val="000000"/>
                <w:sz w:val="20"/>
                <w:szCs w:val="22"/>
                <w:highlight w:val="black"/>
              </w:rPr>
              <w:t>'''</w:t>
            </w:r>
            <w:r w:rsidRPr="00614E28">
              <w:rPr>
                <w:rFonts w:ascii="Arial Narrow" w:eastAsia="Calibri" w:hAnsi="Arial Narrow" w:cstheme="minorBidi"/>
                <w:sz w:val="20"/>
                <w:szCs w:val="22"/>
              </w:rPr>
              <w:t>% partial responders.</w:t>
            </w:r>
          </w:p>
          <w:p w:rsidR="00614E28" w:rsidRPr="00614E28" w:rsidRDefault="00614E28" w:rsidP="00613D0B">
            <w:pPr>
              <w:keepNext/>
              <w:keepLines/>
              <w:numPr>
                <w:ilvl w:val="0"/>
                <w:numId w:val="40"/>
              </w:numPr>
              <w:ind w:left="245" w:hanging="168"/>
              <w:contextualSpacing/>
              <w:rPr>
                <w:rFonts w:ascii="Arial Narrow" w:eastAsia="Calibri" w:hAnsi="Arial Narrow" w:cstheme="minorBidi"/>
                <w:sz w:val="20"/>
                <w:szCs w:val="22"/>
              </w:rPr>
            </w:pPr>
            <w:r w:rsidRPr="00614E28">
              <w:rPr>
                <w:rFonts w:ascii="Arial Narrow" w:eastAsia="Calibri" w:hAnsi="Arial Narrow" w:cstheme="minorBidi"/>
                <w:sz w:val="20"/>
                <w:szCs w:val="22"/>
              </w:rPr>
              <w:t>Placebo</w:t>
            </w:r>
            <w:r w:rsidR="00F30EB2">
              <w:rPr>
                <w:rFonts w:ascii="Arial Narrow" w:eastAsia="Calibri" w:hAnsi="Arial Narrow" w:cstheme="minorBidi"/>
                <w:sz w:val="20"/>
                <w:szCs w:val="22"/>
              </w:rPr>
              <w:t>/ BSC</w:t>
            </w:r>
            <w:r w:rsidRPr="00614E28">
              <w:rPr>
                <w:rFonts w:ascii="Arial Narrow" w:eastAsia="Calibri" w:hAnsi="Arial Narrow" w:cstheme="minorBidi"/>
                <w:sz w:val="20"/>
                <w:szCs w:val="22"/>
              </w:rPr>
              <w:t>: 5% responders; 95% non-responders; 0% partial responders.</w:t>
            </w:r>
          </w:p>
        </w:tc>
        <w:tc>
          <w:tcPr>
            <w:tcW w:w="567"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jc w:val="center"/>
              <w:rPr>
                <w:rFonts w:ascii="Arial Narrow" w:eastAsia="Calibri" w:hAnsi="Arial Narrow" w:cstheme="minorBidi"/>
                <w:sz w:val="20"/>
                <w:szCs w:val="22"/>
              </w:rPr>
            </w:pPr>
            <w:r w:rsidRPr="00614E28">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tc>
        <w:tc>
          <w:tcPr>
            <w:tcW w:w="567" w:type="pct"/>
            <w:tcBorders>
              <w:top w:val="single" w:sz="4" w:space="0" w:color="auto"/>
              <w:left w:val="single" w:sz="4" w:space="0" w:color="auto"/>
              <w:bottom w:val="single" w:sz="4" w:space="0" w:color="auto"/>
              <w:right w:val="single" w:sz="4" w:space="0" w:color="auto"/>
            </w:tcBorders>
            <w:vAlign w:val="center"/>
          </w:tcPr>
          <w:p w:rsidR="00614E28" w:rsidRPr="00D11BC9" w:rsidRDefault="00D11BC9" w:rsidP="00613D0B">
            <w:pPr>
              <w:keepNext/>
              <w:keepLines/>
              <w:jc w:val="center"/>
              <w:rPr>
                <w:rFonts w:ascii="Arial Narrow" w:eastAsia="Calibri" w:hAnsi="Arial Narrow" w:cstheme="minorBidi"/>
                <w:sz w:val="20"/>
                <w:szCs w:val="22"/>
                <w:highlight w:val="black"/>
              </w:rPr>
            </w:pPr>
            <w:r>
              <w:rPr>
                <w:rFonts w:ascii="Arial Narrow" w:eastAsia="Calibri" w:hAnsi="Arial Narrow" w:cstheme="minorBidi"/>
                <w:noProof/>
                <w:color w:val="000000"/>
                <w:sz w:val="20"/>
                <w:szCs w:val="22"/>
                <w:highlight w:val="black"/>
              </w:rPr>
              <w:t>'''''''''''''</w:t>
            </w:r>
          </w:p>
        </w:tc>
        <w:tc>
          <w:tcPr>
            <w:tcW w:w="566" w:type="pct"/>
            <w:tcBorders>
              <w:top w:val="single" w:sz="4" w:space="0" w:color="auto"/>
              <w:left w:val="single" w:sz="4" w:space="0" w:color="auto"/>
              <w:bottom w:val="single" w:sz="4" w:space="0" w:color="auto"/>
              <w:right w:val="single" w:sz="4" w:space="0" w:color="auto"/>
            </w:tcBorders>
            <w:vAlign w:val="center"/>
          </w:tcPr>
          <w:p w:rsidR="00614E28" w:rsidRPr="00614E28" w:rsidRDefault="00614E28" w:rsidP="00613D0B">
            <w:pPr>
              <w:keepNext/>
              <w:keepLines/>
              <w:jc w:val="center"/>
              <w:rPr>
                <w:rFonts w:ascii="Arial Narrow" w:eastAsia="Calibri" w:hAnsi="Arial Narrow" w:cstheme="minorBidi"/>
                <w:sz w:val="20"/>
                <w:szCs w:val="22"/>
              </w:rPr>
            </w:pPr>
            <w:r w:rsidRPr="00614E28">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tc>
      </w:tr>
      <w:tr w:rsidR="00614E28" w:rsidRPr="00614E28" w:rsidTr="00F30EB2">
        <w:trPr>
          <w:trHeight w:val="481"/>
        </w:trPr>
        <w:tc>
          <w:tcPr>
            <w:tcW w:w="3300" w:type="pct"/>
            <w:tcBorders>
              <w:top w:val="single" w:sz="4" w:space="0" w:color="auto"/>
              <w:left w:val="single" w:sz="4" w:space="0" w:color="auto"/>
              <w:bottom w:val="single" w:sz="4" w:space="0" w:color="auto"/>
              <w:right w:val="single" w:sz="4" w:space="0" w:color="auto"/>
            </w:tcBorders>
          </w:tcPr>
          <w:p w:rsidR="00614E28" w:rsidRPr="00742CD6" w:rsidRDefault="00614E28" w:rsidP="00613D0B">
            <w:pPr>
              <w:keepNext/>
              <w:keepLines/>
              <w:numPr>
                <w:ilvl w:val="0"/>
                <w:numId w:val="40"/>
              </w:numPr>
              <w:ind w:left="245" w:hanging="168"/>
              <w:contextualSpacing/>
              <w:rPr>
                <w:rFonts w:ascii="Arial Narrow" w:eastAsia="Calibri" w:hAnsi="Arial Narrow" w:cstheme="minorBidi"/>
                <w:sz w:val="20"/>
                <w:szCs w:val="22"/>
              </w:rPr>
            </w:pPr>
            <w:r w:rsidRPr="00742CD6">
              <w:rPr>
                <w:rFonts w:ascii="Arial Narrow" w:eastAsia="Calibri" w:hAnsi="Arial Narrow" w:cstheme="minorBidi"/>
                <w:sz w:val="20"/>
                <w:szCs w:val="22"/>
              </w:rPr>
              <w:t xml:space="preserve">Fremanezumab: </w:t>
            </w:r>
            <w:r w:rsidR="00D11BC9">
              <w:rPr>
                <w:rFonts w:ascii="Arial Narrow" w:eastAsia="Calibri" w:hAnsi="Arial Narrow" w:cstheme="minorBidi"/>
                <w:noProof/>
                <w:color w:val="000000"/>
                <w:sz w:val="20"/>
                <w:szCs w:val="22"/>
                <w:highlight w:val="black"/>
              </w:rPr>
              <w:t>''''''</w:t>
            </w:r>
            <w:r w:rsidRPr="00742CD6">
              <w:rPr>
                <w:rFonts w:ascii="Arial Narrow" w:eastAsia="Calibri" w:hAnsi="Arial Narrow" w:cstheme="minorBidi"/>
                <w:sz w:val="20"/>
                <w:szCs w:val="22"/>
              </w:rPr>
              <w:t xml:space="preserve">% responders; </w:t>
            </w:r>
            <w:r w:rsidR="00D11BC9">
              <w:rPr>
                <w:rFonts w:ascii="Arial Narrow" w:eastAsia="Calibri" w:hAnsi="Arial Narrow" w:cstheme="minorBidi"/>
                <w:noProof/>
                <w:color w:val="000000"/>
                <w:sz w:val="20"/>
                <w:szCs w:val="22"/>
                <w:highlight w:val="black"/>
              </w:rPr>
              <w:t>''''''''''''</w:t>
            </w:r>
            <w:r w:rsidRPr="00742CD6">
              <w:rPr>
                <w:rFonts w:ascii="Arial Narrow" w:eastAsia="Calibri" w:hAnsi="Arial Narrow" w:cstheme="minorBidi"/>
                <w:sz w:val="20"/>
                <w:szCs w:val="22"/>
              </w:rPr>
              <w:t xml:space="preserve">% non-responders; </w:t>
            </w:r>
            <w:r w:rsidR="00D11BC9">
              <w:rPr>
                <w:rFonts w:ascii="Arial Narrow" w:eastAsia="Calibri" w:hAnsi="Arial Narrow" w:cstheme="minorBidi"/>
                <w:noProof/>
                <w:color w:val="000000"/>
                <w:sz w:val="20"/>
                <w:szCs w:val="22"/>
                <w:highlight w:val="black"/>
              </w:rPr>
              <w:t>''''''''''</w:t>
            </w:r>
            <w:r w:rsidRPr="00742CD6">
              <w:rPr>
                <w:rFonts w:ascii="Arial Narrow" w:eastAsia="Calibri" w:hAnsi="Arial Narrow" w:cstheme="minorBidi"/>
                <w:sz w:val="20"/>
                <w:szCs w:val="22"/>
              </w:rPr>
              <w:t>% partial responders</w:t>
            </w:r>
            <w:r w:rsidR="00F30EB2" w:rsidRPr="00742CD6">
              <w:rPr>
                <w:rFonts w:ascii="Arial Narrow" w:eastAsia="Calibri" w:hAnsi="Arial Narrow" w:cstheme="minorBidi"/>
                <w:sz w:val="20"/>
                <w:szCs w:val="22"/>
              </w:rPr>
              <w:t xml:space="preserve"> (total responders and partial responders = </w:t>
            </w:r>
            <w:r w:rsidR="00D11BC9">
              <w:rPr>
                <w:rFonts w:ascii="Arial Narrow" w:eastAsia="Calibri" w:hAnsi="Arial Narrow" w:cstheme="minorBidi"/>
                <w:noProof/>
                <w:color w:val="000000"/>
                <w:sz w:val="20"/>
                <w:szCs w:val="22"/>
                <w:highlight w:val="black"/>
              </w:rPr>
              <w:t>''''''''''</w:t>
            </w:r>
            <w:r w:rsidR="00F30EB2" w:rsidRPr="00742CD6">
              <w:rPr>
                <w:rFonts w:ascii="Arial Narrow" w:eastAsia="Calibri" w:hAnsi="Arial Narrow" w:cstheme="minorBidi"/>
                <w:sz w:val="20"/>
                <w:szCs w:val="22"/>
              </w:rPr>
              <w:t>%)</w:t>
            </w:r>
            <w:r w:rsidRPr="00742CD6">
              <w:rPr>
                <w:rFonts w:ascii="Arial Narrow" w:eastAsia="Calibri" w:hAnsi="Arial Narrow" w:cstheme="minorBidi"/>
                <w:sz w:val="20"/>
                <w:szCs w:val="22"/>
              </w:rPr>
              <w:t>.</w:t>
            </w:r>
          </w:p>
          <w:p w:rsidR="00614E28" w:rsidRPr="00742CD6" w:rsidRDefault="00614E28" w:rsidP="00613D0B">
            <w:pPr>
              <w:keepNext/>
              <w:keepLines/>
              <w:numPr>
                <w:ilvl w:val="0"/>
                <w:numId w:val="40"/>
              </w:numPr>
              <w:ind w:left="245" w:hanging="168"/>
              <w:contextualSpacing/>
              <w:rPr>
                <w:rFonts w:ascii="Arial Narrow" w:eastAsia="Calibri" w:hAnsi="Arial Narrow" w:cstheme="minorBidi"/>
                <w:sz w:val="20"/>
                <w:szCs w:val="22"/>
              </w:rPr>
            </w:pPr>
            <w:r w:rsidRPr="00742CD6">
              <w:rPr>
                <w:rFonts w:ascii="Arial Narrow" w:eastAsia="Calibri" w:hAnsi="Arial Narrow" w:cstheme="minorBidi"/>
                <w:sz w:val="20"/>
                <w:szCs w:val="22"/>
              </w:rPr>
              <w:t>Placebo</w:t>
            </w:r>
            <w:r w:rsidR="00F30EB2" w:rsidRPr="00742CD6">
              <w:rPr>
                <w:rFonts w:ascii="Arial Narrow" w:eastAsia="Calibri" w:hAnsi="Arial Narrow" w:cstheme="minorBidi"/>
                <w:sz w:val="20"/>
                <w:szCs w:val="22"/>
              </w:rPr>
              <w:t>/ BSC</w:t>
            </w:r>
            <w:r w:rsidRPr="00742CD6">
              <w:rPr>
                <w:rFonts w:ascii="Arial Narrow" w:eastAsia="Calibri" w:hAnsi="Arial Narrow" w:cstheme="minorBidi"/>
                <w:sz w:val="20"/>
                <w:szCs w:val="22"/>
              </w:rPr>
              <w:t>: unchanged.</w:t>
            </w:r>
          </w:p>
          <w:p w:rsidR="00614E28" w:rsidRPr="00742CD6" w:rsidRDefault="00614E28" w:rsidP="00613D0B">
            <w:pPr>
              <w:keepNext/>
              <w:keepLines/>
              <w:numPr>
                <w:ilvl w:val="1"/>
                <w:numId w:val="40"/>
              </w:numPr>
              <w:ind w:left="528" w:firstLine="0"/>
              <w:contextualSpacing/>
              <w:rPr>
                <w:rFonts w:ascii="Arial Narrow" w:eastAsia="Calibri" w:hAnsi="Arial Narrow" w:cstheme="minorBidi"/>
                <w:sz w:val="20"/>
                <w:szCs w:val="22"/>
              </w:rPr>
            </w:pPr>
            <w:r w:rsidRPr="00742CD6">
              <w:rPr>
                <w:rFonts w:ascii="Arial Narrow" w:eastAsia="Calibri" w:hAnsi="Arial Narrow" w:cstheme="minorBidi"/>
                <w:sz w:val="20"/>
                <w:szCs w:val="22"/>
              </w:rPr>
              <w:t>Partial response mean of 7 days/month reduction</w:t>
            </w:r>
          </w:p>
          <w:p w:rsidR="00614E28" w:rsidRPr="00742CD6" w:rsidRDefault="00614E28" w:rsidP="00613D0B">
            <w:pPr>
              <w:keepNext/>
              <w:keepLines/>
              <w:numPr>
                <w:ilvl w:val="1"/>
                <w:numId w:val="40"/>
              </w:numPr>
              <w:ind w:left="528" w:firstLine="0"/>
              <w:contextualSpacing/>
              <w:rPr>
                <w:rFonts w:ascii="Arial Narrow" w:eastAsia="Calibri" w:hAnsi="Arial Narrow" w:cstheme="minorBidi"/>
                <w:sz w:val="20"/>
                <w:szCs w:val="22"/>
              </w:rPr>
            </w:pPr>
            <w:r w:rsidRPr="00742CD6">
              <w:rPr>
                <w:rFonts w:ascii="Arial Narrow" w:eastAsia="Calibri" w:hAnsi="Arial Narrow" w:cstheme="minorBidi"/>
                <w:sz w:val="20"/>
                <w:szCs w:val="22"/>
              </w:rPr>
              <w:t>Partial response mean of 5 days/month reduction</w:t>
            </w:r>
          </w:p>
          <w:p w:rsidR="00614E28" w:rsidRPr="00742CD6" w:rsidRDefault="00614E28" w:rsidP="00613D0B">
            <w:pPr>
              <w:keepNext/>
              <w:keepLines/>
              <w:numPr>
                <w:ilvl w:val="1"/>
                <w:numId w:val="40"/>
              </w:numPr>
              <w:ind w:left="528" w:firstLine="0"/>
              <w:contextualSpacing/>
              <w:rPr>
                <w:rFonts w:ascii="Arial Narrow" w:eastAsia="Calibri" w:hAnsi="Arial Narrow" w:cstheme="minorBidi"/>
                <w:sz w:val="20"/>
                <w:szCs w:val="22"/>
              </w:rPr>
            </w:pPr>
            <w:r w:rsidRPr="00742CD6">
              <w:rPr>
                <w:rFonts w:ascii="Arial Narrow" w:eastAsia="Calibri" w:hAnsi="Arial Narrow" w:cstheme="minorBidi"/>
                <w:sz w:val="20"/>
                <w:szCs w:val="22"/>
              </w:rPr>
              <w:t>Partial response mean of 3 days/month reduction</w:t>
            </w:r>
          </w:p>
        </w:tc>
        <w:tc>
          <w:tcPr>
            <w:tcW w:w="567" w:type="pct"/>
            <w:tcBorders>
              <w:top w:val="single" w:sz="4" w:space="0" w:color="auto"/>
              <w:left w:val="single" w:sz="4" w:space="0" w:color="auto"/>
              <w:bottom w:val="single" w:sz="4" w:space="0" w:color="auto"/>
              <w:right w:val="single" w:sz="4" w:space="0" w:color="auto"/>
            </w:tcBorders>
          </w:tcPr>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tc>
        <w:tc>
          <w:tcPr>
            <w:tcW w:w="567" w:type="pct"/>
            <w:tcBorders>
              <w:top w:val="single" w:sz="4" w:space="0" w:color="auto"/>
              <w:left w:val="single" w:sz="4" w:space="0" w:color="auto"/>
              <w:bottom w:val="single" w:sz="4" w:space="0" w:color="auto"/>
              <w:right w:val="single" w:sz="4" w:space="0" w:color="auto"/>
            </w:tcBorders>
          </w:tcPr>
          <w:p w:rsidR="00614E28" w:rsidRPr="00D11BC9" w:rsidRDefault="00614E28" w:rsidP="00613D0B">
            <w:pPr>
              <w:keepNext/>
              <w:keepLines/>
              <w:jc w:val="center"/>
              <w:rPr>
                <w:rFonts w:ascii="Arial Narrow" w:eastAsia="Calibri" w:hAnsi="Arial Narrow" w:cstheme="minorBidi"/>
                <w:sz w:val="20"/>
                <w:szCs w:val="22"/>
              </w:rPr>
            </w:pPr>
          </w:p>
          <w:p w:rsidR="00614E28" w:rsidRPr="00D11BC9" w:rsidRDefault="00614E28" w:rsidP="00613D0B">
            <w:pPr>
              <w:keepNext/>
              <w:keepLines/>
              <w:jc w:val="center"/>
              <w:rPr>
                <w:rFonts w:ascii="Arial Narrow" w:eastAsia="Calibri" w:hAnsi="Arial Narrow" w:cstheme="minorBidi"/>
                <w:sz w:val="20"/>
                <w:szCs w:val="22"/>
              </w:rPr>
            </w:pPr>
          </w:p>
          <w:p w:rsidR="00614E28" w:rsidRPr="00D11BC9" w:rsidRDefault="00614E28" w:rsidP="00613D0B">
            <w:pPr>
              <w:keepNext/>
              <w:keepLines/>
              <w:jc w:val="center"/>
              <w:rPr>
                <w:rFonts w:ascii="Arial Narrow" w:eastAsia="Calibri" w:hAnsi="Arial Narrow" w:cstheme="minorBidi"/>
                <w:sz w:val="20"/>
                <w:szCs w:val="22"/>
              </w:rPr>
            </w:pPr>
          </w:p>
          <w:p w:rsidR="00614E28" w:rsidRPr="00D11BC9" w:rsidRDefault="00D11BC9" w:rsidP="00613D0B">
            <w:pPr>
              <w:keepNext/>
              <w:keepLines/>
              <w:jc w:val="center"/>
              <w:rPr>
                <w:rFonts w:ascii="Arial Narrow" w:eastAsia="Calibri" w:hAnsi="Arial Narrow" w:cstheme="minorBidi"/>
                <w:sz w:val="20"/>
                <w:szCs w:val="22"/>
                <w:highlight w:val="black"/>
              </w:rPr>
            </w:pPr>
            <w:r>
              <w:rPr>
                <w:rFonts w:ascii="Arial Narrow" w:eastAsia="Calibri" w:hAnsi="Arial Narrow" w:cstheme="minorBidi"/>
                <w:noProof/>
                <w:color w:val="000000"/>
                <w:sz w:val="20"/>
                <w:szCs w:val="22"/>
                <w:highlight w:val="black"/>
              </w:rPr>
              <w:t>'''''''''''''</w:t>
            </w:r>
          </w:p>
          <w:p w:rsidR="00614E28" w:rsidRPr="00D11BC9" w:rsidRDefault="00D11BC9" w:rsidP="00613D0B">
            <w:pPr>
              <w:keepNext/>
              <w:keepLines/>
              <w:jc w:val="center"/>
              <w:rPr>
                <w:rFonts w:ascii="Arial Narrow" w:eastAsia="Calibri" w:hAnsi="Arial Narrow" w:cstheme="minorBidi"/>
                <w:sz w:val="20"/>
                <w:szCs w:val="22"/>
                <w:highlight w:val="black"/>
              </w:rPr>
            </w:pPr>
            <w:r>
              <w:rPr>
                <w:rFonts w:ascii="Arial Narrow" w:eastAsia="Calibri" w:hAnsi="Arial Narrow" w:cstheme="minorBidi"/>
                <w:noProof/>
                <w:color w:val="000000"/>
                <w:sz w:val="20"/>
                <w:szCs w:val="22"/>
                <w:highlight w:val="black"/>
              </w:rPr>
              <w:t>'''''''''''''</w:t>
            </w:r>
          </w:p>
          <w:p w:rsidR="00614E28" w:rsidRPr="00D11BC9" w:rsidRDefault="00D11BC9" w:rsidP="00613D0B">
            <w:pPr>
              <w:keepNext/>
              <w:keepLines/>
              <w:jc w:val="center"/>
              <w:rPr>
                <w:rFonts w:ascii="Arial Narrow" w:eastAsia="Calibri" w:hAnsi="Arial Narrow" w:cstheme="minorBidi"/>
                <w:sz w:val="20"/>
                <w:szCs w:val="22"/>
                <w:highlight w:val="black"/>
              </w:rPr>
            </w:pPr>
            <w:r>
              <w:rPr>
                <w:rFonts w:ascii="Arial Narrow" w:eastAsia="Calibri" w:hAnsi="Arial Narrow" w:cstheme="minorBidi"/>
                <w:noProof/>
                <w:color w:val="000000"/>
                <w:sz w:val="20"/>
                <w:szCs w:val="22"/>
                <w:highlight w:val="black"/>
              </w:rPr>
              <w:t>'''''''''''''</w:t>
            </w:r>
          </w:p>
        </w:tc>
        <w:tc>
          <w:tcPr>
            <w:tcW w:w="566" w:type="pct"/>
            <w:tcBorders>
              <w:top w:val="single" w:sz="4" w:space="0" w:color="auto"/>
              <w:left w:val="single" w:sz="4" w:space="0" w:color="auto"/>
              <w:bottom w:val="single" w:sz="4" w:space="0" w:color="auto"/>
              <w:right w:val="single" w:sz="4" w:space="0" w:color="auto"/>
            </w:tcBorders>
          </w:tcPr>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p w:rsidR="00614E28" w:rsidRPr="00742CD6" w:rsidRDefault="00614E28" w:rsidP="00613D0B">
            <w:pPr>
              <w:keepNext/>
              <w:keepLines/>
              <w:jc w:val="center"/>
              <w:rPr>
                <w:rFonts w:ascii="Arial Narrow" w:eastAsia="Calibri" w:hAnsi="Arial Narrow" w:cstheme="minorBidi"/>
                <w:sz w:val="20"/>
                <w:szCs w:val="22"/>
              </w:rPr>
            </w:pPr>
            <w:r w:rsidRPr="00742CD6">
              <w:rPr>
                <w:rFonts w:ascii="Arial Narrow" w:eastAsia="Calibri" w:hAnsi="Arial Narrow" w:cstheme="minorBidi"/>
                <w:sz w:val="20"/>
                <w:szCs w:val="22"/>
              </w:rPr>
              <w:t>$</w:t>
            </w:r>
            <w:r w:rsidR="00D11BC9">
              <w:rPr>
                <w:rFonts w:ascii="Arial Narrow" w:eastAsia="Calibri" w:hAnsi="Arial Narrow" w:cstheme="minorBidi"/>
                <w:noProof/>
                <w:color w:val="000000"/>
                <w:sz w:val="20"/>
                <w:szCs w:val="22"/>
                <w:highlight w:val="black"/>
              </w:rPr>
              <w:t>''''''''''''''''</w:t>
            </w:r>
          </w:p>
        </w:tc>
      </w:tr>
    </w:tbl>
    <w:p w:rsidR="00614E28" w:rsidRDefault="00F30EB2" w:rsidP="00613D0B">
      <w:pPr>
        <w:pStyle w:val="TableFigureFooter"/>
        <w:keepNext/>
        <w:keepLines/>
      </w:pPr>
      <w:r w:rsidRPr="00F30EB2">
        <w:t xml:space="preserve">Abbreviations: BSC, best supportive care; </w:t>
      </w:r>
      <w:r>
        <w:t xml:space="preserve">ICER incremental cost effectiveness ratio; </w:t>
      </w:r>
      <w:r w:rsidRPr="00F30EB2">
        <w:t>QALY, quality-adjusted life year.</w:t>
      </w:r>
    </w:p>
    <w:p w:rsidR="00F30EB2" w:rsidRDefault="00F30EB2" w:rsidP="00613D0B">
      <w:pPr>
        <w:pStyle w:val="TableFigureFooter"/>
        <w:keepNext/>
        <w:keepLines/>
        <w:rPr>
          <w:szCs w:val="20"/>
        </w:rPr>
      </w:pPr>
      <w:r>
        <w:rPr>
          <w:szCs w:val="20"/>
        </w:rPr>
        <w:t>All sensitivity analyses based on 1,000 trials using the random number generator Seed 3.</w:t>
      </w:r>
    </w:p>
    <w:p w:rsidR="00F30EB2" w:rsidRPr="00906E2E" w:rsidRDefault="00F30EB2" w:rsidP="00613D0B">
      <w:pPr>
        <w:pStyle w:val="TableFigureFooter"/>
        <w:keepNext/>
        <w:keepLines/>
        <w:rPr>
          <w:szCs w:val="20"/>
        </w:rPr>
      </w:pPr>
      <w:r>
        <w:rPr>
          <w:szCs w:val="20"/>
        </w:rPr>
        <w:t xml:space="preserve">Source: compiled using ‘Frem variable list (FINAL)’ Excel workbook and ‘Migraine (FINAL) – </w:t>
      </w:r>
      <w:r w:rsidR="002D58A5">
        <w:rPr>
          <w:szCs w:val="20"/>
        </w:rPr>
        <w:t>Final - Base</w:t>
      </w:r>
      <w:r>
        <w:rPr>
          <w:szCs w:val="20"/>
        </w:rPr>
        <w:t xml:space="preserve"> Case’ TreeAge file.</w:t>
      </w:r>
    </w:p>
    <w:p w:rsidR="003D44BC" w:rsidRPr="003D44BC" w:rsidRDefault="003D44BC" w:rsidP="003D44BC">
      <w:pPr>
        <w:pStyle w:val="3-BodyText"/>
      </w:pPr>
      <w:r w:rsidRPr="003D44BC">
        <w:t>The PBAC noted a number of assumptions in the economic model favoured fremanezumab (paragraph 6.57) and there were uncertainties regarding the appropriate continuation rate and clinical benefit to use in the model which had a significant impact on the ICER (paragraph 6.61)</w:t>
      </w:r>
    </w:p>
    <w:p w:rsidR="0090626F" w:rsidRDefault="0090626F" w:rsidP="00B53D00">
      <w:pPr>
        <w:pStyle w:val="5-SubsectionSubheading"/>
      </w:pPr>
      <w:r w:rsidRPr="0090626F">
        <w:t>Cost minimisation analysis versus Botox</w:t>
      </w:r>
    </w:p>
    <w:p w:rsidR="001767B3" w:rsidRPr="001767B3" w:rsidRDefault="00285E5C" w:rsidP="001767B3">
      <w:pPr>
        <w:pStyle w:val="3-BodyText"/>
      </w:pPr>
      <w:r w:rsidRPr="006258D8">
        <w:t xml:space="preserve">The submission presented </w:t>
      </w:r>
      <w:r w:rsidR="0012120B" w:rsidRPr="006258D8">
        <w:t xml:space="preserve">a </w:t>
      </w:r>
      <w:r w:rsidR="00EE7CC8">
        <w:t>CMA</w:t>
      </w:r>
      <w:r w:rsidRPr="006258D8">
        <w:t xml:space="preserve"> versus Botox for the population of chronic migraine patients who are el</w:t>
      </w:r>
      <w:r w:rsidR="001E1302">
        <w:t>igible for treatment with Botox</w:t>
      </w:r>
      <w:r w:rsidR="001767B3">
        <w:t xml:space="preserve"> and </w:t>
      </w:r>
      <w:r w:rsidR="00DD359C" w:rsidRPr="006258D8">
        <w:t>proposed</w:t>
      </w:r>
      <w:r w:rsidR="003B0F24">
        <w:t xml:space="preserve"> the</w:t>
      </w:r>
      <w:r w:rsidR="00DD359C" w:rsidRPr="006258D8">
        <w:t xml:space="preserve"> following equi-effective doses:</w:t>
      </w:r>
      <w:r w:rsidR="001767B3" w:rsidRPr="001767B3">
        <w:t xml:space="preserve"> 3 syringes of fremanezumab (675 mg) are equivalent </w:t>
      </w:r>
      <w:r w:rsidR="001767B3" w:rsidRPr="000C6489">
        <w:t xml:space="preserve">to </w:t>
      </w:r>
      <w:r w:rsidR="00D11BC9">
        <w:rPr>
          <w:noProof/>
          <w:color w:val="000000"/>
          <w:highlight w:val="black"/>
        </w:rPr>
        <w:t>''''''''</w:t>
      </w:r>
      <w:r w:rsidR="000C6489" w:rsidRPr="000C6489">
        <w:t xml:space="preserve"> </w:t>
      </w:r>
      <w:r w:rsidR="001767B3" w:rsidRPr="000C6489">
        <w:t>vials</w:t>
      </w:r>
      <w:r w:rsidR="001767B3" w:rsidRPr="001767B3">
        <w:t xml:space="preserve"> of Botox (</w:t>
      </w:r>
      <w:r w:rsidR="00D11BC9">
        <w:rPr>
          <w:noProof/>
          <w:color w:val="000000"/>
          <w:highlight w:val="black"/>
        </w:rPr>
        <w:t xml:space="preserve">''''''' </w:t>
      </w:r>
      <w:r w:rsidR="001767B3" w:rsidRPr="001767B3">
        <w:t>Units).</w:t>
      </w:r>
    </w:p>
    <w:p w:rsidR="00C74141" w:rsidRDefault="00C6254C" w:rsidP="000F2EE3">
      <w:pPr>
        <w:pStyle w:val="3-BodyText"/>
      </w:pPr>
      <w:r w:rsidRPr="006258D8">
        <w:t>The proposed equi-effective doses were based on the average number of Botox vials dispensed per service (</w:t>
      </w:r>
      <w:r w:rsidR="00D11BC9">
        <w:rPr>
          <w:noProof/>
          <w:color w:val="000000"/>
          <w:highlight w:val="black"/>
        </w:rPr>
        <w:t>''''''''</w:t>
      </w:r>
      <w:r w:rsidRPr="006258D8">
        <w:t xml:space="preserve"> vials), derived from PBS dispensing data for Botox between April 2018 and March 2019. </w:t>
      </w:r>
      <w:r w:rsidRPr="00742CD6">
        <w:t>Th</w:t>
      </w:r>
      <w:r w:rsidR="00425208" w:rsidRPr="00742CD6">
        <w:t xml:space="preserve">e </w:t>
      </w:r>
      <w:r w:rsidR="00074DB0">
        <w:t xml:space="preserve">evaluation </w:t>
      </w:r>
      <w:r w:rsidR="00425208" w:rsidRPr="00742CD6">
        <w:t>considered this was not appropriate</w:t>
      </w:r>
      <w:r w:rsidR="00074DB0">
        <w:t xml:space="preserve"> and that equi-effective doses should be based on the doses in the clinical trials</w:t>
      </w:r>
      <w:r w:rsidR="00425208" w:rsidRPr="00742CD6">
        <w:t>.</w:t>
      </w:r>
      <w:r w:rsidR="00D7191D" w:rsidRPr="00265905">
        <w:t xml:space="preserve"> </w:t>
      </w:r>
      <w:r w:rsidR="00265905" w:rsidRPr="001E7B33">
        <w:t xml:space="preserve">The PSCR argued real world dosing should be used </w:t>
      </w:r>
      <w:r w:rsidR="001E7B33">
        <w:t xml:space="preserve">as that is what the PBS is paying for. </w:t>
      </w:r>
      <w:r w:rsidR="00074DB0">
        <w:t>T</w:t>
      </w:r>
      <w:r w:rsidR="00265905" w:rsidRPr="001E7B33">
        <w:t>he ESC disagreed with the PSCR and considered equi-effective doses should be based on the clinical trial evidence used to determine non-inferiority.</w:t>
      </w:r>
    </w:p>
    <w:p w:rsidR="00DD359C" w:rsidRPr="00906E2E" w:rsidRDefault="001B5B18" w:rsidP="00167267">
      <w:pPr>
        <w:pStyle w:val="3-BodyText"/>
      </w:pPr>
      <w:r w:rsidRPr="00906E2E">
        <w:t xml:space="preserve">Table </w:t>
      </w:r>
      <w:r w:rsidR="00F30EB2" w:rsidRPr="00906E2E">
        <w:t>1</w:t>
      </w:r>
      <w:r w:rsidR="00DD7995">
        <w:t>7</w:t>
      </w:r>
      <w:r w:rsidR="00F30EB2" w:rsidRPr="00906E2E">
        <w:t xml:space="preserve"> </w:t>
      </w:r>
      <w:r w:rsidR="00DD359C" w:rsidRPr="00906E2E">
        <w:t xml:space="preserve">presents the results of the </w:t>
      </w:r>
      <w:r w:rsidR="00EE7CC8">
        <w:t>CMA</w:t>
      </w:r>
      <w:r w:rsidR="00DD359C" w:rsidRPr="00906E2E">
        <w:t xml:space="preserve"> for fremanezumab versus Botox</w:t>
      </w:r>
      <w:r w:rsidR="00074DB0">
        <w:t xml:space="preserve"> using the published price of Botox</w:t>
      </w:r>
      <w:r w:rsidR="00DD359C" w:rsidRPr="00906E2E">
        <w:t>.</w:t>
      </w:r>
      <w:r w:rsidR="00040ECB">
        <w:t xml:space="preserve"> </w:t>
      </w:r>
      <w:r w:rsidR="00167267" w:rsidRPr="00167267">
        <w:t xml:space="preserve">The ESC recalled that galcanezumab was recommended for listing on the basis of a </w:t>
      </w:r>
      <w:r w:rsidR="00EE7CC8">
        <w:t>CMA</w:t>
      </w:r>
      <w:r w:rsidR="00167267" w:rsidRPr="00167267">
        <w:t xml:space="preserve"> with Botox (164U every 12 weeks) over 2 years of treatment (paragraph 7.6, galcanezumab PSD, July 2019 PBAC meeting).</w:t>
      </w:r>
      <w:r w:rsidR="00167267">
        <w:t xml:space="preserve"> </w:t>
      </w:r>
      <w:r w:rsidR="00040ECB">
        <w:t>The PBAC noted a difference in</w:t>
      </w:r>
      <w:r w:rsidR="001E7ADD">
        <w:t xml:space="preserve"> the </w:t>
      </w:r>
      <w:r w:rsidR="00040ECB">
        <w:t xml:space="preserve">Botox administration cost compared to the galcanezumab </w:t>
      </w:r>
      <w:r w:rsidR="00EE7CC8">
        <w:t>CMA</w:t>
      </w:r>
      <w:r w:rsidR="00040ECB">
        <w:t xml:space="preserve"> (Table 12, galcanezumab PSD, July 2019 PBAC meeting).</w:t>
      </w:r>
      <w:r w:rsidR="00A01A23">
        <w:t xml:space="preserve"> </w:t>
      </w:r>
    </w:p>
    <w:p w:rsidR="00F201A3" w:rsidRDefault="00F201A3" w:rsidP="00021367">
      <w:pPr>
        <w:pStyle w:val="TableFigureHeading"/>
      </w:pPr>
      <w:r>
        <w:t xml:space="preserve">Table </w:t>
      </w:r>
      <w:r w:rsidR="009D4178">
        <w:rPr>
          <w:noProof/>
        </w:rPr>
        <w:t>17</w:t>
      </w:r>
      <w:r w:rsidRPr="00331F6A">
        <w:t xml:space="preserve">: </w:t>
      </w:r>
      <w:r w:rsidR="00694F94" w:rsidRPr="00331F6A">
        <w:t>Results of the cost-minimisation analysis for fremanezumab versus Botox</w:t>
      </w:r>
      <w:r w:rsidR="00694F94">
        <w:t xml:space="preserve"> (using the published Botox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Results of the cost-minimisation analysis for fremanezumab versus Botox"/>
      </w:tblPr>
      <w:tblGrid>
        <w:gridCol w:w="5131"/>
        <w:gridCol w:w="1902"/>
        <w:gridCol w:w="1939"/>
      </w:tblGrid>
      <w:tr w:rsidR="00DD359C" w:rsidRPr="006258D8" w:rsidTr="00643238">
        <w:trPr>
          <w:tblHeader/>
        </w:trPr>
        <w:tc>
          <w:tcPr>
            <w:tcW w:w="5131"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DD359C" w:rsidP="00021367">
            <w:pPr>
              <w:pStyle w:val="PBACTableText"/>
              <w:keepNext/>
              <w:tabs>
                <w:tab w:val="left" w:pos="142"/>
              </w:tabs>
              <w:spacing w:before="0" w:after="0"/>
              <w:rPr>
                <w:b/>
              </w:rPr>
            </w:pPr>
          </w:p>
        </w:tc>
        <w:tc>
          <w:tcPr>
            <w:tcW w:w="1902"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DD359C" w:rsidP="00021367">
            <w:pPr>
              <w:pStyle w:val="PBACTableText"/>
              <w:keepNext/>
              <w:spacing w:before="0" w:after="0"/>
              <w:jc w:val="center"/>
              <w:rPr>
                <w:b/>
              </w:rPr>
            </w:pPr>
            <w:r w:rsidRPr="006258D8">
              <w:rPr>
                <w:b/>
              </w:rPr>
              <w:t>Fremanezumab</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DD359C" w:rsidP="00021367">
            <w:pPr>
              <w:pStyle w:val="PBACTableText"/>
              <w:keepNext/>
              <w:spacing w:before="0" w:after="0"/>
              <w:jc w:val="center"/>
              <w:rPr>
                <w:b/>
              </w:rPr>
            </w:pPr>
            <w:r w:rsidRPr="006258D8">
              <w:rPr>
                <w:b/>
              </w:rPr>
              <w:t xml:space="preserve">Botox 200U </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340302" w:rsidP="00021367">
            <w:pPr>
              <w:pStyle w:val="PBACTableText"/>
              <w:keepNext/>
              <w:tabs>
                <w:tab w:val="left" w:pos="142"/>
              </w:tabs>
              <w:spacing w:before="0" w:after="0"/>
            </w:pPr>
            <w:r>
              <w:t>Proposed equi-effective dose</w:t>
            </w:r>
          </w:p>
        </w:tc>
        <w:tc>
          <w:tcPr>
            <w:tcW w:w="1902"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D11BC9" w:rsidP="00021367">
            <w:pPr>
              <w:pStyle w:val="PBACTableText"/>
              <w:keepNext/>
              <w:spacing w:before="0" w:after="0"/>
              <w:jc w:val="center"/>
            </w:pPr>
            <w:r>
              <w:rPr>
                <w:noProof/>
                <w:color w:val="000000"/>
                <w:highlight w:val="black"/>
              </w:rPr>
              <w:t>''''</w:t>
            </w:r>
            <w:r w:rsidR="00DD359C" w:rsidRPr="006258D8">
              <w:t xml:space="preserve"> syringes</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11BC9" w:rsidP="00021367">
            <w:pPr>
              <w:pStyle w:val="PBACTableText"/>
              <w:keepNext/>
              <w:spacing w:before="0" w:after="0"/>
              <w:jc w:val="center"/>
            </w:pPr>
            <w:r>
              <w:rPr>
                <w:noProof/>
                <w:color w:val="000000"/>
                <w:highlight w:val="black"/>
              </w:rPr>
              <w:t>'''''''''''</w:t>
            </w:r>
            <w:r w:rsidR="00DD359C" w:rsidRPr="006258D8">
              <w:t xml:space="preserve"> vials</w:t>
            </w:r>
          </w:p>
        </w:tc>
      </w:tr>
      <w:tr w:rsidR="00DD359C" w:rsidRPr="006258D8" w:rsidTr="00643238">
        <w:tc>
          <w:tcPr>
            <w:tcW w:w="8972" w:type="dxa"/>
            <w:gridSpan w:val="3"/>
            <w:tcBorders>
              <w:top w:val="single" w:sz="4" w:space="0" w:color="auto"/>
              <w:left w:val="single" w:sz="4" w:space="0" w:color="auto"/>
              <w:bottom w:val="single" w:sz="4" w:space="0" w:color="auto"/>
              <w:right w:val="single" w:sz="4" w:space="0" w:color="auto"/>
            </w:tcBorders>
            <w:vAlign w:val="center"/>
            <w:hideMark/>
          </w:tcPr>
          <w:p w:rsidR="00DD359C" w:rsidRPr="006258D8" w:rsidRDefault="00DD359C" w:rsidP="00021367">
            <w:pPr>
              <w:pStyle w:val="PBACTableText"/>
              <w:keepNext/>
              <w:tabs>
                <w:tab w:val="left" w:pos="142"/>
              </w:tabs>
              <w:spacing w:before="0" w:after="0"/>
              <w:rPr>
                <w:b/>
              </w:rPr>
            </w:pPr>
            <w:r w:rsidRPr="006258D8">
              <w:rPr>
                <w:b/>
              </w:rPr>
              <w:t>Treatment cost (Botox)</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 xml:space="preserve">Drug acquisition, at AEMP ($337.49 ex-man x </w:t>
            </w:r>
            <w:r w:rsidR="00D11BC9">
              <w:rPr>
                <w:noProof/>
                <w:color w:val="000000"/>
                <w:highlight w:val="black"/>
              </w:rPr>
              <w:t>''''''''''</w:t>
            </w:r>
            <w:r w:rsidR="004C2154" w:rsidRPr="006258D8">
              <w:t xml:space="preserve"> vials </w:t>
            </w:r>
            <w:r w:rsidRPr="006258D8">
              <w:t>x 8)</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rPr>
                <w:vertAlign w:val="superscript"/>
              </w:rPr>
            </w:pPr>
            <w:r w:rsidRPr="006258D8">
              <w:t>$</w:t>
            </w:r>
            <w:r w:rsidR="00D11BC9">
              <w:rPr>
                <w:noProof/>
                <w:color w:val="000000"/>
                <w:highlight w:val="black"/>
              </w:rPr>
              <w:t>'''''''''''''''''''''</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Administration cost ($107.85 x 8)</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r w:rsidR="00D11BC9">
              <w:rPr>
                <w:noProof/>
                <w:color w:val="000000"/>
                <w:highlight w:val="black"/>
              </w:rPr>
              <w:t>'''''''''''''''''</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Drug and administration cost per 2 years</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r w:rsidR="00D11BC9">
              <w:rPr>
                <w:noProof/>
                <w:color w:val="000000"/>
                <w:highlight w:val="black"/>
              </w:rPr>
              <w:t>'''''''''''''''''''''</w:t>
            </w:r>
          </w:p>
        </w:tc>
      </w:tr>
      <w:tr w:rsidR="00DD359C" w:rsidRPr="006258D8" w:rsidTr="00643238">
        <w:tc>
          <w:tcPr>
            <w:tcW w:w="8972" w:type="dxa"/>
            <w:gridSpan w:val="3"/>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rPr>
                <w:b/>
              </w:rPr>
            </w:pPr>
            <w:r w:rsidRPr="006258D8">
              <w:rPr>
                <w:b/>
              </w:rPr>
              <w:t>Cost-minimisation (fremanezumab)</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Drug acquisition, at AEMP</w:t>
            </w:r>
            <w:r w:rsidR="00D7191D" w:rsidRPr="006258D8">
              <w:t xml:space="preserve"> (24 syringes)</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r w:rsidR="00D11BC9">
              <w:rPr>
                <w:noProof/>
                <w:color w:val="000000"/>
                <w:highlight w:val="black"/>
              </w:rPr>
              <w:t>'''''''''''''''''''</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Specialist consultations ($75.05 x 2)</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$150.10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359C" w:rsidRPr="006258D8" w:rsidRDefault="00DD359C" w:rsidP="00021367">
            <w:pPr>
              <w:pStyle w:val="PBACTableText"/>
              <w:keepNext/>
              <w:spacing w:before="0" w:after="0"/>
              <w:jc w:val="center"/>
            </w:pPr>
            <w:r w:rsidRPr="006258D8">
              <w:t>–</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GP visits ($38.20 x 3.5)</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$133.70</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r>
      <w:tr w:rsidR="00DD359C" w:rsidRPr="006258D8" w:rsidTr="00643238">
        <w:tc>
          <w:tcPr>
            <w:tcW w:w="5131"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tabs>
                <w:tab w:val="left" w:pos="142"/>
              </w:tabs>
              <w:spacing w:before="0" w:after="0"/>
            </w:pPr>
            <w:r w:rsidRPr="006258D8">
              <w:t>Cost-minimised AEMP per 225 mg syringe ($</w:t>
            </w:r>
            <w:r w:rsidR="00D11BC9">
              <w:rPr>
                <w:noProof/>
                <w:color w:val="000000"/>
                <w:highlight w:val="black"/>
              </w:rPr>
              <w:t>'''''''''''''''''''</w:t>
            </w:r>
            <w:r w:rsidRPr="006258D8">
              <w:t>/24)</w:t>
            </w:r>
          </w:p>
        </w:tc>
        <w:tc>
          <w:tcPr>
            <w:tcW w:w="1902"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r w:rsidR="00D11BC9">
              <w:rPr>
                <w:noProof/>
                <w:color w:val="000000"/>
                <w:highlight w:val="black"/>
              </w:rPr>
              <w:t>''''''''''''''''''</w:t>
            </w:r>
          </w:p>
        </w:tc>
        <w:tc>
          <w:tcPr>
            <w:tcW w:w="1939" w:type="dxa"/>
            <w:tcBorders>
              <w:top w:val="single" w:sz="4" w:space="0" w:color="auto"/>
              <w:left w:val="single" w:sz="4" w:space="0" w:color="auto"/>
              <w:bottom w:val="single" w:sz="4" w:space="0" w:color="auto"/>
              <w:right w:val="single" w:sz="4" w:space="0" w:color="auto"/>
            </w:tcBorders>
            <w:vAlign w:val="center"/>
          </w:tcPr>
          <w:p w:rsidR="00DD359C" w:rsidRPr="006258D8" w:rsidRDefault="00DD359C" w:rsidP="00021367">
            <w:pPr>
              <w:pStyle w:val="PBACTableText"/>
              <w:keepNext/>
              <w:spacing w:before="0" w:after="0"/>
              <w:jc w:val="center"/>
            </w:pPr>
            <w:r w:rsidRPr="006258D8">
              <w:t>–</w:t>
            </w:r>
          </w:p>
        </w:tc>
      </w:tr>
    </w:tbl>
    <w:p w:rsidR="00DD359C" w:rsidRPr="006258D8" w:rsidRDefault="00DD359C" w:rsidP="00021367">
      <w:pPr>
        <w:pStyle w:val="TableFigureFooter"/>
      </w:pPr>
      <w:r w:rsidRPr="006258D8">
        <w:t xml:space="preserve">Source: </w:t>
      </w:r>
      <w:r w:rsidRPr="004729C8">
        <w:t>Section 3.10, p.243 of the submission.</w:t>
      </w:r>
    </w:p>
    <w:p w:rsidR="00DD359C" w:rsidRPr="006258D8" w:rsidRDefault="00DD359C" w:rsidP="00021367">
      <w:pPr>
        <w:pStyle w:val="TableFigureFooter"/>
      </w:pPr>
      <w:r w:rsidRPr="006258D8">
        <w:t xml:space="preserve">Abbreviations: AEMP, ex-manufacturer price; </w:t>
      </w:r>
      <w:r w:rsidR="00F30EB2">
        <w:t xml:space="preserve">GP general practitioner; </w:t>
      </w:r>
      <w:r w:rsidRPr="006258D8">
        <w:t>U, units</w:t>
      </w:r>
    </w:p>
    <w:p w:rsidR="001E7B33" w:rsidRDefault="00DD359C" w:rsidP="001E7B33">
      <w:pPr>
        <w:pStyle w:val="3-BodyText"/>
      </w:pPr>
      <w:r w:rsidRPr="006258D8">
        <w:t xml:space="preserve">The calculation </w:t>
      </w:r>
      <w:r w:rsidR="00D7191D" w:rsidRPr="006258D8">
        <w:t xml:space="preserve">of the equi-effective doses for </w:t>
      </w:r>
      <w:r w:rsidRPr="006258D8">
        <w:t xml:space="preserve">fremanezumab and erenumab </w:t>
      </w:r>
      <w:r w:rsidR="005B27F1" w:rsidRPr="006258D8">
        <w:t xml:space="preserve">was based on a 50:50 dose </w:t>
      </w:r>
      <w:r w:rsidRPr="006258D8">
        <w:t>split for er</w:t>
      </w:r>
      <w:r w:rsidR="005B27F1" w:rsidRPr="006258D8">
        <w:t>enumab 70 mg and 140 mg.</w:t>
      </w:r>
      <w:r w:rsidR="00E8010A">
        <w:t xml:space="preserve"> </w:t>
      </w:r>
      <w:r w:rsidR="001E7B33">
        <w:t xml:space="preserve">The submission </w:t>
      </w:r>
      <w:r w:rsidR="00167267">
        <w:t xml:space="preserve">proposed </w:t>
      </w:r>
      <w:r w:rsidR="001E7B33">
        <w:t>the following equi-effective doses: 2,700 mg fremanezumab = 1,369 mg erenumab</w:t>
      </w:r>
      <w:r w:rsidR="001767B3">
        <w:t>.</w:t>
      </w:r>
    </w:p>
    <w:p w:rsidR="001E7B33" w:rsidRPr="006258D8" w:rsidRDefault="00441F4A" w:rsidP="005E69C2">
      <w:pPr>
        <w:pStyle w:val="3-BodyText"/>
      </w:pPr>
      <w:r w:rsidRPr="006258D8">
        <w:t xml:space="preserve">The submission noted that treatment with galcanezumab requires an initial loading dose of 240 mg followed </w:t>
      </w:r>
      <w:r w:rsidR="002B01B1" w:rsidRPr="006258D8">
        <w:t xml:space="preserve">by </w:t>
      </w:r>
      <w:r w:rsidRPr="006258D8">
        <w:t xml:space="preserve">120 mg monthly, resulting in </w:t>
      </w:r>
      <w:r w:rsidR="001767B3">
        <w:t xml:space="preserve">a </w:t>
      </w:r>
      <w:r w:rsidRPr="006258D8">
        <w:t>total of thirteen 120 mg syringes over the first 12 months.</w:t>
      </w:r>
      <w:r w:rsidR="001E7B33" w:rsidRPr="001E7B33">
        <w:t xml:space="preserve"> </w:t>
      </w:r>
      <w:r w:rsidR="001E7B33" w:rsidRPr="006258D8">
        <w:t>The submission proposed the following equi-effective doses</w:t>
      </w:r>
      <w:r w:rsidR="001E7B33">
        <w:t xml:space="preserve">: </w:t>
      </w:r>
      <w:r w:rsidR="001E7B33" w:rsidRPr="006258D8">
        <w:t>2,</w:t>
      </w:r>
      <w:r w:rsidR="001E7B33" w:rsidRPr="002C6818">
        <w:t>700</w:t>
      </w:r>
      <w:r w:rsidR="001E7B33" w:rsidRPr="006258D8">
        <w:t xml:space="preserve"> mg fremanezumab = 1,560 mg galcanezumab</w:t>
      </w:r>
      <w:r w:rsidR="001767B3">
        <w:t>.</w:t>
      </w:r>
    </w:p>
    <w:p w:rsidR="00DC09FD" w:rsidRPr="00906E2E" w:rsidRDefault="001E5C28" w:rsidP="000F2EE3">
      <w:pPr>
        <w:pStyle w:val="3-BodyText"/>
      </w:pPr>
      <w:r w:rsidRPr="00906E2E">
        <w:t xml:space="preserve">The ESC considered the equi-effective doses </w:t>
      </w:r>
      <w:r w:rsidR="002D1779" w:rsidRPr="00906E2E">
        <w:t xml:space="preserve">to be </w:t>
      </w:r>
      <w:r w:rsidRPr="00906E2E">
        <w:t>fremanezumab 225 mg every month or 675 mg every three months, erenumab 70 mg or 140 mg every four weeks and galcanezumab 240 mg initially fo</w:t>
      </w:r>
      <w:r w:rsidR="00340302">
        <w:t>llowed by 120 mg once monthly.</w:t>
      </w:r>
      <w:r w:rsidR="00167267" w:rsidRPr="00167267">
        <w:t xml:space="preserve"> </w:t>
      </w:r>
    </w:p>
    <w:p w:rsidR="00230489" w:rsidRPr="00906E2E" w:rsidRDefault="00230489" w:rsidP="000F2EE3">
      <w:pPr>
        <w:pStyle w:val="3-BodyText"/>
      </w:pPr>
      <w:r w:rsidRPr="00906E2E">
        <w:t xml:space="preserve">The submission derived a weighted price for fremanezumab based on the results of the </w:t>
      </w:r>
      <w:r w:rsidR="00EE7CC8">
        <w:t xml:space="preserve">CUA </w:t>
      </w:r>
      <w:r w:rsidRPr="00906E2E">
        <w:t xml:space="preserve">versus </w:t>
      </w:r>
      <w:r w:rsidR="00070838">
        <w:t>BSC</w:t>
      </w:r>
      <w:r w:rsidRPr="00906E2E">
        <w:t xml:space="preserve"> (Botox ruled out and Botox failed populations) and the </w:t>
      </w:r>
      <w:r w:rsidR="00EE7CC8">
        <w:t>CMA</w:t>
      </w:r>
      <w:r w:rsidRPr="00906E2E">
        <w:t xml:space="preserve"> versus Botox (Botox eligible population). </w:t>
      </w:r>
    </w:p>
    <w:p w:rsidR="00C74141" w:rsidRDefault="00230489" w:rsidP="000F2EE3">
      <w:pPr>
        <w:pStyle w:val="3-BodyText"/>
      </w:pPr>
      <w:r w:rsidRPr="00906E2E">
        <w:t xml:space="preserve">The relative weighting between the populations was based on the estimated number of Botox eligible </w:t>
      </w:r>
      <w:r w:rsidRPr="00694F94">
        <w:t>(</w:t>
      </w:r>
      <w:r w:rsidR="00D11BC9">
        <w:rPr>
          <w:noProof/>
          <w:color w:val="000000"/>
          <w:highlight w:val="black"/>
        </w:rPr>
        <w:t>'''''''''''</w:t>
      </w:r>
      <w:r w:rsidRPr="00694F94">
        <w:t>) and</w:t>
      </w:r>
      <w:r w:rsidRPr="00906E2E">
        <w:t xml:space="preserve"> Botox ineligible </w:t>
      </w:r>
      <w:r w:rsidR="001C0FC5" w:rsidRPr="00906E2E">
        <w:t>(</w:t>
      </w:r>
      <w:r w:rsidR="00D11BC9">
        <w:rPr>
          <w:noProof/>
          <w:color w:val="000000"/>
          <w:highlight w:val="black"/>
        </w:rPr>
        <w:t>''''''''''''</w:t>
      </w:r>
      <w:r w:rsidR="001C0FC5" w:rsidRPr="00906E2E">
        <w:t xml:space="preserve">) </w:t>
      </w:r>
      <w:r w:rsidR="002B01B1" w:rsidRPr="00906E2E">
        <w:t xml:space="preserve">patients </w:t>
      </w:r>
      <w:r w:rsidRPr="00906E2E">
        <w:t>in the first year of listing.</w:t>
      </w:r>
      <w:r w:rsidR="002D4A47" w:rsidRPr="00906E2E">
        <w:t xml:space="preserve"> The ESC considered the </w:t>
      </w:r>
      <w:r w:rsidRPr="00906E2E">
        <w:t xml:space="preserve">methodology used to derive the </w:t>
      </w:r>
      <w:r w:rsidR="00040ECB">
        <w:t xml:space="preserve">Botox </w:t>
      </w:r>
      <w:r w:rsidR="002B01B1" w:rsidRPr="00906E2E">
        <w:t xml:space="preserve">eligible </w:t>
      </w:r>
      <w:r w:rsidR="00040ECB">
        <w:t xml:space="preserve">and Botox ineligible </w:t>
      </w:r>
      <w:r w:rsidR="00060609" w:rsidRPr="00906E2E">
        <w:t>population</w:t>
      </w:r>
      <w:r w:rsidR="00040ECB">
        <w:t>s</w:t>
      </w:r>
      <w:r w:rsidRPr="00906E2E">
        <w:t xml:space="preserve"> </w:t>
      </w:r>
      <w:r w:rsidR="002B01B1" w:rsidRPr="00906E2E">
        <w:t>w</w:t>
      </w:r>
      <w:r w:rsidR="00040ECB">
        <w:t xml:space="preserve">ere </w:t>
      </w:r>
      <w:r w:rsidR="002B01B1" w:rsidRPr="00906E2E">
        <w:t>not</w:t>
      </w:r>
      <w:r w:rsidR="002D4A47" w:rsidRPr="00906E2E">
        <w:t xml:space="preserve"> </w:t>
      </w:r>
      <w:r w:rsidR="002B01B1" w:rsidRPr="00906E2E">
        <w:t>reliable</w:t>
      </w:r>
      <w:r w:rsidR="002D4A47" w:rsidRPr="00906E2E">
        <w:t xml:space="preserve"> and </w:t>
      </w:r>
      <w:r w:rsidR="000D6CFA" w:rsidRPr="00906E2E">
        <w:t>highly uncertain</w:t>
      </w:r>
      <w:r w:rsidR="00167267">
        <w:t>.</w:t>
      </w:r>
      <w:r w:rsidR="000D6CFA" w:rsidRPr="00906E2E">
        <w:t xml:space="preserve"> </w:t>
      </w:r>
    </w:p>
    <w:p w:rsidR="00C74141" w:rsidRDefault="002B2A04" w:rsidP="00EC4C47">
      <w:pPr>
        <w:pStyle w:val="3-BodyText"/>
      </w:pPr>
      <w:r w:rsidRPr="00906E2E">
        <w:t>T</w:t>
      </w:r>
      <w:r w:rsidR="00230489" w:rsidRPr="00906E2E">
        <w:t xml:space="preserve">he submission only considered patients who </w:t>
      </w:r>
      <w:r w:rsidR="00060609" w:rsidRPr="00906E2E">
        <w:t>are currently (i.e. in Year 1 of fremanezumab listing) receiving treatment with Botox to be Botox-eligible patients. However, there are likely to be additional patients with access to a neurologist, with no contraindication to Botox, and who do not have a toxin or needle failure who have not elected treatment with Botox. These patients may also be considered eligible for Botox. The weighting was derived based on the numbers of eligible patients for each of the subpopulations in the first year of listing only. However, the relative proportions are likely to change over the first six years of listing. The</w:t>
      </w:r>
      <w:r w:rsidR="00060609" w:rsidRPr="00BA3940">
        <w:t xml:space="preserve"> submission did not adequately justify basing the weighted price on the number of eligible patients rather than th</w:t>
      </w:r>
      <w:r w:rsidR="00040ECB">
        <w:t xml:space="preserve">e number of </w:t>
      </w:r>
      <w:r w:rsidR="00167267">
        <w:t xml:space="preserve">anticipated treated </w:t>
      </w:r>
      <w:r w:rsidR="00040ECB">
        <w:t>patients</w:t>
      </w:r>
      <w:r w:rsidR="00167267">
        <w:t>.</w:t>
      </w:r>
      <w:r w:rsidR="00B64BBF">
        <w:t xml:space="preserve"> </w:t>
      </w:r>
    </w:p>
    <w:p w:rsidR="00C74141" w:rsidRDefault="001B5B18" w:rsidP="00001A3D">
      <w:pPr>
        <w:pStyle w:val="3-BodyText"/>
      </w:pPr>
      <w:r w:rsidRPr="006258D8">
        <w:t xml:space="preserve">Table </w:t>
      </w:r>
      <w:r w:rsidR="001C0FC5">
        <w:t>18</w:t>
      </w:r>
      <w:r w:rsidR="00F30EB2" w:rsidRPr="006258D8">
        <w:t xml:space="preserve"> </w:t>
      </w:r>
      <w:r w:rsidR="00230489" w:rsidRPr="006258D8">
        <w:t>presents the derivation of the weighted fremanezumab price</w:t>
      </w:r>
      <w:r w:rsidR="00971ABC">
        <w:t xml:space="preserve"> (using the published price for Botox for the CMA price)</w:t>
      </w:r>
      <w:r w:rsidR="00230489" w:rsidRPr="006258D8">
        <w:t>.</w:t>
      </w:r>
      <w:r w:rsidR="00773531">
        <w:t xml:space="preserve"> The PBAC considered the submission had not adequately justified a higher cost for fremanezumab in the Botox ruled out and Botox failed population.</w:t>
      </w:r>
    </w:p>
    <w:p w:rsidR="00777245" w:rsidRDefault="00777245" w:rsidP="00021367">
      <w:pPr>
        <w:pStyle w:val="TableFigureHeading"/>
      </w:pPr>
      <w:r>
        <w:t xml:space="preserve">Table </w:t>
      </w:r>
      <w:r w:rsidR="009D4178">
        <w:rPr>
          <w:noProof/>
        </w:rPr>
        <w:t>18</w:t>
      </w:r>
      <w:r w:rsidRPr="00FC654B">
        <w:t>:</w:t>
      </w:r>
      <w:r w:rsidR="00340302">
        <w:t xml:space="preserve"> </w:t>
      </w:r>
      <w:r w:rsidR="00FA62C8" w:rsidRPr="00FC654B">
        <w:t>Requested fremanezumab weighted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Requested fremanezumab weighted price"/>
      </w:tblPr>
      <w:tblGrid>
        <w:gridCol w:w="4045"/>
        <w:gridCol w:w="1625"/>
        <w:gridCol w:w="1408"/>
        <w:gridCol w:w="1938"/>
      </w:tblGrid>
      <w:tr w:rsidR="00230489" w:rsidRPr="006258D8" w:rsidTr="00643238">
        <w:trPr>
          <w:tblHeader/>
        </w:trPr>
        <w:tc>
          <w:tcPr>
            <w:tcW w:w="2243" w:type="pct"/>
            <w:shd w:val="clear" w:color="auto" w:fill="auto"/>
            <w:vAlign w:val="center"/>
          </w:tcPr>
          <w:p w:rsidR="00230489" w:rsidRPr="006258D8" w:rsidRDefault="00230489" w:rsidP="00021367">
            <w:pPr>
              <w:pStyle w:val="Tabletext0"/>
              <w:keepNext/>
              <w:rPr>
                <w:b/>
              </w:rPr>
            </w:pPr>
          </w:p>
        </w:tc>
        <w:tc>
          <w:tcPr>
            <w:tcW w:w="901" w:type="pct"/>
            <w:shd w:val="clear" w:color="auto" w:fill="auto"/>
            <w:vAlign w:val="center"/>
          </w:tcPr>
          <w:p w:rsidR="00230489" w:rsidRPr="006258D8" w:rsidRDefault="00230489" w:rsidP="00021367">
            <w:pPr>
              <w:pStyle w:val="Tabletext0"/>
              <w:keepNext/>
              <w:jc w:val="center"/>
              <w:rPr>
                <w:b/>
              </w:rPr>
            </w:pPr>
            <w:r w:rsidRPr="006258D8">
              <w:rPr>
                <w:b/>
              </w:rPr>
              <w:t>Requested price (AEMP)</w:t>
            </w:r>
          </w:p>
        </w:tc>
        <w:tc>
          <w:tcPr>
            <w:tcW w:w="781" w:type="pct"/>
            <w:shd w:val="clear" w:color="auto" w:fill="auto"/>
            <w:vAlign w:val="center"/>
          </w:tcPr>
          <w:p w:rsidR="00230489" w:rsidRPr="006258D8" w:rsidRDefault="00230489" w:rsidP="00021367">
            <w:pPr>
              <w:pStyle w:val="Tabletext0"/>
              <w:keepNext/>
              <w:jc w:val="center"/>
              <w:rPr>
                <w:b/>
              </w:rPr>
            </w:pPr>
            <w:r w:rsidRPr="006258D8">
              <w:rPr>
                <w:b/>
              </w:rPr>
              <w:t>Weighting</w:t>
            </w:r>
          </w:p>
        </w:tc>
        <w:tc>
          <w:tcPr>
            <w:tcW w:w="1075" w:type="pct"/>
            <w:vAlign w:val="center"/>
          </w:tcPr>
          <w:p w:rsidR="00230489" w:rsidRPr="006258D8" w:rsidRDefault="00230489" w:rsidP="00021367">
            <w:pPr>
              <w:pStyle w:val="Tabletext0"/>
              <w:keepNext/>
              <w:jc w:val="center"/>
              <w:rPr>
                <w:b/>
              </w:rPr>
            </w:pPr>
            <w:r w:rsidRPr="006258D8">
              <w:rPr>
                <w:b/>
              </w:rPr>
              <w:t>Price/syringe</w:t>
            </w:r>
          </w:p>
        </w:tc>
      </w:tr>
      <w:tr w:rsidR="00230489" w:rsidRPr="006258D8" w:rsidTr="00643238">
        <w:tc>
          <w:tcPr>
            <w:tcW w:w="2243" w:type="pct"/>
            <w:shd w:val="clear" w:color="auto" w:fill="auto"/>
            <w:vAlign w:val="center"/>
          </w:tcPr>
          <w:p w:rsidR="00230489" w:rsidRPr="006258D8" w:rsidRDefault="00230489" w:rsidP="00021367">
            <w:pPr>
              <w:pStyle w:val="Tabletext0"/>
              <w:keepNext/>
            </w:pPr>
            <w:r w:rsidRPr="006258D8">
              <w:t>Cost-minimisation versus Botox</w:t>
            </w:r>
          </w:p>
        </w:tc>
        <w:tc>
          <w:tcPr>
            <w:tcW w:w="901" w:type="pct"/>
            <w:shd w:val="clear" w:color="auto" w:fill="auto"/>
            <w:vAlign w:val="center"/>
          </w:tcPr>
          <w:p w:rsidR="00230489" w:rsidRPr="006258D8" w:rsidRDefault="00230489" w:rsidP="00021367">
            <w:pPr>
              <w:pStyle w:val="Tabletext0"/>
              <w:keepNext/>
              <w:jc w:val="center"/>
              <w:rPr>
                <w:rFonts w:cs="Arial"/>
                <w:color w:val="000000"/>
              </w:rPr>
            </w:pPr>
            <w:r w:rsidRPr="006258D8">
              <w:rPr>
                <w:rFonts w:cs="Arial"/>
                <w:color w:val="000000"/>
              </w:rPr>
              <w:t>$</w:t>
            </w:r>
            <w:r w:rsidR="00D11BC9">
              <w:rPr>
                <w:rFonts w:cs="Arial"/>
                <w:noProof/>
                <w:color w:val="000000"/>
                <w:highlight w:val="black"/>
              </w:rPr>
              <w:t>'''''''''''''''</w:t>
            </w:r>
          </w:p>
        </w:tc>
        <w:tc>
          <w:tcPr>
            <w:tcW w:w="781" w:type="pct"/>
            <w:shd w:val="clear" w:color="auto" w:fill="auto"/>
            <w:vAlign w:val="center"/>
          </w:tcPr>
          <w:p w:rsidR="00230489" w:rsidRPr="006258D8" w:rsidRDefault="00D11BC9" w:rsidP="00021367">
            <w:pPr>
              <w:pStyle w:val="Tabletext0"/>
              <w:keepNext/>
              <w:jc w:val="center"/>
              <w:rPr>
                <w:rFonts w:cs="Arial"/>
                <w:color w:val="000000"/>
              </w:rPr>
            </w:pPr>
            <w:r>
              <w:rPr>
                <w:rFonts w:cs="Arial"/>
                <w:noProof/>
                <w:color w:val="000000"/>
                <w:highlight w:val="black"/>
              </w:rPr>
              <w:t>''''''''</w:t>
            </w:r>
            <w:r w:rsidR="00230489" w:rsidRPr="006258D8">
              <w:rPr>
                <w:rFonts w:cs="Arial"/>
                <w:color w:val="000000"/>
              </w:rPr>
              <w:t>%</w:t>
            </w:r>
          </w:p>
        </w:tc>
        <w:tc>
          <w:tcPr>
            <w:tcW w:w="1075" w:type="pct"/>
            <w:vAlign w:val="center"/>
          </w:tcPr>
          <w:p w:rsidR="00230489" w:rsidRPr="006258D8" w:rsidRDefault="0012120B" w:rsidP="00021367">
            <w:pPr>
              <w:pStyle w:val="Tabletext0"/>
              <w:keepNext/>
              <w:jc w:val="center"/>
              <w:rPr>
                <w:rFonts w:cs="Arial"/>
                <w:color w:val="000000"/>
              </w:rPr>
            </w:pPr>
            <w:r w:rsidRPr="006258D8">
              <w:rPr>
                <w:rFonts w:cs="Arial"/>
                <w:color w:val="000000"/>
              </w:rPr>
              <w:t>-</w:t>
            </w:r>
          </w:p>
        </w:tc>
      </w:tr>
      <w:tr w:rsidR="00230489" w:rsidRPr="006258D8" w:rsidTr="00643238">
        <w:tc>
          <w:tcPr>
            <w:tcW w:w="2243" w:type="pct"/>
            <w:shd w:val="clear" w:color="auto" w:fill="auto"/>
            <w:vAlign w:val="center"/>
          </w:tcPr>
          <w:p w:rsidR="00230489" w:rsidRPr="006258D8" w:rsidRDefault="00230489" w:rsidP="00021367">
            <w:pPr>
              <w:pStyle w:val="Tabletext0"/>
              <w:keepNext/>
            </w:pPr>
            <w:r w:rsidRPr="006258D8">
              <w:t>Cost-effectiveness versus placebo/BSC</w:t>
            </w:r>
          </w:p>
        </w:tc>
        <w:tc>
          <w:tcPr>
            <w:tcW w:w="901" w:type="pct"/>
            <w:shd w:val="clear" w:color="auto" w:fill="auto"/>
            <w:vAlign w:val="center"/>
          </w:tcPr>
          <w:p w:rsidR="00230489" w:rsidRPr="006258D8" w:rsidRDefault="00230489" w:rsidP="00021367">
            <w:pPr>
              <w:pStyle w:val="Tabletext0"/>
              <w:keepNext/>
              <w:jc w:val="center"/>
              <w:rPr>
                <w:rFonts w:cs="Arial"/>
              </w:rPr>
            </w:pPr>
            <w:r w:rsidRPr="006258D8">
              <w:t>$</w:t>
            </w:r>
            <w:r w:rsidR="00D11BC9">
              <w:rPr>
                <w:noProof/>
                <w:color w:val="000000"/>
                <w:highlight w:val="black"/>
              </w:rPr>
              <w:t>''''''''''''''''''</w:t>
            </w:r>
          </w:p>
        </w:tc>
        <w:tc>
          <w:tcPr>
            <w:tcW w:w="781" w:type="pct"/>
            <w:shd w:val="clear" w:color="auto" w:fill="auto"/>
            <w:vAlign w:val="center"/>
          </w:tcPr>
          <w:p w:rsidR="00230489" w:rsidRPr="006258D8" w:rsidRDefault="00D11BC9" w:rsidP="00021367">
            <w:pPr>
              <w:pStyle w:val="Tabletext0"/>
              <w:keepNext/>
              <w:jc w:val="center"/>
              <w:rPr>
                <w:rFonts w:cs="Arial"/>
              </w:rPr>
            </w:pPr>
            <w:r>
              <w:rPr>
                <w:rFonts w:cs="Arial"/>
                <w:noProof/>
                <w:color w:val="000000"/>
                <w:highlight w:val="black"/>
              </w:rPr>
              <w:t>''''''''''''</w:t>
            </w:r>
            <w:r w:rsidR="00230489" w:rsidRPr="006258D8">
              <w:rPr>
                <w:rFonts w:cs="Arial"/>
              </w:rPr>
              <w:t>%</w:t>
            </w:r>
          </w:p>
        </w:tc>
        <w:tc>
          <w:tcPr>
            <w:tcW w:w="1075" w:type="pct"/>
            <w:vAlign w:val="center"/>
          </w:tcPr>
          <w:p w:rsidR="00230489" w:rsidRPr="006258D8" w:rsidRDefault="0012120B" w:rsidP="00021367">
            <w:pPr>
              <w:pStyle w:val="Tabletext0"/>
              <w:keepNext/>
              <w:jc w:val="center"/>
              <w:rPr>
                <w:rFonts w:cs="Arial"/>
              </w:rPr>
            </w:pPr>
            <w:r w:rsidRPr="006258D8">
              <w:rPr>
                <w:rFonts w:cs="Arial"/>
              </w:rPr>
              <w:t>-</w:t>
            </w:r>
          </w:p>
        </w:tc>
      </w:tr>
      <w:tr w:rsidR="00230489" w:rsidRPr="006258D8" w:rsidTr="00643238">
        <w:tc>
          <w:tcPr>
            <w:tcW w:w="2243" w:type="pct"/>
            <w:shd w:val="clear" w:color="auto" w:fill="auto"/>
            <w:vAlign w:val="center"/>
          </w:tcPr>
          <w:p w:rsidR="00230489" w:rsidRPr="006258D8" w:rsidRDefault="00230489" w:rsidP="00021367">
            <w:pPr>
              <w:pStyle w:val="Tabletext0"/>
              <w:keepNext/>
            </w:pPr>
            <w:r w:rsidRPr="006258D8">
              <w:t>Weighted AEMP per 225 mg syringe</w:t>
            </w:r>
          </w:p>
        </w:tc>
        <w:tc>
          <w:tcPr>
            <w:tcW w:w="901" w:type="pct"/>
            <w:shd w:val="clear" w:color="auto" w:fill="auto"/>
            <w:vAlign w:val="center"/>
          </w:tcPr>
          <w:p w:rsidR="00230489" w:rsidRPr="006258D8" w:rsidRDefault="0012120B" w:rsidP="00021367">
            <w:pPr>
              <w:pStyle w:val="Tabletext0"/>
              <w:keepNext/>
              <w:jc w:val="center"/>
              <w:rPr>
                <w:rFonts w:cs="Arial"/>
              </w:rPr>
            </w:pPr>
            <w:r w:rsidRPr="006258D8">
              <w:rPr>
                <w:rFonts w:cs="Arial"/>
              </w:rPr>
              <w:t>-</w:t>
            </w:r>
          </w:p>
        </w:tc>
        <w:tc>
          <w:tcPr>
            <w:tcW w:w="781" w:type="pct"/>
            <w:shd w:val="clear" w:color="auto" w:fill="auto"/>
            <w:vAlign w:val="center"/>
          </w:tcPr>
          <w:p w:rsidR="00230489" w:rsidRPr="006258D8" w:rsidRDefault="0012120B" w:rsidP="00021367">
            <w:pPr>
              <w:pStyle w:val="Tabletext0"/>
              <w:keepNext/>
              <w:jc w:val="center"/>
              <w:rPr>
                <w:rFonts w:cs="Arial"/>
              </w:rPr>
            </w:pPr>
            <w:r w:rsidRPr="006258D8">
              <w:rPr>
                <w:rFonts w:cs="Arial"/>
              </w:rPr>
              <w:t>-</w:t>
            </w:r>
          </w:p>
        </w:tc>
        <w:tc>
          <w:tcPr>
            <w:tcW w:w="1075" w:type="pct"/>
          </w:tcPr>
          <w:p w:rsidR="00230489" w:rsidRPr="006258D8" w:rsidRDefault="00230489" w:rsidP="00021367">
            <w:pPr>
              <w:pStyle w:val="Tabletext0"/>
              <w:keepNext/>
              <w:jc w:val="center"/>
              <w:rPr>
                <w:rFonts w:cs="Arial"/>
              </w:rPr>
            </w:pPr>
            <w:r w:rsidRPr="006258D8">
              <w:t>$</w:t>
            </w:r>
            <w:r w:rsidR="00D11BC9">
              <w:rPr>
                <w:noProof/>
                <w:color w:val="000000"/>
                <w:highlight w:val="black"/>
              </w:rPr>
              <w:t>'''''''''''''''''</w:t>
            </w:r>
          </w:p>
        </w:tc>
      </w:tr>
      <w:tr w:rsidR="00230489" w:rsidRPr="006258D8" w:rsidTr="00643238">
        <w:tc>
          <w:tcPr>
            <w:tcW w:w="2243" w:type="pct"/>
            <w:shd w:val="clear" w:color="auto" w:fill="auto"/>
            <w:vAlign w:val="center"/>
          </w:tcPr>
          <w:p w:rsidR="00230489" w:rsidRPr="006258D8" w:rsidRDefault="00230489" w:rsidP="00021367">
            <w:pPr>
              <w:pStyle w:val="Tabletext0"/>
              <w:keepNext/>
            </w:pPr>
            <w:r w:rsidRPr="006258D8">
              <w:t>DPMQ for 225 mg (1 x 225 mg syringe)</w:t>
            </w:r>
          </w:p>
        </w:tc>
        <w:tc>
          <w:tcPr>
            <w:tcW w:w="901" w:type="pct"/>
            <w:shd w:val="clear" w:color="auto" w:fill="auto"/>
            <w:vAlign w:val="center"/>
          </w:tcPr>
          <w:p w:rsidR="00230489" w:rsidRPr="006258D8" w:rsidRDefault="0012120B" w:rsidP="00021367">
            <w:pPr>
              <w:pStyle w:val="Tabletext0"/>
              <w:keepNext/>
              <w:jc w:val="center"/>
              <w:rPr>
                <w:rFonts w:cs="Arial"/>
              </w:rPr>
            </w:pPr>
            <w:r w:rsidRPr="006258D8">
              <w:rPr>
                <w:rFonts w:cs="Arial"/>
              </w:rPr>
              <w:t>-</w:t>
            </w:r>
          </w:p>
        </w:tc>
        <w:tc>
          <w:tcPr>
            <w:tcW w:w="781" w:type="pct"/>
            <w:shd w:val="clear" w:color="auto" w:fill="auto"/>
            <w:vAlign w:val="center"/>
          </w:tcPr>
          <w:p w:rsidR="00230489" w:rsidRPr="006258D8" w:rsidRDefault="0012120B" w:rsidP="00021367">
            <w:pPr>
              <w:pStyle w:val="Tabletext0"/>
              <w:keepNext/>
              <w:jc w:val="center"/>
              <w:rPr>
                <w:rFonts w:cs="Arial"/>
              </w:rPr>
            </w:pPr>
            <w:r w:rsidRPr="006258D8">
              <w:rPr>
                <w:rFonts w:cs="Arial"/>
              </w:rPr>
              <w:t>-</w:t>
            </w:r>
          </w:p>
        </w:tc>
        <w:tc>
          <w:tcPr>
            <w:tcW w:w="1075" w:type="pct"/>
          </w:tcPr>
          <w:p w:rsidR="00230489" w:rsidRPr="006258D8" w:rsidRDefault="00230489" w:rsidP="00021367">
            <w:pPr>
              <w:pStyle w:val="Tabletext0"/>
              <w:keepNext/>
              <w:jc w:val="center"/>
            </w:pPr>
            <w:r w:rsidRPr="006258D8">
              <w:t>$</w:t>
            </w:r>
            <w:r w:rsidR="00D11BC9">
              <w:rPr>
                <w:noProof/>
                <w:color w:val="000000"/>
                <w:highlight w:val="black"/>
              </w:rPr>
              <w:t>''''''''''''''''''</w:t>
            </w:r>
          </w:p>
        </w:tc>
      </w:tr>
      <w:tr w:rsidR="00230489" w:rsidRPr="004729C8" w:rsidTr="00643238">
        <w:tc>
          <w:tcPr>
            <w:tcW w:w="2243" w:type="pct"/>
            <w:shd w:val="clear" w:color="auto" w:fill="auto"/>
            <w:vAlign w:val="center"/>
          </w:tcPr>
          <w:p w:rsidR="00230489" w:rsidRPr="004729C8" w:rsidRDefault="00230489" w:rsidP="00021367">
            <w:pPr>
              <w:pStyle w:val="Tabletext0"/>
              <w:keepNext/>
            </w:pPr>
            <w:r w:rsidRPr="004729C8">
              <w:t>DPMQ for 675 mg (3 x 225 mg syringe)</w:t>
            </w:r>
          </w:p>
        </w:tc>
        <w:tc>
          <w:tcPr>
            <w:tcW w:w="901" w:type="pct"/>
            <w:shd w:val="clear" w:color="auto" w:fill="auto"/>
            <w:vAlign w:val="center"/>
          </w:tcPr>
          <w:p w:rsidR="00230489" w:rsidRPr="004729C8" w:rsidRDefault="0012120B" w:rsidP="00021367">
            <w:pPr>
              <w:pStyle w:val="Tabletext0"/>
              <w:keepNext/>
              <w:jc w:val="center"/>
              <w:rPr>
                <w:rFonts w:cs="Arial"/>
              </w:rPr>
            </w:pPr>
            <w:r w:rsidRPr="004729C8">
              <w:rPr>
                <w:rFonts w:cs="Arial"/>
              </w:rPr>
              <w:t>-</w:t>
            </w:r>
          </w:p>
        </w:tc>
        <w:tc>
          <w:tcPr>
            <w:tcW w:w="781" w:type="pct"/>
            <w:shd w:val="clear" w:color="auto" w:fill="auto"/>
            <w:vAlign w:val="center"/>
          </w:tcPr>
          <w:p w:rsidR="00230489" w:rsidRPr="007C60F4" w:rsidRDefault="0012120B" w:rsidP="00021367">
            <w:pPr>
              <w:pStyle w:val="Tabletext0"/>
              <w:keepNext/>
              <w:jc w:val="center"/>
              <w:rPr>
                <w:rFonts w:cs="Arial"/>
              </w:rPr>
            </w:pPr>
            <w:r w:rsidRPr="007C60F4">
              <w:rPr>
                <w:rFonts w:cs="Arial"/>
              </w:rPr>
              <w:t>-</w:t>
            </w:r>
          </w:p>
        </w:tc>
        <w:tc>
          <w:tcPr>
            <w:tcW w:w="1075" w:type="pct"/>
          </w:tcPr>
          <w:p w:rsidR="00230489" w:rsidRPr="006C2391" w:rsidRDefault="00230489" w:rsidP="00021367">
            <w:pPr>
              <w:pStyle w:val="Tabletext0"/>
              <w:keepNext/>
              <w:jc w:val="center"/>
              <w:rPr>
                <w:rFonts w:cs="Arial"/>
              </w:rPr>
            </w:pPr>
            <w:r w:rsidRPr="006C2391">
              <w:t>$</w:t>
            </w:r>
            <w:r w:rsidR="00D11BC9">
              <w:rPr>
                <w:noProof/>
                <w:color w:val="000000"/>
                <w:highlight w:val="black"/>
              </w:rPr>
              <w:t>'''''''''''''''''''</w:t>
            </w:r>
          </w:p>
        </w:tc>
      </w:tr>
    </w:tbl>
    <w:p w:rsidR="00230489" w:rsidRPr="006258D8" w:rsidRDefault="00230489" w:rsidP="00021367">
      <w:pPr>
        <w:pStyle w:val="TableFigureFooter"/>
      </w:pPr>
      <w:r w:rsidRPr="004729C8">
        <w:t>Source:</w:t>
      </w:r>
      <w:r w:rsidR="00340302">
        <w:t xml:space="preserve"> </w:t>
      </w:r>
      <w:r w:rsidRPr="00575713">
        <w:t>Table</w:t>
      </w:r>
      <w:r w:rsidRPr="004729C8">
        <w:t xml:space="preserve"> 3.1, p.180 of the submission.</w:t>
      </w:r>
    </w:p>
    <w:p w:rsidR="00C74141" w:rsidRDefault="00230489" w:rsidP="00021367">
      <w:pPr>
        <w:pStyle w:val="TableFigureFooter"/>
      </w:pPr>
      <w:r w:rsidRPr="006258D8">
        <w:t>Abbreviations: AEMP, approved ex-manufacturer price; BSC, best supportive care; DPMQ, dispensed price for maximum quantity.</w:t>
      </w:r>
    </w:p>
    <w:p w:rsidR="00C317F3" w:rsidRPr="006E0C32" w:rsidRDefault="00852117" w:rsidP="000F2EE3">
      <w:pPr>
        <w:pStyle w:val="3-BodyText"/>
      </w:pPr>
      <w:r w:rsidRPr="006258D8">
        <w:t xml:space="preserve">Based on the assumed </w:t>
      </w:r>
      <w:r w:rsidRPr="00C705BF">
        <w:t xml:space="preserve">weightings </w:t>
      </w:r>
      <w:r w:rsidR="00C705BF" w:rsidRPr="00C705BF">
        <w:t xml:space="preserve">of </w:t>
      </w:r>
      <w:r w:rsidR="00D11BC9">
        <w:rPr>
          <w:noProof/>
          <w:color w:val="000000"/>
          <w:highlight w:val="black"/>
        </w:rPr>
        <w:t>'''''''</w:t>
      </w:r>
      <w:r w:rsidRPr="00C705BF">
        <w:t>% for the</w:t>
      </w:r>
      <w:r w:rsidRPr="006258D8">
        <w:t xml:space="preserve"> Botox eligible and </w:t>
      </w:r>
      <w:r w:rsidR="00D11BC9">
        <w:rPr>
          <w:noProof/>
          <w:color w:val="000000"/>
          <w:highlight w:val="black"/>
        </w:rPr>
        <w:t>''''''''</w:t>
      </w:r>
      <w:r w:rsidRPr="006258D8">
        <w:t xml:space="preserve">% for </w:t>
      </w:r>
      <w:r w:rsidR="000F1715" w:rsidRPr="006258D8">
        <w:t xml:space="preserve">the </w:t>
      </w:r>
      <w:r w:rsidRPr="006258D8">
        <w:t xml:space="preserve">Botox ineligible populations, the weighted DPMQ for fremanezumab 225 mg </w:t>
      </w:r>
      <w:r w:rsidR="001C0FC5">
        <w:t>wa</w:t>
      </w:r>
      <w:r w:rsidR="001C0FC5" w:rsidRPr="006258D8">
        <w:t xml:space="preserve">s </w:t>
      </w:r>
      <w:r w:rsidRPr="006258D8">
        <w:t>$</w:t>
      </w:r>
      <w:r w:rsidR="00D11BC9">
        <w:rPr>
          <w:noProof/>
          <w:color w:val="000000"/>
          <w:highlight w:val="black"/>
        </w:rPr>
        <w:t>''''''''''''''</w:t>
      </w:r>
      <w:r w:rsidRPr="006258D8">
        <w:t xml:space="preserve"> and the </w:t>
      </w:r>
      <w:r w:rsidR="000F1715" w:rsidRPr="006258D8">
        <w:t xml:space="preserve">weighted </w:t>
      </w:r>
      <w:r w:rsidRPr="006258D8">
        <w:t xml:space="preserve">DPMQ for fremanezumab 675 mg (3 x 225 mg syringes) </w:t>
      </w:r>
      <w:r w:rsidR="001C0FC5">
        <w:t>wa</w:t>
      </w:r>
      <w:r w:rsidR="001C0FC5" w:rsidRPr="006258D8">
        <w:t xml:space="preserve">s </w:t>
      </w:r>
      <w:r w:rsidRPr="006258D8">
        <w:t>$</w:t>
      </w:r>
      <w:r w:rsidR="00D11BC9">
        <w:rPr>
          <w:noProof/>
          <w:color w:val="000000"/>
          <w:highlight w:val="black"/>
        </w:rPr>
        <w:t>''''''''''''''''</w:t>
      </w:r>
      <w:r w:rsidRPr="006258D8">
        <w:t>.</w:t>
      </w:r>
      <w:r w:rsidR="00BA3940">
        <w:t xml:space="preserve"> </w:t>
      </w:r>
      <w:r w:rsidR="002D4A47" w:rsidRPr="00742CD6">
        <w:t xml:space="preserve">The ESC considered the weighted price for fremanezumab was highly dependent on the proportion of use between the two </w:t>
      </w:r>
      <w:r w:rsidR="002D4A47" w:rsidRPr="009E48F2">
        <w:t>populations</w:t>
      </w:r>
      <w:r w:rsidR="00641F76">
        <w:t xml:space="preserve"> which was uncertain</w:t>
      </w:r>
      <w:r w:rsidR="002D4A47" w:rsidRPr="001C4F0D">
        <w:t>.</w:t>
      </w:r>
      <w:r w:rsidR="006415A3" w:rsidRPr="006E0C32">
        <w:t xml:space="preserve"> </w:t>
      </w:r>
    </w:p>
    <w:p w:rsidR="00852117" w:rsidRPr="006258D8" w:rsidRDefault="00C317F3" w:rsidP="00021367">
      <w:pPr>
        <w:pStyle w:val="4-SubsectionHeading"/>
      </w:pPr>
      <w:bookmarkStart w:id="23" w:name="_Toc413139283"/>
      <w:bookmarkStart w:id="24" w:name="_Toc19693424"/>
      <w:r w:rsidRPr="006258D8">
        <w:t xml:space="preserve">Drug </w:t>
      </w:r>
      <w:r w:rsidR="00852117" w:rsidRPr="006258D8">
        <w:t>cost/patient/</w:t>
      </w:r>
      <w:r w:rsidRPr="006258D8">
        <w:t>year</w:t>
      </w:r>
      <w:bookmarkEnd w:id="23"/>
      <w:bookmarkEnd w:id="24"/>
    </w:p>
    <w:p w:rsidR="00980116" w:rsidRPr="006258D8" w:rsidRDefault="00980116" w:rsidP="000F2EE3">
      <w:pPr>
        <w:pStyle w:val="3-BodyText"/>
      </w:pPr>
      <w:r w:rsidRPr="006258D8">
        <w:t xml:space="preserve">Table </w:t>
      </w:r>
      <w:r w:rsidR="001C0FC5">
        <w:t>19</w:t>
      </w:r>
      <w:r w:rsidR="001C0FC5" w:rsidRPr="006258D8">
        <w:t xml:space="preserve"> </w:t>
      </w:r>
      <w:r w:rsidRPr="006258D8">
        <w:t xml:space="preserve">provides a summary of treatment costs for </w:t>
      </w:r>
      <w:r w:rsidR="005076C1" w:rsidRPr="006258D8">
        <w:t xml:space="preserve">fremanezumab 225 mg </w:t>
      </w:r>
      <w:r w:rsidR="005E69C2">
        <w:t xml:space="preserve">monthly </w:t>
      </w:r>
      <w:r w:rsidR="005076C1" w:rsidRPr="006258D8">
        <w:t>and fremanezumab 675 mg</w:t>
      </w:r>
      <w:r w:rsidR="005E69C2">
        <w:t xml:space="preserve"> three monthly</w:t>
      </w:r>
      <w:r w:rsidR="005076C1" w:rsidRPr="006258D8">
        <w:t>.</w:t>
      </w:r>
    </w:p>
    <w:p w:rsidR="00925567" w:rsidRDefault="00925567" w:rsidP="00021367">
      <w:pPr>
        <w:pStyle w:val="TableFigureHeading"/>
      </w:pPr>
      <w:r>
        <w:t xml:space="preserve">Table </w:t>
      </w:r>
      <w:r w:rsidR="009D4178">
        <w:rPr>
          <w:noProof/>
        </w:rPr>
        <w:t>19</w:t>
      </w:r>
      <w:r w:rsidRPr="0018481F">
        <w:t>: Drug cost per patient for fremanezumab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0: Drug cost per patient for fremanezumab"/>
      </w:tblPr>
      <w:tblGrid>
        <w:gridCol w:w="1696"/>
        <w:gridCol w:w="2440"/>
        <w:gridCol w:w="2440"/>
        <w:gridCol w:w="2440"/>
      </w:tblGrid>
      <w:tr w:rsidR="00852117" w:rsidRPr="006258D8" w:rsidTr="000947F0">
        <w:trPr>
          <w:tblHeader/>
          <w:jc w:val="center"/>
        </w:trPr>
        <w:tc>
          <w:tcPr>
            <w:tcW w:w="941" w:type="pct"/>
            <w:tcMar>
              <w:top w:w="0" w:type="dxa"/>
              <w:left w:w="28" w:type="dxa"/>
              <w:bottom w:w="0" w:type="dxa"/>
              <w:right w:w="28" w:type="dxa"/>
            </w:tcMar>
            <w:vAlign w:val="center"/>
          </w:tcPr>
          <w:p w:rsidR="00852117" w:rsidRPr="006258D8" w:rsidRDefault="00852117" w:rsidP="00021367">
            <w:pPr>
              <w:keepNext/>
              <w:rPr>
                <w:sz w:val="22"/>
              </w:rPr>
            </w:pPr>
          </w:p>
        </w:tc>
        <w:tc>
          <w:tcPr>
            <w:tcW w:w="1353" w:type="pct"/>
            <w:tcMar>
              <w:top w:w="0" w:type="dxa"/>
              <w:left w:w="28" w:type="dxa"/>
              <w:bottom w:w="0" w:type="dxa"/>
              <w:right w:w="28" w:type="dxa"/>
            </w:tcMar>
            <w:vAlign w:val="center"/>
            <w:hideMark/>
          </w:tcPr>
          <w:p w:rsidR="00852117" w:rsidRPr="006258D8" w:rsidRDefault="00F80BFF" w:rsidP="00021367">
            <w:pPr>
              <w:keepNext/>
              <w:jc w:val="center"/>
              <w:rPr>
                <w:rFonts w:ascii="Arial Narrow" w:hAnsi="Arial Narrow"/>
                <w:b/>
                <w:bCs/>
                <w:sz w:val="20"/>
                <w:szCs w:val="20"/>
              </w:rPr>
            </w:pPr>
            <w:r w:rsidRPr="006258D8">
              <w:rPr>
                <w:rFonts w:ascii="Arial Narrow" w:hAnsi="Arial Narrow"/>
                <w:b/>
                <w:bCs/>
                <w:sz w:val="20"/>
                <w:szCs w:val="20"/>
              </w:rPr>
              <w:t>Study 30068</w:t>
            </w:r>
          </w:p>
        </w:tc>
        <w:tc>
          <w:tcPr>
            <w:tcW w:w="1353" w:type="pct"/>
            <w:tcMar>
              <w:top w:w="0" w:type="dxa"/>
              <w:left w:w="28" w:type="dxa"/>
              <w:bottom w:w="0" w:type="dxa"/>
              <w:right w:w="28" w:type="dxa"/>
            </w:tcMar>
            <w:vAlign w:val="center"/>
            <w:hideMark/>
          </w:tcPr>
          <w:p w:rsidR="00852117" w:rsidRPr="006258D8" w:rsidRDefault="005076C1" w:rsidP="00021367">
            <w:pPr>
              <w:keepNext/>
              <w:jc w:val="center"/>
              <w:rPr>
                <w:rFonts w:ascii="Arial Narrow" w:hAnsi="Arial Narrow"/>
                <w:b/>
                <w:bCs/>
                <w:sz w:val="20"/>
                <w:szCs w:val="20"/>
              </w:rPr>
            </w:pPr>
            <w:r w:rsidRPr="006258D8">
              <w:rPr>
                <w:rFonts w:ascii="Arial Narrow" w:hAnsi="Arial Narrow"/>
                <w:b/>
                <w:bCs/>
                <w:sz w:val="20"/>
                <w:szCs w:val="20"/>
              </w:rPr>
              <w:t>Economic m</w:t>
            </w:r>
            <w:r w:rsidR="00852117" w:rsidRPr="006258D8">
              <w:rPr>
                <w:rFonts w:ascii="Arial Narrow" w:hAnsi="Arial Narrow"/>
                <w:b/>
                <w:bCs/>
                <w:sz w:val="20"/>
                <w:szCs w:val="20"/>
              </w:rPr>
              <w:t>odel</w:t>
            </w:r>
          </w:p>
        </w:tc>
        <w:tc>
          <w:tcPr>
            <w:tcW w:w="1353" w:type="pct"/>
            <w:tcMar>
              <w:top w:w="0" w:type="dxa"/>
              <w:left w:w="28" w:type="dxa"/>
              <w:bottom w:w="0" w:type="dxa"/>
              <w:right w:w="28" w:type="dxa"/>
            </w:tcMar>
            <w:vAlign w:val="center"/>
            <w:hideMark/>
          </w:tcPr>
          <w:p w:rsidR="00852117" w:rsidRPr="006258D8" w:rsidRDefault="00852117" w:rsidP="00021367">
            <w:pPr>
              <w:keepNext/>
              <w:jc w:val="center"/>
              <w:rPr>
                <w:rFonts w:ascii="Arial Narrow" w:hAnsi="Arial Narrow"/>
                <w:b/>
                <w:bCs/>
                <w:sz w:val="20"/>
                <w:szCs w:val="20"/>
              </w:rPr>
            </w:pPr>
            <w:r w:rsidRPr="006258D8">
              <w:rPr>
                <w:rFonts w:ascii="Arial Narrow" w:hAnsi="Arial Narrow"/>
                <w:b/>
                <w:bCs/>
                <w:sz w:val="20"/>
                <w:szCs w:val="20"/>
              </w:rPr>
              <w:t>Financial estimates</w:t>
            </w:r>
          </w:p>
        </w:tc>
      </w:tr>
      <w:tr w:rsidR="00F21DBC" w:rsidRPr="006258D8" w:rsidTr="00F21DBC">
        <w:trPr>
          <w:jc w:val="center"/>
        </w:trPr>
        <w:tc>
          <w:tcPr>
            <w:tcW w:w="5000" w:type="pct"/>
            <w:gridSpan w:val="4"/>
            <w:tcMar>
              <w:top w:w="0" w:type="dxa"/>
              <w:left w:w="28" w:type="dxa"/>
              <w:bottom w:w="0" w:type="dxa"/>
              <w:right w:w="28" w:type="dxa"/>
            </w:tcMar>
            <w:vAlign w:val="center"/>
          </w:tcPr>
          <w:p w:rsidR="00F21DBC" w:rsidRPr="006258D8" w:rsidRDefault="00F21DBC" w:rsidP="00021367">
            <w:pPr>
              <w:keepNext/>
              <w:rPr>
                <w:rFonts w:ascii="Arial Narrow" w:hAnsi="Arial Narrow"/>
                <w:b/>
                <w:sz w:val="20"/>
                <w:szCs w:val="20"/>
              </w:rPr>
            </w:pPr>
            <w:r w:rsidRPr="006258D8">
              <w:rPr>
                <w:rFonts w:ascii="Arial Narrow" w:hAnsi="Arial Narrow"/>
                <w:b/>
                <w:sz w:val="20"/>
                <w:szCs w:val="20"/>
              </w:rPr>
              <w:t>Fremanezumab 225 mg monthly</w:t>
            </w:r>
          </w:p>
        </w:tc>
      </w:tr>
      <w:tr w:rsidR="00852117" w:rsidRPr="006258D8" w:rsidTr="001B5B18">
        <w:trPr>
          <w:jc w:val="center"/>
        </w:trPr>
        <w:tc>
          <w:tcPr>
            <w:tcW w:w="941" w:type="pct"/>
            <w:tcMar>
              <w:top w:w="0" w:type="dxa"/>
              <w:left w:w="28" w:type="dxa"/>
              <w:bottom w:w="0" w:type="dxa"/>
              <w:right w:w="28" w:type="dxa"/>
            </w:tcMar>
            <w:vAlign w:val="center"/>
            <w:hideMark/>
          </w:tcPr>
          <w:p w:rsidR="00852117" w:rsidRPr="006258D8" w:rsidRDefault="001B5B18" w:rsidP="00021367">
            <w:pPr>
              <w:keepNext/>
              <w:rPr>
                <w:rFonts w:ascii="Arial Narrow" w:hAnsi="Arial Narrow"/>
                <w:sz w:val="20"/>
                <w:szCs w:val="20"/>
              </w:rPr>
            </w:pPr>
            <w:r w:rsidRPr="006258D8">
              <w:rPr>
                <w:rFonts w:ascii="Arial Narrow" w:hAnsi="Arial Narrow"/>
                <w:sz w:val="20"/>
                <w:szCs w:val="20"/>
              </w:rPr>
              <w:t>Dose</w:t>
            </w:r>
          </w:p>
        </w:tc>
        <w:tc>
          <w:tcPr>
            <w:tcW w:w="1353" w:type="pct"/>
            <w:tcMar>
              <w:top w:w="0" w:type="dxa"/>
              <w:left w:w="28" w:type="dxa"/>
              <w:bottom w:w="0" w:type="dxa"/>
              <w:right w:w="28" w:type="dxa"/>
            </w:tcMar>
            <w:vAlign w:val="center"/>
          </w:tcPr>
          <w:p w:rsidR="00852117" w:rsidRPr="006258D8" w:rsidRDefault="00E54B5A" w:rsidP="00021367">
            <w:pPr>
              <w:keepNext/>
              <w:jc w:val="center"/>
              <w:rPr>
                <w:rFonts w:ascii="Arial Narrow" w:hAnsi="Arial Narrow"/>
                <w:sz w:val="20"/>
                <w:szCs w:val="20"/>
              </w:rPr>
            </w:pPr>
            <w:r w:rsidRPr="006258D8">
              <w:rPr>
                <w:rFonts w:ascii="Arial Narrow" w:hAnsi="Arial Narrow"/>
                <w:sz w:val="20"/>
                <w:szCs w:val="20"/>
              </w:rPr>
              <w:t xml:space="preserve">675 mg loading dose followed by </w:t>
            </w:r>
            <w:r w:rsidR="00F21DBC" w:rsidRPr="006258D8">
              <w:rPr>
                <w:rFonts w:ascii="Arial Narrow" w:hAnsi="Arial Narrow"/>
                <w:sz w:val="20"/>
                <w:szCs w:val="20"/>
              </w:rPr>
              <w:t>225 mg 4-weekly</w:t>
            </w:r>
          </w:p>
        </w:tc>
        <w:tc>
          <w:tcPr>
            <w:tcW w:w="1353" w:type="pct"/>
            <w:tcMar>
              <w:top w:w="0" w:type="dxa"/>
              <w:left w:w="28" w:type="dxa"/>
              <w:bottom w:w="0" w:type="dxa"/>
              <w:right w:w="28" w:type="dxa"/>
            </w:tcMar>
            <w:vAlign w:val="center"/>
          </w:tcPr>
          <w:p w:rsidR="00852117" w:rsidRPr="006258D8" w:rsidRDefault="001B5B18" w:rsidP="00021367">
            <w:pPr>
              <w:keepNext/>
              <w:jc w:val="center"/>
              <w:rPr>
                <w:rFonts w:ascii="Arial Narrow" w:hAnsi="Arial Narrow"/>
                <w:sz w:val="20"/>
                <w:szCs w:val="20"/>
              </w:rPr>
            </w:pPr>
            <w:r w:rsidRPr="006258D8">
              <w:rPr>
                <w:rFonts w:ascii="Arial Narrow" w:hAnsi="Arial Narrow"/>
                <w:sz w:val="20"/>
                <w:szCs w:val="20"/>
              </w:rPr>
              <w:t>225 mg monthly (based on calendar months)</w:t>
            </w:r>
          </w:p>
        </w:tc>
        <w:tc>
          <w:tcPr>
            <w:tcW w:w="1353" w:type="pct"/>
            <w:tcMar>
              <w:top w:w="0" w:type="dxa"/>
              <w:left w:w="28" w:type="dxa"/>
              <w:bottom w:w="0" w:type="dxa"/>
              <w:right w:w="28" w:type="dxa"/>
            </w:tcMar>
            <w:vAlign w:val="center"/>
          </w:tcPr>
          <w:p w:rsidR="00852117" w:rsidRPr="006258D8" w:rsidRDefault="001B5B18" w:rsidP="00021367">
            <w:pPr>
              <w:keepNext/>
              <w:jc w:val="center"/>
              <w:rPr>
                <w:rFonts w:ascii="Arial Narrow" w:hAnsi="Arial Narrow"/>
                <w:sz w:val="20"/>
                <w:szCs w:val="20"/>
              </w:rPr>
            </w:pPr>
            <w:r w:rsidRPr="006258D8">
              <w:rPr>
                <w:rFonts w:ascii="Arial Narrow" w:hAnsi="Arial Narrow"/>
                <w:sz w:val="20"/>
                <w:szCs w:val="20"/>
              </w:rPr>
              <w:t>225 mg monthly (based on calendar months</w:t>
            </w:r>
            <w:r w:rsidR="00980116" w:rsidRPr="006258D8">
              <w:rPr>
                <w:rFonts w:ascii="Arial Narrow" w:hAnsi="Arial Narrow"/>
                <w:sz w:val="20"/>
                <w:szCs w:val="20"/>
              </w:rPr>
              <w:t>)</w:t>
            </w:r>
          </w:p>
        </w:tc>
      </w:tr>
      <w:tr w:rsidR="00F21DBC" w:rsidRPr="006258D8" w:rsidTr="001B5B18">
        <w:trPr>
          <w:jc w:val="center"/>
        </w:trPr>
        <w:tc>
          <w:tcPr>
            <w:tcW w:w="941" w:type="pct"/>
            <w:tcMar>
              <w:top w:w="0" w:type="dxa"/>
              <w:left w:w="28" w:type="dxa"/>
              <w:bottom w:w="0" w:type="dxa"/>
              <w:right w:w="28" w:type="dxa"/>
            </w:tcMar>
            <w:vAlign w:val="center"/>
          </w:tcPr>
          <w:p w:rsidR="00F21DBC" w:rsidRPr="006258D8" w:rsidRDefault="00F21DBC" w:rsidP="00021367">
            <w:pPr>
              <w:keepNext/>
              <w:rPr>
                <w:rFonts w:ascii="Arial Narrow" w:hAnsi="Arial Narrow"/>
                <w:sz w:val="20"/>
                <w:szCs w:val="20"/>
              </w:rPr>
            </w:pPr>
            <w:r w:rsidRPr="006258D8">
              <w:rPr>
                <w:rFonts w:ascii="Arial Narrow" w:hAnsi="Arial Narrow"/>
                <w:sz w:val="20"/>
                <w:szCs w:val="20"/>
              </w:rPr>
              <w:t>Fremanezumab drug cost</w:t>
            </w:r>
          </w:p>
        </w:tc>
        <w:tc>
          <w:tcPr>
            <w:tcW w:w="1353" w:type="pct"/>
            <w:tcMar>
              <w:top w:w="0" w:type="dxa"/>
              <w:left w:w="28" w:type="dxa"/>
              <w:bottom w:w="0" w:type="dxa"/>
              <w:right w:w="28" w:type="dxa"/>
            </w:tcMar>
            <w:vAlign w:val="center"/>
          </w:tcPr>
          <w:p w:rsidR="00C74141" w:rsidRDefault="00F21DBC"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(proposed weighted DPMQ)</w:t>
            </w:r>
          </w:p>
        </w:tc>
        <w:tc>
          <w:tcPr>
            <w:tcW w:w="1353" w:type="pct"/>
            <w:tcMar>
              <w:top w:w="0" w:type="dxa"/>
              <w:left w:w="28" w:type="dxa"/>
              <w:bottom w:w="0" w:type="dxa"/>
              <w:right w:w="28" w:type="dxa"/>
            </w:tcMar>
            <w:vAlign w:val="center"/>
          </w:tcPr>
          <w:p w:rsidR="00C74141" w:rsidRDefault="00F21DBC"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(proposed DPMQ for Botox</w:t>
            </w:r>
            <w:r w:rsidR="00980116" w:rsidRPr="006258D8">
              <w:rPr>
                <w:rFonts w:ascii="Arial Narrow" w:hAnsi="Arial Narrow"/>
                <w:sz w:val="20"/>
                <w:szCs w:val="20"/>
              </w:rPr>
              <w:t xml:space="preserve"> </w:t>
            </w:r>
            <w:r w:rsidR="00A10ED8" w:rsidRPr="006258D8">
              <w:rPr>
                <w:rFonts w:ascii="Arial Narrow" w:hAnsi="Arial Narrow"/>
                <w:sz w:val="20"/>
                <w:szCs w:val="20"/>
              </w:rPr>
              <w:t xml:space="preserve">ruled out </w:t>
            </w:r>
            <w:r w:rsidR="00980116" w:rsidRPr="006258D8">
              <w:rPr>
                <w:rFonts w:ascii="Arial Narrow" w:hAnsi="Arial Narrow"/>
                <w:sz w:val="20"/>
                <w:szCs w:val="20"/>
              </w:rPr>
              <w:t>and Botox failed patients</w:t>
            </w:r>
            <w:r w:rsidRPr="006258D8">
              <w:rPr>
                <w:rFonts w:ascii="Arial Narrow" w:hAnsi="Arial Narrow"/>
                <w:sz w:val="20"/>
                <w:szCs w:val="20"/>
              </w:rPr>
              <w:t>)</w:t>
            </w:r>
          </w:p>
        </w:tc>
        <w:tc>
          <w:tcPr>
            <w:tcW w:w="1353" w:type="pct"/>
            <w:tcMar>
              <w:top w:w="0" w:type="dxa"/>
              <w:left w:w="28" w:type="dxa"/>
              <w:bottom w:w="0" w:type="dxa"/>
              <w:right w:w="28" w:type="dxa"/>
            </w:tcMar>
            <w:vAlign w:val="center"/>
          </w:tcPr>
          <w:p w:rsidR="00C74141" w:rsidRDefault="00F21DBC"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(proposed weighted DPMQ)</w:t>
            </w:r>
          </w:p>
        </w:tc>
      </w:tr>
      <w:tr w:rsidR="00852117" w:rsidRPr="006258D8" w:rsidTr="001B5B18">
        <w:trPr>
          <w:jc w:val="center"/>
        </w:trPr>
        <w:tc>
          <w:tcPr>
            <w:tcW w:w="941" w:type="pct"/>
            <w:tcMar>
              <w:top w:w="0" w:type="dxa"/>
              <w:left w:w="28" w:type="dxa"/>
              <w:bottom w:w="0" w:type="dxa"/>
              <w:right w:w="28" w:type="dxa"/>
            </w:tcMar>
            <w:vAlign w:val="center"/>
            <w:hideMark/>
          </w:tcPr>
          <w:p w:rsidR="00852117" w:rsidRPr="006258D8" w:rsidRDefault="001B5B18" w:rsidP="00021367">
            <w:pPr>
              <w:keepNext/>
              <w:rPr>
                <w:rFonts w:ascii="Arial Narrow" w:hAnsi="Arial Narrow"/>
                <w:sz w:val="20"/>
                <w:szCs w:val="20"/>
              </w:rPr>
            </w:pPr>
            <w:r w:rsidRPr="006258D8">
              <w:rPr>
                <w:rFonts w:ascii="Arial Narrow" w:hAnsi="Arial Narrow"/>
                <w:sz w:val="20"/>
                <w:szCs w:val="20"/>
              </w:rPr>
              <w:t>Treatment</w:t>
            </w:r>
            <w:r w:rsidR="00852117" w:rsidRPr="006258D8">
              <w:rPr>
                <w:rFonts w:ascii="Arial Narrow" w:hAnsi="Arial Narrow"/>
                <w:sz w:val="20"/>
                <w:szCs w:val="20"/>
              </w:rPr>
              <w:t xml:space="preserve"> duration</w:t>
            </w:r>
          </w:p>
        </w:tc>
        <w:tc>
          <w:tcPr>
            <w:tcW w:w="1353" w:type="pct"/>
            <w:tcMar>
              <w:top w:w="0" w:type="dxa"/>
              <w:left w:w="28" w:type="dxa"/>
              <w:bottom w:w="0" w:type="dxa"/>
              <w:right w:w="28" w:type="dxa"/>
            </w:tcMar>
            <w:vAlign w:val="center"/>
          </w:tcPr>
          <w:p w:rsidR="00852117" w:rsidRPr="006258D8" w:rsidRDefault="001B5B18" w:rsidP="00021367">
            <w:pPr>
              <w:keepNext/>
              <w:jc w:val="center"/>
              <w:rPr>
                <w:rFonts w:ascii="Arial Narrow" w:hAnsi="Arial Narrow"/>
                <w:sz w:val="20"/>
                <w:szCs w:val="20"/>
              </w:rPr>
            </w:pPr>
            <w:r w:rsidRPr="006258D8">
              <w:rPr>
                <w:rFonts w:ascii="Arial Narrow" w:hAnsi="Arial Narrow"/>
                <w:sz w:val="20"/>
                <w:szCs w:val="20"/>
              </w:rPr>
              <w:t>12 weeks</w:t>
            </w:r>
          </w:p>
        </w:tc>
        <w:tc>
          <w:tcPr>
            <w:tcW w:w="1353" w:type="pct"/>
            <w:tcMar>
              <w:top w:w="0" w:type="dxa"/>
              <w:left w:w="28" w:type="dxa"/>
              <w:bottom w:w="0" w:type="dxa"/>
              <w:right w:w="28" w:type="dxa"/>
            </w:tcMar>
            <w:vAlign w:val="center"/>
          </w:tcPr>
          <w:p w:rsidR="00852117" w:rsidRPr="006258D8" w:rsidRDefault="0012120B" w:rsidP="00021367">
            <w:pPr>
              <w:keepNext/>
              <w:jc w:val="center"/>
              <w:rPr>
                <w:rFonts w:ascii="Arial Narrow" w:hAnsi="Arial Narrow"/>
                <w:sz w:val="20"/>
                <w:szCs w:val="20"/>
              </w:rPr>
            </w:pPr>
            <w:r w:rsidRPr="006258D8">
              <w:rPr>
                <w:rFonts w:ascii="Arial Narrow" w:hAnsi="Arial Narrow"/>
                <w:sz w:val="20"/>
                <w:szCs w:val="20"/>
              </w:rPr>
              <w:t>Ongoing for responders</w:t>
            </w:r>
          </w:p>
        </w:tc>
        <w:tc>
          <w:tcPr>
            <w:tcW w:w="1353" w:type="pct"/>
            <w:tcMar>
              <w:top w:w="0" w:type="dxa"/>
              <w:left w:w="28" w:type="dxa"/>
              <w:bottom w:w="0" w:type="dxa"/>
              <w:right w:w="28" w:type="dxa"/>
            </w:tcMar>
            <w:vAlign w:val="center"/>
          </w:tcPr>
          <w:p w:rsidR="00852117" w:rsidRPr="006258D8" w:rsidRDefault="001B5B18" w:rsidP="00021367">
            <w:pPr>
              <w:keepNext/>
              <w:jc w:val="center"/>
              <w:rPr>
                <w:rFonts w:ascii="Arial Narrow" w:hAnsi="Arial Narrow"/>
                <w:sz w:val="20"/>
                <w:szCs w:val="20"/>
              </w:rPr>
            </w:pPr>
            <w:r w:rsidRPr="006258D8">
              <w:rPr>
                <w:rFonts w:ascii="Arial Narrow" w:hAnsi="Arial Narrow"/>
                <w:sz w:val="20"/>
                <w:szCs w:val="20"/>
              </w:rPr>
              <w:t>Ongoing</w:t>
            </w:r>
            <w:r w:rsidR="00F21DBC" w:rsidRPr="006258D8">
              <w:rPr>
                <w:rFonts w:ascii="Arial Narrow" w:hAnsi="Arial Narrow"/>
                <w:sz w:val="20"/>
                <w:szCs w:val="20"/>
              </w:rPr>
              <w:t xml:space="preserve"> for responders</w:t>
            </w:r>
          </w:p>
        </w:tc>
      </w:tr>
      <w:tr w:rsidR="00852117" w:rsidRPr="006258D8" w:rsidTr="001B5B18">
        <w:trPr>
          <w:jc w:val="center"/>
        </w:trPr>
        <w:tc>
          <w:tcPr>
            <w:tcW w:w="941" w:type="pct"/>
            <w:tcMar>
              <w:top w:w="0" w:type="dxa"/>
              <w:left w:w="28" w:type="dxa"/>
              <w:bottom w:w="0" w:type="dxa"/>
              <w:right w:w="28" w:type="dxa"/>
            </w:tcMar>
            <w:vAlign w:val="center"/>
            <w:hideMark/>
          </w:tcPr>
          <w:p w:rsidR="00852117" w:rsidRPr="006258D8" w:rsidRDefault="00980116" w:rsidP="00021367">
            <w:pPr>
              <w:keepNext/>
              <w:rPr>
                <w:rFonts w:ascii="Arial Narrow" w:hAnsi="Arial Narrow"/>
                <w:sz w:val="20"/>
                <w:szCs w:val="20"/>
                <w:vertAlign w:val="superscript"/>
              </w:rPr>
            </w:pPr>
            <w:r w:rsidRPr="006258D8">
              <w:rPr>
                <w:rFonts w:ascii="Arial Narrow" w:hAnsi="Arial Narrow"/>
                <w:sz w:val="20"/>
                <w:szCs w:val="20"/>
              </w:rPr>
              <w:t>Cost/patient/year</w:t>
            </w:r>
            <w:r w:rsidR="00642EBF" w:rsidRPr="006258D8">
              <w:rPr>
                <w:rFonts w:ascii="Arial Narrow" w:hAnsi="Arial Narrow"/>
                <w:sz w:val="20"/>
                <w:szCs w:val="20"/>
                <w:vertAlign w:val="superscript"/>
              </w:rPr>
              <w:t>a</w:t>
            </w:r>
          </w:p>
        </w:tc>
        <w:tc>
          <w:tcPr>
            <w:tcW w:w="1353" w:type="pct"/>
            <w:tcMar>
              <w:top w:w="0" w:type="dxa"/>
              <w:left w:w="28" w:type="dxa"/>
              <w:bottom w:w="0" w:type="dxa"/>
              <w:right w:w="28" w:type="dxa"/>
            </w:tcMar>
            <w:vAlign w:val="center"/>
          </w:tcPr>
          <w:p w:rsidR="00852117" w:rsidRPr="006258D8" w:rsidRDefault="00F21DBC" w:rsidP="00021367">
            <w:pPr>
              <w:keepNext/>
              <w:jc w:val="center"/>
              <w:rPr>
                <w:rFonts w:ascii="Arial Narrow" w:hAnsi="Arial Narrow"/>
                <w:sz w:val="20"/>
                <w:szCs w:val="20"/>
                <w:vertAlign w:val="superscript"/>
              </w:rPr>
            </w:pPr>
            <w:r w:rsidRPr="006258D8">
              <w:rPr>
                <w:rFonts w:ascii="Arial Narrow" w:hAnsi="Arial Narrow"/>
                <w:sz w:val="20"/>
                <w:szCs w:val="20"/>
              </w:rPr>
              <w:t>$</w:t>
            </w:r>
            <w:r w:rsidR="00D11BC9">
              <w:rPr>
                <w:rFonts w:ascii="Arial Narrow" w:hAnsi="Arial Narrow"/>
                <w:noProof/>
                <w:color w:val="000000"/>
                <w:sz w:val="20"/>
                <w:szCs w:val="20"/>
                <w:highlight w:val="black"/>
              </w:rPr>
              <w:t>'''''''''''''''''''</w:t>
            </w:r>
            <w:r w:rsidR="00642EBF" w:rsidRPr="006258D8">
              <w:rPr>
                <w:rFonts w:ascii="Arial Narrow" w:hAnsi="Arial Narrow"/>
                <w:sz w:val="20"/>
                <w:szCs w:val="20"/>
                <w:vertAlign w:val="superscript"/>
              </w:rPr>
              <w:t>b</w:t>
            </w:r>
          </w:p>
        </w:tc>
        <w:tc>
          <w:tcPr>
            <w:tcW w:w="1353" w:type="pct"/>
            <w:tcMar>
              <w:top w:w="0" w:type="dxa"/>
              <w:left w:w="28" w:type="dxa"/>
              <w:bottom w:w="0" w:type="dxa"/>
              <w:right w:w="28" w:type="dxa"/>
            </w:tcMar>
            <w:vAlign w:val="center"/>
          </w:tcPr>
          <w:p w:rsidR="00852117" w:rsidRPr="006258D8" w:rsidRDefault="00F21DBC" w:rsidP="00021367">
            <w:pPr>
              <w:keepNext/>
              <w:jc w:val="center"/>
              <w:rPr>
                <w:rFonts w:ascii="Arial Narrow" w:hAnsi="Arial Narrow"/>
                <w:sz w:val="20"/>
                <w:szCs w:val="20"/>
                <w:vertAlign w:val="superscript"/>
              </w:rPr>
            </w:pPr>
            <w:r w:rsidRPr="006258D8">
              <w:rPr>
                <w:rFonts w:ascii="Arial Narrow" w:hAnsi="Arial Narrow"/>
                <w:sz w:val="20"/>
                <w:szCs w:val="20"/>
              </w:rPr>
              <w:t>$</w:t>
            </w:r>
            <w:r w:rsidR="00D11BC9">
              <w:rPr>
                <w:rFonts w:ascii="Arial Narrow" w:hAnsi="Arial Narrow"/>
                <w:noProof/>
                <w:color w:val="000000"/>
                <w:sz w:val="20"/>
                <w:szCs w:val="20"/>
                <w:highlight w:val="black"/>
              </w:rPr>
              <w:t>'''''''''''''''''''</w:t>
            </w:r>
          </w:p>
        </w:tc>
        <w:tc>
          <w:tcPr>
            <w:tcW w:w="1353" w:type="pct"/>
            <w:tcMar>
              <w:top w:w="0" w:type="dxa"/>
              <w:left w:w="28" w:type="dxa"/>
              <w:bottom w:w="0" w:type="dxa"/>
              <w:right w:w="28" w:type="dxa"/>
            </w:tcMar>
            <w:vAlign w:val="center"/>
          </w:tcPr>
          <w:p w:rsidR="00852117" w:rsidRPr="006258D8" w:rsidRDefault="00980116" w:rsidP="00021367">
            <w:pPr>
              <w:keepNext/>
              <w:jc w:val="center"/>
              <w:rPr>
                <w:rFonts w:ascii="Arial Narrow" w:hAnsi="Arial Narrow"/>
                <w:iCs/>
                <w:sz w:val="20"/>
                <w:szCs w:val="20"/>
                <w:vertAlign w:val="superscript"/>
              </w:rPr>
            </w:pPr>
            <w:r w:rsidRPr="006258D8">
              <w:rPr>
                <w:rFonts w:ascii="Arial Narrow" w:hAnsi="Arial Narrow"/>
                <w:iCs/>
                <w:sz w:val="20"/>
                <w:szCs w:val="20"/>
              </w:rPr>
              <w:t>$</w:t>
            </w:r>
            <w:r w:rsidR="00D11BC9">
              <w:rPr>
                <w:rFonts w:ascii="Arial Narrow" w:hAnsi="Arial Narrow"/>
                <w:iCs/>
                <w:noProof/>
                <w:color w:val="000000"/>
                <w:sz w:val="20"/>
                <w:szCs w:val="20"/>
                <w:highlight w:val="black"/>
              </w:rPr>
              <w:t>''''''''''''''''''''''</w:t>
            </w:r>
          </w:p>
        </w:tc>
      </w:tr>
      <w:tr w:rsidR="00F21DBC" w:rsidRPr="006258D8" w:rsidTr="00F21DBC">
        <w:trPr>
          <w:jc w:val="center"/>
        </w:trPr>
        <w:tc>
          <w:tcPr>
            <w:tcW w:w="5000" w:type="pct"/>
            <w:gridSpan w:val="4"/>
            <w:tcMar>
              <w:top w:w="0" w:type="dxa"/>
              <w:left w:w="28" w:type="dxa"/>
              <w:bottom w:w="0" w:type="dxa"/>
              <w:right w:w="28" w:type="dxa"/>
            </w:tcMar>
            <w:vAlign w:val="center"/>
          </w:tcPr>
          <w:p w:rsidR="00F21DBC" w:rsidRPr="006258D8" w:rsidRDefault="00F21DBC" w:rsidP="00021367">
            <w:pPr>
              <w:keepNext/>
              <w:rPr>
                <w:rFonts w:ascii="Arial Narrow" w:hAnsi="Arial Narrow"/>
                <w:b/>
                <w:iCs/>
                <w:sz w:val="20"/>
                <w:szCs w:val="20"/>
              </w:rPr>
            </w:pPr>
            <w:r w:rsidRPr="006258D8">
              <w:rPr>
                <w:rFonts w:ascii="Arial Narrow" w:hAnsi="Arial Narrow"/>
                <w:b/>
                <w:iCs/>
                <w:sz w:val="20"/>
                <w:szCs w:val="20"/>
              </w:rPr>
              <w:t>Fremanezumab 675 mg 3-monthly</w:t>
            </w:r>
          </w:p>
        </w:tc>
      </w:tr>
      <w:tr w:rsidR="00F21DBC" w:rsidRPr="006258D8" w:rsidTr="00FD3698">
        <w:trPr>
          <w:jc w:val="center"/>
        </w:trPr>
        <w:tc>
          <w:tcPr>
            <w:tcW w:w="941" w:type="pct"/>
            <w:tcMar>
              <w:top w:w="0" w:type="dxa"/>
              <w:left w:w="28" w:type="dxa"/>
              <w:bottom w:w="0" w:type="dxa"/>
              <w:right w:w="28" w:type="dxa"/>
            </w:tcMar>
            <w:vAlign w:val="center"/>
            <w:hideMark/>
          </w:tcPr>
          <w:p w:rsidR="00F21DBC" w:rsidRPr="006258D8" w:rsidRDefault="00F21DBC" w:rsidP="00021367">
            <w:pPr>
              <w:keepNext/>
              <w:rPr>
                <w:rFonts w:ascii="Arial Narrow" w:hAnsi="Arial Narrow"/>
                <w:sz w:val="20"/>
                <w:szCs w:val="20"/>
              </w:rPr>
            </w:pPr>
            <w:r w:rsidRPr="006258D8">
              <w:rPr>
                <w:rFonts w:ascii="Arial Narrow" w:hAnsi="Arial Narrow"/>
                <w:sz w:val="20"/>
                <w:szCs w:val="20"/>
              </w:rPr>
              <w:t>Dose</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675 mg 12-weekly</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Not included</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675 mg 3-monthly (based on calendar months</w:t>
            </w:r>
            <w:r w:rsidR="00980116" w:rsidRPr="006258D8">
              <w:rPr>
                <w:rFonts w:ascii="Arial Narrow" w:hAnsi="Arial Narrow"/>
                <w:sz w:val="20"/>
                <w:szCs w:val="20"/>
              </w:rPr>
              <w:t>)</w:t>
            </w:r>
          </w:p>
        </w:tc>
      </w:tr>
      <w:tr w:rsidR="00F21DBC" w:rsidRPr="006258D8" w:rsidTr="00FD3698">
        <w:trPr>
          <w:jc w:val="center"/>
        </w:trPr>
        <w:tc>
          <w:tcPr>
            <w:tcW w:w="941" w:type="pct"/>
            <w:tcMar>
              <w:top w:w="0" w:type="dxa"/>
              <w:left w:w="28" w:type="dxa"/>
              <w:bottom w:w="0" w:type="dxa"/>
              <w:right w:w="28" w:type="dxa"/>
            </w:tcMar>
            <w:vAlign w:val="center"/>
          </w:tcPr>
          <w:p w:rsidR="00F21DBC" w:rsidRPr="006258D8" w:rsidRDefault="00F21DBC" w:rsidP="00021367">
            <w:pPr>
              <w:keepNext/>
              <w:rPr>
                <w:rFonts w:ascii="Arial Narrow" w:hAnsi="Arial Narrow"/>
                <w:sz w:val="20"/>
                <w:szCs w:val="20"/>
              </w:rPr>
            </w:pPr>
            <w:r w:rsidRPr="006258D8">
              <w:rPr>
                <w:rFonts w:ascii="Arial Narrow" w:hAnsi="Arial Narrow"/>
                <w:sz w:val="20"/>
                <w:szCs w:val="20"/>
              </w:rPr>
              <w:t>Fremanezumab drug cost</w:t>
            </w:r>
          </w:p>
        </w:tc>
        <w:tc>
          <w:tcPr>
            <w:tcW w:w="1353" w:type="pct"/>
            <w:tcMar>
              <w:top w:w="0" w:type="dxa"/>
              <w:left w:w="28" w:type="dxa"/>
              <w:bottom w:w="0" w:type="dxa"/>
              <w:right w:w="28" w:type="dxa"/>
            </w:tcMar>
            <w:vAlign w:val="center"/>
          </w:tcPr>
          <w:p w:rsidR="00980116" w:rsidRPr="006258D8" w:rsidRDefault="00980116"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(proposed weighted DPMQ)</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Not included</w:t>
            </w:r>
          </w:p>
        </w:tc>
        <w:tc>
          <w:tcPr>
            <w:tcW w:w="1353" w:type="pct"/>
            <w:tcMar>
              <w:top w:w="0" w:type="dxa"/>
              <w:left w:w="28" w:type="dxa"/>
              <w:bottom w:w="0" w:type="dxa"/>
              <w:right w:w="28" w:type="dxa"/>
            </w:tcMar>
            <w:vAlign w:val="center"/>
          </w:tcPr>
          <w:p w:rsidR="00C74141" w:rsidRPr="00D11BC9" w:rsidRDefault="00F80BFF"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(proposed weighted DPMQ)</w:t>
            </w:r>
          </w:p>
        </w:tc>
      </w:tr>
      <w:tr w:rsidR="00F21DBC" w:rsidRPr="006258D8" w:rsidTr="00FD3698">
        <w:trPr>
          <w:jc w:val="center"/>
        </w:trPr>
        <w:tc>
          <w:tcPr>
            <w:tcW w:w="941" w:type="pct"/>
            <w:tcMar>
              <w:top w:w="0" w:type="dxa"/>
              <w:left w:w="28" w:type="dxa"/>
              <w:bottom w:w="0" w:type="dxa"/>
              <w:right w:w="28" w:type="dxa"/>
            </w:tcMar>
            <w:vAlign w:val="center"/>
            <w:hideMark/>
          </w:tcPr>
          <w:p w:rsidR="00F21DBC" w:rsidRPr="006258D8" w:rsidRDefault="00F21DBC" w:rsidP="00021367">
            <w:pPr>
              <w:keepNext/>
              <w:rPr>
                <w:rFonts w:ascii="Arial Narrow" w:hAnsi="Arial Narrow"/>
                <w:sz w:val="20"/>
                <w:szCs w:val="20"/>
              </w:rPr>
            </w:pPr>
            <w:r w:rsidRPr="006258D8">
              <w:rPr>
                <w:rFonts w:ascii="Arial Narrow" w:hAnsi="Arial Narrow"/>
                <w:sz w:val="20"/>
                <w:szCs w:val="20"/>
              </w:rPr>
              <w:t>Treatment duration</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12 weeks</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Not included</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rPr>
            </w:pPr>
            <w:r w:rsidRPr="006258D8">
              <w:rPr>
                <w:rFonts w:ascii="Arial Narrow" w:hAnsi="Arial Narrow"/>
                <w:sz w:val="20"/>
                <w:szCs w:val="20"/>
              </w:rPr>
              <w:t>Ongoing for responders</w:t>
            </w:r>
          </w:p>
        </w:tc>
      </w:tr>
      <w:tr w:rsidR="00F21DBC" w:rsidRPr="006258D8" w:rsidTr="00FD3698">
        <w:trPr>
          <w:jc w:val="center"/>
        </w:trPr>
        <w:tc>
          <w:tcPr>
            <w:tcW w:w="941" w:type="pct"/>
            <w:tcMar>
              <w:top w:w="0" w:type="dxa"/>
              <w:left w:w="28" w:type="dxa"/>
              <w:bottom w:w="0" w:type="dxa"/>
              <w:right w:w="28" w:type="dxa"/>
            </w:tcMar>
            <w:vAlign w:val="center"/>
            <w:hideMark/>
          </w:tcPr>
          <w:p w:rsidR="00F21DBC" w:rsidRPr="006258D8" w:rsidRDefault="00F21DBC" w:rsidP="00021367">
            <w:pPr>
              <w:keepNext/>
              <w:rPr>
                <w:rFonts w:ascii="Arial Narrow" w:hAnsi="Arial Narrow"/>
                <w:sz w:val="20"/>
                <w:szCs w:val="20"/>
                <w:vertAlign w:val="superscript"/>
              </w:rPr>
            </w:pPr>
            <w:r w:rsidRPr="006258D8">
              <w:rPr>
                <w:rFonts w:ascii="Arial Narrow" w:hAnsi="Arial Narrow"/>
                <w:sz w:val="20"/>
                <w:szCs w:val="20"/>
              </w:rPr>
              <w:t>Cost/patient/year</w:t>
            </w:r>
            <w:r w:rsidR="00DC09FD" w:rsidRPr="006258D8">
              <w:rPr>
                <w:rFonts w:ascii="Arial Narrow" w:hAnsi="Arial Narrow"/>
                <w:sz w:val="20"/>
                <w:szCs w:val="20"/>
                <w:vertAlign w:val="superscript"/>
              </w:rPr>
              <w:t>a</w:t>
            </w:r>
          </w:p>
        </w:tc>
        <w:tc>
          <w:tcPr>
            <w:tcW w:w="1353" w:type="pct"/>
            <w:tcMar>
              <w:top w:w="0" w:type="dxa"/>
              <w:left w:w="28" w:type="dxa"/>
              <w:bottom w:w="0" w:type="dxa"/>
              <w:right w:w="28" w:type="dxa"/>
            </w:tcMar>
            <w:vAlign w:val="center"/>
          </w:tcPr>
          <w:p w:rsidR="00F21DBC" w:rsidRPr="006258D8" w:rsidRDefault="00980116" w:rsidP="00021367">
            <w:pPr>
              <w:keepNext/>
              <w:jc w:val="center"/>
              <w:rPr>
                <w:rFonts w:ascii="Arial Narrow" w:hAnsi="Arial Narrow"/>
                <w:sz w:val="20"/>
                <w:szCs w:val="20"/>
              </w:rPr>
            </w:pPr>
            <w:r w:rsidRPr="006258D8">
              <w:rPr>
                <w:rFonts w:ascii="Arial Narrow" w:hAnsi="Arial Narrow"/>
                <w:sz w:val="20"/>
                <w:szCs w:val="20"/>
              </w:rPr>
              <w:t>$</w:t>
            </w:r>
            <w:r w:rsidR="00D11BC9">
              <w:rPr>
                <w:rFonts w:ascii="Arial Narrow" w:hAnsi="Arial Narrow"/>
                <w:noProof/>
                <w:color w:val="000000"/>
                <w:sz w:val="20"/>
                <w:szCs w:val="20"/>
                <w:highlight w:val="black"/>
              </w:rPr>
              <w:t>'''''''''''''''''''''''</w:t>
            </w:r>
          </w:p>
        </w:tc>
        <w:tc>
          <w:tcPr>
            <w:tcW w:w="1353" w:type="pct"/>
            <w:tcMar>
              <w:top w:w="0" w:type="dxa"/>
              <w:left w:w="28" w:type="dxa"/>
              <w:bottom w:w="0" w:type="dxa"/>
              <w:right w:w="28" w:type="dxa"/>
            </w:tcMar>
            <w:vAlign w:val="center"/>
          </w:tcPr>
          <w:p w:rsidR="00F21DBC" w:rsidRPr="006258D8" w:rsidRDefault="00F21DBC" w:rsidP="00021367">
            <w:pPr>
              <w:keepNext/>
              <w:jc w:val="center"/>
              <w:rPr>
                <w:rFonts w:ascii="Arial Narrow" w:hAnsi="Arial Narrow"/>
                <w:sz w:val="20"/>
                <w:szCs w:val="20"/>
                <w:vertAlign w:val="superscript"/>
              </w:rPr>
            </w:pPr>
            <w:r w:rsidRPr="006258D8">
              <w:rPr>
                <w:rFonts w:ascii="Arial Narrow" w:hAnsi="Arial Narrow"/>
                <w:sz w:val="20"/>
                <w:szCs w:val="20"/>
              </w:rPr>
              <w:t>Not included</w:t>
            </w:r>
          </w:p>
        </w:tc>
        <w:tc>
          <w:tcPr>
            <w:tcW w:w="1353" w:type="pct"/>
            <w:tcMar>
              <w:top w:w="0" w:type="dxa"/>
              <w:left w:w="28" w:type="dxa"/>
              <w:bottom w:w="0" w:type="dxa"/>
              <w:right w:w="28" w:type="dxa"/>
            </w:tcMar>
            <w:vAlign w:val="center"/>
          </w:tcPr>
          <w:p w:rsidR="00F21DBC" w:rsidRPr="006258D8" w:rsidRDefault="00980116" w:rsidP="00021367">
            <w:pPr>
              <w:keepNext/>
              <w:jc w:val="center"/>
              <w:rPr>
                <w:rFonts w:ascii="Arial Narrow" w:hAnsi="Arial Narrow"/>
                <w:iCs/>
                <w:sz w:val="20"/>
                <w:szCs w:val="20"/>
              </w:rPr>
            </w:pPr>
            <w:r w:rsidRPr="006258D8">
              <w:rPr>
                <w:rFonts w:ascii="Arial Narrow" w:hAnsi="Arial Narrow"/>
                <w:iCs/>
                <w:sz w:val="20"/>
                <w:szCs w:val="20"/>
              </w:rPr>
              <w:t>$</w:t>
            </w:r>
            <w:r w:rsidR="00D11BC9">
              <w:rPr>
                <w:rFonts w:ascii="Arial Narrow" w:hAnsi="Arial Narrow"/>
                <w:iCs/>
                <w:noProof/>
                <w:color w:val="000000"/>
                <w:sz w:val="20"/>
                <w:szCs w:val="20"/>
                <w:highlight w:val="black"/>
              </w:rPr>
              <w:t>'''''''''''''''''''''</w:t>
            </w:r>
          </w:p>
        </w:tc>
      </w:tr>
    </w:tbl>
    <w:p w:rsidR="00F30EB2" w:rsidRDefault="00F30EB2" w:rsidP="00021367">
      <w:pPr>
        <w:pStyle w:val="TableFigureFooter"/>
      </w:pPr>
      <w:r w:rsidRPr="006258D8">
        <w:t>Abbreviations: DPMQ, dispensed price for maximum quantity</w:t>
      </w:r>
    </w:p>
    <w:p w:rsidR="00852117" w:rsidRPr="006258D8" w:rsidRDefault="00852117" w:rsidP="00021367">
      <w:pPr>
        <w:pStyle w:val="TableFigureFooter"/>
      </w:pPr>
      <w:r w:rsidRPr="006258D8">
        <w:t>Source:</w:t>
      </w:r>
      <w:r w:rsidR="00980116" w:rsidRPr="006258D8">
        <w:t xml:space="preserve"> </w:t>
      </w:r>
      <w:r w:rsidR="00BC4ABF" w:rsidRPr="00A35132">
        <w:t>Table</w:t>
      </w:r>
      <w:r w:rsidR="00BC4ABF" w:rsidRPr="004729C8">
        <w:t xml:space="preserve"> 3.1, p.180; </w:t>
      </w:r>
      <w:r w:rsidR="00F80BFF" w:rsidRPr="00A35132">
        <w:t>Table</w:t>
      </w:r>
      <w:r w:rsidR="00F80BFF" w:rsidRPr="004729C8">
        <w:t xml:space="preserve"> 3.7, p.</w:t>
      </w:r>
      <w:r w:rsidR="00BC4ABF" w:rsidRPr="004729C8">
        <w:t>209 of the submission.</w:t>
      </w:r>
    </w:p>
    <w:p w:rsidR="00642EBF" w:rsidRPr="006258D8" w:rsidRDefault="00642EBF" w:rsidP="00021367">
      <w:pPr>
        <w:pStyle w:val="TableFigureFooter"/>
      </w:pPr>
      <w:r w:rsidRPr="006258D8">
        <w:rPr>
          <w:vertAlign w:val="superscript"/>
        </w:rPr>
        <w:t>a</w:t>
      </w:r>
      <w:r w:rsidRPr="006258D8">
        <w:t xml:space="preserve"> </w:t>
      </w:r>
      <w:r w:rsidR="00D11BC9">
        <w:rPr>
          <w:noProof/>
          <w:color w:val="000000"/>
          <w:highlight w:val="black"/>
        </w:rPr>
        <w:t>'''''''''''''''''''''' ''''' ''''''''''''''''''''''''' ''''''''''''''''''' ''''''''''''''</w:t>
      </w:r>
    </w:p>
    <w:p w:rsidR="00C74141" w:rsidRDefault="00642EBF" w:rsidP="00021367">
      <w:pPr>
        <w:pStyle w:val="TableFigureFooter"/>
      </w:pPr>
      <w:r w:rsidRPr="006258D8">
        <w:rPr>
          <w:vertAlign w:val="superscript"/>
        </w:rPr>
        <w:t>b</w:t>
      </w:r>
      <w:r w:rsidR="00E54B5A" w:rsidRPr="006258D8">
        <w:t xml:space="preserve"> Excluding </w:t>
      </w:r>
      <w:r w:rsidRPr="006258D8">
        <w:t xml:space="preserve">cost of </w:t>
      </w:r>
      <w:r w:rsidR="00E54B5A" w:rsidRPr="006258D8">
        <w:t>loading dose</w:t>
      </w:r>
      <w:r w:rsidRPr="006258D8">
        <w:t>.</w:t>
      </w:r>
    </w:p>
    <w:p w:rsidR="005076C1" w:rsidRPr="006258D8" w:rsidRDefault="005076C1" w:rsidP="000F2EE3">
      <w:pPr>
        <w:pStyle w:val="3-BodyText"/>
      </w:pPr>
      <w:r w:rsidRPr="006258D8">
        <w:t xml:space="preserve">The annual cost of treatment for fremanezumab </w:t>
      </w:r>
      <w:r w:rsidR="007623FF">
        <w:t xml:space="preserve">225 mg </w:t>
      </w:r>
      <w:r w:rsidRPr="006258D8">
        <w:t xml:space="preserve">in the economic model </w:t>
      </w:r>
      <w:r w:rsidR="00631A1E">
        <w:t>($</w:t>
      </w:r>
      <w:r w:rsidR="00D11BC9">
        <w:rPr>
          <w:noProof/>
          <w:color w:val="000000"/>
          <w:highlight w:val="black"/>
        </w:rPr>
        <w:t>''''''''''</w:t>
      </w:r>
      <w:r w:rsidR="007623FF">
        <w:t xml:space="preserve">) </w:t>
      </w:r>
      <w:r w:rsidRPr="006258D8">
        <w:t>was based on the proposed DPMQ of $</w:t>
      </w:r>
      <w:r w:rsidR="00D11BC9">
        <w:rPr>
          <w:noProof/>
          <w:color w:val="000000"/>
          <w:highlight w:val="black"/>
        </w:rPr>
        <w:t>''''''''''''</w:t>
      </w:r>
      <w:r w:rsidRPr="006258D8">
        <w:t xml:space="preserve"> in the Botox </w:t>
      </w:r>
      <w:r w:rsidR="00A10ED8" w:rsidRPr="006258D8">
        <w:t xml:space="preserve">ruled out </w:t>
      </w:r>
      <w:r w:rsidR="00340302">
        <w:t>and Botox failed populations.</w:t>
      </w:r>
      <w:r w:rsidR="007623FF">
        <w:t xml:space="preserve"> The PBAC noted the annual cost of treatment for fremanezumab 225 mg at the cost-minimised price (DPMQ $</w:t>
      </w:r>
      <w:r w:rsidR="00D11BC9">
        <w:rPr>
          <w:noProof/>
          <w:color w:val="000000"/>
          <w:highlight w:val="black"/>
        </w:rPr>
        <w:t>''''''''''''</w:t>
      </w:r>
      <w:r w:rsidR="007623FF">
        <w:t>, using the published price of Botox) was $</w:t>
      </w:r>
      <w:r w:rsidR="00D11BC9">
        <w:rPr>
          <w:noProof/>
          <w:color w:val="000000"/>
          <w:highlight w:val="black"/>
        </w:rPr>
        <w:t>'''''''''''</w:t>
      </w:r>
      <w:r w:rsidR="007623FF">
        <w:t>.</w:t>
      </w:r>
      <w:r w:rsidR="00F32178">
        <w:rPr>
          <w:rStyle w:val="FootnoteReference"/>
        </w:rPr>
        <w:footnoteReference w:id="2"/>
      </w:r>
      <w:r w:rsidR="00F32178">
        <w:t xml:space="preserve"> </w:t>
      </w:r>
      <w:r w:rsidR="00631A1E">
        <w:t xml:space="preserve">The PBAC considered the difference in treatment costs between the populations was not adequately justified in the submission. </w:t>
      </w:r>
    </w:p>
    <w:p w:rsidR="00C74141" w:rsidRDefault="005076C1" w:rsidP="000F2EE3">
      <w:pPr>
        <w:pStyle w:val="3-BodyText"/>
      </w:pPr>
      <w:r w:rsidRPr="006258D8">
        <w:t xml:space="preserve">The annual cost of treatment for fremanezumab 225 mg in the financial estimates </w:t>
      </w:r>
      <w:r w:rsidR="007623FF">
        <w:t>($</w:t>
      </w:r>
      <w:r w:rsidR="00D11BC9">
        <w:rPr>
          <w:noProof/>
          <w:color w:val="000000"/>
          <w:highlight w:val="black"/>
        </w:rPr>
        <w:t>''''''''''</w:t>
      </w:r>
      <w:r w:rsidR="007623FF">
        <w:t xml:space="preserve">) </w:t>
      </w:r>
      <w:r w:rsidRPr="006258D8">
        <w:t>w</w:t>
      </w:r>
      <w:r w:rsidR="00631A1E">
        <w:t>as</w:t>
      </w:r>
      <w:r w:rsidRPr="006258D8">
        <w:t xml:space="preserve"> based on the proposed weighted DPMQ </w:t>
      </w:r>
      <w:r w:rsidR="00641F76">
        <w:t>($</w:t>
      </w:r>
      <w:r w:rsidR="00D11BC9">
        <w:rPr>
          <w:noProof/>
          <w:color w:val="000000"/>
          <w:highlight w:val="black"/>
        </w:rPr>
        <w:t>''''''''''''''</w:t>
      </w:r>
      <w:r w:rsidR="00641F76">
        <w:t xml:space="preserve">) </w:t>
      </w:r>
      <w:r w:rsidRPr="006258D8">
        <w:t xml:space="preserve">derived using the proportion of Botox-eligible and Botox-ineligible (Botox </w:t>
      </w:r>
      <w:r w:rsidR="00A10ED8" w:rsidRPr="006258D8">
        <w:t>ruled out</w:t>
      </w:r>
      <w:r w:rsidRPr="006258D8">
        <w:t>, Botox failed) patients.</w:t>
      </w:r>
    </w:p>
    <w:p w:rsidR="00C317F3" w:rsidRPr="006258D8" w:rsidRDefault="00C317F3" w:rsidP="00021367">
      <w:pPr>
        <w:pStyle w:val="4-SubsectionHeading"/>
      </w:pPr>
      <w:bookmarkStart w:id="25" w:name="_Toc413139284"/>
      <w:bookmarkStart w:id="26" w:name="_Toc19693425"/>
      <w:r w:rsidRPr="006258D8">
        <w:t>Estimated PBS usage &amp; financial implications</w:t>
      </w:r>
      <w:bookmarkEnd w:id="25"/>
      <w:bookmarkEnd w:id="26"/>
    </w:p>
    <w:p w:rsidR="00C317F3" w:rsidRPr="006258D8" w:rsidRDefault="00C317F3" w:rsidP="000F2EE3">
      <w:pPr>
        <w:pStyle w:val="3-BodyText"/>
        <w:rPr>
          <w:color w:val="4472C4" w:themeColor="accent5"/>
        </w:rPr>
      </w:pPr>
      <w:r w:rsidRPr="006258D8">
        <w:t xml:space="preserve">This submission </w:t>
      </w:r>
      <w:r w:rsidR="0012120B" w:rsidRPr="006258D8">
        <w:t>was</w:t>
      </w:r>
      <w:r w:rsidR="00454493" w:rsidRPr="006258D8">
        <w:t xml:space="preserve"> </w:t>
      </w:r>
      <w:r w:rsidRPr="006258D8">
        <w:t xml:space="preserve">not considered by </w:t>
      </w:r>
      <w:r w:rsidR="00641F76">
        <w:t xml:space="preserve">the </w:t>
      </w:r>
      <w:r w:rsidRPr="006258D8">
        <w:t>DUSC</w:t>
      </w:r>
      <w:r w:rsidRPr="006258D8">
        <w:rPr>
          <w:color w:val="4472C4" w:themeColor="accent5"/>
        </w:rPr>
        <w:t xml:space="preserve">. </w:t>
      </w:r>
      <w:r w:rsidR="002F6D17" w:rsidRPr="006258D8">
        <w:t>The submission used a combined market share/epidemiological approach to estimate the utilisation and financial impacts associated with the requested listing.</w:t>
      </w:r>
      <w:r w:rsidR="00641F76">
        <w:t xml:space="preserve"> </w:t>
      </w:r>
    </w:p>
    <w:p w:rsidR="002F6D17" w:rsidRPr="006258D8" w:rsidRDefault="002F6D17" w:rsidP="000F2EE3">
      <w:pPr>
        <w:pStyle w:val="3-BodyText"/>
      </w:pPr>
      <w:r w:rsidRPr="006258D8">
        <w:t>The total number of eligible patients was derived based on the following three subpopulations: Botox ruled out patients, Botox eligible patients and Botox failed patients.</w:t>
      </w:r>
    </w:p>
    <w:p w:rsidR="002F6D17" w:rsidRPr="006258D8" w:rsidRDefault="002F6D17" w:rsidP="00EC4C47">
      <w:pPr>
        <w:pStyle w:val="3-BodyText"/>
      </w:pPr>
      <w:r w:rsidRPr="006258D8">
        <w:t xml:space="preserve">The submission stated that patients in the </w:t>
      </w:r>
      <w:r w:rsidRPr="00835FF3">
        <w:t>Botox ruled out</w:t>
      </w:r>
      <w:r w:rsidRPr="006258D8">
        <w:t xml:space="preserve"> subpopulation would have a needle or toxin phobia, no access to a specialist trained in Botox administration, or a contraindication to Botox. The approach used in the submission was likely to capture all eligible patients, including patients currently treated with Botox and Botox failed patients, leading to double counting of patients in the utilisation estimates.</w:t>
      </w:r>
    </w:p>
    <w:p w:rsidR="002F6D17" w:rsidRPr="00742CD6" w:rsidRDefault="002F6D17" w:rsidP="00EC4C47">
      <w:pPr>
        <w:pStyle w:val="3-BodyText"/>
      </w:pPr>
      <w:r w:rsidRPr="006258D8">
        <w:t xml:space="preserve">The submission assumed that </w:t>
      </w:r>
      <w:r w:rsidRPr="00835FF3">
        <w:t>Botox eligible</w:t>
      </w:r>
      <w:r w:rsidRPr="006258D8">
        <w:t xml:space="preserve"> patients were patients who are currently receiving treatment with Botox, or who would be treated during the first six years of listing in the absence of</w:t>
      </w:r>
      <w:r w:rsidR="0028679A">
        <w:t xml:space="preserve"> a</w:t>
      </w:r>
      <w:r w:rsidRPr="006258D8">
        <w:t xml:space="preserve"> fremanezumab listing. However, there are likely to be additional patients who are eligible for Botox who have not been treated. The </w:t>
      </w:r>
      <w:r w:rsidRPr="00742CD6">
        <w:t>submission did not adequately define the difference between Botox eligible and Botox ruled out patients</w:t>
      </w:r>
      <w:r w:rsidR="00AC796B" w:rsidRPr="00742CD6">
        <w:t>.</w:t>
      </w:r>
      <w:r w:rsidR="00835FF3" w:rsidRPr="00742CD6">
        <w:t xml:space="preserve"> The ESC considered the methodology used to derive the eligible population</w:t>
      </w:r>
      <w:r w:rsidR="00223C51">
        <w:t>s</w:t>
      </w:r>
      <w:r w:rsidR="00835FF3" w:rsidRPr="00742CD6">
        <w:t xml:space="preserve"> </w:t>
      </w:r>
      <w:r w:rsidR="00223C51" w:rsidRPr="00742CD6">
        <w:t>(Botox eligible, Botox ruled out, Botox failed)</w:t>
      </w:r>
      <w:r w:rsidR="00167267">
        <w:t xml:space="preserve"> </w:t>
      </w:r>
      <w:r w:rsidR="00835FF3" w:rsidRPr="00742CD6">
        <w:t>was not reliable and highly uncertain</w:t>
      </w:r>
      <w:r w:rsidR="00167267">
        <w:t>.</w:t>
      </w:r>
      <w:r w:rsidR="00835FF3" w:rsidRPr="00742CD6">
        <w:t xml:space="preserve"> </w:t>
      </w:r>
    </w:p>
    <w:p w:rsidR="002F6D17" w:rsidRPr="00742CD6" w:rsidRDefault="002F6D17" w:rsidP="00001A3D">
      <w:pPr>
        <w:pStyle w:val="3-BodyText"/>
      </w:pPr>
      <w:r w:rsidRPr="00742CD6">
        <w:t xml:space="preserve">The submission assumed </w:t>
      </w:r>
      <w:r w:rsidRPr="002C4CF7">
        <w:t xml:space="preserve">that </w:t>
      </w:r>
      <w:r w:rsidR="00D11BC9">
        <w:rPr>
          <w:noProof/>
          <w:color w:val="000000"/>
          <w:highlight w:val="black"/>
        </w:rPr>
        <w:t>'''''''''</w:t>
      </w:r>
      <w:r w:rsidRPr="002C4CF7">
        <w:t xml:space="preserve">% of patients across each of the subpopulations would continue treatment beyond 12 weeks based on the continuation rate for Botox at 24 weeks reported in the 2017 DUSC Botox review. This continuation rate differed from the continuation rate of </w:t>
      </w:r>
      <w:r w:rsidR="00D11BC9">
        <w:rPr>
          <w:noProof/>
          <w:color w:val="000000"/>
          <w:highlight w:val="black"/>
        </w:rPr>
        <w:t>''''''</w:t>
      </w:r>
      <w:r w:rsidRPr="002C4CF7">
        <w:t>% assumed in the economic model, which was based on the proportion of patients achieving at least</w:t>
      </w:r>
      <w:r w:rsidRPr="00742CD6">
        <w:t xml:space="preserve"> a 50% reduction in monthly migraine days in the subgroup of patients with ≥3 prior treatment</w:t>
      </w:r>
      <w:r w:rsidR="00223C51">
        <w:t xml:space="preserve"> failures </w:t>
      </w:r>
      <w:r w:rsidRPr="00742CD6">
        <w:t>in Study 30068. This implies that a substantial number of patients who do not meet the response criteria specified in the proposed restriction are expected to use fremanezumab beyond 12 weeks.</w:t>
      </w:r>
      <w:r w:rsidR="00641F76">
        <w:t xml:space="preserve"> </w:t>
      </w:r>
    </w:p>
    <w:p w:rsidR="002F6D17" w:rsidRPr="00742CD6" w:rsidRDefault="002F6D17" w:rsidP="00A450CD">
      <w:pPr>
        <w:pStyle w:val="3-BodyText"/>
      </w:pPr>
      <w:r w:rsidRPr="00742CD6">
        <w:t xml:space="preserve">The submission assumed that an </w:t>
      </w:r>
      <w:r w:rsidRPr="0098572C">
        <w:t xml:space="preserve">additional </w:t>
      </w:r>
      <w:r w:rsidR="00D11BC9">
        <w:rPr>
          <w:noProof/>
          <w:color w:val="000000"/>
          <w:highlight w:val="black"/>
        </w:rPr>
        <w:t>'''''</w:t>
      </w:r>
      <w:r w:rsidRPr="0098572C">
        <w:t>% of</w:t>
      </w:r>
      <w:r w:rsidRPr="00742CD6">
        <w:t xml:space="preserve"> patients treated with fremanezumab would discontinue treatment each year. Given the lack of alternative treatments, and the convenience of fremanezumab administration compared to Botox, the discontinuation rate in subsequent years may be lower than estimated. There is also potential for patients to reinitiate treatment at a later time.</w:t>
      </w:r>
    </w:p>
    <w:p w:rsidR="00295107" w:rsidRDefault="002F6D17" w:rsidP="00F101E8">
      <w:pPr>
        <w:pStyle w:val="3-BodyText"/>
      </w:pPr>
      <w:r w:rsidRPr="00742CD6">
        <w:t xml:space="preserve">The submission noted that Botox is subject to a special pricing arrangement. The proposed price for fremanezumab </w:t>
      </w:r>
      <w:r w:rsidRPr="0098572C">
        <w:t>incorporate</w:t>
      </w:r>
      <w:r w:rsidR="00641F76" w:rsidRPr="0098572C">
        <w:t>d</w:t>
      </w:r>
      <w:r w:rsidRPr="0098572C">
        <w:t xml:space="preserve"> a </w:t>
      </w:r>
      <w:r w:rsidR="00D11BC9">
        <w:rPr>
          <w:noProof/>
          <w:color w:val="000000"/>
          <w:highlight w:val="black"/>
        </w:rPr>
        <w:t>'''''''</w:t>
      </w:r>
      <w:r w:rsidRPr="0098572C">
        <w:t>% weighting</w:t>
      </w:r>
      <w:r w:rsidRPr="00742CD6">
        <w:t xml:space="preserve"> based on the </w:t>
      </w:r>
      <w:r w:rsidR="00EE7CC8">
        <w:t xml:space="preserve">CMA </w:t>
      </w:r>
      <w:r w:rsidRPr="00742CD6">
        <w:t>of fremanezumab versus Botox, and therefore, the fremanezumab price will require recalculation using the effective price of Botox.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Estimated net cost to the PBS/RPBS of listing fremanezumab"/>
      </w:tblPr>
      <w:tblGrid>
        <w:gridCol w:w="1901"/>
        <w:gridCol w:w="1155"/>
        <w:gridCol w:w="1126"/>
        <w:gridCol w:w="1094"/>
        <w:gridCol w:w="1157"/>
        <w:gridCol w:w="1467"/>
        <w:gridCol w:w="1126"/>
      </w:tblGrid>
      <w:tr w:rsidR="00F101E8" w:rsidRPr="006258D8" w:rsidTr="00DF5FF9">
        <w:trPr>
          <w:tblHeader/>
        </w:trPr>
        <w:tc>
          <w:tcPr>
            <w:tcW w:w="9026" w:type="dxa"/>
            <w:gridSpan w:val="7"/>
            <w:tcBorders>
              <w:top w:val="nil"/>
              <w:left w:val="nil"/>
              <w:bottom w:val="single" w:sz="4" w:space="0" w:color="auto"/>
              <w:right w:val="nil"/>
            </w:tcBorders>
            <w:shd w:val="clear" w:color="auto" w:fill="auto"/>
          </w:tcPr>
          <w:p w:rsidR="00F101E8" w:rsidRPr="006258D8" w:rsidRDefault="00F101E8" w:rsidP="00DF5FF9">
            <w:pPr>
              <w:pStyle w:val="In-tableHeading"/>
            </w:pPr>
            <w:r>
              <w:t xml:space="preserve">Table </w:t>
            </w:r>
            <w:r w:rsidR="00103409">
              <w:rPr>
                <w:noProof/>
              </w:rPr>
              <w:t>20</w:t>
            </w:r>
            <w:r w:rsidRPr="007D2883">
              <w:t>:</w:t>
            </w:r>
            <w:r>
              <w:t xml:space="preserve"> </w:t>
            </w:r>
            <w:r w:rsidRPr="007D2883">
              <w:t>Estimated net cost to the PBS/RPBS of listing fremanezumab</w:t>
            </w:r>
          </w:p>
        </w:tc>
      </w:tr>
      <w:tr w:rsidR="002F6D17" w:rsidRPr="006258D8" w:rsidTr="00DF5FF9">
        <w:trPr>
          <w:tblHeader/>
        </w:trPr>
        <w:tc>
          <w:tcPr>
            <w:tcW w:w="1985" w:type="dxa"/>
            <w:tcBorders>
              <w:top w:val="single" w:sz="4" w:space="0" w:color="auto"/>
            </w:tcBorders>
            <w:shd w:val="clear" w:color="auto" w:fill="auto"/>
            <w:vAlign w:val="center"/>
          </w:tcPr>
          <w:p w:rsidR="002F6D17" w:rsidRPr="006258D8" w:rsidRDefault="002F6D17" w:rsidP="00F101E8">
            <w:pPr>
              <w:pStyle w:val="In-tableHeading"/>
              <w:jc w:val="center"/>
            </w:pPr>
          </w:p>
        </w:tc>
        <w:tc>
          <w:tcPr>
            <w:tcW w:w="1160" w:type="dxa"/>
            <w:tcBorders>
              <w:top w:val="single" w:sz="4" w:space="0" w:color="auto"/>
            </w:tcBorders>
            <w:shd w:val="clear" w:color="auto" w:fill="auto"/>
            <w:vAlign w:val="center"/>
          </w:tcPr>
          <w:p w:rsidR="002F6D17" w:rsidRPr="006258D8" w:rsidRDefault="002F6D17" w:rsidP="00F101E8">
            <w:pPr>
              <w:pStyle w:val="In-tableHeading"/>
              <w:jc w:val="center"/>
            </w:pPr>
            <w:r w:rsidRPr="006258D8">
              <w:t>Year 1</w:t>
            </w:r>
          </w:p>
        </w:tc>
        <w:tc>
          <w:tcPr>
            <w:tcW w:w="0" w:type="auto"/>
            <w:tcBorders>
              <w:top w:val="single" w:sz="4" w:space="0" w:color="auto"/>
            </w:tcBorders>
            <w:shd w:val="clear" w:color="auto" w:fill="auto"/>
            <w:vAlign w:val="center"/>
          </w:tcPr>
          <w:p w:rsidR="002F6D17" w:rsidRPr="006258D8" w:rsidRDefault="002F6D17" w:rsidP="00F101E8">
            <w:pPr>
              <w:pStyle w:val="In-tableHeading"/>
              <w:jc w:val="center"/>
            </w:pPr>
            <w:r w:rsidRPr="006258D8">
              <w:t>Year 2</w:t>
            </w:r>
          </w:p>
        </w:tc>
        <w:tc>
          <w:tcPr>
            <w:tcW w:w="0" w:type="auto"/>
            <w:tcBorders>
              <w:top w:val="single" w:sz="4" w:space="0" w:color="auto"/>
            </w:tcBorders>
            <w:shd w:val="clear" w:color="auto" w:fill="auto"/>
            <w:vAlign w:val="center"/>
          </w:tcPr>
          <w:p w:rsidR="002F6D17" w:rsidRPr="006258D8" w:rsidRDefault="002F6D17" w:rsidP="00F101E8">
            <w:pPr>
              <w:pStyle w:val="In-tableHeading"/>
              <w:jc w:val="center"/>
            </w:pPr>
            <w:r w:rsidRPr="006258D8">
              <w:t>Year 3</w:t>
            </w:r>
          </w:p>
        </w:tc>
        <w:tc>
          <w:tcPr>
            <w:tcW w:w="0" w:type="auto"/>
            <w:tcBorders>
              <w:top w:val="single" w:sz="4" w:space="0" w:color="auto"/>
            </w:tcBorders>
            <w:shd w:val="clear" w:color="auto" w:fill="auto"/>
            <w:vAlign w:val="center"/>
          </w:tcPr>
          <w:p w:rsidR="002F6D17" w:rsidRPr="006258D8" w:rsidRDefault="002F6D17" w:rsidP="009F274E">
            <w:pPr>
              <w:pStyle w:val="In-tableHeading"/>
              <w:jc w:val="center"/>
            </w:pPr>
            <w:r w:rsidRPr="006258D8">
              <w:t>Year 4</w:t>
            </w:r>
          </w:p>
        </w:tc>
        <w:tc>
          <w:tcPr>
            <w:tcW w:w="1497" w:type="dxa"/>
            <w:tcBorders>
              <w:top w:val="single" w:sz="4" w:space="0" w:color="auto"/>
            </w:tcBorders>
            <w:shd w:val="clear" w:color="auto" w:fill="auto"/>
            <w:vAlign w:val="center"/>
          </w:tcPr>
          <w:p w:rsidR="002F6D17" w:rsidRPr="006258D8" w:rsidRDefault="002F6D17" w:rsidP="00FB455F">
            <w:pPr>
              <w:pStyle w:val="In-tableHeading"/>
              <w:jc w:val="center"/>
            </w:pPr>
            <w:r w:rsidRPr="006258D8">
              <w:t>Year 5</w:t>
            </w:r>
          </w:p>
        </w:tc>
        <w:tc>
          <w:tcPr>
            <w:tcW w:w="1096" w:type="dxa"/>
            <w:tcBorders>
              <w:top w:val="single" w:sz="4" w:space="0" w:color="auto"/>
            </w:tcBorders>
            <w:shd w:val="clear" w:color="auto" w:fill="auto"/>
            <w:vAlign w:val="center"/>
          </w:tcPr>
          <w:p w:rsidR="002F6D17" w:rsidRPr="006258D8" w:rsidRDefault="002F6D17" w:rsidP="00FB455F">
            <w:pPr>
              <w:pStyle w:val="In-tableHeading"/>
              <w:jc w:val="center"/>
            </w:pPr>
            <w:r w:rsidRPr="006258D8">
              <w:t>Year 6</w:t>
            </w:r>
          </w:p>
        </w:tc>
      </w:tr>
      <w:tr w:rsidR="002F6D17" w:rsidRPr="006258D8" w:rsidTr="00AE6379">
        <w:tc>
          <w:tcPr>
            <w:tcW w:w="0" w:type="auto"/>
            <w:gridSpan w:val="7"/>
            <w:shd w:val="clear" w:color="auto" w:fill="auto"/>
            <w:vAlign w:val="center"/>
          </w:tcPr>
          <w:p w:rsidR="002F6D17" w:rsidRPr="006258D8" w:rsidRDefault="002F6D17" w:rsidP="00F101E8">
            <w:pPr>
              <w:pStyle w:val="In-tableHeading"/>
            </w:pPr>
            <w:r w:rsidRPr="006258D8">
              <w:t>Estimated eligible population</w:t>
            </w:r>
          </w:p>
        </w:tc>
      </w:tr>
      <w:tr w:rsidR="00B54099" w:rsidRPr="006258D8" w:rsidTr="00DF5FF9">
        <w:tc>
          <w:tcPr>
            <w:tcW w:w="1985" w:type="dxa"/>
            <w:shd w:val="clear" w:color="auto" w:fill="auto"/>
            <w:vAlign w:val="center"/>
          </w:tcPr>
          <w:p w:rsidR="00B54099" w:rsidRPr="006258D8" w:rsidRDefault="00B54099" w:rsidP="00F101E8">
            <w:pPr>
              <w:pStyle w:val="TableText"/>
            </w:pPr>
            <w:r w:rsidRPr="006258D8">
              <w:t>Initiating patients</w:t>
            </w:r>
          </w:p>
        </w:tc>
        <w:tc>
          <w:tcPr>
            <w:tcW w:w="1160" w:type="dxa"/>
            <w:shd w:val="clear" w:color="auto" w:fill="auto"/>
          </w:tcPr>
          <w:p w:rsidR="00B54099" w:rsidRPr="00D11BC9" w:rsidRDefault="00D11BC9" w:rsidP="00F101E8">
            <w:pPr>
              <w:pStyle w:val="TableText"/>
              <w:jc w:val="center"/>
              <w:rPr>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highlight w:val="black"/>
              </w:rPr>
            </w:pPr>
            <w:r>
              <w:rPr>
                <w:noProof/>
                <w:color w:val="000000"/>
                <w:highlight w:val="black"/>
              </w:rPr>
              <w:t>'''''''''''''''</w:t>
            </w:r>
          </w:p>
        </w:tc>
        <w:tc>
          <w:tcPr>
            <w:tcW w:w="0" w:type="auto"/>
            <w:shd w:val="clear" w:color="auto" w:fill="auto"/>
          </w:tcPr>
          <w:p w:rsidR="00B54099" w:rsidRPr="00D11BC9" w:rsidRDefault="00D11BC9" w:rsidP="009F274E">
            <w:pPr>
              <w:pStyle w:val="TableText"/>
              <w:jc w:val="center"/>
              <w:rPr>
                <w:highlight w:val="black"/>
              </w:rPr>
            </w:pPr>
            <w:r>
              <w:rPr>
                <w:noProof/>
                <w:color w:val="000000"/>
                <w:highlight w:val="black"/>
              </w:rPr>
              <w:t>''''''''''''''''</w:t>
            </w:r>
          </w:p>
        </w:tc>
        <w:tc>
          <w:tcPr>
            <w:tcW w:w="1497" w:type="dxa"/>
            <w:shd w:val="clear" w:color="auto" w:fill="auto"/>
          </w:tcPr>
          <w:p w:rsidR="00B54099" w:rsidRPr="00D11BC9" w:rsidRDefault="00D11BC9" w:rsidP="00FB455F">
            <w:pPr>
              <w:pStyle w:val="TableText"/>
              <w:jc w:val="center"/>
              <w:rPr>
                <w:highlight w:val="black"/>
              </w:rPr>
            </w:pPr>
            <w:r>
              <w:rPr>
                <w:noProof/>
                <w:color w:val="000000"/>
                <w:highlight w:val="black"/>
              </w:rPr>
              <w:t>'''''''''''''''''</w:t>
            </w:r>
          </w:p>
        </w:tc>
        <w:tc>
          <w:tcPr>
            <w:tcW w:w="1096" w:type="dxa"/>
            <w:shd w:val="clear" w:color="auto" w:fill="auto"/>
          </w:tcPr>
          <w:p w:rsidR="00B54099" w:rsidRPr="00D11BC9" w:rsidRDefault="00D11BC9" w:rsidP="00FB455F">
            <w:pPr>
              <w:pStyle w:val="TableText"/>
              <w:jc w:val="center"/>
              <w:rPr>
                <w:highlight w:val="black"/>
              </w:rPr>
            </w:pPr>
            <w:r>
              <w:rPr>
                <w:noProof/>
                <w:color w:val="000000"/>
                <w:highlight w:val="black"/>
              </w:rPr>
              <w:t>'''''''''''''''</w:t>
            </w:r>
          </w:p>
        </w:tc>
      </w:tr>
      <w:tr w:rsidR="00B54099" w:rsidRPr="006258D8" w:rsidTr="00DF5FF9">
        <w:tc>
          <w:tcPr>
            <w:tcW w:w="1985" w:type="dxa"/>
            <w:shd w:val="clear" w:color="auto" w:fill="auto"/>
            <w:vAlign w:val="center"/>
          </w:tcPr>
          <w:p w:rsidR="00B54099" w:rsidRPr="006258D8" w:rsidRDefault="00B54099" w:rsidP="00F101E8">
            <w:pPr>
              <w:pStyle w:val="TableText"/>
              <w:rPr>
                <w:vertAlign w:val="superscript"/>
              </w:rPr>
            </w:pPr>
            <w:r w:rsidRPr="006258D8">
              <w:t>Continuing patients</w:t>
            </w:r>
          </w:p>
        </w:tc>
        <w:tc>
          <w:tcPr>
            <w:tcW w:w="1160" w:type="dxa"/>
            <w:shd w:val="clear" w:color="auto" w:fill="auto"/>
          </w:tcPr>
          <w:p w:rsidR="00B54099" w:rsidRPr="00D11BC9" w:rsidRDefault="00D11BC9" w:rsidP="00F101E8">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D11BC9" w:rsidP="009F274E">
            <w:pPr>
              <w:pStyle w:val="TableText"/>
              <w:jc w:val="center"/>
              <w:rPr>
                <w:rFonts w:cs="Arial"/>
                <w:color w:val="000000"/>
                <w:highlight w:val="black"/>
              </w:rPr>
            </w:pPr>
            <w:r>
              <w:rPr>
                <w:noProof/>
                <w:color w:val="000000"/>
                <w:highlight w:val="black"/>
              </w:rPr>
              <w:t>''''''''''''''''</w:t>
            </w:r>
          </w:p>
        </w:tc>
        <w:tc>
          <w:tcPr>
            <w:tcW w:w="1497" w:type="dxa"/>
            <w:shd w:val="clear" w:color="auto" w:fill="auto"/>
          </w:tcPr>
          <w:p w:rsidR="00B54099" w:rsidRPr="00D11BC9" w:rsidRDefault="00D11BC9" w:rsidP="00FB455F">
            <w:pPr>
              <w:pStyle w:val="TableText"/>
              <w:jc w:val="center"/>
              <w:rPr>
                <w:rFonts w:cs="Arial"/>
                <w:color w:val="000000"/>
                <w:highlight w:val="black"/>
              </w:rPr>
            </w:pPr>
            <w:r>
              <w:rPr>
                <w:noProof/>
                <w:color w:val="000000"/>
                <w:highlight w:val="black"/>
              </w:rPr>
              <w:t>''''''''''''''''</w:t>
            </w:r>
          </w:p>
        </w:tc>
        <w:tc>
          <w:tcPr>
            <w:tcW w:w="1096" w:type="dxa"/>
            <w:shd w:val="clear" w:color="auto" w:fill="auto"/>
          </w:tcPr>
          <w:p w:rsidR="00B54099" w:rsidRPr="00D11BC9" w:rsidRDefault="00D11BC9" w:rsidP="00FB455F">
            <w:pPr>
              <w:pStyle w:val="TableText"/>
              <w:jc w:val="center"/>
              <w:rPr>
                <w:rFonts w:cs="Arial"/>
                <w:color w:val="000000"/>
                <w:highlight w:val="black"/>
              </w:rPr>
            </w:pPr>
            <w:r>
              <w:rPr>
                <w:noProof/>
                <w:color w:val="000000"/>
                <w:highlight w:val="black"/>
              </w:rPr>
              <w:t>''''''''''''''''''</w:t>
            </w:r>
          </w:p>
        </w:tc>
      </w:tr>
      <w:tr w:rsidR="00B54099" w:rsidRPr="006258D8" w:rsidTr="00DF5FF9">
        <w:tc>
          <w:tcPr>
            <w:tcW w:w="1985" w:type="dxa"/>
            <w:shd w:val="clear" w:color="auto" w:fill="auto"/>
          </w:tcPr>
          <w:p w:rsidR="00B54099" w:rsidRDefault="00B54099" w:rsidP="00F101E8">
            <w:pPr>
              <w:pStyle w:val="TableText"/>
            </w:pPr>
            <w:r w:rsidRPr="006258D8">
              <w:t>225 mg 4-weekly scripts</w:t>
            </w:r>
          </w:p>
          <w:p w:rsidR="00B05E7B" w:rsidRDefault="00B54099" w:rsidP="00F101E8">
            <w:pPr>
              <w:pStyle w:val="TableText"/>
              <w:rPr>
                <w:vertAlign w:val="superscript"/>
              </w:rPr>
            </w:pPr>
            <w:r w:rsidRPr="006258D8">
              <w:t>Initiating scripts</w:t>
            </w:r>
            <w:r w:rsidRPr="006258D8">
              <w:rPr>
                <w:vertAlign w:val="superscript"/>
              </w:rPr>
              <w:t>a</w:t>
            </w:r>
          </w:p>
          <w:p w:rsidR="00B54099" w:rsidRPr="00B05E7B" w:rsidRDefault="00B54099" w:rsidP="00F101E8">
            <w:pPr>
              <w:pStyle w:val="TableText"/>
              <w:rPr>
                <w:vertAlign w:val="superscript"/>
              </w:rPr>
            </w:pPr>
            <w:r w:rsidRPr="006258D8">
              <w:t>Continuing scripts</w:t>
            </w:r>
            <w:r w:rsidRPr="00B05E7B">
              <w:rPr>
                <w:vertAlign w:val="superscript"/>
              </w:rPr>
              <w:t>b</w:t>
            </w:r>
          </w:p>
        </w:tc>
        <w:tc>
          <w:tcPr>
            <w:tcW w:w="1160" w:type="dxa"/>
            <w:shd w:val="clear" w:color="auto" w:fill="auto"/>
          </w:tcPr>
          <w:p w:rsidR="00B54099" w:rsidRPr="00D11BC9" w:rsidRDefault="00B54099" w:rsidP="00223C51">
            <w:pPr>
              <w:pStyle w:val="TableText"/>
              <w:jc w:val="center"/>
            </w:pPr>
          </w:p>
          <w:p w:rsidR="00B54099" w:rsidRPr="00D11BC9" w:rsidRDefault="00D11BC9" w:rsidP="00223C51">
            <w:pPr>
              <w:pStyle w:val="TableText"/>
              <w:jc w:val="center"/>
              <w:rPr>
                <w:rFonts w:cs="Arial"/>
                <w:color w:val="000000"/>
                <w:highlight w:val="black"/>
              </w:rPr>
            </w:pPr>
            <w:r>
              <w:rPr>
                <w:noProof/>
                <w:color w:val="000000"/>
                <w:highlight w:val="black"/>
              </w:rPr>
              <w:t>'''''''''''''''''</w:t>
            </w:r>
          </w:p>
          <w:p w:rsidR="00B54099" w:rsidRPr="00D11BC9" w:rsidRDefault="00D11BC9" w:rsidP="00223C51">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223C51">
            <w:pPr>
              <w:pStyle w:val="TableText"/>
              <w:jc w:val="center"/>
            </w:pPr>
          </w:p>
          <w:p w:rsidR="00B54099" w:rsidRPr="00D11BC9" w:rsidRDefault="00D11BC9" w:rsidP="00223C51">
            <w:pPr>
              <w:pStyle w:val="TableText"/>
              <w:jc w:val="center"/>
              <w:rPr>
                <w:rFonts w:cs="Arial"/>
                <w:color w:val="000000"/>
                <w:highlight w:val="black"/>
              </w:rPr>
            </w:pPr>
            <w:r>
              <w:rPr>
                <w:noProof/>
                <w:color w:val="000000"/>
                <w:highlight w:val="black"/>
              </w:rPr>
              <w:t>''''''''''''''''</w:t>
            </w:r>
          </w:p>
          <w:p w:rsidR="00B54099" w:rsidRPr="00D11BC9" w:rsidRDefault="00D11BC9" w:rsidP="00223C51">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854702">
            <w:pPr>
              <w:pStyle w:val="TableText"/>
              <w:jc w:val="center"/>
            </w:pPr>
          </w:p>
          <w:p w:rsidR="00B54099" w:rsidRPr="00D11BC9" w:rsidRDefault="00D11BC9" w:rsidP="00DD1413">
            <w:pPr>
              <w:pStyle w:val="TableText"/>
              <w:jc w:val="center"/>
              <w:rPr>
                <w:rFonts w:cs="Arial"/>
                <w:color w:val="000000"/>
                <w:highlight w:val="black"/>
              </w:rPr>
            </w:pPr>
            <w:r>
              <w:rPr>
                <w:noProof/>
                <w:color w:val="000000"/>
                <w:highlight w:val="black"/>
              </w:rPr>
              <w:t>'''''''''''''''''</w:t>
            </w:r>
          </w:p>
          <w:p w:rsidR="00B54099" w:rsidRPr="00D11BC9" w:rsidRDefault="00D11BC9" w:rsidP="00167267">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1497" w:type="dxa"/>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1096" w:type="dxa"/>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r>
      <w:tr w:rsidR="00B54099" w:rsidRPr="006258D8" w:rsidTr="00DF5FF9">
        <w:tc>
          <w:tcPr>
            <w:tcW w:w="1985" w:type="dxa"/>
            <w:shd w:val="clear" w:color="auto" w:fill="auto"/>
          </w:tcPr>
          <w:p w:rsidR="00B54099" w:rsidRPr="006258D8" w:rsidRDefault="00B54099" w:rsidP="00F101E8">
            <w:pPr>
              <w:pStyle w:val="TableText"/>
            </w:pPr>
            <w:r w:rsidRPr="006258D8">
              <w:t>675 mg 12-weekly scripts</w:t>
            </w:r>
          </w:p>
          <w:p w:rsidR="00B05E7B" w:rsidRDefault="00B54099" w:rsidP="00F101E8">
            <w:pPr>
              <w:pStyle w:val="TableText"/>
              <w:rPr>
                <w:vertAlign w:val="superscript"/>
              </w:rPr>
            </w:pPr>
            <w:r w:rsidRPr="006258D8">
              <w:t>Initiating scripts</w:t>
            </w:r>
            <w:r w:rsidRPr="006258D8">
              <w:rPr>
                <w:vertAlign w:val="superscript"/>
              </w:rPr>
              <w:t>c</w:t>
            </w:r>
          </w:p>
          <w:p w:rsidR="00B54099" w:rsidRPr="00B05E7B" w:rsidRDefault="00B54099" w:rsidP="00F101E8">
            <w:pPr>
              <w:pStyle w:val="TableText"/>
              <w:rPr>
                <w:vertAlign w:val="superscript"/>
              </w:rPr>
            </w:pPr>
            <w:r w:rsidRPr="006258D8">
              <w:t>Continuing scripts</w:t>
            </w:r>
            <w:r w:rsidRPr="00B05E7B">
              <w:rPr>
                <w:vertAlign w:val="superscript"/>
              </w:rPr>
              <w:t>d</w:t>
            </w:r>
          </w:p>
        </w:tc>
        <w:tc>
          <w:tcPr>
            <w:tcW w:w="1160" w:type="dxa"/>
            <w:shd w:val="clear" w:color="auto" w:fill="auto"/>
          </w:tcPr>
          <w:p w:rsidR="00B54099" w:rsidRPr="00D11BC9" w:rsidRDefault="00B54099" w:rsidP="00223C51">
            <w:pPr>
              <w:pStyle w:val="TableText"/>
              <w:jc w:val="center"/>
            </w:pPr>
          </w:p>
          <w:p w:rsidR="00B54099" w:rsidRPr="00D11BC9" w:rsidRDefault="00D11BC9" w:rsidP="00854702">
            <w:pPr>
              <w:pStyle w:val="TableText"/>
              <w:jc w:val="center"/>
              <w:rPr>
                <w:rFonts w:cs="Arial"/>
                <w:color w:val="000000"/>
                <w:highlight w:val="black"/>
              </w:rPr>
            </w:pPr>
            <w:r>
              <w:rPr>
                <w:noProof/>
                <w:color w:val="000000"/>
                <w:highlight w:val="black"/>
              </w:rPr>
              <w:t>''''''''''''''</w:t>
            </w:r>
          </w:p>
          <w:p w:rsidR="00B54099" w:rsidRPr="00D11BC9" w:rsidRDefault="00D11BC9" w:rsidP="00DD1413">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167267">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0" w:type="auto"/>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1497" w:type="dxa"/>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c>
          <w:tcPr>
            <w:tcW w:w="1096" w:type="dxa"/>
            <w:shd w:val="clear" w:color="auto" w:fill="auto"/>
          </w:tcPr>
          <w:p w:rsidR="00B54099" w:rsidRPr="00D11BC9" w:rsidRDefault="00B54099" w:rsidP="0014072B">
            <w:pPr>
              <w:pStyle w:val="TableText"/>
              <w:jc w:val="center"/>
            </w:pPr>
          </w:p>
          <w:p w:rsidR="00B54099" w:rsidRPr="00D11BC9" w:rsidRDefault="00D11BC9" w:rsidP="0014072B">
            <w:pPr>
              <w:pStyle w:val="TableText"/>
              <w:jc w:val="center"/>
              <w:rPr>
                <w:rFonts w:cs="Arial"/>
                <w:color w:val="000000"/>
                <w:highlight w:val="black"/>
              </w:rPr>
            </w:pPr>
            <w:r>
              <w:rPr>
                <w:noProof/>
                <w:color w:val="000000"/>
                <w:highlight w:val="black"/>
              </w:rPr>
              <w:t>'''''''''''''</w:t>
            </w:r>
          </w:p>
          <w:p w:rsidR="00B54099" w:rsidRPr="00D11BC9" w:rsidRDefault="00D11BC9" w:rsidP="0014072B">
            <w:pPr>
              <w:pStyle w:val="TableText"/>
              <w:jc w:val="center"/>
              <w:rPr>
                <w:rFonts w:cs="Arial"/>
                <w:color w:val="000000"/>
                <w:highlight w:val="black"/>
              </w:rPr>
            </w:pPr>
            <w:r>
              <w:rPr>
                <w:noProof/>
                <w:color w:val="000000"/>
                <w:highlight w:val="black"/>
              </w:rPr>
              <w:t>'''''''''''''''</w:t>
            </w:r>
          </w:p>
        </w:tc>
      </w:tr>
      <w:tr w:rsidR="00B54099" w:rsidRPr="006258D8" w:rsidTr="00AE6379">
        <w:tc>
          <w:tcPr>
            <w:tcW w:w="0" w:type="auto"/>
            <w:gridSpan w:val="7"/>
            <w:shd w:val="clear" w:color="auto" w:fill="auto"/>
            <w:vAlign w:val="center"/>
          </w:tcPr>
          <w:p w:rsidR="00B54099" w:rsidRPr="006258D8" w:rsidRDefault="00B54099" w:rsidP="00F101E8">
            <w:pPr>
              <w:pStyle w:val="In-tableHeading"/>
            </w:pPr>
            <w:r w:rsidRPr="006258D8">
              <w:t>Initiating patients</w:t>
            </w:r>
          </w:p>
        </w:tc>
      </w:tr>
      <w:tr w:rsidR="00B54099" w:rsidRPr="006258D8" w:rsidTr="00DF5FF9">
        <w:tc>
          <w:tcPr>
            <w:tcW w:w="1985" w:type="dxa"/>
            <w:shd w:val="clear" w:color="auto" w:fill="auto"/>
          </w:tcPr>
          <w:p w:rsidR="00B54099" w:rsidRPr="006258D8" w:rsidRDefault="00B54099" w:rsidP="00F101E8">
            <w:pPr>
              <w:pStyle w:val="TableText"/>
              <w:rPr>
                <w:b/>
              </w:rPr>
            </w:pPr>
            <w:r w:rsidRPr="006258D8">
              <w:t>Net PBS/RPBS cost</w:t>
            </w:r>
          </w:p>
        </w:tc>
        <w:tc>
          <w:tcPr>
            <w:tcW w:w="1160" w:type="dxa"/>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9F274E">
            <w:pPr>
              <w:pStyle w:val="TableText"/>
              <w:jc w:val="center"/>
              <w:rPr>
                <w:b/>
                <w:highlight w:val="black"/>
              </w:rPr>
            </w:pPr>
            <w:r>
              <w:rPr>
                <w:noProof/>
                <w:color w:val="000000"/>
                <w:highlight w:val="black"/>
              </w:rPr>
              <w:t>'''''''''''''''''''''''''''''''</w:t>
            </w:r>
          </w:p>
        </w:tc>
        <w:tc>
          <w:tcPr>
            <w:tcW w:w="1497" w:type="dxa"/>
            <w:shd w:val="clear" w:color="auto" w:fill="auto"/>
            <w:vAlign w:val="center"/>
          </w:tcPr>
          <w:p w:rsidR="00B54099" w:rsidRPr="00D11BC9" w:rsidRDefault="00D11BC9" w:rsidP="00FB455F">
            <w:pPr>
              <w:pStyle w:val="TableText"/>
              <w:jc w:val="center"/>
              <w:rPr>
                <w:b/>
                <w:highlight w:val="black"/>
              </w:rPr>
            </w:pPr>
            <w:r>
              <w:rPr>
                <w:noProof/>
                <w:color w:val="000000"/>
                <w:highlight w:val="black"/>
              </w:rPr>
              <w:t>'''''''''''''''''''''''''''''''</w:t>
            </w:r>
          </w:p>
        </w:tc>
        <w:tc>
          <w:tcPr>
            <w:tcW w:w="1096" w:type="dxa"/>
            <w:shd w:val="clear" w:color="auto" w:fill="auto"/>
            <w:vAlign w:val="center"/>
          </w:tcPr>
          <w:p w:rsidR="00B54099" w:rsidRPr="00D11BC9" w:rsidRDefault="00D11BC9" w:rsidP="00FB455F">
            <w:pPr>
              <w:pStyle w:val="TableText"/>
              <w:jc w:val="center"/>
              <w:rPr>
                <w:b/>
                <w:highlight w:val="black"/>
              </w:rPr>
            </w:pPr>
            <w:r>
              <w:rPr>
                <w:noProof/>
                <w:color w:val="000000"/>
                <w:highlight w:val="black"/>
              </w:rPr>
              <w:t>''''''''''''''''''''''''''''''</w:t>
            </w:r>
          </w:p>
        </w:tc>
      </w:tr>
      <w:tr w:rsidR="00B54099" w:rsidRPr="006258D8" w:rsidTr="00DF5FF9">
        <w:tc>
          <w:tcPr>
            <w:tcW w:w="1985" w:type="dxa"/>
            <w:shd w:val="clear" w:color="auto" w:fill="auto"/>
          </w:tcPr>
          <w:p w:rsidR="00B54099" w:rsidRPr="00D11BC9" w:rsidRDefault="00D11BC9" w:rsidP="00F101E8">
            <w:pPr>
              <w:pStyle w:val="TableText"/>
              <w:rPr>
                <w:b/>
                <w:highlight w:val="black"/>
              </w:rPr>
            </w:pPr>
            <w:r>
              <w:rPr>
                <w:noProof/>
                <w:color w:val="000000"/>
                <w:highlight w:val="black"/>
              </w:rPr>
              <w:t>'''''''''''''''''''''' '''''''''''''''''' ''''''''''''''</w:t>
            </w:r>
          </w:p>
        </w:tc>
        <w:tc>
          <w:tcPr>
            <w:tcW w:w="1160" w:type="dxa"/>
            <w:shd w:val="clear" w:color="auto" w:fill="auto"/>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tcPr>
          <w:p w:rsidR="00B54099" w:rsidRPr="00D11BC9" w:rsidRDefault="00D11BC9" w:rsidP="009F274E">
            <w:pPr>
              <w:pStyle w:val="TableText"/>
              <w:jc w:val="center"/>
              <w:rPr>
                <w:b/>
                <w:highlight w:val="black"/>
              </w:rPr>
            </w:pPr>
            <w:r>
              <w:rPr>
                <w:noProof/>
                <w:color w:val="000000"/>
                <w:highlight w:val="black"/>
              </w:rPr>
              <w:t>'''''''''''''''''''''''''''''</w:t>
            </w:r>
          </w:p>
        </w:tc>
        <w:tc>
          <w:tcPr>
            <w:tcW w:w="1497" w:type="dxa"/>
            <w:shd w:val="clear" w:color="auto" w:fill="auto"/>
          </w:tcPr>
          <w:p w:rsidR="00B54099" w:rsidRPr="00D11BC9" w:rsidRDefault="00D11BC9" w:rsidP="00FB455F">
            <w:pPr>
              <w:pStyle w:val="TableText"/>
              <w:jc w:val="center"/>
              <w:rPr>
                <w:b/>
                <w:highlight w:val="black"/>
              </w:rPr>
            </w:pPr>
            <w:r>
              <w:rPr>
                <w:noProof/>
                <w:color w:val="000000"/>
                <w:highlight w:val="black"/>
              </w:rPr>
              <w:t>'''''''''''''''''''''''''''''''''</w:t>
            </w:r>
          </w:p>
        </w:tc>
        <w:tc>
          <w:tcPr>
            <w:tcW w:w="1096" w:type="dxa"/>
            <w:shd w:val="clear" w:color="auto" w:fill="auto"/>
          </w:tcPr>
          <w:p w:rsidR="00B54099" w:rsidRPr="00D11BC9" w:rsidRDefault="00D11BC9" w:rsidP="00FB455F">
            <w:pPr>
              <w:pStyle w:val="TableText"/>
              <w:jc w:val="center"/>
              <w:rPr>
                <w:b/>
                <w:highlight w:val="black"/>
              </w:rPr>
            </w:pPr>
            <w:r>
              <w:rPr>
                <w:noProof/>
                <w:color w:val="000000"/>
                <w:highlight w:val="black"/>
              </w:rPr>
              <w:t>''''''''''''''''''''''''''''''''''</w:t>
            </w:r>
          </w:p>
        </w:tc>
      </w:tr>
      <w:tr w:rsidR="00B54099" w:rsidRPr="006258D8" w:rsidTr="00DF5FF9">
        <w:tc>
          <w:tcPr>
            <w:tcW w:w="1985" w:type="dxa"/>
            <w:shd w:val="clear" w:color="auto" w:fill="auto"/>
          </w:tcPr>
          <w:p w:rsidR="00B54099" w:rsidRPr="006258D8" w:rsidRDefault="00B54099" w:rsidP="00F101E8">
            <w:pPr>
              <w:pStyle w:val="TableText"/>
              <w:rPr>
                <w:b/>
              </w:rPr>
            </w:pPr>
            <w:r w:rsidRPr="006258D8">
              <w:t xml:space="preserve">Net PBS/RPBS cost inclusive of </w:t>
            </w:r>
            <w:r w:rsidR="00D11BC9">
              <w:rPr>
                <w:noProof/>
                <w:color w:val="000000"/>
                <w:highlight w:val="black"/>
              </w:rPr>
              <w:t>'''''''''''''''''''''' '''''''''''''''''''' ''''''''''''''''</w:t>
            </w:r>
          </w:p>
        </w:tc>
        <w:tc>
          <w:tcPr>
            <w:tcW w:w="1160" w:type="dxa"/>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B54099" w:rsidRPr="00D11BC9" w:rsidRDefault="00D11BC9" w:rsidP="009F274E">
            <w:pPr>
              <w:pStyle w:val="TableText"/>
              <w:jc w:val="center"/>
              <w:rPr>
                <w:b/>
                <w:highlight w:val="black"/>
              </w:rPr>
            </w:pPr>
            <w:r>
              <w:rPr>
                <w:noProof/>
                <w:color w:val="000000"/>
                <w:highlight w:val="black"/>
              </w:rPr>
              <w:t>'''''</w:t>
            </w:r>
          </w:p>
        </w:tc>
        <w:tc>
          <w:tcPr>
            <w:tcW w:w="1497" w:type="dxa"/>
            <w:shd w:val="clear" w:color="auto" w:fill="auto"/>
            <w:vAlign w:val="center"/>
          </w:tcPr>
          <w:p w:rsidR="00B54099" w:rsidRPr="00D11BC9" w:rsidRDefault="00D11BC9" w:rsidP="00FB455F">
            <w:pPr>
              <w:pStyle w:val="TableText"/>
              <w:jc w:val="center"/>
              <w:rPr>
                <w:b/>
                <w:highlight w:val="black"/>
              </w:rPr>
            </w:pPr>
            <w:r>
              <w:rPr>
                <w:noProof/>
                <w:color w:val="000000"/>
                <w:highlight w:val="black"/>
              </w:rPr>
              <w:t>'''''''</w:t>
            </w:r>
          </w:p>
        </w:tc>
        <w:tc>
          <w:tcPr>
            <w:tcW w:w="1096" w:type="dxa"/>
            <w:shd w:val="clear" w:color="auto" w:fill="auto"/>
            <w:vAlign w:val="center"/>
          </w:tcPr>
          <w:p w:rsidR="00B54099" w:rsidRPr="00D11BC9" w:rsidRDefault="00D11BC9" w:rsidP="00FB455F">
            <w:pPr>
              <w:pStyle w:val="TableText"/>
              <w:jc w:val="center"/>
              <w:rPr>
                <w:b/>
                <w:highlight w:val="black"/>
              </w:rPr>
            </w:pPr>
            <w:r>
              <w:rPr>
                <w:noProof/>
                <w:color w:val="000000"/>
                <w:highlight w:val="black"/>
              </w:rPr>
              <w:t>'''''</w:t>
            </w:r>
          </w:p>
        </w:tc>
      </w:tr>
      <w:tr w:rsidR="00B54099" w:rsidRPr="006258D8" w:rsidTr="00DF5FF9">
        <w:tc>
          <w:tcPr>
            <w:tcW w:w="1985" w:type="dxa"/>
            <w:shd w:val="clear" w:color="auto" w:fill="auto"/>
          </w:tcPr>
          <w:p w:rsidR="00B54099" w:rsidRPr="00AE6379" w:rsidRDefault="00B54099" w:rsidP="00F101E8">
            <w:pPr>
              <w:pStyle w:val="TableText"/>
              <w:rPr>
                <w:b/>
              </w:rPr>
            </w:pPr>
            <w:r w:rsidRPr="00AE6379">
              <w:rPr>
                <w:b/>
              </w:rPr>
              <w:t>Continuing patients</w:t>
            </w:r>
          </w:p>
        </w:tc>
        <w:tc>
          <w:tcPr>
            <w:tcW w:w="1160" w:type="dxa"/>
            <w:shd w:val="clear" w:color="auto" w:fill="auto"/>
          </w:tcPr>
          <w:p w:rsidR="00B54099" w:rsidRPr="006258D8" w:rsidRDefault="00B54099" w:rsidP="00F101E8">
            <w:pPr>
              <w:pStyle w:val="Tabletext0"/>
              <w:keepNext/>
              <w:jc w:val="center"/>
              <w:rPr>
                <w:b/>
              </w:rPr>
            </w:pPr>
          </w:p>
        </w:tc>
        <w:tc>
          <w:tcPr>
            <w:tcW w:w="0" w:type="auto"/>
            <w:shd w:val="clear" w:color="auto" w:fill="auto"/>
            <w:vAlign w:val="center"/>
          </w:tcPr>
          <w:p w:rsidR="00B54099" w:rsidRPr="006258D8" w:rsidRDefault="00B54099" w:rsidP="00F101E8">
            <w:pPr>
              <w:pStyle w:val="Tabletext0"/>
              <w:keepNext/>
              <w:jc w:val="center"/>
              <w:rPr>
                <w:b/>
              </w:rPr>
            </w:pPr>
          </w:p>
        </w:tc>
        <w:tc>
          <w:tcPr>
            <w:tcW w:w="0" w:type="auto"/>
            <w:shd w:val="clear" w:color="auto" w:fill="auto"/>
            <w:vAlign w:val="center"/>
          </w:tcPr>
          <w:p w:rsidR="00B54099" w:rsidRPr="006258D8" w:rsidRDefault="00B54099" w:rsidP="00F101E8">
            <w:pPr>
              <w:pStyle w:val="Tabletext0"/>
              <w:keepNext/>
              <w:jc w:val="center"/>
              <w:rPr>
                <w:b/>
              </w:rPr>
            </w:pPr>
          </w:p>
        </w:tc>
        <w:tc>
          <w:tcPr>
            <w:tcW w:w="0" w:type="auto"/>
            <w:shd w:val="clear" w:color="auto" w:fill="auto"/>
            <w:vAlign w:val="center"/>
          </w:tcPr>
          <w:p w:rsidR="00B54099" w:rsidRPr="006258D8" w:rsidRDefault="00B54099" w:rsidP="009F274E">
            <w:pPr>
              <w:pStyle w:val="Tabletext0"/>
              <w:keepNext/>
              <w:jc w:val="center"/>
              <w:rPr>
                <w:b/>
              </w:rPr>
            </w:pPr>
          </w:p>
        </w:tc>
        <w:tc>
          <w:tcPr>
            <w:tcW w:w="1497" w:type="dxa"/>
            <w:shd w:val="clear" w:color="auto" w:fill="auto"/>
            <w:vAlign w:val="center"/>
          </w:tcPr>
          <w:p w:rsidR="00B54099" w:rsidRPr="006258D8" w:rsidRDefault="00B54099" w:rsidP="00FB455F">
            <w:pPr>
              <w:pStyle w:val="Tabletext0"/>
              <w:keepNext/>
              <w:jc w:val="center"/>
              <w:rPr>
                <w:b/>
              </w:rPr>
            </w:pPr>
          </w:p>
        </w:tc>
        <w:tc>
          <w:tcPr>
            <w:tcW w:w="1096" w:type="dxa"/>
            <w:shd w:val="clear" w:color="auto" w:fill="auto"/>
            <w:vAlign w:val="center"/>
          </w:tcPr>
          <w:p w:rsidR="00B54099" w:rsidRPr="006258D8" w:rsidRDefault="00B54099" w:rsidP="00FB455F">
            <w:pPr>
              <w:pStyle w:val="Tabletext0"/>
              <w:keepNext/>
              <w:jc w:val="center"/>
              <w:rPr>
                <w:b/>
              </w:rPr>
            </w:pPr>
          </w:p>
        </w:tc>
      </w:tr>
      <w:tr w:rsidR="00DF5FF9" w:rsidRPr="006258D8" w:rsidTr="00DF5FF9">
        <w:tc>
          <w:tcPr>
            <w:tcW w:w="1985" w:type="dxa"/>
            <w:tcBorders>
              <w:top w:val="single" w:sz="4" w:space="0" w:color="auto"/>
              <w:left w:val="single" w:sz="4" w:space="0" w:color="auto"/>
              <w:bottom w:val="single" w:sz="4" w:space="0" w:color="auto"/>
              <w:right w:val="single" w:sz="4" w:space="0" w:color="auto"/>
            </w:tcBorders>
            <w:shd w:val="clear" w:color="auto" w:fill="auto"/>
          </w:tcPr>
          <w:p w:rsidR="00AE6379" w:rsidRPr="006258D8" w:rsidRDefault="00AE6379" w:rsidP="00F101E8">
            <w:pPr>
              <w:pStyle w:val="TableText"/>
            </w:pPr>
            <w:r w:rsidRPr="006258D8">
              <w:t>Net PBS/RPBS cost</w:t>
            </w:r>
          </w:p>
        </w:tc>
        <w:tc>
          <w:tcPr>
            <w:tcW w:w="1160" w:type="dxa"/>
            <w:tcBorders>
              <w:top w:val="nil"/>
              <w:left w:val="single" w:sz="4" w:space="0" w:color="auto"/>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c>
          <w:tcPr>
            <w:tcW w:w="0" w:type="auto"/>
            <w:tcBorders>
              <w:top w:val="nil"/>
              <w:left w:val="nil"/>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c>
          <w:tcPr>
            <w:tcW w:w="0" w:type="auto"/>
            <w:tcBorders>
              <w:top w:val="nil"/>
              <w:left w:val="nil"/>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c>
          <w:tcPr>
            <w:tcW w:w="0" w:type="auto"/>
            <w:tcBorders>
              <w:top w:val="nil"/>
              <w:left w:val="nil"/>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c>
          <w:tcPr>
            <w:tcW w:w="1497" w:type="dxa"/>
            <w:tcBorders>
              <w:top w:val="nil"/>
              <w:left w:val="nil"/>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c>
          <w:tcPr>
            <w:tcW w:w="1096" w:type="dxa"/>
            <w:tcBorders>
              <w:top w:val="nil"/>
              <w:left w:val="nil"/>
              <w:bottom w:val="single" w:sz="4" w:space="0" w:color="auto"/>
              <w:right w:val="single" w:sz="4" w:space="0" w:color="auto"/>
            </w:tcBorders>
            <w:shd w:val="clear" w:color="auto" w:fill="auto"/>
            <w:vAlign w:val="center"/>
          </w:tcPr>
          <w:p w:rsidR="00AE6379" w:rsidRPr="00D11BC9" w:rsidRDefault="00D11BC9" w:rsidP="00771122">
            <w:pPr>
              <w:pStyle w:val="TableText"/>
              <w:jc w:val="center"/>
              <w:rPr>
                <w:highlight w:val="black"/>
              </w:rPr>
            </w:pPr>
            <w:r>
              <w:rPr>
                <w:noProof/>
                <w:color w:val="000000"/>
                <w:highlight w:val="black"/>
              </w:rPr>
              <w:t>''''''''''''''''''''''''''''''''</w:t>
            </w:r>
          </w:p>
        </w:tc>
      </w:tr>
      <w:tr w:rsidR="00AE6379" w:rsidRPr="006258D8" w:rsidTr="00AE6379">
        <w:tc>
          <w:tcPr>
            <w:tcW w:w="0" w:type="auto"/>
            <w:gridSpan w:val="7"/>
            <w:shd w:val="clear" w:color="auto" w:fill="auto"/>
            <w:vAlign w:val="center"/>
          </w:tcPr>
          <w:p w:rsidR="00AE6379" w:rsidRPr="006258D8" w:rsidRDefault="00AE6379" w:rsidP="00F101E8">
            <w:pPr>
              <w:pStyle w:val="In-tableHeading"/>
            </w:pPr>
            <w:r w:rsidRPr="006258D8">
              <w:t>Net cost to the PBS</w:t>
            </w:r>
          </w:p>
        </w:tc>
      </w:tr>
      <w:tr w:rsidR="00AE6379" w:rsidRPr="006258D8" w:rsidTr="00DF5FF9">
        <w:tc>
          <w:tcPr>
            <w:tcW w:w="1985" w:type="dxa"/>
            <w:shd w:val="clear" w:color="auto" w:fill="auto"/>
            <w:vAlign w:val="center"/>
          </w:tcPr>
          <w:p w:rsidR="00AE6379" w:rsidRPr="006258D8" w:rsidRDefault="00AE6379" w:rsidP="00F101E8">
            <w:pPr>
              <w:pStyle w:val="TableText"/>
              <w:rPr>
                <w:b/>
              </w:rPr>
            </w:pPr>
            <w:r w:rsidRPr="006258D8">
              <w:t>Cost offsets for substituted Botox</w:t>
            </w:r>
            <w:r w:rsidR="007171A1">
              <w:t xml:space="preserve"> (published price)</w:t>
            </w:r>
          </w:p>
        </w:tc>
        <w:tc>
          <w:tcPr>
            <w:tcW w:w="1160" w:type="dxa"/>
            <w:shd w:val="clear" w:color="auto" w:fill="auto"/>
            <w:vAlign w:val="center"/>
          </w:tcPr>
          <w:p w:rsidR="00AE637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AE637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AE6379" w:rsidRPr="00D11BC9" w:rsidRDefault="00D11BC9" w:rsidP="00F101E8">
            <w:pPr>
              <w:pStyle w:val="TableText"/>
              <w:jc w:val="center"/>
              <w:rPr>
                <w:b/>
                <w:highlight w:val="black"/>
              </w:rPr>
            </w:pPr>
            <w:r>
              <w:rPr>
                <w:noProof/>
                <w:color w:val="000000"/>
                <w:highlight w:val="black"/>
              </w:rPr>
              <w:t>'''''''''''''''''''''''''''''''''</w:t>
            </w:r>
          </w:p>
        </w:tc>
        <w:tc>
          <w:tcPr>
            <w:tcW w:w="0" w:type="auto"/>
            <w:shd w:val="clear" w:color="auto" w:fill="auto"/>
            <w:vAlign w:val="center"/>
          </w:tcPr>
          <w:p w:rsidR="00AE6379" w:rsidRPr="00D11BC9" w:rsidRDefault="00D11BC9" w:rsidP="009F274E">
            <w:pPr>
              <w:pStyle w:val="TableText"/>
              <w:jc w:val="center"/>
              <w:rPr>
                <w:b/>
                <w:highlight w:val="black"/>
              </w:rPr>
            </w:pPr>
            <w:r>
              <w:rPr>
                <w:noProof/>
                <w:color w:val="000000"/>
                <w:highlight w:val="black"/>
              </w:rPr>
              <w:t>''''''''''''''''''''''''''''</w:t>
            </w:r>
          </w:p>
        </w:tc>
        <w:tc>
          <w:tcPr>
            <w:tcW w:w="1497" w:type="dxa"/>
            <w:shd w:val="clear" w:color="auto" w:fill="auto"/>
            <w:vAlign w:val="center"/>
          </w:tcPr>
          <w:p w:rsidR="00AE6379" w:rsidRPr="00D11BC9" w:rsidRDefault="00D11BC9" w:rsidP="00FB455F">
            <w:pPr>
              <w:pStyle w:val="TableText"/>
              <w:jc w:val="center"/>
              <w:rPr>
                <w:b/>
                <w:highlight w:val="black"/>
              </w:rPr>
            </w:pPr>
            <w:r>
              <w:rPr>
                <w:noProof/>
                <w:color w:val="000000"/>
                <w:highlight w:val="black"/>
              </w:rPr>
              <w:t>''''''''''''''''''''''''''''</w:t>
            </w:r>
          </w:p>
        </w:tc>
        <w:tc>
          <w:tcPr>
            <w:tcW w:w="1096" w:type="dxa"/>
            <w:shd w:val="clear" w:color="auto" w:fill="auto"/>
            <w:vAlign w:val="center"/>
          </w:tcPr>
          <w:p w:rsidR="00AE6379" w:rsidRPr="00D11BC9" w:rsidRDefault="00D11BC9" w:rsidP="00FB455F">
            <w:pPr>
              <w:pStyle w:val="TableText"/>
              <w:jc w:val="center"/>
              <w:rPr>
                <w:b/>
                <w:highlight w:val="black"/>
              </w:rPr>
            </w:pPr>
            <w:r>
              <w:rPr>
                <w:noProof/>
                <w:color w:val="000000"/>
                <w:highlight w:val="black"/>
              </w:rPr>
              <w:t>'''''''''''''''''''''''''''''</w:t>
            </w:r>
          </w:p>
        </w:tc>
      </w:tr>
      <w:tr w:rsidR="00AE6379" w:rsidRPr="006258D8" w:rsidTr="00DF5FF9">
        <w:tc>
          <w:tcPr>
            <w:tcW w:w="1985" w:type="dxa"/>
            <w:shd w:val="clear" w:color="auto" w:fill="auto"/>
            <w:vAlign w:val="center"/>
          </w:tcPr>
          <w:p w:rsidR="00AE6379" w:rsidRPr="006258D8" w:rsidRDefault="00AE6379" w:rsidP="00F101E8">
            <w:pPr>
              <w:pStyle w:val="TableText"/>
            </w:pPr>
            <w:r w:rsidRPr="006258D8">
              <w:t>Cost offsets for substituted triptans</w:t>
            </w:r>
          </w:p>
        </w:tc>
        <w:tc>
          <w:tcPr>
            <w:tcW w:w="1160" w:type="dxa"/>
            <w:shd w:val="clear" w:color="auto" w:fill="auto"/>
            <w:vAlign w:val="center"/>
          </w:tcPr>
          <w:p w:rsidR="00AE6379" w:rsidRPr="00D11BC9" w:rsidRDefault="00D11BC9" w:rsidP="00F101E8">
            <w:pPr>
              <w:pStyle w:val="TableText"/>
              <w:jc w:val="center"/>
              <w:rPr>
                <w:highlight w:val="black"/>
              </w:rPr>
            </w:pPr>
            <w:r>
              <w:rPr>
                <w:noProof/>
                <w:color w:val="000000"/>
                <w:highlight w:val="black"/>
              </w:rPr>
              <w:t>'''''''''''''''''''''''''''</w:t>
            </w:r>
          </w:p>
        </w:tc>
        <w:tc>
          <w:tcPr>
            <w:tcW w:w="0" w:type="auto"/>
            <w:shd w:val="clear" w:color="auto" w:fill="auto"/>
            <w:vAlign w:val="center"/>
          </w:tcPr>
          <w:p w:rsidR="00AE6379" w:rsidRPr="00D11BC9" w:rsidRDefault="00D11BC9" w:rsidP="00F101E8">
            <w:pPr>
              <w:pStyle w:val="TableText"/>
              <w:jc w:val="center"/>
              <w:rPr>
                <w:highlight w:val="black"/>
              </w:rPr>
            </w:pPr>
            <w:r>
              <w:rPr>
                <w:noProof/>
                <w:color w:val="000000"/>
                <w:highlight w:val="black"/>
              </w:rPr>
              <w:t>'''''''''''''''''''''''''''''</w:t>
            </w:r>
          </w:p>
        </w:tc>
        <w:tc>
          <w:tcPr>
            <w:tcW w:w="0" w:type="auto"/>
            <w:shd w:val="clear" w:color="auto" w:fill="auto"/>
            <w:vAlign w:val="center"/>
          </w:tcPr>
          <w:p w:rsidR="00AE6379" w:rsidRPr="00D11BC9" w:rsidRDefault="00D11BC9" w:rsidP="00F101E8">
            <w:pPr>
              <w:pStyle w:val="TableText"/>
              <w:jc w:val="center"/>
              <w:rPr>
                <w:highlight w:val="black"/>
              </w:rPr>
            </w:pPr>
            <w:r>
              <w:rPr>
                <w:noProof/>
                <w:color w:val="000000"/>
                <w:highlight w:val="black"/>
              </w:rPr>
              <w:t>'''''''''''''''''''''''''''</w:t>
            </w:r>
          </w:p>
        </w:tc>
        <w:tc>
          <w:tcPr>
            <w:tcW w:w="0" w:type="auto"/>
            <w:shd w:val="clear" w:color="auto" w:fill="auto"/>
            <w:vAlign w:val="center"/>
          </w:tcPr>
          <w:p w:rsidR="00AE6379" w:rsidRPr="00D11BC9" w:rsidRDefault="00D11BC9" w:rsidP="009F274E">
            <w:pPr>
              <w:pStyle w:val="TableText"/>
              <w:jc w:val="center"/>
              <w:rPr>
                <w:highlight w:val="black"/>
              </w:rPr>
            </w:pPr>
            <w:r>
              <w:rPr>
                <w:noProof/>
                <w:color w:val="000000"/>
                <w:highlight w:val="black"/>
              </w:rPr>
              <w:t>'''''''''''''''''''''''''''''</w:t>
            </w:r>
          </w:p>
        </w:tc>
        <w:tc>
          <w:tcPr>
            <w:tcW w:w="1497" w:type="dxa"/>
            <w:shd w:val="clear" w:color="auto" w:fill="auto"/>
            <w:vAlign w:val="center"/>
          </w:tcPr>
          <w:p w:rsidR="00AE6379" w:rsidRPr="00D11BC9" w:rsidRDefault="00D11BC9" w:rsidP="00FB455F">
            <w:pPr>
              <w:pStyle w:val="TableText"/>
              <w:jc w:val="center"/>
              <w:rPr>
                <w:highlight w:val="black"/>
              </w:rPr>
            </w:pPr>
            <w:r>
              <w:rPr>
                <w:noProof/>
                <w:color w:val="000000"/>
                <w:highlight w:val="black"/>
              </w:rPr>
              <w:t>'''''''''''''''''''''''''''''</w:t>
            </w:r>
          </w:p>
        </w:tc>
        <w:tc>
          <w:tcPr>
            <w:tcW w:w="1096" w:type="dxa"/>
            <w:shd w:val="clear" w:color="auto" w:fill="auto"/>
            <w:vAlign w:val="center"/>
          </w:tcPr>
          <w:p w:rsidR="00AE6379" w:rsidRPr="00D11BC9" w:rsidRDefault="00D11BC9" w:rsidP="00FB455F">
            <w:pPr>
              <w:pStyle w:val="TableText"/>
              <w:jc w:val="center"/>
              <w:rPr>
                <w:highlight w:val="black"/>
              </w:rPr>
            </w:pPr>
            <w:r>
              <w:rPr>
                <w:noProof/>
                <w:color w:val="000000"/>
                <w:highlight w:val="black"/>
              </w:rPr>
              <w:t>'''''''''''''''''''''''''''''</w:t>
            </w:r>
          </w:p>
        </w:tc>
      </w:tr>
      <w:tr w:rsidR="00DF5FF9" w:rsidRPr="006258D8" w:rsidTr="00DF5FF9">
        <w:tc>
          <w:tcPr>
            <w:tcW w:w="1985" w:type="dxa"/>
            <w:shd w:val="clear" w:color="auto" w:fill="auto"/>
            <w:vAlign w:val="center"/>
          </w:tcPr>
          <w:p w:rsidR="00DF5FF9" w:rsidRPr="00AE6379" w:rsidRDefault="00DF5FF9" w:rsidP="00DF5FF9">
            <w:pPr>
              <w:pStyle w:val="TableText"/>
              <w:rPr>
                <w:b/>
              </w:rPr>
            </w:pPr>
            <w:r w:rsidRPr="00AE6379">
              <w:rPr>
                <w:b/>
              </w:rPr>
              <w:t>Overall net cost to PBS/RPBS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1497" w:type="dxa"/>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1096" w:type="dxa"/>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r>
      <w:tr w:rsidR="00DF5FF9" w:rsidRPr="006258D8" w:rsidTr="00DF5FF9">
        <w:tc>
          <w:tcPr>
            <w:tcW w:w="1985" w:type="dxa"/>
            <w:shd w:val="clear" w:color="auto" w:fill="auto"/>
            <w:vAlign w:val="center"/>
          </w:tcPr>
          <w:p w:rsidR="00DF5FF9" w:rsidRPr="006258D8" w:rsidRDefault="00DF5FF9" w:rsidP="00DF5FF9">
            <w:pPr>
              <w:pStyle w:val="TableText"/>
              <w:rPr>
                <w:b/>
              </w:rPr>
            </w:pPr>
            <w:r w:rsidRPr="006258D8">
              <w:t>Cost to MBS</w:t>
            </w:r>
            <w:r w:rsidR="002116B7" w:rsidRPr="002116B7">
              <w:rPr>
                <w:vertAlign w:val="superscript"/>
              </w:rPr>
              <w:t>e</w:t>
            </w:r>
          </w:p>
        </w:tc>
        <w:tc>
          <w:tcPr>
            <w:tcW w:w="1160" w:type="dxa"/>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c>
          <w:tcPr>
            <w:tcW w:w="0" w:type="auto"/>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c>
          <w:tcPr>
            <w:tcW w:w="0" w:type="auto"/>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c>
          <w:tcPr>
            <w:tcW w:w="0" w:type="auto"/>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c>
          <w:tcPr>
            <w:tcW w:w="1497" w:type="dxa"/>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c>
          <w:tcPr>
            <w:tcW w:w="1096" w:type="dxa"/>
            <w:shd w:val="clear" w:color="auto" w:fill="auto"/>
            <w:vAlign w:val="center"/>
          </w:tcPr>
          <w:p w:rsidR="00DF5FF9" w:rsidRPr="00D11BC9" w:rsidRDefault="00D11BC9" w:rsidP="00DF5FF9">
            <w:pPr>
              <w:pStyle w:val="TableText"/>
              <w:jc w:val="center"/>
              <w:rPr>
                <w:b/>
                <w:highlight w:val="black"/>
              </w:rPr>
            </w:pPr>
            <w:r>
              <w:rPr>
                <w:noProof/>
                <w:color w:val="000000"/>
                <w:highlight w:val="black"/>
              </w:rPr>
              <w:t>''''''''''''''''''''''''''</w:t>
            </w:r>
          </w:p>
        </w:tc>
      </w:tr>
      <w:tr w:rsidR="00DF5FF9" w:rsidRPr="006258D8" w:rsidTr="00DF5FF9">
        <w:tc>
          <w:tcPr>
            <w:tcW w:w="1985" w:type="dxa"/>
            <w:shd w:val="clear" w:color="auto" w:fill="auto"/>
          </w:tcPr>
          <w:p w:rsidR="00DF5FF9" w:rsidRPr="006258D8" w:rsidRDefault="00DF5FF9" w:rsidP="00DF5FF9">
            <w:pPr>
              <w:pStyle w:val="TableText"/>
            </w:pPr>
            <w:r w:rsidRPr="006258D8">
              <w:t>Overall net cost to Government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1497" w:type="dxa"/>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c>
          <w:tcPr>
            <w:tcW w:w="1096" w:type="dxa"/>
            <w:tcBorders>
              <w:top w:val="single" w:sz="4" w:space="0" w:color="auto"/>
              <w:left w:val="nil"/>
              <w:bottom w:val="single" w:sz="4" w:space="0" w:color="auto"/>
              <w:right w:val="single" w:sz="4" w:space="0" w:color="auto"/>
            </w:tcBorders>
            <w:shd w:val="clear" w:color="auto" w:fill="auto"/>
            <w:vAlign w:val="bottom"/>
          </w:tcPr>
          <w:p w:rsidR="00DF5FF9" w:rsidRPr="00D11BC9" w:rsidRDefault="00D11BC9" w:rsidP="00DF5FF9">
            <w:pPr>
              <w:pStyle w:val="TableText"/>
              <w:jc w:val="center"/>
              <w:rPr>
                <w:highlight w:val="black"/>
              </w:rPr>
            </w:pPr>
            <w:r>
              <w:rPr>
                <w:noProof/>
                <w:color w:val="000000"/>
                <w:highlight w:val="black"/>
              </w:rPr>
              <w:t>''''''''''''''''''''''''''''''''</w:t>
            </w:r>
          </w:p>
        </w:tc>
      </w:tr>
    </w:tbl>
    <w:p w:rsidR="002F6D17" w:rsidRPr="006258D8" w:rsidRDefault="002F6D17" w:rsidP="00F101E8">
      <w:pPr>
        <w:pStyle w:val="TableFigureFooter"/>
      </w:pPr>
      <w:r w:rsidRPr="006258D8">
        <w:t xml:space="preserve">Source: </w:t>
      </w:r>
      <w:r w:rsidRPr="004729C8">
        <w:t>Table 4.5, p.255; Table 4.11, p.259</w:t>
      </w:r>
      <w:r w:rsidR="00B54099" w:rsidRPr="004729C8">
        <w:t xml:space="preserve">; Table 4.14, p.263; Table 4.20, p.268 </w:t>
      </w:r>
      <w:r w:rsidRPr="004729C8">
        <w:t>of the submission; Excel workbook ‘Fremanezumab – Section 4 (FINAL) –</w:t>
      </w:r>
      <w:r w:rsidRPr="006258D8">
        <w:t xml:space="preserve"> Base Case (9 July 2019)’.</w:t>
      </w:r>
    </w:p>
    <w:p w:rsidR="002F6D17" w:rsidRPr="006258D8" w:rsidRDefault="002F6D17" w:rsidP="00F101E8">
      <w:pPr>
        <w:pStyle w:val="TableFigureFooter"/>
      </w:pPr>
      <w:r w:rsidRPr="006258D8">
        <w:rPr>
          <w:vertAlign w:val="superscript"/>
        </w:rPr>
        <w:t>a</w:t>
      </w:r>
      <w:r w:rsidRPr="006258D8">
        <w:t xml:space="preserve"> Assumes </w:t>
      </w:r>
      <w:r w:rsidR="00D11BC9">
        <w:rPr>
          <w:noProof/>
          <w:color w:val="000000"/>
          <w:highlight w:val="black"/>
        </w:rPr>
        <w:t>''''</w:t>
      </w:r>
      <w:r w:rsidRPr="006258D8">
        <w:t xml:space="preserve"> scripts for initiating patients in the first year of treatment.</w:t>
      </w:r>
    </w:p>
    <w:p w:rsidR="002F6D17" w:rsidRPr="006258D8" w:rsidRDefault="002F6D17" w:rsidP="00F101E8">
      <w:pPr>
        <w:pStyle w:val="TableFigureFooter"/>
      </w:pPr>
      <w:r w:rsidRPr="006258D8">
        <w:rPr>
          <w:vertAlign w:val="superscript"/>
        </w:rPr>
        <w:t>b</w:t>
      </w:r>
      <w:r w:rsidRPr="006258D8">
        <w:t xml:space="preserve"> Assumes </w:t>
      </w:r>
      <w:r w:rsidR="00D11BC9">
        <w:rPr>
          <w:noProof/>
          <w:color w:val="000000"/>
          <w:highlight w:val="black"/>
        </w:rPr>
        <w:t>'''''''</w:t>
      </w:r>
      <w:r w:rsidRPr="006258D8">
        <w:t xml:space="preserve"> scripts per year in all years of treatment.</w:t>
      </w:r>
    </w:p>
    <w:p w:rsidR="002F6D17" w:rsidRPr="006258D8" w:rsidRDefault="002F6D17" w:rsidP="00FB455F">
      <w:pPr>
        <w:pStyle w:val="TableFigureFooter"/>
      </w:pPr>
      <w:r w:rsidRPr="006258D8">
        <w:rPr>
          <w:vertAlign w:val="superscript"/>
        </w:rPr>
        <w:t>c</w:t>
      </w:r>
      <w:r w:rsidRPr="006258D8">
        <w:t xml:space="preserve"> Assumes </w:t>
      </w:r>
      <w:r w:rsidR="00D11BC9">
        <w:rPr>
          <w:noProof/>
          <w:color w:val="000000"/>
          <w:highlight w:val="black"/>
        </w:rPr>
        <w:t>''' ''''''''''''</w:t>
      </w:r>
      <w:r w:rsidRPr="006258D8">
        <w:t xml:space="preserve"> for initiating patients in the first year of treatment.</w:t>
      </w:r>
    </w:p>
    <w:p w:rsidR="002F6D17" w:rsidRDefault="002F6D17" w:rsidP="00FB455F">
      <w:pPr>
        <w:pStyle w:val="TableFigureFooter"/>
      </w:pPr>
      <w:r w:rsidRPr="006258D8">
        <w:rPr>
          <w:vertAlign w:val="superscript"/>
        </w:rPr>
        <w:t>d</w:t>
      </w:r>
      <w:r w:rsidRPr="006258D8">
        <w:t xml:space="preserve"> Assumes </w:t>
      </w:r>
      <w:r w:rsidR="00D11BC9">
        <w:rPr>
          <w:noProof/>
          <w:color w:val="000000"/>
          <w:highlight w:val="black"/>
        </w:rPr>
        <w:t>'''</w:t>
      </w:r>
      <w:r w:rsidRPr="006258D8">
        <w:t xml:space="preserve"> scripts per year in all years of treatment.</w:t>
      </w:r>
    </w:p>
    <w:p w:rsidR="002116B7" w:rsidRPr="002116B7" w:rsidRDefault="002116B7" w:rsidP="00FB455F">
      <w:pPr>
        <w:pStyle w:val="TableFigureFooter"/>
      </w:pPr>
      <w:r w:rsidRPr="002116B7">
        <w:rPr>
          <w:vertAlign w:val="superscript"/>
        </w:rPr>
        <w:t>e</w:t>
      </w:r>
      <w:r>
        <w:rPr>
          <w:vertAlign w:val="superscript"/>
        </w:rPr>
        <w:t xml:space="preserve"> </w:t>
      </w:r>
      <w:r>
        <w:t xml:space="preserve">Corrected for error in submission. The PSCR acknowledged the submission incorrectly overestimated </w:t>
      </w:r>
      <w:r w:rsidR="00674AD8">
        <w:t xml:space="preserve">the </w:t>
      </w:r>
      <w:r>
        <w:t>offset</w:t>
      </w:r>
      <w:r w:rsidR="00674AD8">
        <w:t>s</w:t>
      </w:r>
      <w:r>
        <w:t xml:space="preserve"> </w:t>
      </w:r>
      <w:r w:rsidR="00674AD8">
        <w:t xml:space="preserve">for </w:t>
      </w:r>
      <w:r>
        <w:t>of Botox administrations.</w:t>
      </w:r>
      <w:r w:rsidR="00A01A23">
        <w:t xml:space="preserve"> </w:t>
      </w:r>
    </w:p>
    <w:p w:rsidR="00474D0C" w:rsidRDefault="00474D0C" w:rsidP="00021367">
      <w:pPr>
        <w:pStyle w:val="TableFigureFooter"/>
      </w:pPr>
    </w:p>
    <w:p w:rsidR="00C74141" w:rsidRDefault="00B54099" w:rsidP="000F2EE3">
      <w:pPr>
        <w:pStyle w:val="3-BodyText"/>
      </w:pPr>
      <w:r w:rsidRPr="006258D8">
        <w:t xml:space="preserve">The estimated net cost to the Government was </w:t>
      </w:r>
      <w:r w:rsidR="0001197C">
        <w:t>$3</w:t>
      </w:r>
      <w:r w:rsidR="00857AB8">
        <w:t>0 - $60</w:t>
      </w:r>
      <w:r w:rsidR="002116B7">
        <w:t xml:space="preserve"> </w:t>
      </w:r>
      <w:r w:rsidRPr="006258D8">
        <w:t xml:space="preserve">million in Year 1, increasing to </w:t>
      </w:r>
      <w:r w:rsidR="00857AB8">
        <w:t xml:space="preserve">over $100 </w:t>
      </w:r>
      <w:r w:rsidRPr="00742CD6">
        <w:t xml:space="preserve">million in Year 6, a total of </w:t>
      </w:r>
      <w:r w:rsidR="00D64955">
        <w:t xml:space="preserve">more than </w:t>
      </w:r>
      <w:r w:rsidR="00857AB8">
        <w:t xml:space="preserve">$100 </w:t>
      </w:r>
      <w:r w:rsidRPr="00742CD6">
        <w:t>million over the first six years of listing.</w:t>
      </w:r>
      <w:r w:rsidR="004B02F2" w:rsidRPr="00742CD6">
        <w:t xml:space="preserve"> </w:t>
      </w:r>
    </w:p>
    <w:p w:rsidR="00B54099" w:rsidRPr="006258D8" w:rsidRDefault="00B54099" w:rsidP="000F2EE3">
      <w:pPr>
        <w:pStyle w:val="3-BodyText"/>
      </w:pPr>
      <w:r w:rsidRPr="006258D8">
        <w:t xml:space="preserve">The estimated costs to </w:t>
      </w:r>
      <w:r w:rsidR="00B760A5" w:rsidRPr="006258D8">
        <w:t>Government</w:t>
      </w:r>
      <w:r w:rsidRPr="006258D8">
        <w:t xml:space="preserve"> were considered to be uncertain due to the following</w:t>
      </w:r>
      <w:r w:rsidR="00B760A5" w:rsidRPr="006258D8">
        <w:t xml:space="preserve"> reasons</w:t>
      </w:r>
      <w:r w:rsidRPr="006258D8">
        <w:t>:</w:t>
      </w:r>
    </w:p>
    <w:p w:rsidR="00B54099" w:rsidRPr="006258D8" w:rsidRDefault="00103409" w:rsidP="00103409">
      <w:pPr>
        <w:pStyle w:val="ListParagraph"/>
        <w:numPr>
          <w:ilvl w:val="0"/>
          <w:numId w:val="21"/>
        </w:numPr>
      </w:pPr>
      <w:r>
        <w:t xml:space="preserve">Unreliable methodology to identify eligible patients (paragraph 6.79 and paragraph 6.80). </w:t>
      </w:r>
    </w:p>
    <w:p w:rsidR="00B54099" w:rsidRPr="006258D8" w:rsidRDefault="00B54099" w:rsidP="008B2C07">
      <w:pPr>
        <w:pStyle w:val="ListParagraph"/>
        <w:numPr>
          <w:ilvl w:val="0"/>
          <w:numId w:val="21"/>
        </w:numPr>
      </w:pPr>
      <w:r w:rsidRPr="006258D8">
        <w:t>The assumed uptake rates for fremanezumab are likely to be underestimated i</w:t>
      </w:r>
      <w:r w:rsidR="007F18EC">
        <w:t>n the initial years of listing.</w:t>
      </w:r>
    </w:p>
    <w:p w:rsidR="00C74141" w:rsidRDefault="00B54099" w:rsidP="008B2C07">
      <w:pPr>
        <w:pStyle w:val="ListParagraph"/>
        <w:numPr>
          <w:ilvl w:val="0"/>
          <w:numId w:val="21"/>
        </w:numPr>
      </w:pPr>
      <w:r w:rsidRPr="006258D8">
        <w:t>The proportion of patients c</w:t>
      </w:r>
      <w:r w:rsidR="00B760A5" w:rsidRPr="006258D8">
        <w:t>ontinuing therapy beyond the 12-</w:t>
      </w:r>
      <w:r w:rsidRPr="006258D8">
        <w:t>week assessment period is a significant area of uncertainty</w:t>
      </w:r>
      <w:r w:rsidR="009D4CDE">
        <w:t xml:space="preserve"> (paragraph 6.81 and paragraph 6.82).</w:t>
      </w:r>
      <w:r w:rsidRPr="006258D8">
        <w:t xml:space="preserve"> </w:t>
      </w:r>
    </w:p>
    <w:p w:rsidR="00B54099" w:rsidRPr="006258D8" w:rsidRDefault="00B54099">
      <w:pPr>
        <w:pStyle w:val="ListParagraph"/>
        <w:numPr>
          <w:ilvl w:val="0"/>
          <w:numId w:val="21"/>
        </w:numPr>
      </w:pPr>
      <w:r w:rsidRPr="006258D8">
        <w:t>The submission assumed 100% compliance with treatment which is unlikely to occur in clinical practice. Compliance with fremanezumab is likely to be higher than for Botox given differences in cost, convenience, and the broadening of prescribing to allow subsequent continuing treatment scripts for fremanezumab to be written by GPs.</w:t>
      </w:r>
    </w:p>
    <w:p w:rsidR="00643238" w:rsidRPr="00742CD6" w:rsidRDefault="00643238">
      <w:pPr>
        <w:pStyle w:val="ListParagraph"/>
        <w:numPr>
          <w:ilvl w:val="0"/>
          <w:numId w:val="21"/>
        </w:numPr>
      </w:pPr>
      <w:r w:rsidRPr="00742CD6">
        <w:t>The cost offsets for Botox were substantially overestimated, as the submission assumed that patients who switch to fremanezumab would have stayed on Botox treatment over all remaining years of the budget impact estimates (i.e. no patients discontinued Botox</w:t>
      </w:r>
      <w:r w:rsidRPr="00B10D25">
        <w:t>)</w:t>
      </w:r>
      <w:r w:rsidR="00B10D25">
        <w:t>,</w:t>
      </w:r>
      <w:r w:rsidR="00B10D25" w:rsidRPr="007171A1">
        <w:t xml:space="preserve"> and that all patients received four Botox administrations per year</w:t>
      </w:r>
      <w:r w:rsidRPr="00742CD6">
        <w:t>.</w:t>
      </w:r>
      <w:r w:rsidR="00BF4A6F" w:rsidRPr="00742CD6">
        <w:t xml:space="preserve"> The PSCR disagree</w:t>
      </w:r>
      <w:r w:rsidR="00836F72">
        <w:t>d</w:t>
      </w:r>
      <w:r w:rsidR="00BF4A6F" w:rsidRPr="00742CD6">
        <w:t xml:space="preserve"> that the cost offsets for Botox were overestimated and </w:t>
      </w:r>
      <w:r w:rsidR="00836F72">
        <w:t xml:space="preserve">that </w:t>
      </w:r>
      <w:r w:rsidR="00BF4A6F" w:rsidRPr="00742CD6">
        <w:t>the estimates did not assume that all patients initiated to Botox would have continued on Botox.</w:t>
      </w:r>
      <w:r w:rsidR="00340302">
        <w:t xml:space="preserve"> </w:t>
      </w:r>
      <w:r w:rsidR="00BF4A6F" w:rsidRPr="00742CD6">
        <w:t xml:space="preserve">The ESC noted that in Year 6, </w:t>
      </w:r>
      <w:r w:rsidR="00BF4A6F" w:rsidRPr="000F659E">
        <w:t xml:space="preserve">there were </w:t>
      </w:r>
      <w:r w:rsidR="00D11BC9">
        <w:rPr>
          <w:noProof/>
          <w:color w:val="000000"/>
          <w:highlight w:val="black"/>
        </w:rPr>
        <w:t>'''''''''''</w:t>
      </w:r>
      <w:r w:rsidR="000F659E" w:rsidRPr="000F659E">
        <w:t xml:space="preserve"> </w:t>
      </w:r>
      <w:r w:rsidR="00BF4A6F" w:rsidRPr="000F659E">
        <w:t>Botox</w:t>
      </w:r>
      <w:r w:rsidR="00BF4A6F" w:rsidRPr="00742CD6">
        <w:t xml:space="preserve"> eligible patients treated with fremanezumab (either initiating or continuing from the previous </w:t>
      </w:r>
      <w:r w:rsidR="00BF4A6F" w:rsidRPr="000F659E">
        <w:t xml:space="preserve">year) and </w:t>
      </w:r>
      <w:r w:rsidR="00D11BC9">
        <w:rPr>
          <w:noProof/>
          <w:color w:val="000000"/>
          <w:highlight w:val="black"/>
        </w:rPr>
        <w:t>''''''''''''</w:t>
      </w:r>
      <w:r w:rsidR="000F659E" w:rsidRPr="000F659E">
        <w:t xml:space="preserve"> </w:t>
      </w:r>
      <w:r w:rsidR="00BF4A6F" w:rsidRPr="000F659E">
        <w:t>Botox</w:t>
      </w:r>
      <w:r w:rsidR="00BF4A6F" w:rsidRPr="00742CD6">
        <w:t xml:space="preserve"> patients included as a cost offset.</w:t>
      </w:r>
    </w:p>
    <w:p w:rsidR="00C74141" w:rsidRDefault="00643238">
      <w:pPr>
        <w:pStyle w:val="ListParagraph"/>
        <w:numPr>
          <w:ilvl w:val="0"/>
          <w:numId w:val="21"/>
        </w:numPr>
      </w:pPr>
      <w:r w:rsidRPr="00742CD6">
        <w:t xml:space="preserve">The assumed reductions in triptan use and health professional visits may not be realised in clinical practice, as the assumed reductions in migraine days were based on responders in Study 30068. </w:t>
      </w:r>
    </w:p>
    <w:p w:rsidR="00C74141" w:rsidRDefault="002D4A47" w:rsidP="000F2EE3">
      <w:pPr>
        <w:pStyle w:val="3-BodyText"/>
      </w:pPr>
      <w:r w:rsidRPr="00742CD6">
        <w:t>The ESC considered the financial estimates to be very high and uncertain.</w:t>
      </w:r>
      <w:r w:rsidR="00E339BD" w:rsidRPr="00742CD6">
        <w:t xml:space="preserve"> </w:t>
      </w:r>
      <w:r w:rsidR="00D30AB5" w:rsidRPr="00742CD6">
        <w:t>The ESC noted the estimates were highly dependent on assumptions that were not well justified in the submission.</w:t>
      </w:r>
    </w:p>
    <w:p w:rsidR="00A76C51" w:rsidRDefault="00A76C51" w:rsidP="00021367">
      <w:pPr>
        <w:pStyle w:val="4-SubsectionHeading"/>
      </w:pPr>
      <w:r w:rsidRPr="004729C8">
        <w:t>Quality use of medicine</w:t>
      </w:r>
      <w:r w:rsidR="00D86FEB">
        <w:t>s</w:t>
      </w:r>
    </w:p>
    <w:p w:rsidR="00C74141" w:rsidRDefault="00643238" w:rsidP="000F2EE3">
      <w:pPr>
        <w:pStyle w:val="3-BodyText"/>
      </w:pPr>
      <w:r w:rsidRPr="006258D8">
        <w:t>The submission stated that the launch of fremanezumab will be underpinned by comprehensive training of health care professionals and patients on injection procedures, expected side-effects</w:t>
      </w:r>
      <w:r w:rsidR="00DA2541">
        <w:t>,</w:t>
      </w:r>
      <w:r w:rsidRPr="006258D8">
        <w:t xml:space="preserve"> and relevant tools to assist patients and health care professionals to assess migraine and headache days.</w:t>
      </w:r>
    </w:p>
    <w:p w:rsidR="00643238" w:rsidRPr="00742CD6" w:rsidRDefault="00643238" w:rsidP="000F2EE3">
      <w:pPr>
        <w:pStyle w:val="3-BodyText"/>
      </w:pPr>
      <w:r w:rsidRPr="006258D8">
        <w:t>The submission stated that patients will be provided with starter kits including a patient education booklet and a headache diary. The submission stated that patients will be provided with multiple options to receive instructions on injection procedures, including video or face-to-face injection training by registered nurses. Demonstration injection kits along with training material will be provided to clinics for neurologists and nurses to assist with patient training. Ongoing education will be provided to health care professionals involved in the treatment of patients with fremanezumab</w:t>
      </w:r>
      <w:r w:rsidRPr="00CD1E8A">
        <w:t>.</w:t>
      </w:r>
    </w:p>
    <w:p w:rsidR="00643238" w:rsidRPr="006258D8" w:rsidRDefault="00C317F3" w:rsidP="00021367">
      <w:pPr>
        <w:pStyle w:val="4-SubsectionHeading"/>
      </w:pPr>
      <w:bookmarkStart w:id="27" w:name="_Toc413139286"/>
      <w:bookmarkStart w:id="28" w:name="_Toc19693427"/>
      <w:r w:rsidRPr="006258D8">
        <w:t xml:space="preserve">Financial </w:t>
      </w:r>
      <w:r w:rsidR="00661286" w:rsidRPr="006258D8">
        <w:t>m</w:t>
      </w:r>
      <w:r w:rsidRPr="006258D8">
        <w:t xml:space="preserve">anagement – </w:t>
      </w:r>
      <w:r w:rsidR="00661286" w:rsidRPr="006258D8">
        <w:t>r</w:t>
      </w:r>
      <w:r w:rsidRPr="006258D8">
        <w:t xml:space="preserve">isk </w:t>
      </w:r>
      <w:r w:rsidR="00661286" w:rsidRPr="006258D8">
        <w:t>s</w:t>
      </w:r>
      <w:r w:rsidRPr="006258D8">
        <w:t xml:space="preserve">haring </w:t>
      </w:r>
      <w:r w:rsidR="00661286" w:rsidRPr="006258D8">
        <w:t>a</w:t>
      </w:r>
      <w:r w:rsidRPr="006258D8">
        <w:t>rrangements</w:t>
      </w:r>
      <w:bookmarkEnd w:id="27"/>
      <w:bookmarkEnd w:id="28"/>
    </w:p>
    <w:p w:rsidR="00C74141" w:rsidRDefault="00643238" w:rsidP="000F2EE3">
      <w:pPr>
        <w:pStyle w:val="3-BodyText"/>
      </w:pPr>
      <w:r w:rsidRPr="006258D8">
        <w:t xml:space="preserve">The Sponsor proposed a risk-sharing arrangement, </w:t>
      </w:r>
      <w:r w:rsidRPr="00E9187B">
        <w:t xml:space="preserve">consisting of a </w:t>
      </w:r>
      <w:r w:rsidR="00D11BC9">
        <w:rPr>
          <w:noProof/>
          <w:color w:val="000000"/>
          <w:highlight w:val="black"/>
        </w:rPr>
        <w:t>''''''</w:t>
      </w:r>
      <w:r w:rsidRPr="00E9187B">
        <w:t>% rebate</w:t>
      </w:r>
      <w:r w:rsidRPr="006258D8">
        <w:t xml:space="preserve"> for PBS spending above specified annual caps</w:t>
      </w:r>
      <w:r w:rsidRPr="00742CD6">
        <w:t xml:space="preserve">. </w:t>
      </w:r>
      <w:r w:rsidR="00396230" w:rsidRPr="00742CD6">
        <w:t>The ESC considered that</w:t>
      </w:r>
      <w:r w:rsidR="00A47153" w:rsidRPr="00742CD6">
        <w:t xml:space="preserve"> the</w:t>
      </w:r>
      <w:r w:rsidR="00396230" w:rsidRPr="00742CD6">
        <w:t xml:space="preserve"> proposed rebate did not </w:t>
      </w:r>
      <w:r w:rsidR="00BF4A6F" w:rsidRPr="00742CD6">
        <w:t xml:space="preserve">adequately share the risk of use </w:t>
      </w:r>
      <w:r w:rsidR="006225F0" w:rsidRPr="00742CD6">
        <w:t xml:space="preserve">above </w:t>
      </w:r>
      <w:r w:rsidR="00BF4A6F" w:rsidRPr="00742CD6">
        <w:t xml:space="preserve">the </w:t>
      </w:r>
      <w:r w:rsidR="00A47153" w:rsidRPr="00742CD6">
        <w:t xml:space="preserve">proposed </w:t>
      </w:r>
      <w:r w:rsidR="00BF4A6F" w:rsidRPr="00742CD6">
        <w:t>expenditure cap.</w:t>
      </w:r>
    </w:p>
    <w:p w:rsidR="00643238" w:rsidRPr="006258D8" w:rsidRDefault="007762D4" w:rsidP="000F2EE3">
      <w:pPr>
        <w:pStyle w:val="3-BodyText"/>
      </w:pPr>
      <w:r w:rsidRPr="006258D8">
        <w:t xml:space="preserve">Table </w:t>
      </w:r>
      <w:r w:rsidR="007F443F" w:rsidRPr="006258D8">
        <w:t>2</w:t>
      </w:r>
      <w:r w:rsidR="00DA2541">
        <w:t>1</w:t>
      </w:r>
      <w:r w:rsidR="007F443F" w:rsidRPr="006258D8">
        <w:t xml:space="preserve"> </w:t>
      </w:r>
      <w:r w:rsidR="00643238" w:rsidRPr="006258D8">
        <w:t>presents the annual expenditure caps associated with the proposed risk-sharing arrangement.</w:t>
      </w:r>
    </w:p>
    <w:p w:rsidR="00295107" w:rsidRDefault="00295107" w:rsidP="00021367">
      <w:pPr>
        <w:pStyle w:val="TableFigureHeading"/>
      </w:pPr>
      <w:r>
        <w:t xml:space="preserve">Table </w:t>
      </w:r>
      <w:r w:rsidR="00103409">
        <w:rPr>
          <w:noProof/>
        </w:rPr>
        <w:t>21</w:t>
      </w:r>
      <w:r w:rsidRPr="009A4406">
        <w:t>: Proposed annual PBS expenditure caps for fremanezumab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Proposed annual PBS expenditure caps for fremanezumab"/>
      </w:tblPr>
      <w:tblGrid>
        <w:gridCol w:w="2410"/>
        <w:gridCol w:w="1286"/>
        <w:gridCol w:w="1330"/>
        <w:gridCol w:w="1330"/>
        <w:gridCol w:w="1330"/>
        <w:gridCol w:w="1330"/>
      </w:tblGrid>
      <w:tr w:rsidR="00643238" w:rsidRPr="004612D6" w:rsidTr="00295107">
        <w:trPr>
          <w:cnfStyle w:val="100000000000" w:firstRow="1" w:lastRow="0" w:firstColumn="0" w:lastColumn="0" w:oddVBand="0" w:evenVBand="0" w:oddHBand="0" w:evenHBand="0" w:firstRowFirstColumn="0" w:firstRowLastColumn="0" w:lastRowFirstColumn="0" w:lastRowLastColumn="0"/>
          <w:tblHeader/>
        </w:trPr>
        <w:tc>
          <w:tcPr>
            <w:tcW w:w="2410" w:type="dxa"/>
            <w:vAlign w:val="top"/>
          </w:tcPr>
          <w:p w:rsidR="00643238" w:rsidRPr="004612D6" w:rsidRDefault="00643238" w:rsidP="00021367">
            <w:pPr>
              <w:rPr>
                <w:rFonts w:ascii="Arial Narrow" w:hAnsi="Arial Narrow"/>
                <w:sz w:val="20"/>
                <w:szCs w:val="20"/>
                <w:lang w:val="en-AU"/>
              </w:rPr>
            </w:pPr>
          </w:p>
        </w:tc>
        <w:tc>
          <w:tcPr>
            <w:tcW w:w="1286" w:type="dxa"/>
            <w:vAlign w:val="top"/>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2020</w:t>
            </w:r>
          </w:p>
        </w:tc>
        <w:tc>
          <w:tcPr>
            <w:tcW w:w="1330" w:type="dxa"/>
            <w:vAlign w:val="top"/>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2021</w:t>
            </w:r>
          </w:p>
        </w:tc>
        <w:tc>
          <w:tcPr>
            <w:tcW w:w="1330" w:type="dxa"/>
            <w:vAlign w:val="top"/>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2022</w:t>
            </w:r>
          </w:p>
        </w:tc>
        <w:tc>
          <w:tcPr>
            <w:tcW w:w="1330" w:type="dxa"/>
            <w:vAlign w:val="top"/>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2023</w:t>
            </w:r>
          </w:p>
        </w:tc>
        <w:tc>
          <w:tcPr>
            <w:tcW w:w="1330" w:type="dxa"/>
            <w:vAlign w:val="top"/>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2024</w:t>
            </w:r>
          </w:p>
        </w:tc>
      </w:tr>
      <w:tr w:rsidR="00643238" w:rsidRPr="004612D6" w:rsidTr="00295107">
        <w:tc>
          <w:tcPr>
            <w:tcW w:w="2410" w:type="dxa"/>
            <w:vAlign w:val="top"/>
          </w:tcPr>
          <w:p w:rsidR="00643238" w:rsidRPr="004612D6" w:rsidRDefault="00643238" w:rsidP="00021367">
            <w:pPr>
              <w:jc w:val="left"/>
              <w:rPr>
                <w:rFonts w:ascii="Arial Narrow" w:hAnsi="Arial Narrow"/>
                <w:sz w:val="20"/>
                <w:szCs w:val="20"/>
                <w:lang w:val="en-AU"/>
              </w:rPr>
            </w:pPr>
            <w:r w:rsidRPr="004612D6">
              <w:rPr>
                <w:rFonts w:ascii="Arial Narrow" w:hAnsi="Arial Narrow"/>
                <w:sz w:val="20"/>
                <w:szCs w:val="20"/>
                <w:lang w:val="en-AU"/>
              </w:rPr>
              <w:t>Proposed PBS expenditure cap</w:t>
            </w:r>
          </w:p>
        </w:tc>
        <w:tc>
          <w:tcPr>
            <w:tcW w:w="1286" w:type="dxa"/>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w:t>
            </w:r>
            <w:r w:rsidR="00D11BC9">
              <w:rPr>
                <w:rFonts w:ascii="Arial Narrow" w:hAnsi="Arial Narrow"/>
                <w:noProof/>
                <w:color w:val="000000"/>
                <w:sz w:val="20"/>
                <w:szCs w:val="20"/>
                <w:highlight w:val="black"/>
                <w:lang w:val="en-AU"/>
              </w:rPr>
              <w:t>''''''''''''''''''''''''</w:t>
            </w:r>
          </w:p>
        </w:tc>
        <w:tc>
          <w:tcPr>
            <w:tcW w:w="1330" w:type="dxa"/>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w:t>
            </w:r>
            <w:r w:rsidR="00D11BC9">
              <w:rPr>
                <w:rFonts w:ascii="Arial Narrow" w:hAnsi="Arial Narrow"/>
                <w:noProof/>
                <w:color w:val="000000"/>
                <w:sz w:val="20"/>
                <w:szCs w:val="20"/>
                <w:highlight w:val="black"/>
                <w:lang w:val="en-AU"/>
              </w:rPr>
              <w:t>'''''''''''''''''''''''''''''</w:t>
            </w:r>
          </w:p>
        </w:tc>
        <w:tc>
          <w:tcPr>
            <w:tcW w:w="1330" w:type="dxa"/>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w:t>
            </w:r>
            <w:r w:rsidR="00D11BC9">
              <w:rPr>
                <w:rFonts w:ascii="Arial Narrow" w:hAnsi="Arial Narrow"/>
                <w:noProof/>
                <w:color w:val="000000"/>
                <w:sz w:val="20"/>
                <w:szCs w:val="20"/>
                <w:highlight w:val="black"/>
                <w:lang w:val="en-AU"/>
              </w:rPr>
              <w:t>''''''''''''''''''''''''''''</w:t>
            </w:r>
          </w:p>
        </w:tc>
        <w:tc>
          <w:tcPr>
            <w:tcW w:w="1330" w:type="dxa"/>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w:t>
            </w:r>
            <w:r w:rsidR="00D11BC9">
              <w:rPr>
                <w:rFonts w:ascii="Arial Narrow" w:hAnsi="Arial Narrow"/>
                <w:noProof/>
                <w:color w:val="000000"/>
                <w:sz w:val="20"/>
                <w:szCs w:val="20"/>
                <w:highlight w:val="black"/>
                <w:lang w:val="en-AU"/>
              </w:rPr>
              <w:t>'''''''''''''''''''''''''''''</w:t>
            </w:r>
          </w:p>
        </w:tc>
        <w:tc>
          <w:tcPr>
            <w:tcW w:w="1330" w:type="dxa"/>
          </w:tcPr>
          <w:p w:rsidR="00643238" w:rsidRPr="004612D6" w:rsidRDefault="00643238" w:rsidP="00021367">
            <w:pPr>
              <w:rPr>
                <w:rFonts w:ascii="Arial Narrow" w:hAnsi="Arial Narrow"/>
                <w:sz w:val="20"/>
                <w:szCs w:val="20"/>
                <w:lang w:val="en-AU"/>
              </w:rPr>
            </w:pPr>
            <w:r w:rsidRPr="004612D6">
              <w:rPr>
                <w:rFonts w:ascii="Arial Narrow" w:hAnsi="Arial Narrow"/>
                <w:sz w:val="20"/>
                <w:szCs w:val="20"/>
                <w:lang w:val="en-AU"/>
              </w:rPr>
              <w:t>$</w:t>
            </w:r>
            <w:r w:rsidR="00D11BC9">
              <w:rPr>
                <w:rFonts w:ascii="Arial Narrow" w:hAnsi="Arial Narrow"/>
                <w:noProof/>
                <w:color w:val="000000"/>
                <w:sz w:val="20"/>
                <w:szCs w:val="20"/>
                <w:highlight w:val="black"/>
                <w:lang w:val="en-AU"/>
              </w:rPr>
              <w:t>'''''''''''''''''''''''''''''</w:t>
            </w:r>
          </w:p>
        </w:tc>
      </w:tr>
      <w:tr w:rsidR="00643238" w:rsidRPr="004612D6" w:rsidTr="00295107">
        <w:tc>
          <w:tcPr>
            <w:tcW w:w="2410" w:type="dxa"/>
            <w:vAlign w:val="top"/>
          </w:tcPr>
          <w:p w:rsidR="00643238" w:rsidRPr="004612D6" w:rsidRDefault="00643238" w:rsidP="00021367">
            <w:pPr>
              <w:jc w:val="left"/>
              <w:rPr>
                <w:rFonts w:ascii="Arial Narrow" w:hAnsi="Arial Narrow"/>
                <w:sz w:val="20"/>
                <w:szCs w:val="20"/>
                <w:lang w:val="en-AU"/>
              </w:rPr>
            </w:pPr>
            <w:r w:rsidRPr="004612D6">
              <w:rPr>
                <w:rFonts w:ascii="Arial Narrow" w:hAnsi="Arial Narrow"/>
                <w:sz w:val="20"/>
                <w:szCs w:val="20"/>
                <w:lang w:val="en-AU"/>
              </w:rPr>
              <w:t>Proposed rebate for expenditure above cap</w:t>
            </w:r>
          </w:p>
        </w:tc>
        <w:tc>
          <w:tcPr>
            <w:tcW w:w="1286" w:type="dxa"/>
          </w:tcPr>
          <w:p w:rsidR="00643238" w:rsidRPr="004612D6" w:rsidRDefault="00D11BC9" w:rsidP="00021367">
            <w:pPr>
              <w:rPr>
                <w:rFonts w:ascii="Arial Narrow" w:hAnsi="Arial Narrow"/>
                <w:sz w:val="20"/>
                <w:szCs w:val="20"/>
                <w:lang w:val="en-AU"/>
              </w:rPr>
            </w:pPr>
            <w:r>
              <w:rPr>
                <w:rFonts w:ascii="Arial Narrow" w:hAnsi="Arial Narrow"/>
                <w:noProof/>
                <w:color w:val="000000"/>
                <w:sz w:val="20"/>
                <w:szCs w:val="20"/>
                <w:highlight w:val="black"/>
                <w:lang w:val="en-AU"/>
              </w:rPr>
              <w:t>'''''''</w:t>
            </w:r>
            <w:r w:rsidR="00643238" w:rsidRPr="004612D6">
              <w:rPr>
                <w:rFonts w:ascii="Arial Narrow" w:hAnsi="Arial Narrow"/>
                <w:sz w:val="20"/>
                <w:szCs w:val="20"/>
                <w:lang w:val="en-AU"/>
              </w:rPr>
              <w:t>%</w:t>
            </w:r>
          </w:p>
        </w:tc>
        <w:tc>
          <w:tcPr>
            <w:tcW w:w="1330" w:type="dxa"/>
          </w:tcPr>
          <w:p w:rsidR="00643238" w:rsidRPr="004612D6" w:rsidRDefault="00D11BC9" w:rsidP="00021367">
            <w:pPr>
              <w:rPr>
                <w:rFonts w:ascii="Arial Narrow" w:hAnsi="Arial Narrow"/>
                <w:sz w:val="20"/>
                <w:szCs w:val="20"/>
                <w:lang w:val="en-AU"/>
              </w:rPr>
            </w:pPr>
            <w:r>
              <w:rPr>
                <w:rFonts w:ascii="Arial Narrow" w:hAnsi="Arial Narrow"/>
                <w:noProof/>
                <w:color w:val="000000"/>
                <w:sz w:val="20"/>
                <w:szCs w:val="20"/>
                <w:highlight w:val="black"/>
                <w:lang w:val="en-AU"/>
              </w:rPr>
              <w:t>'''''''</w:t>
            </w:r>
            <w:r w:rsidR="00643238" w:rsidRPr="004612D6">
              <w:rPr>
                <w:rFonts w:ascii="Arial Narrow" w:hAnsi="Arial Narrow"/>
                <w:sz w:val="20"/>
                <w:szCs w:val="20"/>
                <w:lang w:val="en-AU"/>
              </w:rPr>
              <w:t>%</w:t>
            </w:r>
          </w:p>
        </w:tc>
        <w:tc>
          <w:tcPr>
            <w:tcW w:w="1330" w:type="dxa"/>
          </w:tcPr>
          <w:p w:rsidR="00643238" w:rsidRPr="004612D6" w:rsidRDefault="00D11BC9" w:rsidP="00021367">
            <w:pPr>
              <w:rPr>
                <w:rFonts w:ascii="Arial Narrow" w:hAnsi="Arial Narrow"/>
                <w:sz w:val="20"/>
                <w:szCs w:val="20"/>
                <w:lang w:val="en-AU"/>
              </w:rPr>
            </w:pPr>
            <w:r>
              <w:rPr>
                <w:rFonts w:ascii="Arial Narrow" w:hAnsi="Arial Narrow"/>
                <w:noProof/>
                <w:color w:val="000000"/>
                <w:sz w:val="20"/>
                <w:szCs w:val="20"/>
                <w:highlight w:val="black"/>
                <w:lang w:val="en-AU"/>
              </w:rPr>
              <w:t>''''''''</w:t>
            </w:r>
            <w:r w:rsidR="00643238" w:rsidRPr="004612D6">
              <w:rPr>
                <w:rFonts w:ascii="Arial Narrow" w:hAnsi="Arial Narrow"/>
                <w:sz w:val="20"/>
                <w:szCs w:val="20"/>
                <w:lang w:val="en-AU"/>
              </w:rPr>
              <w:t>%</w:t>
            </w:r>
          </w:p>
        </w:tc>
        <w:tc>
          <w:tcPr>
            <w:tcW w:w="1330" w:type="dxa"/>
          </w:tcPr>
          <w:p w:rsidR="00643238" w:rsidRPr="004612D6" w:rsidRDefault="00D11BC9" w:rsidP="00021367">
            <w:pPr>
              <w:rPr>
                <w:rFonts w:ascii="Arial Narrow" w:hAnsi="Arial Narrow"/>
                <w:sz w:val="20"/>
                <w:szCs w:val="20"/>
                <w:lang w:val="en-AU"/>
              </w:rPr>
            </w:pPr>
            <w:r>
              <w:rPr>
                <w:rFonts w:ascii="Arial Narrow" w:hAnsi="Arial Narrow"/>
                <w:noProof/>
                <w:color w:val="000000"/>
                <w:sz w:val="20"/>
                <w:szCs w:val="20"/>
                <w:highlight w:val="black"/>
                <w:lang w:val="en-AU"/>
              </w:rPr>
              <w:t>'''''''''</w:t>
            </w:r>
            <w:r w:rsidR="00643238" w:rsidRPr="004612D6">
              <w:rPr>
                <w:rFonts w:ascii="Arial Narrow" w:hAnsi="Arial Narrow"/>
                <w:sz w:val="20"/>
                <w:szCs w:val="20"/>
                <w:lang w:val="en-AU"/>
              </w:rPr>
              <w:t>%</w:t>
            </w:r>
          </w:p>
        </w:tc>
        <w:tc>
          <w:tcPr>
            <w:tcW w:w="1330" w:type="dxa"/>
          </w:tcPr>
          <w:p w:rsidR="00643238" w:rsidRPr="004612D6" w:rsidRDefault="00D11BC9" w:rsidP="00021367">
            <w:pPr>
              <w:rPr>
                <w:rFonts w:ascii="Arial Narrow" w:hAnsi="Arial Narrow"/>
                <w:sz w:val="20"/>
                <w:szCs w:val="20"/>
                <w:lang w:val="en-AU"/>
              </w:rPr>
            </w:pPr>
            <w:r>
              <w:rPr>
                <w:rFonts w:ascii="Arial Narrow" w:hAnsi="Arial Narrow"/>
                <w:noProof/>
                <w:color w:val="000000"/>
                <w:sz w:val="20"/>
                <w:szCs w:val="20"/>
                <w:highlight w:val="black"/>
                <w:lang w:val="en-AU"/>
              </w:rPr>
              <w:t>''''''''</w:t>
            </w:r>
            <w:r w:rsidR="00643238" w:rsidRPr="004612D6">
              <w:rPr>
                <w:rFonts w:ascii="Arial Narrow" w:hAnsi="Arial Narrow"/>
                <w:sz w:val="20"/>
                <w:szCs w:val="20"/>
                <w:lang w:val="en-AU"/>
              </w:rPr>
              <w:t>%</w:t>
            </w:r>
          </w:p>
        </w:tc>
      </w:tr>
    </w:tbl>
    <w:p w:rsidR="00643238" w:rsidRPr="006258D8" w:rsidRDefault="00643238" w:rsidP="00021367">
      <w:pPr>
        <w:pStyle w:val="TableFigureFooter"/>
      </w:pPr>
      <w:r w:rsidRPr="006258D8">
        <w:t>Source</w:t>
      </w:r>
      <w:r w:rsidRPr="00396230">
        <w:t>: Table 4.22, p.273 of the submission.</w:t>
      </w:r>
    </w:p>
    <w:p w:rsidR="00340302" w:rsidRDefault="00340302" w:rsidP="00340302">
      <w:pPr>
        <w:rPr>
          <w:i/>
        </w:rPr>
      </w:pPr>
    </w:p>
    <w:p w:rsidR="00340302" w:rsidRDefault="00804D38" w:rsidP="00804D38">
      <w:pPr>
        <w:rPr>
          <w:i/>
        </w:rPr>
      </w:pPr>
      <w:r>
        <w:rPr>
          <w:i/>
        </w:rPr>
        <w:tab/>
      </w:r>
      <w:r w:rsidR="00340302" w:rsidRPr="00340302">
        <w:rPr>
          <w:i/>
        </w:rPr>
        <w:t>For more detail on PBAC’s view, see section 7 PBAC outcome.</w:t>
      </w:r>
    </w:p>
    <w:p w:rsidR="00D334C7" w:rsidRDefault="00D334C7" w:rsidP="00D334C7">
      <w:pPr>
        <w:pStyle w:val="2-SectionHeading"/>
      </w:pPr>
      <w:r>
        <w:t>PBAC Outcome</w:t>
      </w:r>
    </w:p>
    <w:p w:rsidR="00B064C9" w:rsidRPr="00B064C9" w:rsidRDefault="00D61B93" w:rsidP="000F2EE3">
      <w:pPr>
        <w:pStyle w:val="3-BodyText"/>
      </w:pPr>
      <w:r>
        <w:t xml:space="preserve">The PBAC deferred </w:t>
      </w:r>
      <w:r w:rsidR="00920ECA">
        <w:t xml:space="preserve">making a recommendation for </w:t>
      </w:r>
      <w:r>
        <w:t xml:space="preserve">fremanezumab for the treatment of chronic migraine in patients who have experienced an inadequate response, intolerance or a contraindication to at least three prophylactic migraine medications. </w:t>
      </w:r>
      <w:r w:rsidR="0053420C">
        <w:t xml:space="preserve">The PBAC considered fremanezumab was an alternative treatment to Botox and galcanezumab for patients with chronic migraine and provided </w:t>
      </w:r>
      <w:r w:rsidR="00527186">
        <w:t xml:space="preserve">a </w:t>
      </w:r>
      <w:r w:rsidR="0053420C">
        <w:t>similar</w:t>
      </w:r>
      <w:r w:rsidR="00C77379">
        <w:t xml:space="preserve"> r</w:t>
      </w:r>
      <w:r w:rsidR="0053420C">
        <w:t xml:space="preserve">eduction in monthly migraine </w:t>
      </w:r>
      <w:r w:rsidR="0053420C" w:rsidRPr="00B064C9">
        <w:t>days</w:t>
      </w:r>
      <w:r w:rsidR="00527186" w:rsidRPr="00B064C9">
        <w:t xml:space="preserve">. The PBAC </w:t>
      </w:r>
      <w:r w:rsidR="00C33903" w:rsidRPr="00B064C9">
        <w:t xml:space="preserve">was of a mind to recommend </w:t>
      </w:r>
      <w:r w:rsidR="00B064C9" w:rsidRPr="00B064C9">
        <w:t>fremanezumab for listing on the basis of cost-minimisation to Botox</w:t>
      </w:r>
      <w:r w:rsidR="004B2B97">
        <w:t xml:space="preserve"> </w:t>
      </w:r>
      <w:r w:rsidR="00C77379">
        <w:t xml:space="preserve">or </w:t>
      </w:r>
      <w:r w:rsidR="004B2B97">
        <w:t>galcanezumab</w:t>
      </w:r>
      <w:r w:rsidR="001D1AD3">
        <w:t xml:space="preserve"> but </w:t>
      </w:r>
      <w:r w:rsidR="00582643">
        <w:t xml:space="preserve">deferred making a recommendation to address the uncertainties regarding the number of patients </w:t>
      </w:r>
      <w:r w:rsidR="00F7013E">
        <w:t xml:space="preserve">who </w:t>
      </w:r>
      <w:r w:rsidR="00B064C9">
        <w:t xml:space="preserve">would be treated and the net financial cost of </w:t>
      </w:r>
      <w:r w:rsidR="00B064C9" w:rsidRPr="00F7013E">
        <w:t>listing fremanezumab</w:t>
      </w:r>
      <w:r w:rsidR="00B064C9">
        <w:t xml:space="preserve"> on the PBS. </w:t>
      </w:r>
    </w:p>
    <w:p w:rsidR="00806922" w:rsidRPr="0076063B" w:rsidRDefault="001A6BA6" w:rsidP="000F2EE3">
      <w:pPr>
        <w:pStyle w:val="3-BodyText"/>
      </w:pPr>
      <w:r>
        <w:rPr>
          <w:snapToGrid w:val="0"/>
          <w:szCs w:val="24"/>
        </w:rPr>
        <w:t xml:space="preserve">The </w:t>
      </w:r>
      <w:r w:rsidR="003A6C58" w:rsidRPr="007E71EC">
        <w:rPr>
          <w:snapToGrid w:val="0"/>
          <w:szCs w:val="24"/>
        </w:rPr>
        <w:t>PBAC considered there is a high clinical need for new migraine treatments</w:t>
      </w:r>
      <w:r w:rsidR="00C711A3">
        <w:rPr>
          <w:snapToGrid w:val="0"/>
          <w:szCs w:val="24"/>
        </w:rPr>
        <w:t xml:space="preserve"> and noted the </w:t>
      </w:r>
      <w:r w:rsidR="0086301C">
        <w:rPr>
          <w:snapToGrid w:val="0"/>
          <w:szCs w:val="24"/>
        </w:rPr>
        <w:t xml:space="preserve">large </w:t>
      </w:r>
      <w:r w:rsidR="008A683D">
        <w:rPr>
          <w:snapToGrid w:val="0"/>
          <w:szCs w:val="24"/>
        </w:rPr>
        <w:t>number of consumer comments receive</w:t>
      </w:r>
      <w:r w:rsidR="00C634EA">
        <w:rPr>
          <w:snapToGrid w:val="0"/>
          <w:szCs w:val="24"/>
        </w:rPr>
        <w:t>d</w:t>
      </w:r>
      <w:r w:rsidR="008A683D">
        <w:rPr>
          <w:snapToGrid w:val="0"/>
          <w:szCs w:val="24"/>
        </w:rPr>
        <w:t xml:space="preserve">. </w:t>
      </w:r>
    </w:p>
    <w:p w:rsidR="00046692" w:rsidRPr="001C5536" w:rsidRDefault="008A683D" w:rsidP="00C711A3">
      <w:pPr>
        <w:pStyle w:val="3-BodyText"/>
      </w:pPr>
      <w:r>
        <w:t xml:space="preserve">The PBAC noted </w:t>
      </w:r>
      <w:r w:rsidR="006654BB">
        <w:t xml:space="preserve">the submission positioned fremanezumab as a treatment option for three groups of patients: those who are eligible </w:t>
      </w:r>
      <w:r w:rsidR="006654BB" w:rsidRPr="006654BB">
        <w:t>to be treated with Botox but are either unwilling due to a needle or Botox phobia,</w:t>
      </w:r>
      <w:r w:rsidR="003108F4">
        <w:t xml:space="preserve"> </w:t>
      </w:r>
      <w:r w:rsidR="006654BB" w:rsidRPr="006654BB">
        <w:t>or who are unable to access treatment from a Botox-accredited neurologist (“Botox ruled out” subpopulation)</w:t>
      </w:r>
      <w:r w:rsidR="006654BB">
        <w:t xml:space="preserve">; those who are </w:t>
      </w:r>
      <w:r w:rsidR="006654BB" w:rsidRPr="006654BB">
        <w:t>eligible and willing to be treated with Botox (“Botox eligible” subpopulation)</w:t>
      </w:r>
      <w:r w:rsidR="006654BB">
        <w:t xml:space="preserve"> and those </w:t>
      </w:r>
      <w:r w:rsidR="006654BB" w:rsidRPr="006654BB">
        <w:t>who have tried and failed or are intolerant</w:t>
      </w:r>
      <w:r w:rsidR="003108F4">
        <w:t xml:space="preserve"> </w:t>
      </w:r>
      <w:r w:rsidR="006654BB" w:rsidRPr="006654BB">
        <w:t>to Botox (“Botox failed” subpopulation).</w:t>
      </w:r>
      <w:r w:rsidR="006654BB">
        <w:t xml:space="preserve"> </w:t>
      </w:r>
      <w:r w:rsidR="00046692">
        <w:t xml:space="preserve">The PBAC considered the </w:t>
      </w:r>
      <w:r w:rsidR="00046692" w:rsidRPr="00906E2E">
        <w:t xml:space="preserve">methodology used to derive the </w:t>
      </w:r>
      <w:r w:rsidR="00046692">
        <w:t xml:space="preserve">three </w:t>
      </w:r>
      <w:r w:rsidR="00046692" w:rsidRPr="00906E2E">
        <w:t>eligible population</w:t>
      </w:r>
      <w:r w:rsidR="00046692">
        <w:t xml:space="preserve">s </w:t>
      </w:r>
      <w:r w:rsidR="00046692" w:rsidRPr="00906E2E">
        <w:t>w</w:t>
      </w:r>
      <w:r w:rsidR="005E1588">
        <w:t xml:space="preserve">as </w:t>
      </w:r>
      <w:r w:rsidR="00046692">
        <w:t xml:space="preserve">arbitrary </w:t>
      </w:r>
      <w:r w:rsidR="00046692" w:rsidRPr="00906E2E">
        <w:t>and highly uncertain</w:t>
      </w:r>
      <w:r w:rsidR="00046692">
        <w:t>.</w:t>
      </w:r>
      <w:r w:rsidR="005C78CF">
        <w:t xml:space="preserve"> The PBAC considered </w:t>
      </w:r>
      <w:r w:rsidR="00C711A3">
        <w:t xml:space="preserve">the Botox ruled out and Botox eligible population </w:t>
      </w:r>
      <w:r w:rsidR="00C711A3" w:rsidRPr="00C711A3">
        <w:t>were not well defined</w:t>
      </w:r>
      <w:r w:rsidR="00C711A3">
        <w:t xml:space="preserve"> and there was likely to be </w:t>
      </w:r>
      <w:r w:rsidR="00C711A3" w:rsidRPr="00E96B93">
        <w:t>overlap</w:t>
      </w:r>
      <w:r w:rsidR="00E96B93" w:rsidRPr="00E96B93">
        <w:t xml:space="preserve"> in the populations and double counting of patients</w:t>
      </w:r>
      <w:r w:rsidR="00C711A3" w:rsidRPr="00E96B93">
        <w:t>.</w:t>
      </w:r>
      <w:r w:rsidR="00A01A23">
        <w:t xml:space="preserve"> </w:t>
      </w:r>
    </w:p>
    <w:p w:rsidR="007B6B55" w:rsidRDefault="00ED65FB" w:rsidP="00FF6024">
      <w:pPr>
        <w:pStyle w:val="3-BodyText"/>
      </w:pPr>
      <w:r>
        <w:t>The PBAC noted that the</w:t>
      </w:r>
      <w:r w:rsidR="00F7013E">
        <w:t xml:space="preserve"> </w:t>
      </w:r>
      <w:r>
        <w:t xml:space="preserve">submission nominated </w:t>
      </w:r>
      <w:r w:rsidRPr="00791B44">
        <w:t>Botox (</w:t>
      </w:r>
      <w:r w:rsidR="00D11BC9">
        <w:rPr>
          <w:noProof/>
          <w:color w:val="000000"/>
          <w:highlight w:val="black"/>
        </w:rPr>
        <w:t>''''''</w:t>
      </w:r>
      <w:r w:rsidRPr="00791B44">
        <w:t>% of use based on the proportion estimated to be ‘Botox eligible’) and BSC (</w:t>
      </w:r>
      <w:r w:rsidR="00D11BC9">
        <w:rPr>
          <w:noProof/>
          <w:color w:val="000000"/>
          <w:highlight w:val="black"/>
        </w:rPr>
        <w:t>''''''''</w:t>
      </w:r>
      <w:r w:rsidRPr="00791B44">
        <w:t>% based</w:t>
      </w:r>
      <w:r>
        <w:t xml:space="preserve"> on the proportion estimated to be ‘Botox ruled out’ or ‘Botox failed’) as comparators. The PBAC considered </w:t>
      </w:r>
      <w:r w:rsidR="00F907C4">
        <w:t xml:space="preserve">that </w:t>
      </w:r>
      <w:r>
        <w:t>although a proportion of patients eligible for frem</w:t>
      </w:r>
      <w:r w:rsidR="00F907C4">
        <w:t>anezumab</w:t>
      </w:r>
      <w:r>
        <w:t xml:space="preserve"> may not currently be treated with Botox that this had been substantially overestimated in the submission. </w:t>
      </w:r>
      <w:r w:rsidR="00FF6136" w:rsidRPr="003171F2">
        <w:t xml:space="preserve">The PBAC </w:t>
      </w:r>
      <w:r w:rsidR="00FF6136">
        <w:t>recalled when considering galcanezumab in July 2019</w:t>
      </w:r>
      <w:r w:rsidR="00FF6136" w:rsidRPr="003171F2">
        <w:t xml:space="preserve"> that Botox was </w:t>
      </w:r>
      <w:r w:rsidR="00FF6136">
        <w:t xml:space="preserve">accepted as </w:t>
      </w:r>
      <w:r w:rsidR="00FF6136" w:rsidRPr="003171F2">
        <w:t>the appropriate main comparator</w:t>
      </w:r>
      <w:r w:rsidR="00FF6136">
        <w:t>,</w:t>
      </w:r>
      <w:r w:rsidR="00FF6136" w:rsidRPr="003171F2">
        <w:t xml:space="preserve"> and </w:t>
      </w:r>
      <w:r>
        <w:t>this was consistent with galcanezumab being restricted to</w:t>
      </w:r>
      <w:r w:rsidR="00FF6136" w:rsidRPr="003171F2">
        <w:t xml:space="preserve"> the same high need patient population as for Botox</w:t>
      </w:r>
      <w:r w:rsidR="00FF6136">
        <w:t xml:space="preserve"> (para</w:t>
      </w:r>
      <w:r w:rsidR="00F907C4">
        <w:t>graph</w:t>
      </w:r>
      <w:r w:rsidR="00FF6136">
        <w:t xml:space="preserve"> 7.4</w:t>
      </w:r>
      <w:r w:rsidR="00F907C4">
        <w:t>, galcanezumab PSD, July 2019 PBAC meeting)</w:t>
      </w:r>
      <w:r w:rsidR="00FF6136" w:rsidRPr="003171F2">
        <w:t>.</w:t>
      </w:r>
      <w:r w:rsidR="00FF6136">
        <w:t xml:space="preserve"> The PBAC considered frem</w:t>
      </w:r>
      <w:r w:rsidR="00F907C4">
        <w:t>anezumab</w:t>
      </w:r>
      <w:r w:rsidR="00FF6136">
        <w:t xml:space="preserve"> should also be restricted to </w:t>
      </w:r>
      <w:r>
        <w:t>this</w:t>
      </w:r>
      <w:r w:rsidR="00FF6136">
        <w:t xml:space="preserve"> same high need patient population and </w:t>
      </w:r>
      <w:r w:rsidR="00F907C4">
        <w:t xml:space="preserve">advised </w:t>
      </w:r>
      <w:r w:rsidR="00FF6136">
        <w:t xml:space="preserve">that the main comparator </w:t>
      </w:r>
      <w:r w:rsidR="005E6D41">
        <w:t>for frem</w:t>
      </w:r>
      <w:r w:rsidR="00F907C4">
        <w:t>anezumab</w:t>
      </w:r>
      <w:r w:rsidR="005E6D41">
        <w:t xml:space="preserve"> </w:t>
      </w:r>
      <w:r w:rsidR="00FF6136">
        <w:t xml:space="preserve">should be Botox. </w:t>
      </w:r>
      <w:r>
        <w:t>The PBAC also considered g</w:t>
      </w:r>
      <w:r w:rsidR="00FF6136">
        <w:t>alcan</w:t>
      </w:r>
      <w:r w:rsidR="00F907C4">
        <w:t>ezumab</w:t>
      </w:r>
      <w:r w:rsidR="00FF6136">
        <w:t xml:space="preserve"> </w:t>
      </w:r>
      <w:r>
        <w:t>was</w:t>
      </w:r>
      <w:r w:rsidR="00FF6136">
        <w:t xml:space="preserve"> an appropriate comparator </w:t>
      </w:r>
      <w:r>
        <w:t>as</w:t>
      </w:r>
      <w:r w:rsidR="00FF6136">
        <w:t xml:space="preserve"> it was recommended at the July 2019 PBAC meeting.</w:t>
      </w:r>
    </w:p>
    <w:p w:rsidR="00D12DEE" w:rsidRPr="00D12DEE" w:rsidRDefault="00D12DEE" w:rsidP="00173AAF">
      <w:pPr>
        <w:pStyle w:val="3-BodyText"/>
      </w:pPr>
      <w:r>
        <w:t xml:space="preserve">The PBAC noted the clinical evidence </w:t>
      </w:r>
      <w:r w:rsidR="00BC09A6">
        <w:t xml:space="preserve">presented in the submission </w:t>
      </w:r>
      <w:r>
        <w:t>was based on the results of Study 30068, a randomised</w:t>
      </w:r>
      <w:r w:rsidR="00BC09A6">
        <w:t xml:space="preserve"> controlled trial of fremanezumab versus placebo in patients with episodic (n=329) and chronic migraine (n=509). The PBAC noted the clinical claim in the submission was based on a post hoc subgroup of </w:t>
      </w:r>
      <w:r w:rsidR="00BC09A6" w:rsidRPr="00BC09A6">
        <w:t>patients wi</w:t>
      </w:r>
      <w:r w:rsidR="00BC09A6">
        <w:t xml:space="preserve">th ≥ 3 prior treatment failures to more closely reflect the intended PBS population. </w:t>
      </w:r>
      <w:r w:rsidR="004F2FB3">
        <w:t xml:space="preserve">The PBAC considered that treatment with fremanezumab resulted in a clinically significant </w:t>
      </w:r>
      <w:r w:rsidR="004F2FB3" w:rsidRPr="004F2FB3">
        <w:t xml:space="preserve">reduction of </w:t>
      </w:r>
      <w:r w:rsidR="004F2FB3">
        <w:t>3 to 4 migraine days per month (</w:t>
      </w:r>
      <w:r w:rsidR="004F2FB3" w:rsidRPr="004F2FB3">
        <w:t>from a baseline of approximately 17)</w:t>
      </w:r>
      <w:r w:rsidR="004F2FB3">
        <w:t xml:space="preserve"> compared to placebo although there was uncertainty regarding the magnitude of the benefit</w:t>
      </w:r>
      <w:r w:rsidR="00BC09A6">
        <w:t xml:space="preserve"> (paragraph 6.51)</w:t>
      </w:r>
      <w:r w:rsidR="004F2FB3">
        <w:t xml:space="preserve">. </w:t>
      </w:r>
      <w:r w:rsidR="00173AAF" w:rsidRPr="00173AAF">
        <w:t>The PBAC considered the claim of non-inferior safety to placebo was not reasonable given the higher occurrence of injection site reactions in the fremanezumab treatment arms but overall, considered fremanezumab was reasonably well-tolerated.</w:t>
      </w:r>
    </w:p>
    <w:p w:rsidR="00046692" w:rsidRDefault="00E27B30" w:rsidP="00FF6024">
      <w:pPr>
        <w:pStyle w:val="3-BodyText"/>
      </w:pPr>
      <w:r w:rsidRPr="00173AAF">
        <w:t>The PBAC noted</w:t>
      </w:r>
      <w:r w:rsidR="00173AAF" w:rsidRPr="00173AAF">
        <w:t xml:space="preserve"> the submission presented </w:t>
      </w:r>
      <w:r w:rsidR="00173AAF">
        <w:t>indirect comparison</w:t>
      </w:r>
      <w:r w:rsidR="005006B6">
        <w:t>s</w:t>
      </w:r>
      <w:r w:rsidR="00173AAF">
        <w:t xml:space="preserve"> of fremanezumab versus Botox and galcanezumab, based on all patients with chronic migraine and the</w:t>
      </w:r>
      <w:r w:rsidR="00173AAF" w:rsidRPr="00173AAF">
        <w:t xml:space="preserve"> </w:t>
      </w:r>
      <w:r w:rsidR="00173AAF">
        <w:t xml:space="preserve">subgroup of </w:t>
      </w:r>
      <w:r w:rsidR="00173AAF" w:rsidRPr="00BC09A6">
        <w:t>patients wi</w:t>
      </w:r>
      <w:r w:rsidR="00173AAF">
        <w:t xml:space="preserve">th ≥ 3 prior treatment failures. </w:t>
      </w:r>
      <w:r w:rsidR="005710D9">
        <w:t xml:space="preserve">The PBAC noted there was no statistically significant difference in the mean change from baseline in the number of monthly migraine days between fremanezumab and Botox in the subgroup of </w:t>
      </w:r>
      <w:r w:rsidR="005710D9" w:rsidRPr="00BC09A6">
        <w:t>patients wi</w:t>
      </w:r>
      <w:r w:rsidR="005710D9">
        <w:t xml:space="preserve">th ≥ 3 prior treatment </w:t>
      </w:r>
      <w:r w:rsidR="005710D9" w:rsidRPr="00377AC4">
        <w:t>failures [</w:t>
      </w:r>
      <w:r w:rsidR="00D11BC9">
        <w:rPr>
          <w:noProof/>
          <w:color w:val="000000"/>
          <w:highlight w:val="black"/>
        </w:rPr>
        <w:t xml:space="preserve">''''''''''' </w:t>
      </w:r>
      <w:r w:rsidR="00377AC4" w:rsidRPr="00377AC4">
        <w:t xml:space="preserve">(95%CI: </w:t>
      </w:r>
      <w:r w:rsidR="00D11BC9">
        <w:rPr>
          <w:noProof/>
          <w:color w:val="000000"/>
          <w:highlight w:val="black"/>
        </w:rPr>
        <w:t>'''''''''</w:t>
      </w:r>
      <w:r w:rsidR="00377AC4" w:rsidRPr="00377AC4">
        <w:t xml:space="preserve">, </w:t>
      </w:r>
      <w:r w:rsidR="00D11BC9">
        <w:rPr>
          <w:noProof/>
          <w:color w:val="000000"/>
          <w:highlight w:val="black"/>
        </w:rPr>
        <w:t>'''''''''</w:t>
      </w:r>
      <w:r w:rsidR="005710D9" w:rsidRPr="00377AC4">
        <w:t>) for 4</w:t>
      </w:r>
      <w:r w:rsidR="005710D9">
        <w:t xml:space="preserve"> weekly dose, </w:t>
      </w:r>
      <w:r w:rsidR="00D11BC9">
        <w:rPr>
          <w:noProof/>
          <w:color w:val="000000"/>
          <w:highlight w:val="black"/>
        </w:rPr>
        <w:t>'''''''''</w:t>
      </w:r>
      <w:r w:rsidR="005710D9">
        <w:t xml:space="preserve"> (95%CI: </w:t>
      </w:r>
      <w:r w:rsidR="00D11BC9">
        <w:rPr>
          <w:noProof/>
          <w:color w:val="000000"/>
          <w:highlight w:val="black"/>
        </w:rPr>
        <w:t>''''''''''</w:t>
      </w:r>
      <w:r w:rsidR="005710D9">
        <w:t xml:space="preserve">, </w:t>
      </w:r>
      <w:r w:rsidR="00D11BC9">
        <w:rPr>
          <w:noProof/>
          <w:color w:val="000000"/>
          <w:highlight w:val="black"/>
        </w:rPr>
        <w:t>''''''''</w:t>
      </w:r>
      <w:r w:rsidR="005710D9">
        <w:t xml:space="preserve">) for 12 weekly dose], although </w:t>
      </w:r>
      <w:r w:rsidR="00753E8D">
        <w:t xml:space="preserve">the </w:t>
      </w:r>
      <w:r w:rsidR="005710D9">
        <w:t xml:space="preserve">non-inferiority </w:t>
      </w:r>
      <w:r w:rsidR="00753E8D">
        <w:t xml:space="preserve">margin </w:t>
      </w:r>
      <w:r w:rsidR="005710D9">
        <w:t xml:space="preserve">was not met for the 12 weekly dose (upper 95% CI exceeded 2). </w:t>
      </w:r>
      <w:r w:rsidR="003D44BC">
        <w:t xml:space="preserve">The PBAC </w:t>
      </w:r>
      <w:r w:rsidR="00BC6B83">
        <w:t>noted there was no statistically significant</w:t>
      </w:r>
      <w:r w:rsidR="005710D9">
        <w:t xml:space="preserve"> difference for the mean change from baseline in number</w:t>
      </w:r>
      <w:r w:rsidR="00BC6B83">
        <w:t xml:space="preserve"> </w:t>
      </w:r>
      <w:r w:rsidR="005710D9">
        <w:t xml:space="preserve">of </w:t>
      </w:r>
      <w:r w:rsidR="00BC6B83">
        <w:t xml:space="preserve">monthly migraine days between fremanezumab and galcanezumab in the subgroup of </w:t>
      </w:r>
      <w:r w:rsidR="00BC6B83" w:rsidRPr="00BC09A6">
        <w:t>patients wi</w:t>
      </w:r>
      <w:r w:rsidR="00BC6B83">
        <w:t>th ≥ 3 prior treatment failures</w:t>
      </w:r>
      <w:r w:rsidR="005710D9">
        <w:t xml:space="preserve"> [</w:t>
      </w:r>
      <w:r w:rsidR="00D11BC9">
        <w:rPr>
          <w:noProof/>
          <w:color w:val="000000"/>
          <w:highlight w:val="black"/>
        </w:rPr>
        <w:t>'''''''''</w:t>
      </w:r>
      <w:r w:rsidR="005710D9">
        <w:t xml:space="preserve"> (95%CI: </w:t>
      </w:r>
      <w:r w:rsidR="00D11BC9">
        <w:rPr>
          <w:noProof/>
          <w:color w:val="000000"/>
          <w:highlight w:val="black"/>
        </w:rPr>
        <w:t>'''''''''</w:t>
      </w:r>
      <w:r w:rsidR="005710D9">
        <w:t xml:space="preserve">, </w:t>
      </w:r>
      <w:r w:rsidR="00D11BC9">
        <w:rPr>
          <w:noProof/>
          <w:color w:val="000000"/>
          <w:highlight w:val="black"/>
        </w:rPr>
        <w:t>'''''''''</w:t>
      </w:r>
      <w:r w:rsidR="005710D9">
        <w:t xml:space="preserve">) for 4 weekly dose, </w:t>
      </w:r>
      <w:r w:rsidR="00D11BC9">
        <w:rPr>
          <w:noProof/>
          <w:color w:val="000000"/>
          <w:highlight w:val="black"/>
        </w:rPr>
        <w:t>'''''''''</w:t>
      </w:r>
      <w:r w:rsidR="005710D9">
        <w:t xml:space="preserve"> (95%CI: </w:t>
      </w:r>
      <w:r w:rsidR="00D11BC9">
        <w:rPr>
          <w:noProof/>
          <w:color w:val="000000"/>
          <w:highlight w:val="black"/>
        </w:rPr>
        <w:t>'''''''''''</w:t>
      </w:r>
      <w:r w:rsidR="005710D9">
        <w:t xml:space="preserve">, </w:t>
      </w:r>
      <w:r w:rsidR="00D11BC9">
        <w:rPr>
          <w:noProof/>
          <w:color w:val="000000"/>
          <w:highlight w:val="black"/>
        </w:rPr>
        <w:t>''''''''</w:t>
      </w:r>
      <w:r w:rsidR="005710D9">
        <w:t>) for 12 weekly dose], although the non-inferiority margin was not met (upper 95% CI exceeded 2)</w:t>
      </w:r>
      <w:r w:rsidR="00BC6B83">
        <w:t xml:space="preserve">. </w:t>
      </w:r>
      <w:r w:rsidR="00DF6185">
        <w:t>However, the PBAC noted there were statistically significant differences between fremanezumab 4 weekly and galcanezumab (favouring fremanezumab) for the indirect comparison of this outcome in all patients with chronic migraine [</w:t>
      </w:r>
      <w:r w:rsidR="00D11BC9">
        <w:rPr>
          <w:noProof/>
          <w:color w:val="000000"/>
          <w:highlight w:val="black"/>
        </w:rPr>
        <w:t xml:space="preserve">''''''''' </w:t>
      </w:r>
      <w:r w:rsidR="00DF6185">
        <w:t xml:space="preserve">(95%CI: </w:t>
      </w:r>
      <w:r w:rsidR="00D11BC9">
        <w:rPr>
          <w:noProof/>
          <w:color w:val="000000"/>
          <w:highlight w:val="black"/>
        </w:rPr>
        <w:t>''''''''''</w:t>
      </w:r>
      <w:r w:rsidR="00DF6185">
        <w:t xml:space="preserve">, </w:t>
      </w:r>
      <w:r w:rsidR="00D11BC9">
        <w:rPr>
          <w:noProof/>
          <w:color w:val="000000"/>
          <w:highlight w:val="black"/>
        </w:rPr>
        <w:t>'''''''''''</w:t>
      </w:r>
      <w:r w:rsidR="00DF6185">
        <w:t xml:space="preserve">)]. </w:t>
      </w:r>
      <w:r w:rsidR="00823901">
        <w:t xml:space="preserve">The PBAC noted an indirect comparison of safety data for all patients with chronic migraine was presented in the submission (paragraph 6.46). </w:t>
      </w:r>
      <w:r w:rsidR="00046692" w:rsidRPr="00046692">
        <w:t>The PBAC noted there were a number of transitivity issues with the ind</w:t>
      </w:r>
      <w:r w:rsidR="00046692">
        <w:t xml:space="preserve">irect comparisons of fremanezumab versus Botox and </w:t>
      </w:r>
      <w:r w:rsidR="00046692" w:rsidRPr="00046692">
        <w:t>galcanezumab</w:t>
      </w:r>
      <w:r>
        <w:t xml:space="preserve"> (paragraph 6.53)</w:t>
      </w:r>
      <w:r w:rsidR="00046692" w:rsidRPr="00046692">
        <w:t xml:space="preserve">, but considered that on balance, the claim of non-inferior effectiveness </w:t>
      </w:r>
      <w:r w:rsidR="00046692">
        <w:t xml:space="preserve">and safety </w:t>
      </w:r>
      <w:r w:rsidR="00046692" w:rsidRPr="00046692">
        <w:t>was supported.</w:t>
      </w:r>
      <w:r w:rsidR="00FF6024">
        <w:t xml:space="preserve"> </w:t>
      </w:r>
      <w:r w:rsidR="00FF6024" w:rsidRPr="00FF6024">
        <w:t xml:space="preserve">The PBAC considered that </w:t>
      </w:r>
      <w:r w:rsidR="00173AAF">
        <w:t>fremanezumab,</w:t>
      </w:r>
      <w:r w:rsidR="00173AAF" w:rsidRPr="00FF6024">
        <w:t xml:space="preserve"> </w:t>
      </w:r>
      <w:r w:rsidR="00FF6024" w:rsidRPr="00FF6024">
        <w:t>Botox</w:t>
      </w:r>
      <w:r w:rsidR="00173AAF">
        <w:t xml:space="preserve"> and </w:t>
      </w:r>
      <w:r w:rsidR="00FF6024" w:rsidRPr="00FF6024">
        <w:t>galcanezumab all provided a similar</w:t>
      </w:r>
      <w:r w:rsidR="00F73036">
        <w:t xml:space="preserve"> </w:t>
      </w:r>
      <w:r w:rsidR="00A8264F">
        <w:t>r</w:t>
      </w:r>
      <w:r w:rsidR="00FF6024" w:rsidRPr="00FF6024">
        <w:t>eduction in monthly migraine days</w:t>
      </w:r>
      <w:r w:rsidR="00F73036">
        <w:t xml:space="preserve"> with</w:t>
      </w:r>
      <w:r w:rsidR="004F2FB3">
        <w:t xml:space="preserve"> comparable safety</w:t>
      </w:r>
      <w:r w:rsidR="00FF6024">
        <w:t xml:space="preserve">. </w:t>
      </w:r>
    </w:p>
    <w:p w:rsidR="00FC30AE" w:rsidRDefault="00E80FF6" w:rsidP="000F2EE3">
      <w:pPr>
        <w:pStyle w:val="3-BodyText"/>
      </w:pPr>
      <w:r>
        <w:t xml:space="preserve">The PBAC considered </w:t>
      </w:r>
      <w:r w:rsidR="00F460DD">
        <w:t xml:space="preserve">were </w:t>
      </w:r>
      <w:r w:rsidR="005E6D41">
        <w:t>frem</w:t>
      </w:r>
      <w:r w:rsidR="0051290D">
        <w:t>anezumab</w:t>
      </w:r>
      <w:r w:rsidR="005E6D41">
        <w:t xml:space="preserve"> </w:t>
      </w:r>
      <w:r w:rsidR="00F460DD">
        <w:t xml:space="preserve">recommended for listing, it </w:t>
      </w:r>
      <w:r w:rsidR="005E6D41">
        <w:t xml:space="preserve">should be listed on </w:t>
      </w:r>
      <w:r>
        <w:t xml:space="preserve">a </w:t>
      </w:r>
      <w:r w:rsidR="005E6D41">
        <w:t>cost-minimisation basis versus</w:t>
      </w:r>
      <w:r>
        <w:t xml:space="preserve"> Botox</w:t>
      </w:r>
      <w:r w:rsidR="005E6D41">
        <w:t xml:space="preserve">. The PBAC noted the equi-effective doses proposed in the submission were derived </w:t>
      </w:r>
      <w:r w:rsidR="00226CDB">
        <w:t>from PBS data</w:t>
      </w:r>
      <w:r w:rsidR="005E6D41">
        <w:t xml:space="preserve">. The PBAC considered the equi-effective doses </w:t>
      </w:r>
      <w:r w:rsidR="00226CDB">
        <w:t xml:space="preserve">should be sourced from </w:t>
      </w:r>
      <w:r w:rsidR="00A419D6">
        <w:t xml:space="preserve">the </w:t>
      </w:r>
      <w:r w:rsidR="00226CDB">
        <w:t xml:space="preserve">clinical data used to demonstrate non-inferiority </w:t>
      </w:r>
      <w:r>
        <w:t>(</w:t>
      </w:r>
      <w:r w:rsidRPr="005006B6">
        <w:t xml:space="preserve">paragraph </w:t>
      </w:r>
      <w:r w:rsidR="00393821" w:rsidRPr="005006B6">
        <w:t>6.6</w:t>
      </w:r>
      <w:r w:rsidR="00173AAF" w:rsidRPr="005006B6">
        <w:t>4</w:t>
      </w:r>
      <w:r w:rsidR="00393821" w:rsidRPr="005006B6">
        <w:t>).</w:t>
      </w:r>
      <w:r w:rsidR="00FD5D85">
        <w:t xml:space="preserve"> The PBAC recalled the trial-based equi-effective dose in the galcanezumab submission was 164U of Botox (paragraph 6.40, galcanezumab PSD, July 2019 PBAC m</w:t>
      </w:r>
      <w:r w:rsidR="00AE65C5">
        <w:t>eeting</w:t>
      </w:r>
      <w:r w:rsidR="00FD5D85">
        <w:t>) and given the same evidence base (PREEMP</w:t>
      </w:r>
      <w:r w:rsidR="00753E8D">
        <w:t>T</w:t>
      </w:r>
      <w:r w:rsidR="00FD5D85">
        <w:t xml:space="preserve"> 1 and 2) was used in the fremanezumab submission, considered it was appropriate to apply the same equi-effective dose to fremanezumab.</w:t>
      </w:r>
      <w:r w:rsidR="002D0684">
        <w:t xml:space="preserve"> </w:t>
      </w:r>
      <w:r w:rsidR="005E6D41">
        <w:t>On this basis the equi-effective doses are:</w:t>
      </w:r>
      <w:r w:rsidR="00FD5D85" w:rsidRPr="00FD5D85">
        <w:t xml:space="preserve"> fremanezumab 225 mg every month or 675 mg every three months</w:t>
      </w:r>
      <w:r w:rsidR="00FD5D85">
        <w:t xml:space="preserve"> and 164U of Botox every 12 weeks. </w:t>
      </w:r>
      <w:r w:rsidR="00DF5D69">
        <w:t>The PBAC advised the CMA should be conducted over 2 years of treatment for both medicines</w:t>
      </w:r>
    </w:p>
    <w:p w:rsidR="008C2DB7" w:rsidRDefault="00FD5D85" w:rsidP="00FD5D85">
      <w:pPr>
        <w:pStyle w:val="3-BodyText"/>
      </w:pPr>
      <w:r w:rsidRPr="00FD5D85">
        <w:t xml:space="preserve">The </w:t>
      </w:r>
      <w:r>
        <w:t xml:space="preserve">PBAC </w:t>
      </w:r>
      <w:r w:rsidR="007333F8">
        <w:t>noted that galcanezumab was also a relevant comparator and</w:t>
      </w:r>
      <w:r w:rsidR="007333F8" w:rsidRPr="00FD5D85">
        <w:t xml:space="preserve"> </w:t>
      </w:r>
      <w:r w:rsidRPr="00FD5D85">
        <w:t>considered the equi-effective doses to be fremanezumab 225 mg every mont</w:t>
      </w:r>
      <w:r w:rsidR="007333F8">
        <w:t xml:space="preserve">h or 675 mg every three months </w:t>
      </w:r>
      <w:r w:rsidRPr="00FD5D85">
        <w:t>and galcanezumab 240 mg initially followed by 120 mg once monthly</w:t>
      </w:r>
      <w:r w:rsidR="00753E8D">
        <w:t>.</w:t>
      </w:r>
      <w:r w:rsidR="00FE0C81" w:rsidRPr="00FE0C81">
        <w:t xml:space="preserve"> </w:t>
      </w:r>
      <w:r w:rsidR="00FE0C81">
        <w:t xml:space="preserve">The PBAC advised the CMA should be conducted over 2 years of treatment for both medicines. </w:t>
      </w:r>
    </w:p>
    <w:p w:rsidR="00070945" w:rsidRDefault="00027611" w:rsidP="00CD7B72">
      <w:pPr>
        <w:pStyle w:val="3-BodyText"/>
      </w:pPr>
      <w:r w:rsidRPr="00027611">
        <w:t xml:space="preserve">The PBAC considered there was a high level of uncertainty regarding the number of patients </w:t>
      </w:r>
      <w:r w:rsidR="0040218B">
        <w:t>who</w:t>
      </w:r>
      <w:r w:rsidR="0040218B" w:rsidRPr="00027611">
        <w:t xml:space="preserve"> </w:t>
      </w:r>
      <w:r w:rsidRPr="00027611">
        <w:t>would be treated and the net financial</w:t>
      </w:r>
      <w:r>
        <w:t xml:space="preserve"> cost of listing fremanezumab </w:t>
      </w:r>
      <w:r w:rsidRPr="00027611">
        <w:t>on the PBS.</w:t>
      </w:r>
      <w:r w:rsidR="002D0684">
        <w:t xml:space="preserve"> </w:t>
      </w:r>
      <w:r w:rsidR="007333F8">
        <w:t xml:space="preserve">The PBAC </w:t>
      </w:r>
      <w:r w:rsidR="00574879">
        <w:t xml:space="preserve">noted the submission estimated </w:t>
      </w:r>
      <w:r w:rsidR="000F19F4">
        <w:t xml:space="preserve">10,000 – 50,000 </w:t>
      </w:r>
      <w:r w:rsidR="00574879">
        <w:t xml:space="preserve">patients would be treated with fremanezumab in the first year, increasing to </w:t>
      </w:r>
      <w:r w:rsidR="000F19F4">
        <w:t>10,000 – 50,000</w:t>
      </w:r>
      <w:r w:rsidR="00574879">
        <w:t xml:space="preserve"> in year 6 and considered these estimates were highly uncertain because the methodology used was not reliable. The </w:t>
      </w:r>
      <w:r w:rsidR="00CD7B72">
        <w:t xml:space="preserve">PBAC noted the financial estimates included an offset for up to </w:t>
      </w:r>
      <w:r w:rsidR="000F19F4">
        <w:t>10,000 – 50,000</w:t>
      </w:r>
      <w:r w:rsidR="00CD7B72">
        <w:t xml:space="preserve"> Botox patients and considered this was</w:t>
      </w:r>
      <w:r w:rsidR="005006B6">
        <w:t xml:space="preserve"> </w:t>
      </w:r>
      <w:r w:rsidR="002B40C6">
        <w:t>based on assumptions that were not reasonable (paragraph 6.85)</w:t>
      </w:r>
      <w:r w:rsidR="00CD7B72">
        <w:t xml:space="preserve">. </w:t>
      </w:r>
      <w:r w:rsidR="00121F0F">
        <w:t xml:space="preserve">The PBAC considered there was a high risk of use outside the restriction criteria (paragraph </w:t>
      </w:r>
      <w:r w:rsidR="00121F0F" w:rsidRPr="005006B6">
        <w:t>2.3)</w:t>
      </w:r>
      <w:r w:rsidR="00121F0F">
        <w:t xml:space="preserve"> which </w:t>
      </w:r>
      <w:r w:rsidR="00A419D6">
        <w:t>further increased the</w:t>
      </w:r>
      <w:r w:rsidR="00121F0F">
        <w:t xml:space="preserve"> uncertainty associated with the net financial cost. </w:t>
      </w:r>
      <w:r w:rsidR="00F81F9D">
        <w:t xml:space="preserve">The PBAC agreed with the ESC that the </w:t>
      </w:r>
      <w:r w:rsidR="00F81F9D" w:rsidRPr="00377AC4">
        <w:t xml:space="preserve">proposed </w:t>
      </w:r>
      <w:r w:rsidR="00D11BC9">
        <w:rPr>
          <w:noProof/>
          <w:color w:val="000000"/>
          <w:highlight w:val="black"/>
        </w:rPr>
        <w:t>''''''</w:t>
      </w:r>
      <w:r w:rsidR="00377AC4" w:rsidRPr="00377AC4">
        <w:t xml:space="preserve">% </w:t>
      </w:r>
      <w:r w:rsidR="00F81F9D" w:rsidRPr="00377AC4">
        <w:t>rebate</w:t>
      </w:r>
      <w:r w:rsidR="00F81F9D">
        <w:t xml:space="preserve"> did not a</w:t>
      </w:r>
      <w:r w:rsidR="00F81F9D" w:rsidRPr="005006B6">
        <w:t>dequately share the risk of use above the proposed expenditure cap (paragraph 6.</w:t>
      </w:r>
      <w:r w:rsidR="005006B6" w:rsidRPr="005006B6">
        <w:t>89</w:t>
      </w:r>
      <w:r w:rsidR="00F81F9D" w:rsidRPr="005006B6">
        <w:t>).</w:t>
      </w:r>
      <w:r w:rsidR="00F81F9D">
        <w:t xml:space="preserve"> </w:t>
      </w:r>
    </w:p>
    <w:p w:rsidR="007333F8" w:rsidRDefault="00F460DD" w:rsidP="001B49DF">
      <w:pPr>
        <w:pStyle w:val="3-BodyText"/>
      </w:pPr>
      <w:r>
        <w:t>The PBAC considered that a RSA</w:t>
      </w:r>
      <w:r w:rsidR="00B077A3">
        <w:t xml:space="preserve"> with significant rebates above the caps</w:t>
      </w:r>
      <w:r>
        <w:t xml:space="preserve"> will be required to manage the total financial impact of </w:t>
      </w:r>
      <w:r w:rsidR="00DF5D69">
        <w:t xml:space="preserve">listing </w:t>
      </w:r>
      <w:r>
        <w:t>fremanezumab, noting highly uncertain and high financial estimates</w:t>
      </w:r>
      <w:r w:rsidR="00631872">
        <w:t>.</w:t>
      </w:r>
      <w:r>
        <w:t xml:space="preserve"> The PBAC further considered that any RSA would likely need to take into account the use of Botox and be shared across any other</w:t>
      </w:r>
      <w:r w:rsidR="00B077A3">
        <w:t xml:space="preserve"> novel agents for this condition, such as other</w:t>
      </w:r>
      <w:r>
        <w:t xml:space="preserve"> </w:t>
      </w:r>
      <w:r w:rsidRPr="001341EF">
        <w:t>CGRP ligand antagonists</w:t>
      </w:r>
      <w:r>
        <w:t xml:space="preserve">, or </w:t>
      </w:r>
      <w:r w:rsidRPr="001341EF">
        <w:t>CGRP receptor antagonist</w:t>
      </w:r>
      <w:r>
        <w:t>s that might be listed on the PBS in the future.</w:t>
      </w:r>
    </w:p>
    <w:p w:rsidR="000A5FF4" w:rsidRDefault="000A5FF4" w:rsidP="00A450CD">
      <w:pPr>
        <w:pStyle w:val="3-BodyText"/>
      </w:pPr>
      <w:r w:rsidRPr="00B064C9">
        <w:t>The PBAC considered any resubmission for fremanezumab could be a minor</w:t>
      </w:r>
      <w:r>
        <w:t xml:space="preserve"> submission and should provide the following:</w:t>
      </w:r>
    </w:p>
    <w:p w:rsidR="00FF0C2F" w:rsidRDefault="00FF0C2F" w:rsidP="00DF5D69">
      <w:pPr>
        <w:pStyle w:val="3-BodyText"/>
        <w:numPr>
          <w:ilvl w:val="2"/>
          <w:numId w:val="3"/>
        </w:numPr>
        <w:ind w:left="1418" w:hanging="709"/>
      </w:pPr>
      <w:r>
        <w:t>A revised restriction criteria</w:t>
      </w:r>
      <w:r w:rsidR="00DF5D69">
        <w:t xml:space="preserve"> with</w:t>
      </w:r>
      <w:r w:rsidR="00DF5D69" w:rsidRPr="00DF5D69">
        <w:t xml:space="preserve"> initial treatment prescribed by neurologists with continuing treatment prescribed by, or in conjunction with, a neurologist</w:t>
      </w:r>
      <w:r w:rsidR="00DF5D69">
        <w:t xml:space="preserve"> </w:t>
      </w:r>
      <w:r>
        <w:t>consistent with that recommended for galcanezumab (</w:t>
      </w:r>
      <w:r w:rsidR="00630C51">
        <w:t>paragraph 8.1</w:t>
      </w:r>
      <w:r>
        <w:t>, galcanezumab PSD, July 2019 PBAC meeting).</w:t>
      </w:r>
    </w:p>
    <w:p w:rsidR="000A5FF4" w:rsidRDefault="000A5FF4" w:rsidP="003D44BC">
      <w:pPr>
        <w:pStyle w:val="3-BodyText"/>
        <w:numPr>
          <w:ilvl w:val="2"/>
          <w:numId w:val="3"/>
        </w:numPr>
        <w:ind w:hanging="11"/>
      </w:pPr>
      <w:r>
        <w:t xml:space="preserve">A revised CMA versus Botox </w:t>
      </w:r>
      <w:r w:rsidR="003D44BC">
        <w:t xml:space="preserve">over a 2 year time period using equi-effective </w:t>
      </w:r>
      <w:r w:rsidR="002B40C6">
        <w:tab/>
      </w:r>
      <w:r w:rsidR="003D44BC">
        <w:t xml:space="preserve">doses of </w:t>
      </w:r>
      <w:r w:rsidR="003D44BC" w:rsidRPr="003D44BC">
        <w:t xml:space="preserve">fremanezumab 225 mg every month or 675 mg every three months </w:t>
      </w:r>
      <w:r w:rsidR="002B40C6">
        <w:tab/>
      </w:r>
      <w:r w:rsidR="003D44BC" w:rsidRPr="003D44BC">
        <w:t>and 164U of Botox every 12 weeks.</w:t>
      </w:r>
      <w:r w:rsidR="002D0684">
        <w:t xml:space="preserve">  </w:t>
      </w:r>
    </w:p>
    <w:p w:rsidR="000302B4" w:rsidRPr="000302B4" w:rsidRDefault="00932CDD" w:rsidP="00C27A17">
      <w:pPr>
        <w:pStyle w:val="3-BodyText"/>
        <w:numPr>
          <w:ilvl w:val="2"/>
          <w:numId w:val="3"/>
        </w:numPr>
        <w:ind w:hanging="11"/>
      </w:pPr>
      <w:r w:rsidRPr="000302B4">
        <w:t>A r</w:t>
      </w:r>
      <w:r w:rsidR="000A5FF4" w:rsidRPr="000302B4">
        <w:t xml:space="preserve">evised </w:t>
      </w:r>
      <w:r w:rsidRPr="000302B4">
        <w:t>estimate of patient numbers</w:t>
      </w:r>
      <w:r w:rsidR="00967069">
        <w:t xml:space="preserve"> addressing the issues raised in </w:t>
      </w:r>
      <w:r w:rsidR="00967069">
        <w:tab/>
        <w:t>paragraph 7.9</w:t>
      </w:r>
      <w:r w:rsidR="00FF0C2F">
        <w:t>.</w:t>
      </w:r>
    </w:p>
    <w:p w:rsidR="000A5FF4" w:rsidRPr="000302B4" w:rsidRDefault="000302B4" w:rsidP="00C27A17">
      <w:pPr>
        <w:pStyle w:val="3-BodyText"/>
        <w:numPr>
          <w:ilvl w:val="2"/>
          <w:numId w:val="3"/>
        </w:numPr>
        <w:ind w:hanging="11"/>
      </w:pPr>
      <w:r w:rsidRPr="000302B4">
        <w:t>A r</w:t>
      </w:r>
      <w:r w:rsidR="00932CDD" w:rsidRPr="000302B4">
        <w:t xml:space="preserve">evised </w:t>
      </w:r>
      <w:r w:rsidR="000A5FF4" w:rsidRPr="000302B4">
        <w:t>estimate</w:t>
      </w:r>
      <w:r w:rsidRPr="000302B4">
        <w:t xml:space="preserve"> of the net financial cost of listing fremanezumab</w:t>
      </w:r>
      <w:r w:rsidR="00FF0C2F">
        <w:t xml:space="preserve"> that </w:t>
      </w:r>
      <w:r w:rsidR="00FF0C2F">
        <w:tab/>
        <w:t>addresses the proportion of patient</w:t>
      </w:r>
      <w:r w:rsidR="00753E8D">
        <w:t>s</w:t>
      </w:r>
      <w:r w:rsidR="00FF0C2F">
        <w:t xml:space="preserve"> continuing therapy beyond the 12 week </w:t>
      </w:r>
      <w:r w:rsidR="00FF0C2F">
        <w:tab/>
        <w:t>assessment period</w:t>
      </w:r>
      <w:r w:rsidR="00630C51">
        <w:t xml:space="preserve"> and</w:t>
      </w:r>
      <w:r w:rsidR="00FF0C2F">
        <w:t xml:space="preserve"> appropriately accounts for substitution with Botox</w:t>
      </w:r>
      <w:r w:rsidR="002D0684">
        <w:t xml:space="preserve"> </w:t>
      </w:r>
      <w:r w:rsidR="00FF0C2F">
        <w:tab/>
        <w:t xml:space="preserve"> (paragraph 6.85).</w:t>
      </w:r>
    </w:p>
    <w:p w:rsidR="000A5FF4" w:rsidRDefault="00932CDD" w:rsidP="00C27A17">
      <w:pPr>
        <w:pStyle w:val="3-BodyText"/>
        <w:numPr>
          <w:ilvl w:val="2"/>
          <w:numId w:val="3"/>
        </w:numPr>
        <w:ind w:hanging="11"/>
      </w:pPr>
      <w:r>
        <w:t>Details regarding a</w:t>
      </w:r>
      <w:r w:rsidR="000A5FF4">
        <w:t xml:space="preserve"> risk share arrangement that appropriately manages the </w:t>
      </w:r>
      <w:r>
        <w:tab/>
      </w:r>
      <w:r w:rsidR="005A7646">
        <w:t xml:space="preserve">uncertainty regarding the size of the patient population and the </w:t>
      </w:r>
      <w:r w:rsidR="000A5FF4">
        <w:t>risks</w:t>
      </w:r>
      <w:r w:rsidR="003D44BC">
        <w:t xml:space="preserve"> identified</w:t>
      </w:r>
      <w:r w:rsidR="000A5FF4">
        <w:t xml:space="preserve"> </w:t>
      </w:r>
      <w:r w:rsidR="003D44BC">
        <w:tab/>
      </w:r>
      <w:r w:rsidR="000A5FF4">
        <w:t xml:space="preserve">in </w:t>
      </w:r>
      <w:r w:rsidR="000A5FF4" w:rsidRPr="00121F0F">
        <w:t xml:space="preserve">paragraph </w:t>
      </w:r>
      <w:r w:rsidR="00121F0F" w:rsidRPr="003D44BC">
        <w:t>2.3</w:t>
      </w:r>
      <w:r w:rsidR="005A7646" w:rsidRPr="003D44BC">
        <w:t>.</w:t>
      </w:r>
      <w:r w:rsidR="005A7646">
        <w:t xml:space="preserve"> </w:t>
      </w:r>
    </w:p>
    <w:p w:rsidR="00D334C7" w:rsidRPr="00D334C7" w:rsidRDefault="00D334C7" w:rsidP="00D334C7">
      <w:pPr>
        <w:rPr>
          <w:b/>
        </w:rPr>
      </w:pPr>
      <w:r w:rsidRPr="00D334C7">
        <w:rPr>
          <w:b/>
        </w:rPr>
        <w:t>Outcome:</w:t>
      </w:r>
    </w:p>
    <w:p w:rsidR="00D334C7" w:rsidRDefault="00D334C7" w:rsidP="00D334C7">
      <w:r w:rsidRPr="00C27A17">
        <w:t>Deferred</w:t>
      </w:r>
    </w:p>
    <w:p w:rsidR="000F19F4" w:rsidRDefault="000F19F4" w:rsidP="000F19F4">
      <w:pPr>
        <w:pStyle w:val="2Sections"/>
        <w:numPr>
          <w:ilvl w:val="0"/>
          <w:numId w:val="3"/>
        </w:numPr>
        <w:rPr>
          <w:rFonts w:cstheme="minorHAnsi"/>
        </w:rPr>
      </w:pPr>
      <w:r>
        <w:t xml:space="preserve">Context for Decision </w:t>
      </w:r>
    </w:p>
    <w:p w:rsidR="0041000B" w:rsidRPr="0041000B" w:rsidRDefault="0041000B" w:rsidP="0041000B">
      <w:pPr>
        <w:rPr>
          <w:rFonts w:asciiTheme="minorHAnsi" w:eastAsiaTheme="minorHAnsi" w:hAnsiTheme="minorHAnsi" w:cs="Arial"/>
          <w:bCs/>
          <w:szCs w:val="22"/>
          <w:lang w:val="en-GB"/>
        </w:rPr>
      </w:pPr>
      <w:r w:rsidRPr="0041000B">
        <w:rPr>
          <w:rFonts w:asciiTheme="minorHAnsi" w:eastAsiaTheme="minorHAnsi" w:hAnsiTheme="minorHAnsi" w:cs="Arial"/>
          <w:bCs/>
          <w:szCs w:val="22"/>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F19F4" w:rsidRPr="00D53BD3" w:rsidRDefault="000F19F4" w:rsidP="000F19F4">
      <w:pPr>
        <w:pStyle w:val="2Sections"/>
        <w:numPr>
          <w:ilvl w:val="0"/>
          <w:numId w:val="3"/>
        </w:numPr>
      </w:pPr>
      <w:r w:rsidRPr="00D53BD3">
        <w:t>Sponsor’s Comment</w:t>
      </w:r>
    </w:p>
    <w:p w:rsidR="000F19F4" w:rsidRPr="006258D8" w:rsidRDefault="005474D1" w:rsidP="00021367">
      <w:r w:rsidRPr="005474D1">
        <w:rPr>
          <w:rFonts w:asciiTheme="minorHAnsi" w:eastAsiaTheme="minorHAnsi" w:hAnsiTheme="minorHAnsi" w:cs="Arial"/>
          <w:bCs/>
          <w:szCs w:val="22"/>
          <w:lang w:val="en-GB"/>
        </w:rPr>
        <w:t>The Sponsor thanks the PBAC for its deliberations and will continue to work with the committee and the Department to make Fremanezumab available for Australian patients suffering with chronic migraine.</w:t>
      </w:r>
    </w:p>
    <w:sectPr w:rsidR="000F19F4" w:rsidRPr="006258D8" w:rsidSect="00A844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D4376" w16cid:durableId="21594442"/>
  <w16cid:commentId w16cid:paraId="76BE513A" w16cid:durableId="21594443"/>
  <w16cid:commentId w16cid:paraId="11E83D0A" w16cid:durableId="21594444"/>
  <w16cid:commentId w16cid:paraId="06F32448" w16cid:durableId="21594445"/>
  <w16cid:commentId w16cid:paraId="30BA6CF1" w16cid:durableId="21594446"/>
  <w16cid:commentId w16cid:paraId="26A1D0E9" w16cid:durableId="21594447"/>
  <w16cid:commentId w16cid:paraId="0FD2BF81" w16cid:durableId="21594751"/>
  <w16cid:commentId w16cid:paraId="157A74D6" w16cid:durableId="21594448"/>
  <w16cid:commentId w16cid:paraId="15E1052B" w16cid:durableId="21594449"/>
  <w16cid:commentId w16cid:paraId="74900AC6" w16cid:durableId="2159444A"/>
  <w16cid:commentId w16cid:paraId="3233E8BC" w16cid:durableId="2159444B"/>
  <w16cid:commentId w16cid:paraId="0C743A0F" w16cid:durableId="2159444C"/>
  <w16cid:commentId w16cid:paraId="61E4090B" w16cid:durableId="2159444D"/>
  <w16cid:commentId w16cid:paraId="5ECCE32C" w16cid:durableId="21594819"/>
  <w16cid:commentId w16cid:paraId="043BE2A9" w16cid:durableId="2159444E"/>
  <w16cid:commentId w16cid:paraId="087323F2" w16cid:durableId="2159444F"/>
  <w16cid:commentId w16cid:paraId="4436B762" w16cid:durableId="21594450"/>
  <w16cid:commentId w16cid:paraId="0225F47C" w16cid:durableId="21594451"/>
  <w16cid:commentId w16cid:paraId="0520F046" w16cid:durableId="21594452"/>
  <w16cid:commentId w16cid:paraId="1E7FFE71" w16cid:durableId="21594453"/>
  <w16cid:commentId w16cid:paraId="6C916D4F" w16cid:durableId="21594454"/>
  <w16cid:commentId w16cid:paraId="4B07F59C" w16cid:durableId="21594455"/>
  <w16cid:commentId w16cid:paraId="57CCB793" w16cid:durableId="21594456"/>
  <w16cid:commentId w16cid:paraId="1503E14E" w16cid:durableId="21594457"/>
  <w16cid:commentId w16cid:paraId="2FD86E8E" w16cid:durableId="21594458"/>
  <w16cid:commentId w16cid:paraId="132D22FD" w16cid:durableId="21594459"/>
  <w16cid:commentId w16cid:paraId="486C2CAE" w16cid:durableId="2159445A"/>
  <w16cid:commentId w16cid:paraId="406043CC" w16cid:durableId="2159445B"/>
  <w16cid:commentId w16cid:paraId="4815CFD6" w16cid:durableId="2159445C"/>
  <w16cid:commentId w16cid:paraId="5D3EE230" w16cid:durableId="2159445D"/>
  <w16cid:commentId w16cid:paraId="07D31FB5" w16cid:durableId="2159445E"/>
  <w16cid:commentId w16cid:paraId="497429DC" w16cid:durableId="2159445F"/>
  <w16cid:commentId w16cid:paraId="0876C53A" w16cid:durableId="215944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C9" w:rsidRDefault="00D11BC9" w:rsidP="00BA3306">
      <w:r>
        <w:separator/>
      </w:r>
    </w:p>
  </w:endnote>
  <w:endnote w:type="continuationSeparator" w:id="0">
    <w:p w:rsidR="00D11BC9" w:rsidRDefault="00D11BC9"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FPEF">
    <w:altName w:val="Yu Gothic"/>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A" w:rsidRDefault="00A7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30" w:rsidRDefault="00E34630">
    <w:pPr>
      <w:pStyle w:val="Footer"/>
    </w:pPr>
  </w:p>
  <w:p w:rsidR="00E34630" w:rsidRDefault="00E34630" w:rsidP="003C0CB5">
    <w:pPr>
      <w:pStyle w:val="PageFooter"/>
    </w:pPr>
    <w:r>
      <w:fldChar w:fldCharType="begin"/>
    </w:r>
    <w:r>
      <w:instrText xml:space="preserve"> PAGE   \* MERGEFORMAT </w:instrText>
    </w:r>
    <w:r>
      <w:fldChar w:fldCharType="separate"/>
    </w:r>
    <w:r w:rsidR="00D11BC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A" w:rsidRDefault="00A7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C9" w:rsidRDefault="00D11BC9" w:rsidP="00BA3306">
      <w:r>
        <w:separator/>
      </w:r>
    </w:p>
  </w:footnote>
  <w:footnote w:type="continuationSeparator" w:id="0">
    <w:p w:rsidR="00D11BC9" w:rsidRDefault="00D11BC9" w:rsidP="00BA3306">
      <w:r>
        <w:continuationSeparator/>
      </w:r>
    </w:p>
  </w:footnote>
  <w:footnote w:id="1">
    <w:p w:rsidR="00E34630" w:rsidRDefault="00E34630">
      <w:pPr>
        <w:pStyle w:val="FootnoteText"/>
      </w:pPr>
      <w:r>
        <w:rPr>
          <w:rStyle w:val="FootnoteReference"/>
        </w:rPr>
        <w:footnoteRef/>
      </w:r>
      <w:r>
        <w:t xml:space="preserve"> </w:t>
      </w:r>
      <w:r w:rsidRPr="00D764F3">
        <w:t xml:space="preserve">Natoli, J. L., A. Manack, B. Dean, Q. Butler, C. C. Turkel, L. Stovner and R. B. Lipton (2010). "Global prevalence of chronic migraine: a systematic review." </w:t>
      </w:r>
      <w:r w:rsidRPr="00453169">
        <w:t>Cephalalgia 30(5): 599</w:t>
      </w:r>
      <w:r w:rsidRPr="00D764F3">
        <w:t>-609.</w:t>
      </w:r>
    </w:p>
  </w:footnote>
  <w:footnote w:id="2">
    <w:p w:rsidR="00E34630" w:rsidRDefault="00E34630" w:rsidP="00F32178">
      <w:pPr>
        <w:pStyle w:val="FootnoteText"/>
      </w:pPr>
      <w:r w:rsidRPr="00F32178">
        <w:rPr>
          <w:rStyle w:val="FootnoteReference"/>
        </w:rPr>
        <w:footnoteRef/>
      </w:r>
      <w:r w:rsidRPr="00F32178">
        <w:t xml:space="preserve"> AEMP $</w:t>
      </w:r>
      <w:r w:rsidR="00D11BC9">
        <w:rPr>
          <w:noProof/>
          <w:color w:val="000000"/>
          <w:highlight w:val="black"/>
        </w:rPr>
        <w:t>'''''''''''''</w:t>
      </w:r>
      <w:r w:rsidRPr="00F32178">
        <w:t xml:space="preserve"> (Table 18). Monthly: DPMQ $</w:t>
      </w:r>
      <w:r w:rsidR="00D11BC9">
        <w:rPr>
          <w:noProof/>
          <w:color w:val="000000"/>
          <w:highlight w:val="black"/>
        </w:rPr>
        <w:t>''''''''''''''</w:t>
      </w:r>
      <w:r w:rsidRPr="00F32178">
        <w:t>, treatment cost per year = 12 x $</w:t>
      </w:r>
      <w:r w:rsidR="00D11BC9">
        <w:rPr>
          <w:noProof/>
          <w:color w:val="000000"/>
          <w:highlight w:val="black"/>
        </w:rPr>
        <w:t>''''''''''''</w:t>
      </w:r>
      <w:r w:rsidRPr="00F3217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A" w:rsidRDefault="00A7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30" w:rsidRPr="003C0CB5" w:rsidRDefault="00E34630" w:rsidP="003C0CB5">
    <w:pPr>
      <w:pStyle w:val="Header"/>
      <w:rPr>
        <w:i/>
      </w:rPr>
    </w:pPr>
    <w:r>
      <w:rPr>
        <w:i/>
      </w:rPr>
      <w:t xml:space="preserve">Public Summary Document </w:t>
    </w:r>
    <w:r w:rsidRPr="003C0CB5">
      <w:rPr>
        <w:i/>
      </w:rPr>
      <w:t>– November 2019 PBAC Meeting</w:t>
    </w:r>
  </w:p>
  <w:p w:rsidR="00E34630" w:rsidRPr="001D615D" w:rsidRDefault="00E34630" w:rsidP="001D615D">
    <w:pPr>
      <w:pStyle w:val="PBACFooter"/>
      <w:jc w:val="left"/>
      <w:rPr>
        <w:b w:val="0"/>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DA" w:rsidRDefault="00A7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DA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6184A"/>
    <w:multiLevelType w:val="hybridMultilevel"/>
    <w:tmpl w:val="A75AD0D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5712B"/>
    <w:multiLevelType w:val="hybridMultilevel"/>
    <w:tmpl w:val="A1B2B80E"/>
    <w:lvl w:ilvl="0" w:tplc="8130AD42">
      <w:start w:val="1"/>
      <w:numFmt w:val="bullet"/>
      <w:pStyle w:val="ListParagraph"/>
      <w:lvlText w:val=""/>
      <w:lvlJc w:val="left"/>
      <w:pPr>
        <w:ind w:left="1497" w:hanging="360"/>
      </w:pPr>
      <w:rPr>
        <w:rFonts w:ascii="Symbol" w:hAnsi="Symbol" w:hint="default"/>
      </w:rPr>
    </w:lvl>
    <w:lvl w:ilvl="1" w:tplc="0C090003">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3"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5E80FF7"/>
    <w:multiLevelType w:val="hybridMultilevel"/>
    <w:tmpl w:val="13A021F2"/>
    <w:lvl w:ilvl="0" w:tplc="9AAA01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505A8"/>
    <w:multiLevelType w:val="hybridMultilevel"/>
    <w:tmpl w:val="8AD480A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56C73"/>
    <w:multiLevelType w:val="hybridMultilevel"/>
    <w:tmpl w:val="86366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CE5727"/>
    <w:multiLevelType w:val="hybridMultilevel"/>
    <w:tmpl w:val="C47EC3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6F77D2"/>
    <w:multiLevelType w:val="hybridMultilevel"/>
    <w:tmpl w:val="2DBC1002"/>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9" w15:restartNumberingAfterBreak="0">
    <w:nsid w:val="26153770"/>
    <w:multiLevelType w:val="hybridMultilevel"/>
    <w:tmpl w:val="F25E9720"/>
    <w:lvl w:ilvl="0" w:tplc="0C090001">
      <w:start w:val="1"/>
      <w:numFmt w:val="bullet"/>
      <w:lvlText w:val=""/>
      <w:lvlJc w:val="left"/>
      <w:pPr>
        <w:ind w:left="1080" w:hanging="360"/>
      </w:pPr>
      <w:rPr>
        <w:rFonts w:ascii="Symbol" w:hAnsi="Symbol" w:hint="default"/>
      </w:rPr>
    </w:lvl>
    <w:lvl w:ilvl="1" w:tplc="8156535A">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020189"/>
    <w:multiLevelType w:val="hybridMultilevel"/>
    <w:tmpl w:val="197E38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2305B7"/>
    <w:multiLevelType w:val="hybridMultilevel"/>
    <w:tmpl w:val="D8ACD78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346AD7"/>
    <w:multiLevelType w:val="hybridMultilevel"/>
    <w:tmpl w:val="1264F8A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504C81"/>
    <w:multiLevelType w:val="hybridMultilevel"/>
    <w:tmpl w:val="E0B04024"/>
    <w:lvl w:ilvl="0" w:tplc="8156535A">
      <w:numFmt w:val="bullet"/>
      <w:lvlText w:val="-"/>
      <w:lvlJc w:val="left"/>
      <w:pPr>
        <w:ind w:left="360" w:hanging="360"/>
      </w:pPr>
      <w:rPr>
        <w:rFonts w:ascii="Times New Roman" w:eastAsia="Times New Roman" w:hAnsi="Times New Roman" w:cs="Times New Roman" w:hint="default"/>
      </w:rPr>
    </w:lvl>
    <w:lvl w:ilvl="1" w:tplc="8156535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71E16"/>
    <w:multiLevelType w:val="hybridMultilevel"/>
    <w:tmpl w:val="2174A56A"/>
    <w:lvl w:ilvl="0" w:tplc="0C090001">
      <w:start w:val="1"/>
      <w:numFmt w:val="bullet"/>
      <w:lvlText w:val=""/>
      <w:lvlJc w:val="left"/>
      <w:pPr>
        <w:ind w:left="720" w:hanging="360"/>
      </w:pPr>
      <w:rPr>
        <w:rFonts w:ascii="Symbol" w:hAnsi="Symbol" w:hint="default"/>
      </w:rPr>
    </w:lvl>
    <w:lvl w:ilvl="1" w:tplc="E65876BA">
      <w:start w:val="1"/>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C7C55"/>
    <w:multiLevelType w:val="hybridMultilevel"/>
    <w:tmpl w:val="CBDAFB1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3C0699"/>
    <w:multiLevelType w:val="hybridMultilevel"/>
    <w:tmpl w:val="786E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3E42FD"/>
    <w:multiLevelType w:val="hybridMultilevel"/>
    <w:tmpl w:val="E6669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442297"/>
    <w:multiLevelType w:val="hybridMultilevel"/>
    <w:tmpl w:val="E36AF66E"/>
    <w:lvl w:ilvl="0" w:tplc="C324F4FC">
      <w:start w:val="1"/>
      <w:numFmt w:val="bullet"/>
      <w:pStyle w:val="Bulletpoints"/>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612A8"/>
    <w:multiLevelType w:val="hybridMultilevel"/>
    <w:tmpl w:val="DD42D648"/>
    <w:lvl w:ilvl="0" w:tplc="35B48A32">
      <w:start w:val="1"/>
      <w:numFmt w:val="decimal"/>
      <w:lvlText w:val="%1."/>
      <w:lvlJc w:val="left"/>
      <w:pPr>
        <w:ind w:left="1080" w:hanging="720"/>
      </w:pPr>
      <w:rPr>
        <w:rFonts w:hint="default"/>
      </w:rPr>
    </w:lvl>
    <w:lvl w:ilvl="1" w:tplc="FCE20350">
      <w:start w:val="1"/>
      <w:numFmt w:val="lowerRoman"/>
      <w:lvlText w:val="%2."/>
      <w:lvlJc w:val="left"/>
      <w:pPr>
        <w:ind w:left="1800" w:hanging="720"/>
      </w:pPr>
      <w:rPr>
        <w:rFonts w:hint="default"/>
      </w:rPr>
    </w:lvl>
    <w:lvl w:ilvl="2" w:tplc="2316517E">
      <w:start w:val="16"/>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975DC2"/>
    <w:multiLevelType w:val="hybridMultilevel"/>
    <w:tmpl w:val="4CB40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464325"/>
    <w:multiLevelType w:val="hybridMultilevel"/>
    <w:tmpl w:val="2DDCB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0F2099B"/>
    <w:multiLevelType w:val="hybridMultilevel"/>
    <w:tmpl w:val="5914BAD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672026"/>
    <w:multiLevelType w:val="hybridMultilevel"/>
    <w:tmpl w:val="26F8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B19E5"/>
    <w:multiLevelType w:val="hybridMultilevel"/>
    <w:tmpl w:val="54BAF5F4"/>
    <w:lvl w:ilvl="0" w:tplc="9AAA01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444638"/>
    <w:multiLevelType w:val="hybridMultilevel"/>
    <w:tmpl w:val="4326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8F02CD"/>
    <w:multiLevelType w:val="hybridMultilevel"/>
    <w:tmpl w:val="418AB18C"/>
    <w:lvl w:ilvl="0" w:tplc="78C46D9C">
      <w:start w:val="1"/>
      <w:numFmt w:val="bullet"/>
      <w:lvlText w:val="-"/>
      <w:lvlJc w:val="left"/>
      <w:pPr>
        <w:ind w:left="1305" w:hanging="360"/>
      </w:pPr>
      <w:rPr>
        <w:rFonts w:ascii="Calibri" w:eastAsiaTheme="minorHAnsi" w:hAnsi="Calibri" w:cs="Calibri" w:hint="default"/>
      </w:rPr>
    </w:lvl>
    <w:lvl w:ilvl="1" w:tplc="0C090003">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31" w15:restartNumberingAfterBreak="0">
    <w:nsid w:val="62785245"/>
    <w:multiLevelType w:val="hybridMultilevel"/>
    <w:tmpl w:val="6436DA5A"/>
    <w:lvl w:ilvl="0" w:tplc="3774A772">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70250BD6"/>
    <w:multiLevelType w:val="hybridMultilevel"/>
    <w:tmpl w:val="A5CE424C"/>
    <w:lvl w:ilvl="0" w:tplc="0C090001">
      <w:start w:val="1"/>
      <w:numFmt w:val="bullet"/>
      <w:lvlText w:val=""/>
      <w:lvlJc w:val="left"/>
      <w:pPr>
        <w:ind w:left="1080" w:hanging="360"/>
      </w:pPr>
      <w:rPr>
        <w:rFonts w:ascii="Symbol" w:hAnsi="Symbol" w:hint="default"/>
      </w:rPr>
    </w:lvl>
    <w:lvl w:ilvl="1" w:tplc="8156535A">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6956F3"/>
    <w:multiLevelType w:val="hybridMultilevel"/>
    <w:tmpl w:val="D5F6EE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023CFE"/>
    <w:multiLevelType w:val="hybridMultilevel"/>
    <w:tmpl w:val="4A9829E6"/>
    <w:lvl w:ilvl="0" w:tplc="0C090001">
      <w:start w:val="1"/>
      <w:numFmt w:val="bullet"/>
      <w:lvlText w:val=""/>
      <w:lvlJc w:val="left"/>
      <w:pPr>
        <w:ind w:left="1080" w:hanging="360"/>
      </w:pPr>
      <w:rPr>
        <w:rFonts w:ascii="Symbol" w:hAnsi="Symbol" w:hint="default"/>
      </w:rPr>
    </w:lvl>
    <w:lvl w:ilvl="1" w:tplc="8156535A">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4D033C"/>
    <w:multiLevelType w:val="multilevel"/>
    <w:tmpl w:val="1AF6B64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sz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576F87"/>
    <w:multiLevelType w:val="hybridMultilevel"/>
    <w:tmpl w:val="5E0C7564"/>
    <w:lvl w:ilvl="0" w:tplc="69FEAAB4">
      <w:start w:val="26"/>
      <w:numFmt w:val="bullet"/>
      <w:lvlText w:val="-"/>
      <w:lvlJc w:val="left"/>
      <w:pPr>
        <w:ind w:left="720" w:hanging="360"/>
      </w:pPr>
      <w:rPr>
        <w:rFonts w:ascii="Arial Narrow" w:eastAsia="Calibr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D406E"/>
    <w:multiLevelType w:val="hybridMultilevel"/>
    <w:tmpl w:val="0888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3"/>
  </w:num>
  <w:num w:numId="3">
    <w:abstractNumId w:val="35"/>
  </w:num>
  <w:num w:numId="4">
    <w:abstractNumId w:val="11"/>
  </w:num>
  <w:num w:numId="5">
    <w:abstractNumId w:val="15"/>
  </w:num>
  <w:num w:numId="6">
    <w:abstractNumId w:val="28"/>
  </w:num>
  <w:num w:numId="7">
    <w:abstractNumId w:val="22"/>
  </w:num>
  <w:num w:numId="8">
    <w:abstractNumId w:val="26"/>
  </w:num>
  <w:num w:numId="9">
    <w:abstractNumId w:val="29"/>
  </w:num>
  <w:num w:numId="10">
    <w:abstractNumId w:val="20"/>
  </w:num>
  <w:num w:numId="11">
    <w:abstractNumId w:val="19"/>
  </w:num>
  <w:num w:numId="12">
    <w:abstractNumId w:val="3"/>
  </w:num>
  <w:num w:numId="13">
    <w:abstractNumId w:val="5"/>
  </w:num>
  <w:num w:numId="14">
    <w:abstractNumId w:val="33"/>
  </w:num>
  <w:num w:numId="15">
    <w:abstractNumId w:val="12"/>
  </w:num>
  <w:num w:numId="16">
    <w:abstractNumId w:val="24"/>
  </w:num>
  <w:num w:numId="17">
    <w:abstractNumId w:val="32"/>
  </w:num>
  <w:num w:numId="18">
    <w:abstractNumId w:val="9"/>
  </w:num>
  <w:num w:numId="19">
    <w:abstractNumId w:val="34"/>
  </w:num>
  <w:num w:numId="20">
    <w:abstractNumId w:val="7"/>
  </w:num>
  <w:num w:numId="21">
    <w:abstractNumId w:val="17"/>
  </w:num>
  <w:num w:numId="22">
    <w:abstractNumId w:val="6"/>
  </w:num>
  <w:num w:numId="23">
    <w:abstractNumId w:val="25"/>
  </w:num>
  <w:num w:numId="24">
    <w:abstractNumId w:val="13"/>
  </w:num>
  <w:num w:numId="25">
    <w:abstractNumId w:val="16"/>
  </w:num>
  <w:num w:numId="26">
    <w:abstractNumId w:val="30"/>
  </w:num>
  <w:num w:numId="27">
    <w:abstractNumId w:val="21"/>
  </w:num>
  <w:num w:numId="28">
    <w:abstractNumId w:val="35"/>
  </w:num>
  <w:num w:numId="29">
    <w:abstractNumId w:val="1"/>
  </w:num>
  <w:num w:numId="30">
    <w:abstractNumId w:val="35"/>
  </w:num>
  <w:num w:numId="31">
    <w:abstractNumId w:val="35"/>
  </w:num>
  <w:num w:numId="32">
    <w:abstractNumId w:val="14"/>
  </w:num>
  <w:num w:numId="33">
    <w:abstractNumId w:val="35"/>
  </w:num>
  <w:num w:numId="34">
    <w:abstractNumId w:val="35"/>
  </w:num>
  <w:num w:numId="35">
    <w:abstractNumId w:val="37"/>
  </w:num>
  <w:num w:numId="36">
    <w:abstractNumId w:val="4"/>
  </w:num>
  <w:num w:numId="37">
    <w:abstractNumId w:val="27"/>
  </w:num>
  <w:num w:numId="38">
    <w:abstractNumId w:val="31"/>
  </w:num>
  <w:num w:numId="39">
    <w:abstractNumId w:val="18"/>
  </w:num>
  <w:num w:numId="40">
    <w:abstractNumId w:val="36"/>
  </w:num>
  <w:num w:numId="41">
    <w:abstractNumId w:val="35"/>
  </w:num>
  <w:num w:numId="42">
    <w:abstractNumId w:val="0"/>
  </w:num>
  <w:num w:numId="43">
    <w:abstractNumId w:val="14"/>
  </w:num>
  <w:num w:numId="44">
    <w:abstractNumId w:val="35"/>
  </w:num>
  <w:num w:numId="45">
    <w:abstractNumId w:val="35"/>
  </w:num>
  <w:num w:numId="46">
    <w:abstractNumId w:val="8"/>
  </w:num>
  <w:num w:numId="47">
    <w:abstractNumId w:val="2"/>
  </w:num>
  <w:num w:numId="4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29"/>
    <w:rsid w:val="000017BB"/>
    <w:rsid w:val="00001A3D"/>
    <w:rsid w:val="00001AB4"/>
    <w:rsid w:val="000023AC"/>
    <w:rsid w:val="0000248A"/>
    <w:rsid w:val="00002F68"/>
    <w:rsid w:val="00003267"/>
    <w:rsid w:val="000038E6"/>
    <w:rsid w:val="00006F7A"/>
    <w:rsid w:val="00007FE1"/>
    <w:rsid w:val="0001066F"/>
    <w:rsid w:val="00010707"/>
    <w:rsid w:val="00011148"/>
    <w:rsid w:val="0001197C"/>
    <w:rsid w:val="0001258D"/>
    <w:rsid w:val="000130C6"/>
    <w:rsid w:val="000130EC"/>
    <w:rsid w:val="00013222"/>
    <w:rsid w:val="00013AB1"/>
    <w:rsid w:val="00014AE5"/>
    <w:rsid w:val="000164A9"/>
    <w:rsid w:val="00017F2A"/>
    <w:rsid w:val="0002089F"/>
    <w:rsid w:val="0002095B"/>
    <w:rsid w:val="00021367"/>
    <w:rsid w:val="00022718"/>
    <w:rsid w:val="000246A1"/>
    <w:rsid w:val="0002526C"/>
    <w:rsid w:val="00025D19"/>
    <w:rsid w:val="0002612B"/>
    <w:rsid w:val="0002643B"/>
    <w:rsid w:val="00026592"/>
    <w:rsid w:val="00026748"/>
    <w:rsid w:val="00026D4D"/>
    <w:rsid w:val="00027162"/>
    <w:rsid w:val="00027562"/>
    <w:rsid w:val="00027611"/>
    <w:rsid w:val="00030182"/>
    <w:rsid w:val="000302B4"/>
    <w:rsid w:val="00030F55"/>
    <w:rsid w:val="00031E2C"/>
    <w:rsid w:val="00032040"/>
    <w:rsid w:val="000343FE"/>
    <w:rsid w:val="00034404"/>
    <w:rsid w:val="00034A16"/>
    <w:rsid w:val="0003512C"/>
    <w:rsid w:val="000355E9"/>
    <w:rsid w:val="00035962"/>
    <w:rsid w:val="00035B28"/>
    <w:rsid w:val="000364C7"/>
    <w:rsid w:val="00036871"/>
    <w:rsid w:val="0004084E"/>
    <w:rsid w:val="000408B8"/>
    <w:rsid w:val="00040DFC"/>
    <w:rsid w:val="00040ECB"/>
    <w:rsid w:val="0004361E"/>
    <w:rsid w:val="000437BB"/>
    <w:rsid w:val="00043E25"/>
    <w:rsid w:val="00043EE0"/>
    <w:rsid w:val="00045131"/>
    <w:rsid w:val="00045C5A"/>
    <w:rsid w:val="000461CF"/>
    <w:rsid w:val="00046214"/>
    <w:rsid w:val="00046692"/>
    <w:rsid w:val="000501D5"/>
    <w:rsid w:val="00050216"/>
    <w:rsid w:val="00050B75"/>
    <w:rsid w:val="00052EA3"/>
    <w:rsid w:val="00053CC3"/>
    <w:rsid w:val="0005468B"/>
    <w:rsid w:val="00054BF5"/>
    <w:rsid w:val="000558B2"/>
    <w:rsid w:val="00056E44"/>
    <w:rsid w:val="00057868"/>
    <w:rsid w:val="00057F71"/>
    <w:rsid w:val="00060609"/>
    <w:rsid w:val="00060995"/>
    <w:rsid w:val="000609E3"/>
    <w:rsid w:val="000619E6"/>
    <w:rsid w:val="00062067"/>
    <w:rsid w:val="00062958"/>
    <w:rsid w:val="00064617"/>
    <w:rsid w:val="000651CB"/>
    <w:rsid w:val="000658A8"/>
    <w:rsid w:val="00065C62"/>
    <w:rsid w:val="00065CDE"/>
    <w:rsid w:val="00065F4A"/>
    <w:rsid w:val="00067FD0"/>
    <w:rsid w:val="00070077"/>
    <w:rsid w:val="00070838"/>
    <w:rsid w:val="00070945"/>
    <w:rsid w:val="00071E3F"/>
    <w:rsid w:val="00073F12"/>
    <w:rsid w:val="00074DB0"/>
    <w:rsid w:val="0007517E"/>
    <w:rsid w:val="00075FEB"/>
    <w:rsid w:val="00077208"/>
    <w:rsid w:val="00080B97"/>
    <w:rsid w:val="00080FF3"/>
    <w:rsid w:val="0008102A"/>
    <w:rsid w:val="00081CFB"/>
    <w:rsid w:val="0008257B"/>
    <w:rsid w:val="0008294E"/>
    <w:rsid w:val="00082DDE"/>
    <w:rsid w:val="00083938"/>
    <w:rsid w:val="000847FE"/>
    <w:rsid w:val="0008519F"/>
    <w:rsid w:val="00086133"/>
    <w:rsid w:val="00086332"/>
    <w:rsid w:val="000865F3"/>
    <w:rsid w:val="00086A5A"/>
    <w:rsid w:val="00090B64"/>
    <w:rsid w:val="00090D95"/>
    <w:rsid w:val="0009282E"/>
    <w:rsid w:val="00093DF9"/>
    <w:rsid w:val="0009469A"/>
    <w:rsid w:val="000947F0"/>
    <w:rsid w:val="00095474"/>
    <w:rsid w:val="00095812"/>
    <w:rsid w:val="00096918"/>
    <w:rsid w:val="00096A95"/>
    <w:rsid w:val="00096B43"/>
    <w:rsid w:val="00097519"/>
    <w:rsid w:val="000A15FB"/>
    <w:rsid w:val="000A2578"/>
    <w:rsid w:val="000A2694"/>
    <w:rsid w:val="000A2EF1"/>
    <w:rsid w:val="000A38A9"/>
    <w:rsid w:val="000A3D40"/>
    <w:rsid w:val="000A4843"/>
    <w:rsid w:val="000A4C39"/>
    <w:rsid w:val="000A4FD6"/>
    <w:rsid w:val="000A587A"/>
    <w:rsid w:val="000A5F62"/>
    <w:rsid w:val="000A5FF4"/>
    <w:rsid w:val="000A65C7"/>
    <w:rsid w:val="000A66F1"/>
    <w:rsid w:val="000A6F3C"/>
    <w:rsid w:val="000A6FAC"/>
    <w:rsid w:val="000A6FBD"/>
    <w:rsid w:val="000A7853"/>
    <w:rsid w:val="000B01A6"/>
    <w:rsid w:val="000B1A75"/>
    <w:rsid w:val="000B25F3"/>
    <w:rsid w:val="000B3FFE"/>
    <w:rsid w:val="000B4D35"/>
    <w:rsid w:val="000B52EE"/>
    <w:rsid w:val="000B56CD"/>
    <w:rsid w:val="000B5E52"/>
    <w:rsid w:val="000B6688"/>
    <w:rsid w:val="000B6B69"/>
    <w:rsid w:val="000B6F53"/>
    <w:rsid w:val="000B702F"/>
    <w:rsid w:val="000C0142"/>
    <w:rsid w:val="000C01E5"/>
    <w:rsid w:val="000C0576"/>
    <w:rsid w:val="000C2E65"/>
    <w:rsid w:val="000C3295"/>
    <w:rsid w:val="000C3357"/>
    <w:rsid w:val="000C5020"/>
    <w:rsid w:val="000C6489"/>
    <w:rsid w:val="000C6A40"/>
    <w:rsid w:val="000C6A75"/>
    <w:rsid w:val="000C6D7E"/>
    <w:rsid w:val="000D0015"/>
    <w:rsid w:val="000D0023"/>
    <w:rsid w:val="000D0651"/>
    <w:rsid w:val="000D09FA"/>
    <w:rsid w:val="000D2613"/>
    <w:rsid w:val="000D2C60"/>
    <w:rsid w:val="000D2E92"/>
    <w:rsid w:val="000D3379"/>
    <w:rsid w:val="000D381F"/>
    <w:rsid w:val="000D59C3"/>
    <w:rsid w:val="000D6C4C"/>
    <w:rsid w:val="000D6C85"/>
    <w:rsid w:val="000D6CFA"/>
    <w:rsid w:val="000D6D8F"/>
    <w:rsid w:val="000D79C2"/>
    <w:rsid w:val="000E1145"/>
    <w:rsid w:val="000E2021"/>
    <w:rsid w:val="000E2E6B"/>
    <w:rsid w:val="000E362B"/>
    <w:rsid w:val="000E3C4E"/>
    <w:rsid w:val="000E4369"/>
    <w:rsid w:val="000E619F"/>
    <w:rsid w:val="000E7A3B"/>
    <w:rsid w:val="000F0C82"/>
    <w:rsid w:val="000F11F6"/>
    <w:rsid w:val="000F12C1"/>
    <w:rsid w:val="000F1715"/>
    <w:rsid w:val="000F19F4"/>
    <w:rsid w:val="000F2534"/>
    <w:rsid w:val="000F2EE3"/>
    <w:rsid w:val="000F3652"/>
    <w:rsid w:val="000F43A8"/>
    <w:rsid w:val="000F5373"/>
    <w:rsid w:val="000F5DCF"/>
    <w:rsid w:val="000F5DD1"/>
    <w:rsid w:val="000F659E"/>
    <w:rsid w:val="00100A76"/>
    <w:rsid w:val="00100C11"/>
    <w:rsid w:val="00102C01"/>
    <w:rsid w:val="00103042"/>
    <w:rsid w:val="00103409"/>
    <w:rsid w:val="00103443"/>
    <w:rsid w:val="00103ADF"/>
    <w:rsid w:val="00104AE1"/>
    <w:rsid w:val="00104C16"/>
    <w:rsid w:val="00104F51"/>
    <w:rsid w:val="001070F1"/>
    <w:rsid w:val="0011053A"/>
    <w:rsid w:val="00111AAC"/>
    <w:rsid w:val="0011529D"/>
    <w:rsid w:val="00116474"/>
    <w:rsid w:val="001174F8"/>
    <w:rsid w:val="00117B4A"/>
    <w:rsid w:val="00120E76"/>
    <w:rsid w:val="001210A8"/>
    <w:rsid w:val="0012120B"/>
    <w:rsid w:val="00121F0F"/>
    <w:rsid w:val="001226F7"/>
    <w:rsid w:val="00123BF6"/>
    <w:rsid w:val="00125BB2"/>
    <w:rsid w:val="00126198"/>
    <w:rsid w:val="00126647"/>
    <w:rsid w:val="00126E38"/>
    <w:rsid w:val="00126E75"/>
    <w:rsid w:val="0012701F"/>
    <w:rsid w:val="001273A2"/>
    <w:rsid w:val="001279AE"/>
    <w:rsid w:val="001303C8"/>
    <w:rsid w:val="0013092C"/>
    <w:rsid w:val="00130B14"/>
    <w:rsid w:val="00131E33"/>
    <w:rsid w:val="0013229D"/>
    <w:rsid w:val="0013272C"/>
    <w:rsid w:val="0013291C"/>
    <w:rsid w:val="00133928"/>
    <w:rsid w:val="001341EF"/>
    <w:rsid w:val="00134442"/>
    <w:rsid w:val="001350AF"/>
    <w:rsid w:val="001353CB"/>
    <w:rsid w:val="0013554D"/>
    <w:rsid w:val="00135AE6"/>
    <w:rsid w:val="00136E3B"/>
    <w:rsid w:val="00136E4B"/>
    <w:rsid w:val="00136E76"/>
    <w:rsid w:val="0013704E"/>
    <w:rsid w:val="00137A60"/>
    <w:rsid w:val="0014072B"/>
    <w:rsid w:val="00142E40"/>
    <w:rsid w:val="00143F1E"/>
    <w:rsid w:val="00143F86"/>
    <w:rsid w:val="00145C7B"/>
    <w:rsid w:val="001468C6"/>
    <w:rsid w:val="00146C47"/>
    <w:rsid w:val="001472EC"/>
    <w:rsid w:val="00147986"/>
    <w:rsid w:val="00151064"/>
    <w:rsid w:val="0015144F"/>
    <w:rsid w:val="001518EA"/>
    <w:rsid w:val="00152611"/>
    <w:rsid w:val="00153831"/>
    <w:rsid w:val="00154393"/>
    <w:rsid w:val="001552D2"/>
    <w:rsid w:val="00155CEE"/>
    <w:rsid w:val="0015653B"/>
    <w:rsid w:val="001566CB"/>
    <w:rsid w:val="00160C20"/>
    <w:rsid w:val="00161352"/>
    <w:rsid w:val="001620C7"/>
    <w:rsid w:val="00162DBF"/>
    <w:rsid w:val="00163E8F"/>
    <w:rsid w:val="00165A49"/>
    <w:rsid w:val="0016630B"/>
    <w:rsid w:val="001666D5"/>
    <w:rsid w:val="00166B4D"/>
    <w:rsid w:val="00167267"/>
    <w:rsid w:val="00167CFC"/>
    <w:rsid w:val="00170F91"/>
    <w:rsid w:val="001722AD"/>
    <w:rsid w:val="00172D4D"/>
    <w:rsid w:val="00173577"/>
    <w:rsid w:val="00173AAF"/>
    <w:rsid w:val="0017638E"/>
    <w:rsid w:val="001767B3"/>
    <w:rsid w:val="00176AA5"/>
    <w:rsid w:val="00176ABF"/>
    <w:rsid w:val="0017720E"/>
    <w:rsid w:val="00177893"/>
    <w:rsid w:val="00177D83"/>
    <w:rsid w:val="0018058C"/>
    <w:rsid w:val="001807A1"/>
    <w:rsid w:val="001816F2"/>
    <w:rsid w:val="00181F20"/>
    <w:rsid w:val="001833E9"/>
    <w:rsid w:val="00184221"/>
    <w:rsid w:val="001855CA"/>
    <w:rsid w:val="001861E7"/>
    <w:rsid w:val="00186307"/>
    <w:rsid w:val="00186647"/>
    <w:rsid w:val="00186EBC"/>
    <w:rsid w:val="0018721D"/>
    <w:rsid w:val="00190399"/>
    <w:rsid w:val="00191215"/>
    <w:rsid w:val="00192065"/>
    <w:rsid w:val="0019268E"/>
    <w:rsid w:val="00192883"/>
    <w:rsid w:val="00192D30"/>
    <w:rsid w:val="0019357A"/>
    <w:rsid w:val="00194305"/>
    <w:rsid w:val="00194C46"/>
    <w:rsid w:val="00195DA4"/>
    <w:rsid w:val="00196047"/>
    <w:rsid w:val="001965D3"/>
    <w:rsid w:val="001979B8"/>
    <w:rsid w:val="001A0142"/>
    <w:rsid w:val="001A02B2"/>
    <w:rsid w:val="001A06F9"/>
    <w:rsid w:val="001A2AEE"/>
    <w:rsid w:val="001A35AF"/>
    <w:rsid w:val="001A37BD"/>
    <w:rsid w:val="001A4E47"/>
    <w:rsid w:val="001A60BB"/>
    <w:rsid w:val="001A6BA6"/>
    <w:rsid w:val="001A6CF4"/>
    <w:rsid w:val="001A6E14"/>
    <w:rsid w:val="001A77C6"/>
    <w:rsid w:val="001A794F"/>
    <w:rsid w:val="001A799B"/>
    <w:rsid w:val="001B00CE"/>
    <w:rsid w:val="001B0AAE"/>
    <w:rsid w:val="001B1422"/>
    <w:rsid w:val="001B2892"/>
    <w:rsid w:val="001B49DF"/>
    <w:rsid w:val="001B4A55"/>
    <w:rsid w:val="001B572A"/>
    <w:rsid w:val="001B5B18"/>
    <w:rsid w:val="001B61F3"/>
    <w:rsid w:val="001B6389"/>
    <w:rsid w:val="001B70D3"/>
    <w:rsid w:val="001C04CC"/>
    <w:rsid w:val="001C051E"/>
    <w:rsid w:val="001C08B9"/>
    <w:rsid w:val="001C0FC5"/>
    <w:rsid w:val="001C14E4"/>
    <w:rsid w:val="001C1C69"/>
    <w:rsid w:val="001C2776"/>
    <w:rsid w:val="001C2A7D"/>
    <w:rsid w:val="001C2B38"/>
    <w:rsid w:val="001C2FEB"/>
    <w:rsid w:val="001C4542"/>
    <w:rsid w:val="001C4F0D"/>
    <w:rsid w:val="001C5235"/>
    <w:rsid w:val="001C5C71"/>
    <w:rsid w:val="001C728C"/>
    <w:rsid w:val="001C7A53"/>
    <w:rsid w:val="001D15A1"/>
    <w:rsid w:val="001D16FC"/>
    <w:rsid w:val="001D1AD3"/>
    <w:rsid w:val="001D2372"/>
    <w:rsid w:val="001D2D83"/>
    <w:rsid w:val="001D543A"/>
    <w:rsid w:val="001D5DE3"/>
    <w:rsid w:val="001D615D"/>
    <w:rsid w:val="001D71A3"/>
    <w:rsid w:val="001E1302"/>
    <w:rsid w:val="001E22D7"/>
    <w:rsid w:val="001E2736"/>
    <w:rsid w:val="001E2F9F"/>
    <w:rsid w:val="001E4361"/>
    <w:rsid w:val="001E519C"/>
    <w:rsid w:val="001E523A"/>
    <w:rsid w:val="001E534B"/>
    <w:rsid w:val="001E5918"/>
    <w:rsid w:val="001E5C28"/>
    <w:rsid w:val="001E5DFD"/>
    <w:rsid w:val="001E66A1"/>
    <w:rsid w:val="001E7145"/>
    <w:rsid w:val="001E7ADD"/>
    <w:rsid w:val="001E7B33"/>
    <w:rsid w:val="001F04CA"/>
    <w:rsid w:val="001F0543"/>
    <w:rsid w:val="001F073C"/>
    <w:rsid w:val="001F0FED"/>
    <w:rsid w:val="001F2585"/>
    <w:rsid w:val="001F2912"/>
    <w:rsid w:val="001F2EA4"/>
    <w:rsid w:val="001F3915"/>
    <w:rsid w:val="001F4345"/>
    <w:rsid w:val="001F4A3B"/>
    <w:rsid w:val="001F59CF"/>
    <w:rsid w:val="001F6233"/>
    <w:rsid w:val="001F713B"/>
    <w:rsid w:val="002001C6"/>
    <w:rsid w:val="00200296"/>
    <w:rsid w:val="00201848"/>
    <w:rsid w:val="00201ADB"/>
    <w:rsid w:val="0020249E"/>
    <w:rsid w:val="00204AAE"/>
    <w:rsid w:val="00204BBD"/>
    <w:rsid w:val="002053AA"/>
    <w:rsid w:val="002055CB"/>
    <w:rsid w:val="002058E5"/>
    <w:rsid w:val="00206D91"/>
    <w:rsid w:val="00210FAA"/>
    <w:rsid w:val="00211534"/>
    <w:rsid w:val="002116B7"/>
    <w:rsid w:val="002120A8"/>
    <w:rsid w:val="0021349F"/>
    <w:rsid w:val="0021444B"/>
    <w:rsid w:val="00216312"/>
    <w:rsid w:val="0021674F"/>
    <w:rsid w:val="00216CDD"/>
    <w:rsid w:val="00217734"/>
    <w:rsid w:val="002206AC"/>
    <w:rsid w:val="002207FD"/>
    <w:rsid w:val="00221729"/>
    <w:rsid w:val="002217FB"/>
    <w:rsid w:val="00221873"/>
    <w:rsid w:val="00222F3B"/>
    <w:rsid w:val="002234A6"/>
    <w:rsid w:val="00223C51"/>
    <w:rsid w:val="00223DCC"/>
    <w:rsid w:val="002241E1"/>
    <w:rsid w:val="00224295"/>
    <w:rsid w:val="00224A43"/>
    <w:rsid w:val="00225F40"/>
    <w:rsid w:val="002265D9"/>
    <w:rsid w:val="00226CDB"/>
    <w:rsid w:val="00230489"/>
    <w:rsid w:val="002306EA"/>
    <w:rsid w:val="002307B9"/>
    <w:rsid w:val="00231463"/>
    <w:rsid w:val="00231480"/>
    <w:rsid w:val="00231A26"/>
    <w:rsid w:val="00232133"/>
    <w:rsid w:val="00233099"/>
    <w:rsid w:val="00234AE8"/>
    <w:rsid w:val="00235320"/>
    <w:rsid w:val="0023570A"/>
    <w:rsid w:val="00235C53"/>
    <w:rsid w:val="00235FB6"/>
    <w:rsid w:val="00236822"/>
    <w:rsid w:val="00236998"/>
    <w:rsid w:val="00240C11"/>
    <w:rsid w:val="00240E39"/>
    <w:rsid w:val="002413DD"/>
    <w:rsid w:val="002425EA"/>
    <w:rsid w:val="00242EA0"/>
    <w:rsid w:val="00243685"/>
    <w:rsid w:val="002437F7"/>
    <w:rsid w:val="00244039"/>
    <w:rsid w:val="002450CF"/>
    <w:rsid w:val="0024561C"/>
    <w:rsid w:val="0024592F"/>
    <w:rsid w:val="00245940"/>
    <w:rsid w:val="00246655"/>
    <w:rsid w:val="002466AA"/>
    <w:rsid w:val="00247AFB"/>
    <w:rsid w:val="002507B4"/>
    <w:rsid w:val="00250ED7"/>
    <w:rsid w:val="00251007"/>
    <w:rsid w:val="0025220A"/>
    <w:rsid w:val="002523FE"/>
    <w:rsid w:val="00253558"/>
    <w:rsid w:val="00253F87"/>
    <w:rsid w:val="00253FFB"/>
    <w:rsid w:val="00255805"/>
    <w:rsid w:val="00255A27"/>
    <w:rsid w:val="00255F12"/>
    <w:rsid w:val="002560AE"/>
    <w:rsid w:val="0025613F"/>
    <w:rsid w:val="00260583"/>
    <w:rsid w:val="00260C95"/>
    <w:rsid w:val="00260DB5"/>
    <w:rsid w:val="00261DC6"/>
    <w:rsid w:val="00262804"/>
    <w:rsid w:val="002628F1"/>
    <w:rsid w:val="0026373E"/>
    <w:rsid w:val="00264623"/>
    <w:rsid w:val="00264825"/>
    <w:rsid w:val="00265905"/>
    <w:rsid w:val="00265DC3"/>
    <w:rsid w:val="00266D8E"/>
    <w:rsid w:val="00267C9A"/>
    <w:rsid w:val="0027023E"/>
    <w:rsid w:val="00271C7A"/>
    <w:rsid w:val="00272DA8"/>
    <w:rsid w:val="00272F9F"/>
    <w:rsid w:val="00273150"/>
    <w:rsid w:val="002735AA"/>
    <w:rsid w:val="00273C92"/>
    <w:rsid w:val="0027450E"/>
    <w:rsid w:val="002753B5"/>
    <w:rsid w:val="00276844"/>
    <w:rsid w:val="002800E2"/>
    <w:rsid w:val="00280509"/>
    <w:rsid w:val="00280B5B"/>
    <w:rsid w:val="00281559"/>
    <w:rsid w:val="00281598"/>
    <w:rsid w:val="002816B4"/>
    <w:rsid w:val="00282D1F"/>
    <w:rsid w:val="002833FD"/>
    <w:rsid w:val="002836DF"/>
    <w:rsid w:val="00283D0F"/>
    <w:rsid w:val="002851AC"/>
    <w:rsid w:val="00285222"/>
    <w:rsid w:val="00285748"/>
    <w:rsid w:val="00285E5C"/>
    <w:rsid w:val="0028679A"/>
    <w:rsid w:val="00286A2D"/>
    <w:rsid w:val="00291985"/>
    <w:rsid w:val="002922D2"/>
    <w:rsid w:val="002928F4"/>
    <w:rsid w:val="00292CB5"/>
    <w:rsid w:val="00292E49"/>
    <w:rsid w:val="0029472C"/>
    <w:rsid w:val="00294863"/>
    <w:rsid w:val="00294C4B"/>
    <w:rsid w:val="00295107"/>
    <w:rsid w:val="00295864"/>
    <w:rsid w:val="00295CC6"/>
    <w:rsid w:val="002963F1"/>
    <w:rsid w:val="002A23CA"/>
    <w:rsid w:val="002A2F8A"/>
    <w:rsid w:val="002A3510"/>
    <w:rsid w:val="002A4503"/>
    <w:rsid w:val="002A47BD"/>
    <w:rsid w:val="002A5908"/>
    <w:rsid w:val="002A67DD"/>
    <w:rsid w:val="002A72C5"/>
    <w:rsid w:val="002B01B1"/>
    <w:rsid w:val="002B05E4"/>
    <w:rsid w:val="002B0733"/>
    <w:rsid w:val="002B0964"/>
    <w:rsid w:val="002B0A5A"/>
    <w:rsid w:val="002B1A43"/>
    <w:rsid w:val="002B2A04"/>
    <w:rsid w:val="002B38C5"/>
    <w:rsid w:val="002B40C6"/>
    <w:rsid w:val="002B41E5"/>
    <w:rsid w:val="002B4941"/>
    <w:rsid w:val="002B5D74"/>
    <w:rsid w:val="002B7ADB"/>
    <w:rsid w:val="002C0295"/>
    <w:rsid w:val="002C05EF"/>
    <w:rsid w:val="002C1D2F"/>
    <w:rsid w:val="002C4225"/>
    <w:rsid w:val="002C4429"/>
    <w:rsid w:val="002C4CF7"/>
    <w:rsid w:val="002C5E09"/>
    <w:rsid w:val="002C6818"/>
    <w:rsid w:val="002C6B34"/>
    <w:rsid w:val="002C6D68"/>
    <w:rsid w:val="002C7236"/>
    <w:rsid w:val="002C76E9"/>
    <w:rsid w:val="002C7D39"/>
    <w:rsid w:val="002D0156"/>
    <w:rsid w:val="002D0684"/>
    <w:rsid w:val="002D0811"/>
    <w:rsid w:val="002D16EB"/>
    <w:rsid w:val="002D1779"/>
    <w:rsid w:val="002D2FCA"/>
    <w:rsid w:val="002D34C2"/>
    <w:rsid w:val="002D390E"/>
    <w:rsid w:val="002D3ECA"/>
    <w:rsid w:val="002D41A8"/>
    <w:rsid w:val="002D448D"/>
    <w:rsid w:val="002D4A47"/>
    <w:rsid w:val="002D4D2D"/>
    <w:rsid w:val="002D5048"/>
    <w:rsid w:val="002D5112"/>
    <w:rsid w:val="002D53CE"/>
    <w:rsid w:val="002D58A5"/>
    <w:rsid w:val="002D631C"/>
    <w:rsid w:val="002D7823"/>
    <w:rsid w:val="002D794A"/>
    <w:rsid w:val="002D7D71"/>
    <w:rsid w:val="002E0F2F"/>
    <w:rsid w:val="002E1857"/>
    <w:rsid w:val="002E1FB2"/>
    <w:rsid w:val="002E275A"/>
    <w:rsid w:val="002E3153"/>
    <w:rsid w:val="002E42FD"/>
    <w:rsid w:val="002E4681"/>
    <w:rsid w:val="002E4721"/>
    <w:rsid w:val="002E4C2D"/>
    <w:rsid w:val="002E5AE6"/>
    <w:rsid w:val="002E5DEA"/>
    <w:rsid w:val="002E724A"/>
    <w:rsid w:val="002E7553"/>
    <w:rsid w:val="002F00A7"/>
    <w:rsid w:val="002F0947"/>
    <w:rsid w:val="002F0CC4"/>
    <w:rsid w:val="002F15CF"/>
    <w:rsid w:val="002F27A2"/>
    <w:rsid w:val="002F311E"/>
    <w:rsid w:val="002F3B10"/>
    <w:rsid w:val="002F497B"/>
    <w:rsid w:val="002F55A9"/>
    <w:rsid w:val="002F6B91"/>
    <w:rsid w:val="002F6D17"/>
    <w:rsid w:val="002F71B8"/>
    <w:rsid w:val="002F7BCF"/>
    <w:rsid w:val="0030034D"/>
    <w:rsid w:val="0030057F"/>
    <w:rsid w:val="00300AA8"/>
    <w:rsid w:val="00301EA1"/>
    <w:rsid w:val="003024B0"/>
    <w:rsid w:val="00302FCC"/>
    <w:rsid w:val="00304022"/>
    <w:rsid w:val="00304DF7"/>
    <w:rsid w:val="00306043"/>
    <w:rsid w:val="003062AE"/>
    <w:rsid w:val="003108F4"/>
    <w:rsid w:val="0031138E"/>
    <w:rsid w:val="00311719"/>
    <w:rsid w:val="0031285B"/>
    <w:rsid w:val="0031410E"/>
    <w:rsid w:val="00315514"/>
    <w:rsid w:val="0032015F"/>
    <w:rsid w:val="00321BEE"/>
    <w:rsid w:val="00321E89"/>
    <w:rsid w:val="0032462A"/>
    <w:rsid w:val="00324B0B"/>
    <w:rsid w:val="0032771F"/>
    <w:rsid w:val="00327EA5"/>
    <w:rsid w:val="003315BB"/>
    <w:rsid w:val="00331A3D"/>
    <w:rsid w:val="00332579"/>
    <w:rsid w:val="0033309F"/>
    <w:rsid w:val="00334925"/>
    <w:rsid w:val="00334ACF"/>
    <w:rsid w:val="003364AA"/>
    <w:rsid w:val="00336681"/>
    <w:rsid w:val="00340100"/>
    <w:rsid w:val="00340302"/>
    <w:rsid w:val="003404DE"/>
    <w:rsid w:val="003416BD"/>
    <w:rsid w:val="00341A14"/>
    <w:rsid w:val="00342059"/>
    <w:rsid w:val="00342481"/>
    <w:rsid w:val="00343E61"/>
    <w:rsid w:val="003447E6"/>
    <w:rsid w:val="003457A4"/>
    <w:rsid w:val="00345DB3"/>
    <w:rsid w:val="0034640F"/>
    <w:rsid w:val="003472A6"/>
    <w:rsid w:val="00347B5D"/>
    <w:rsid w:val="00350AF7"/>
    <w:rsid w:val="00350C97"/>
    <w:rsid w:val="00351381"/>
    <w:rsid w:val="003530A6"/>
    <w:rsid w:val="00353464"/>
    <w:rsid w:val="00353484"/>
    <w:rsid w:val="00353627"/>
    <w:rsid w:val="00354D63"/>
    <w:rsid w:val="00355B46"/>
    <w:rsid w:val="00355F72"/>
    <w:rsid w:val="00356031"/>
    <w:rsid w:val="00357657"/>
    <w:rsid w:val="00360311"/>
    <w:rsid w:val="0036047B"/>
    <w:rsid w:val="0036074B"/>
    <w:rsid w:val="003618E1"/>
    <w:rsid w:val="003625F5"/>
    <w:rsid w:val="00362FAE"/>
    <w:rsid w:val="0036369B"/>
    <w:rsid w:val="003639A6"/>
    <w:rsid w:val="00365CE2"/>
    <w:rsid w:val="00367074"/>
    <w:rsid w:val="00367989"/>
    <w:rsid w:val="003679AE"/>
    <w:rsid w:val="00370067"/>
    <w:rsid w:val="00370CED"/>
    <w:rsid w:val="003716EA"/>
    <w:rsid w:val="003721F5"/>
    <w:rsid w:val="003723B4"/>
    <w:rsid w:val="00373696"/>
    <w:rsid w:val="003739A9"/>
    <w:rsid w:val="0037404A"/>
    <w:rsid w:val="0037493F"/>
    <w:rsid w:val="00375A86"/>
    <w:rsid w:val="0037696D"/>
    <w:rsid w:val="00376E17"/>
    <w:rsid w:val="00377A13"/>
    <w:rsid w:val="00377AC4"/>
    <w:rsid w:val="00380CC4"/>
    <w:rsid w:val="003814BA"/>
    <w:rsid w:val="003816E7"/>
    <w:rsid w:val="00381D8E"/>
    <w:rsid w:val="0038281C"/>
    <w:rsid w:val="00382F6D"/>
    <w:rsid w:val="003839E5"/>
    <w:rsid w:val="00383B1B"/>
    <w:rsid w:val="0038447A"/>
    <w:rsid w:val="003851FE"/>
    <w:rsid w:val="00385A64"/>
    <w:rsid w:val="00386312"/>
    <w:rsid w:val="00386B73"/>
    <w:rsid w:val="00386D1A"/>
    <w:rsid w:val="00386D86"/>
    <w:rsid w:val="00386F4E"/>
    <w:rsid w:val="003900B0"/>
    <w:rsid w:val="00391BC7"/>
    <w:rsid w:val="00392462"/>
    <w:rsid w:val="0039365C"/>
    <w:rsid w:val="00393821"/>
    <w:rsid w:val="0039548B"/>
    <w:rsid w:val="0039615C"/>
    <w:rsid w:val="00396230"/>
    <w:rsid w:val="0039628C"/>
    <w:rsid w:val="00396349"/>
    <w:rsid w:val="00396725"/>
    <w:rsid w:val="00397170"/>
    <w:rsid w:val="003973FD"/>
    <w:rsid w:val="003A0038"/>
    <w:rsid w:val="003A1375"/>
    <w:rsid w:val="003A2038"/>
    <w:rsid w:val="003A3433"/>
    <w:rsid w:val="003A4186"/>
    <w:rsid w:val="003A4AC3"/>
    <w:rsid w:val="003A537E"/>
    <w:rsid w:val="003A660F"/>
    <w:rsid w:val="003A6AFA"/>
    <w:rsid w:val="003A6C58"/>
    <w:rsid w:val="003A6E81"/>
    <w:rsid w:val="003A7323"/>
    <w:rsid w:val="003A7B9C"/>
    <w:rsid w:val="003B0934"/>
    <w:rsid w:val="003B095E"/>
    <w:rsid w:val="003B0F24"/>
    <w:rsid w:val="003B234D"/>
    <w:rsid w:val="003B23D7"/>
    <w:rsid w:val="003B26D0"/>
    <w:rsid w:val="003B32E5"/>
    <w:rsid w:val="003B3BD1"/>
    <w:rsid w:val="003B4BCD"/>
    <w:rsid w:val="003B6013"/>
    <w:rsid w:val="003B6976"/>
    <w:rsid w:val="003B6B69"/>
    <w:rsid w:val="003B75C0"/>
    <w:rsid w:val="003C071F"/>
    <w:rsid w:val="003C0B8F"/>
    <w:rsid w:val="003C0BF9"/>
    <w:rsid w:val="003C0C6A"/>
    <w:rsid w:val="003C0CB5"/>
    <w:rsid w:val="003C0EAF"/>
    <w:rsid w:val="003C1A9F"/>
    <w:rsid w:val="003C2C04"/>
    <w:rsid w:val="003C3216"/>
    <w:rsid w:val="003C494A"/>
    <w:rsid w:val="003C498B"/>
    <w:rsid w:val="003C50EE"/>
    <w:rsid w:val="003C5F28"/>
    <w:rsid w:val="003C6291"/>
    <w:rsid w:val="003C6406"/>
    <w:rsid w:val="003D11A9"/>
    <w:rsid w:val="003D11E0"/>
    <w:rsid w:val="003D1762"/>
    <w:rsid w:val="003D2A37"/>
    <w:rsid w:val="003D36A9"/>
    <w:rsid w:val="003D3C0D"/>
    <w:rsid w:val="003D3C70"/>
    <w:rsid w:val="003D44BC"/>
    <w:rsid w:val="003D5845"/>
    <w:rsid w:val="003D69EF"/>
    <w:rsid w:val="003D6AC8"/>
    <w:rsid w:val="003D7F8C"/>
    <w:rsid w:val="003E0EDB"/>
    <w:rsid w:val="003E2D83"/>
    <w:rsid w:val="003E36F8"/>
    <w:rsid w:val="003E3BF8"/>
    <w:rsid w:val="003E4D40"/>
    <w:rsid w:val="003E5635"/>
    <w:rsid w:val="003E5F76"/>
    <w:rsid w:val="003E6475"/>
    <w:rsid w:val="003E7507"/>
    <w:rsid w:val="003E7882"/>
    <w:rsid w:val="003E7C62"/>
    <w:rsid w:val="003F105A"/>
    <w:rsid w:val="003F173D"/>
    <w:rsid w:val="003F18D1"/>
    <w:rsid w:val="003F1940"/>
    <w:rsid w:val="003F283D"/>
    <w:rsid w:val="003F2918"/>
    <w:rsid w:val="003F2DAF"/>
    <w:rsid w:val="003F2E65"/>
    <w:rsid w:val="003F31B2"/>
    <w:rsid w:val="003F327C"/>
    <w:rsid w:val="003F6199"/>
    <w:rsid w:val="003F7F6F"/>
    <w:rsid w:val="003F7FFD"/>
    <w:rsid w:val="004000F2"/>
    <w:rsid w:val="004014CB"/>
    <w:rsid w:val="0040203E"/>
    <w:rsid w:val="0040218B"/>
    <w:rsid w:val="0040228C"/>
    <w:rsid w:val="004023D8"/>
    <w:rsid w:val="004033BF"/>
    <w:rsid w:val="004048B2"/>
    <w:rsid w:val="00405A68"/>
    <w:rsid w:val="00406548"/>
    <w:rsid w:val="00406E27"/>
    <w:rsid w:val="0041000B"/>
    <w:rsid w:val="004105E1"/>
    <w:rsid w:val="00411027"/>
    <w:rsid w:val="004113F9"/>
    <w:rsid w:val="0041163B"/>
    <w:rsid w:val="0041346A"/>
    <w:rsid w:val="00415440"/>
    <w:rsid w:val="004154D3"/>
    <w:rsid w:val="004174D7"/>
    <w:rsid w:val="004203B4"/>
    <w:rsid w:val="00420A0A"/>
    <w:rsid w:val="00421450"/>
    <w:rsid w:val="00421680"/>
    <w:rsid w:val="00421874"/>
    <w:rsid w:val="00422E44"/>
    <w:rsid w:val="00425208"/>
    <w:rsid w:val="004258D0"/>
    <w:rsid w:val="00425B54"/>
    <w:rsid w:val="00426FA9"/>
    <w:rsid w:val="00427E55"/>
    <w:rsid w:val="00430E80"/>
    <w:rsid w:val="004315FD"/>
    <w:rsid w:val="00431F05"/>
    <w:rsid w:val="004335A6"/>
    <w:rsid w:val="00433E00"/>
    <w:rsid w:val="00434383"/>
    <w:rsid w:val="00436D38"/>
    <w:rsid w:val="00437BB5"/>
    <w:rsid w:val="00441197"/>
    <w:rsid w:val="00441F4A"/>
    <w:rsid w:val="0044280B"/>
    <w:rsid w:val="004429AB"/>
    <w:rsid w:val="00442D7C"/>
    <w:rsid w:val="00442E84"/>
    <w:rsid w:val="004431DE"/>
    <w:rsid w:val="0044712D"/>
    <w:rsid w:val="00450A0D"/>
    <w:rsid w:val="004517D5"/>
    <w:rsid w:val="004518C1"/>
    <w:rsid w:val="004524DF"/>
    <w:rsid w:val="00452D5A"/>
    <w:rsid w:val="00452FF6"/>
    <w:rsid w:val="00453169"/>
    <w:rsid w:val="00453BAE"/>
    <w:rsid w:val="00453D59"/>
    <w:rsid w:val="00454434"/>
    <w:rsid w:val="00454493"/>
    <w:rsid w:val="00455FF9"/>
    <w:rsid w:val="00456134"/>
    <w:rsid w:val="00457551"/>
    <w:rsid w:val="00457841"/>
    <w:rsid w:val="00460FD4"/>
    <w:rsid w:val="004612D6"/>
    <w:rsid w:val="004619BB"/>
    <w:rsid w:val="004629F7"/>
    <w:rsid w:val="00462D3A"/>
    <w:rsid w:val="004632F4"/>
    <w:rsid w:val="00464D51"/>
    <w:rsid w:val="00465C8E"/>
    <w:rsid w:val="00465D3F"/>
    <w:rsid w:val="0046621E"/>
    <w:rsid w:val="00467DAE"/>
    <w:rsid w:val="00470975"/>
    <w:rsid w:val="00470B67"/>
    <w:rsid w:val="00470BD6"/>
    <w:rsid w:val="00471113"/>
    <w:rsid w:val="00471A6B"/>
    <w:rsid w:val="00471FAC"/>
    <w:rsid w:val="004729C8"/>
    <w:rsid w:val="00472D4D"/>
    <w:rsid w:val="004731C7"/>
    <w:rsid w:val="004732B7"/>
    <w:rsid w:val="0047378C"/>
    <w:rsid w:val="00474D0C"/>
    <w:rsid w:val="00474D16"/>
    <w:rsid w:val="004757D3"/>
    <w:rsid w:val="00475AEC"/>
    <w:rsid w:val="00476CB1"/>
    <w:rsid w:val="00483759"/>
    <w:rsid w:val="00483D5C"/>
    <w:rsid w:val="00485EEB"/>
    <w:rsid w:val="00486C24"/>
    <w:rsid w:val="00491181"/>
    <w:rsid w:val="004919DD"/>
    <w:rsid w:val="00491E1C"/>
    <w:rsid w:val="00492F3B"/>
    <w:rsid w:val="0049417F"/>
    <w:rsid w:val="004943A0"/>
    <w:rsid w:val="00494F7C"/>
    <w:rsid w:val="004961E7"/>
    <w:rsid w:val="00496FBA"/>
    <w:rsid w:val="0049704D"/>
    <w:rsid w:val="004A1874"/>
    <w:rsid w:val="004A2DF5"/>
    <w:rsid w:val="004A4EF3"/>
    <w:rsid w:val="004A596A"/>
    <w:rsid w:val="004A5D30"/>
    <w:rsid w:val="004B02F2"/>
    <w:rsid w:val="004B14B9"/>
    <w:rsid w:val="004B2326"/>
    <w:rsid w:val="004B2455"/>
    <w:rsid w:val="004B2B97"/>
    <w:rsid w:val="004B2BB5"/>
    <w:rsid w:val="004B30E2"/>
    <w:rsid w:val="004B3876"/>
    <w:rsid w:val="004B3BCA"/>
    <w:rsid w:val="004B3C00"/>
    <w:rsid w:val="004B5447"/>
    <w:rsid w:val="004B5504"/>
    <w:rsid w:val="004B6C14"/>
    <w:rsid w:val="004B6DFE"/>
    <w:rsid w:val="004B7030"/>
    <w:rsid w:val="004B7291"/>
    <w:rsid w:val="004B7296"/>
    <w:rsid w:val="004C0909"/>
    <w:rsid w:val="004C189C"/>
    <w:rsid w:val="004C192B"/>
    <w:rsid w:val="004C2154"/>
    <w:rsid w:val="004C21C0"/>
    <w:rsid w:val="004C3304"/>
    <w:rsid w:val="004C63DE"/>
    <w:rsid w:val="004C6989"/>
    <w:rsid w:val="004C7314"/>
    <w:rsid w:val="004C790C"/>
    <w:rsid w:val="004C7E69"/>
    <w:rsid w:val="004D0931"/>
    <w:rsid w:val="004D0A85"/>
    <w:rsid w:val="004D1006"/>
    <w:rsid w:val="004D1D2F"/>
    <w:rsid w:val="004D23AD"/>
    <w:rsid w:val="004D27A2"/>
    <w:rsid w:val="004D29DE"/>
    <w:rsid w:val="004D2CBF"/>
    <w:rsid w:val="004D45DF"/>
    <w:rsid w:val="004D4B08"/>
    <w:rsid w:val="004D4D81"/>
    <w:rsid w:val="004D7A11"/>
    <w:rsid w:val="004D7D52"/>
    <w:rsid w:val="004E0C0B"/>
    <w:rsid w:val="004E117C"/>
    <w:rsid w:val="004E18D9"/>
    <w:rsid w:val="004E1D3C"/>
    <w:rsid w:val="004E2125"/>
    <w:rsid w:val="004E28B2"/>
    <w:rsid w:val="004E4821"/>
    <w:rsid w:val="004E4D2F"/>
    <w:rsid w:val="004E7482"/>
    <w:rsid w:val="004E774F"/>
    <w:rsid w:val="004F01F4"/>
    <w:rsid w:val="004F0AB9"/>
    <w:rsid w:val="004F10E5"/>
    <w:rsid w:val="004F129E"/>
    <w:rsid w:val="004F1F20"/>
    <w:rsid w:val="004F2D60"/>
    <w:rsid w:val="004F2FB3"/>
    <w:rsid w:val="004F319F"/>
    <w:rsid w:val="004F31CB"/>
    <w:rsid w:val="004F3688"/>
    <w:rsid w:val="004F3AAE"/>
    <w:rsid w:val="004F419B"/>
    <w:rsid w:val="004F4415"/>
    <w:rsid w:val="004F4BDE"/>
    <w:rsid w:val="004F57DF"/>
    <w:rsid w:val="004F6163"/>
    <w:rsid w:val="004F6578"/>
    <w:rsid w:val="004F67A5"/>
    <w:rsid w:val="004F7CAC"/>
    <w:rsid w:val="005006B6"/>
    <w:rsid w:val="00500719"/>
    <w:rsid w:val="00501445"/>
    <w:rsid w:val="00501DDE"/>
    <w:rsid w:val="00502638"/>
    <w:rsid w:val="00503D71"/>
    <w:rsid w:val="00503F1E"/>
    <w:rsid w:val="00504452"/>
    <w:rsid w:val="00506B71"/>
    <w:rsid w:val="00507417"/>
    <w:rsid w:val="005076C1"/>
    <w:rsid w:val="00507713"/>
    <w:rsid w:val="00510F09"/>
    <w:rsid w:val="00511320"/>
    <w:rsid w:val="0051290D"/>
    <w:rsid w:val="0051292F"/>
    <w:rsid w:val="00513190"/>
    <w:rsid w:val="005143F9"/>
    <w:rsid w:val="00516566"/>
    <w:rsid w:val="0051762A"/>
    <w:rsid w:val="00520EFF"/>
    <w:rsid w:val="00520F62"/>
    <w:rsid w:val="005218C3"/>
    <w:rsid w:val="0052281C"/>
    <w:rsid w:val="00522A61"/>
    <w:rsid w:val="005259B6"/>
    <w:rsid w:val="00527186"/>
    <w:rsid w:val="00527853"/>
    <w:rsid w:val="00531C11"/>
    <w:rsid w:val="0053420C"/>
    <w:rsid w:val="00534AF1"/>
    <w:rsid w:val="00534C18"/>
    <w:rsid w:val="00535C74"/>
    <w:rsid w:val="005361AB"/>
    <w:rsid w:val="005365B3"/>
    <w:rsid w:val="00536D5D"/>
    <w:rsid w:val="00536D5E"/>
    <w:rsid w:val="00537033"/>
    <w:rsid w:val="00537B7B"/>
    <w:rsid w:val="00537E48"/>
    <w:rsid w:val="00540377"/>
    <w:rsid w:val="00541D43"/>
    <w:rsid w:val="00541E8F"/>
    <w:rsid w:val="00542068"/>
    <w:rsid w:val="00543AF9"/>
    <w:rsid w:val="00543E1A"/>
    <w:rsid w:val="00544255"/>
    <w:rsid w:val="00544A79"/>
    <w:rsid w:val="00544BC8"/>
    <w:rsid w:val="00546EEE"/>
    <w:rsid w:val="005474D1"/>
    <w:rsid w:val="00551C65"/>
    <w:rsid w:val="00552D42"/>
    <w:rsid w:val="005539B2"/>
    <w:rsid w:val="00553A57"/>
    <w:rsid w:val="00554243"/>
    <w:rsid w:val="0055532F"/>
    <w:rsid w:val="005558A9"/>
    <w:rsid w:val="00555F61"/>
    <w:rsid w:val="00556E4B"/>
    <w:rsid w:val="00556F39"/>
    <w:rsid w:val="00557A4E"/>
    <w:rsid w:val="00560FC6"/>
    <w:rsid w:val="0056100B"/>
    <w:rsid w:val="00561D24"/>
    <w:rsid w:val="00563425"/>
    <w:rsid w:val="00563A52"/>
    <w:rsid w:val="00563E38"/>
    <w:rsid w:val="00564A84"/>
    <w:rsid w:val="005656EF"/>
    <w:rsid w:val="00565741"/>
    <w:rsid w:val="00566641"/>
    <w:rsid w:val="00566648"/>
    <w:rsid w:val="00566A9C"/>
    <w:rsid w:val="0056756C"/>
    <w:rsid w:val="00567B40"/>
    <w:rsid w:val="00570DAE"/>
    <w:rsid w:val="005710D9"/>
    <w:rsid w:val="00571252"/>
    <w:rsid w:val="00571AFF"/>
    <w:rsid w:val="00571F9E"/>
    <w:rsid w:val="00572FAA"/>
    <w:rsid w:val="00573726"/>
    <w:rsid w:val="00574879"/>
    <w:rsid w:val="00575211"/>
    <w:rsid w:val="005753FA"/>
    <w:rsid w:val="00575713"/>
    <w:rsid w:val="00575A8F"/>
    <w:rsid w:val="00576ADE"/>
    <w:rsid w:val="005772ED"/>
    <w:rsid w:val="00577CFD"/>
    <w:rsid w:val="00577DEF"/>
    <w:rsid w:val="00580203"/>
    <w:rsid w:val="00580AD7"/>
    <w:rsid w:val="0058251F"/>
    <w:rsid w:val="00582643"/>
    <w:rsid w:val="005828CB"/>
    <w:rsid w:val="00583326"/>
    <w:rsid w:val="0058397F"/>
    <w:rsid w:val="00584067"/>
    <w:rsid w:val="00585067"/>
    <w:rsid w:val="005858EB"/>
    <w:rsid w:val="00585E15"/>
    <w:rsid w:val="00587023"/>
    <w:rsid w:val="005873BF"/>
    <w:rsid w:val="00587686"/>
    <w:rsid w:val="005911BF"/>
    <w:rsid w:val="005922A7"/>
    <w:rsid w:val="005924A7"/>
    <w:rsid w:val="005924BA"/>
    <w:rsid w:val="00592D52"/>
    <w:rsid w:val="00593F03"/>
    <w:rsid w:val="005948F6"/>
    <w:rsid w:val="00594EA1"/>
    <w:rsid w:val="005952FB"/>
    <w:rsid w:val="00596726"/>
    <w:rsid w:val="00597972"/>
    <w:rsid w:val="005A054B"/>
    <w:rsid w:val="005A10B9"/>
    <w:rsid w:val="005A145C"/>
    <w:rsid w:val="005A2A2C"/>
    <w:rsid w:val="005A302B"/>
    <w:rsid w:val="005A31AE"/>
    <w:rsid w:val="005A3D27"/>
    <w:rsid w:val="005A5296"/>
    <w:rsid w:val="005A58C6"/>
    <w:rsid w:val="005A7646"/>
    <w:rsid w:val="005A7C27"/>
    <w:rsid w:val="005B0B8E"/>
    <w:rsid w:val="005B0F17"/>
    <w:rsid w:val="005B1944"/>
    <w:rsid w:val="005B27F1"/>
    <w:rsid w:val="005B3568"/>
    <w:rsid w:val="005B366F"/>
    <w:rsid w:val="005B46E3"/>
    <w:rsid w:val="005B4FCD"/>
    <w:rsid w:val="005B5A4E"/>
    <w:rsid w:val="005B694C"/>
    <w:rsid w:val="005B7724"/>
    <w:rsid w:val="005C02B3"/>
    <w:rsid w:val="005C141C"/>
    <w:rsid w:val="005C3323"/>
    <w:rsid w:val="005C3353"/>
    <w:rsid w:val="005C375D"/>
    <w:rsid w:val="005C3BD2"/>
    <w:rsid w:val="005C40F4"/>
    <w:rsid w:val="005C6285"/>
    <w:rsid w:val="005C6FE5"/>
    <w:rsid w:val="005C7223"/>
    <w:rsid w:val="005C78CF"/>
    <w:rsid w:val="005C7B13"/>
    <w:rsid w:val="005D3521"/>
    <w:rsid w:val="005D38C9"/>
    <w:rsid w:val="005D4DBA"/>
    <w:rsid w:val="005D5BA1"/>
    <w:rsid w:val="005D622E"/>
    <w:rsid w:val="005D64A3"/>
    <w:rsid w:val="005D78F9"/>
    <w:rsid w:val="005D7CBE"/>
    <w:rsid w:val="005E0297"/>
    <w:rsid w:val="005E0B46"/>
    <w:rsid w:val="005E1588"/>
    <w:rsid w:val="005E29FB"/>
    <w:rsid w:val="005E39CC"/>
    <w:rsid w:val="005E471F"/>
    <w:rsid w:val="005E49B2"/>
    <w:rsid w:val="005E597C"/>
    <w:rsid w:val="005E69C2"/>
    <w:rsid w:val="005E6D41"/>
    <w:rsid w:val="005F0AE8"/>
    <w:rsid w:val="005F0DDF"/>
    <w:rsid w:val="005F225F"/>
    <w:rsid w:val="005F2A6B"/>
    <w:rsid w:val="005F3AB2"/>
    <w:rsid w:val="005F40C1"/>
    <w:rsid w:val="005F4FA5"/>
    <w:rsid w:val="005F5DDD"/>
    <w:rsid w:val="005F68F5"/>
    <w:rsid w:val="005F697C"/>
    <w:rsid w:val="005F70C2"/>
    <w:rsid w:val="00600054"/>
    <w:rsid w:val="00600F0F"/>
    <w:rsid w:val="0060239B"/>
    <w:rsid w:val="006023B8"/>
    <w:rsid w:val="006024D3"/>
    <w:rsid w:val="00602EC2"/>
    <w:rsid w:val="00604104"/>
    <w:rsid w:val="00604202"/>
    <w:rsid w:val="00606EF9"/>
    <w:rsid w:val="0060706A"/>
    <w:rsid w:val="006070C4"/>
    <w:rsid w:val="006076C5"/>
    <w:rsid w:val="00607758"/>
    <w:rsid w:val="0061004E"/>
    <w:rsid w:val="00610161"/>
    <w:rsid w:val="00610D5E"/>
    <w:rsid w:val="006110E8"/>
    <w:rsid w:val="0061294A"/>
    <w:rsid w:val="00613467"/>
    <w:rsid w:val="00613D0B"/>
    <w:rsid w:val="00613F0D"/>
    <w:rsid w:val="0061494E"/>
    <w:rsid w:val="00614E28"/>
    <w:rsid w:val="006153DB"/>
    <w:rsid w:val="00615E51"/>
    <w:rsid w:val="00616AAA"/>
    <w:rsid w:val="00616E2A"/>
    <w:rsid w:val="006174CA"/>
    <w:rsid w:val="006206BA"/>
    <w:rsid w:val="006206DF"/>
    <w:rsid w:val="0062099B"/>
    <w:rsid w:val="006225F0"/>
    <w:rsid w:val="00622ED4"/>
    <w:rsid w:val="006240A9"/>
    <w:rsid w:val="00624315"/>
    <w:rsid w:val="0062545B"/>
    <w:rsid w:val="0062552A"/>
    <w:rsid w:val="006258D8"/>
    <w:rsid w:val="00626615"/>
    <w:rsid w:val="00626D8C"/>
    <w:rsid w:val="00626EA2"/>
    <w:rsid w:val="006308CB"/>
    <w:rsid w:val="00630C51"/>
    <w:rsid w:val="006317AF"/>
    <w:rsid w:val="006317BF"/>
    <w:rsid w:val="00631872"/>
    <w:rsid w:val="00631A1E"/>
    <w:rsid w:val="006332BE"/>
    <w:rsid w:val="0063413C"/>
    <w:rsid w:val="00635989"/>
    <w:rsid w:val="006363EA"/>
    <w:rsid w:val="0063718F"/>
    <w:rsid w:val="0063726D"/>
    <w:rsid w:val="00637A4B"/>
    <w:rsid w:val="00637B6A"/>
    <w:rsid w:val="006408C3"/>
    <w:rsid w:val="006415A3"/>
    <w:rsid w:val="006418B7"/>
    <w:rsid w:val="00641F76"/>
    <w:rsid w:val="0064201B"/>
    <w:rsid w:val="00642EBF"/>
    <w:rsid w:val="00643238"/>
    <w:rsid w:val="0064358A"/>
    <w:rsid w:val="006447FF"/>
    <w:rsid w:val="00644DEF"/>
    <w:rsid w:val="00644F90"/>
    <w:rsid w:val="0064542E"/>
    <w:rsid w:val="00645C78"/>
    <w:rsid w:val="0064620D"/>
    <w:rsid w:val="006473F9"/>
    <w:rsid w:val="00647E1B"/>
    <w:rsid w:val="00650399"/>
    <w:rsid w:val="0065072A"/>
    <w:rsid w:val="006518CC"/>
    <w:rsid w:val="00651C27"/>
    <w:rsid w:val="0065219F"/>
    <w:rsid w:val="00652593"/>
    <w:rsid w:val="0065293A"/>
    <w:rsid w:val="0065418C"/>
    <w:rsid w:val="0065444C"/>
    <w:rsid w:val="006545A0"/>
    <w:rsid w:val="006546B9"/>
    <w:rsid w:val="00654EAF"/>
    <w:rsid w:val="00655185"/>
    <w:rsid w:val="00655293"/>
    <w:rsid w:val="00655AEA"/>
    <w:rsid w:val="00656F9F"/>
    <w:rsid w:val="00657485"/>
    <w:rsid w:val="00657754"/>
    <w:rsid w:val="00660E3B"/>
    <w:rsid w:val="00661286"/>
    <w:rsid w:val="00662DFF"/>
    <w:rsid w:val="00664356"/>
    <w:rsid w:val="00664A70"/>
    <w:rsid w:val="00664E4A"/>
    <w:rsid w:val="00664E71"/>
    <w:rsid w:val="0066546F"/>
    <w:rsid w:val="006654BB"/>
    <w:rsid w:val="00665A2A"/>
    <w:rsid w:val="00665BBA"/>
    <w:rsid w:val="0066748D"/>
    <w:rsid w:val="0067019C"/>
    <w:rsid w:val="00670C86"/>
    <w:rsid w:val="00671684"/>
    <w:rsid w:val="00671A10"/>
    <w:rsid w:val="00672120"/>
    <w:rsid w:val="00672B3B"/>
    <w:rsid w:val="0067387A"/>
    <w:rsid w:val="00674AD8"/>
    <w:rsid w:val="00675537"/>
    <w:rsid w:val="006759BA"/>
    <w:rsid w:val="0067611B"/>
    <w:rsid w:val="0067688A"/>
    <w:rsid w:val="006768BB"/>
    <w:rsid w:val="00677373"/>
    <w:rsid w:val="006778C8"/>
    <w:rsid w:val="00677948"/>
    <w:rsid w:val="006805A8"/>
    <w:rsid w:val="00680E4C"/>
    <w:rsid w:val="00681716"/>
    <w:rsid w:val="0068199F"/>
    <w:rsid w:val="006833D4"/>
    <w:rsid w:val="00686237"/>
    <w:rsid w:val="00687809"/>
    <w:rsid w:val="00690CEE"/>
    <w:rsid w:val="00691459"/>
    <w:rsid w:val="00691913"/>
    <w:rsid w:val="00692FB3"/>
    <w:rsid w:val="0069440A"/>
    <w:rsid w:val="00694AC0"/>
    <w:rsid w:val="00694AD0"/>
    <w:rsid w:val="00694F94"/>
    <w:rsid w:val="006A0032"/>
    <w:rsid w:val="006A03BA"/>
    <w:rsid w:val="006A138B"/>
    <w:rsid w:val="006A17A7"/>
    <w:rsid w:val="006A23AA"/>
    <w:rsid w:val="006A266B"/>
    <w:rsid w:val="006A5F8D"/>
    <w:rsid w:val="006B140A"/>
    <w:rsid w:val="006B1E98"/>
    <w:rsid w:val="006B2AE8"/>
    <w:rsid w:val="006B364F"/>
    <w:rsid w:val="006B40A9"/>
    <w:rsid w:val="006B4483"/>
    <w:rsid w:val="006B54C4"/>
    <w:rsid w:val="006B5C57"/>
    <w:rsid w:val="006C0786"/>
    <w:rsid w:val="006C1040"/>
    <w:rsid w:val="006C1122"/>
    <w:rsid w:val="006C2391"/>
    <w:rsid w:val="006C4906"/>
    <w:rsid w:val="006C691C"/>
    <w:rsid w:val="006C7BCA"/>
    <w:rsid w:val="006D003C"/>
    <w:rsid w:val="006D1492"/>
    <w:rsid w:val="006D3271"/>
    <w:rsid w:val="006D5B58"/>
    <w:rsid w:val="006D70F6"/>
    <w:rsid w:val="006D7AC1"/>
    <w:rsid w:val="006D7DCA"/>
    <w:rsid w:val="006E011B"/>
    <w:rsid w:val="006E069A"/>
    <w:rsid w:val="006E08A5"/>
    <w:rsid w:val="006E0C32"/>
    <w:rsid w:val="006E0DEA"/>
    <w:rsid w:val="006E0FC9"/>
    <w:rsid w:val="006E2251"/>
    <w:rsid w:val="006E3C81"/>
    <w:rsid w:val="006E3E59"/>
    <w:rsid w:val="006E591C"/>
    <w:rsid w:val="006E6D84"/>
    <w:rsid w:val="006E6E87"/>
    <w:rsid w:val="006E7302"/>
    <w:rsid w:val="006F0717"/>
    <w:rsid w:val="006F161E"/>
    <w:rsid w:val="006F1C2A"/>
    <w:rsid w:val="006F21CC"/>
    <w:rsid w:val="006F2DDF"/>
    <w:rsid w:val="006F3AA8"/>
    <w:rsid w:val="006F4229"/>
    <w:rsid w:val="006F5AE2"/>
    <w:rsid w:val="006F646C"/>
    <w:rsid w:val="00700706"/>
    <w:rsid w:val="00700AC1"/>
    <w:rsid w:val="0070252E"/>
    <w:rsid w:val="0070266F"/>
    <w:rsid w:val="007029EB"/>
    <w:rsid w:val="00702AB5"/>
    <w:rsid w:val="00705121"/>
    <w:rsid w:val="00705A45"/>
    <w:rsid w:val="00707082"/>
    <w:rsid w:val="007070DA"/>
    <w:rsid w:val="00707972"/>
    <w:rsid w:val="00707A60"/>
    <w:rsid w:val="00707F8E"/>
    <w:rsid w:val="0071044A"/>
    <w:rsid w:val="00710BD0"/>
    <w:rsid w:val="00711162"/>
    <w:rsid w:val="0071266B"/>
    <w:rsid w:val="00712C73"/>
    <w:rsid w:val="0071713D"/>
    <w:rsid w:val="007171A1"/>
    <w:rsid w:val="00717AB8"/>
    <w:rsid w:val="00717FB1"/>
    <w:rsid w:val="00720705"/>
    <w:rsid w:val="00720F29"/>
    <w:rsid w:val="00721A83"/>
    <w:rsid w:val="00721B7F"/>
    <w:rsid w:val="0072277E"/>
    <w:rsid w:val="00722E5E"/>
    <w:rsid w:val="00723427"/>
    <w:rsid w:val="00723847"/>
    <w:rsid w:val="00723AB1"/>
    <w:rsid w:val="00723E1E"/>
    <w:rsid w:val="007240BB"/>
    <w:rsid w:val="00724EFE"/>
    <w:rsid w:val="00725D5F"/>
    <w:rsid w:val="00727E21"/>
    <w:rsid w:val="00731215"/>
    <w:rsid w:val="007312B2"/>
    <w:rsid w:val="00731DD2"/>
    <w:rsid w:val="007333F8"/>
    <w:rsid w:val="00734AFE"/>
    <w:rsid w:val="0073556B"/>
    <w:rsid w:val="00736053"/>
    <w:rsid w:val="007373C2"/>
    <w:rsid w:val="00741DFF"/>
    <w:rsid w:val="00741EE0"/>
    <w:rsid w:val="00742CD6"/>
    <w:rsid w:val="00743FCE"/>
    <w:rsid w:val="00747333"/>
    <w:rsid w:val="0074778F"/>
    <w:rsid w:val="00750562"/>
    <w:rsid w:val="007509A6"/>
    <w:rsid w:val="00750B5A"/>
    <w:rsid w:val="007516D7"/>
    <w:rsid w:val="00751984"/>
    <w:rsid w:val="00751F3B"/>
    <w:rsid w:val="00753644"/>
    <w:rsid w:val="007537AC"/>
    <w:rsid w:val="00753E8D"/>
    <w:rsid w:val="00755762"/>
    <w:rsid w:val="00755A1C"/>
    <w:rsid w:val="00757B5F"/>
    <w:rsid w:val="00757EF9"/>
    <w:rsid w:val="00760138"/>
    <w:rsid w:val="0076063B"/>
    <w:rsid w:val="00760646"/>
    <w:rsid w:val="00760B20"/>
    <w:rsid w:val="007623FF"/>
    <w:rsid w:val="0076317F"/>
    <w:rsid w:val="007633B0"/>
    <w:rsid w:val="00764648"/>
    <w:rsid w:val="00766767"/>
    <w:rsid w:val="00770A5B"/>
    <w:rsid w:val="007710B5"/>
    <w:rsid w:val="00771122"/>
    <w:rsid w:val="00771598"/>
    <w:rsid w:val="007715D2"/>
    <w:rsid w:val="00771DEA"/>
    <w:rsid w:val="00772501"/>
    <w:rsid w:val="00772B2B"/>
    <w:rsid w:val="00772C70"/>
    <w:rsid w:val="00772FE5"/>
    <w:rsid w:val="00773531"/>
    <w:rsid w:val="00773C58"/>
    <w:rsid w:val="007747B3"/>
    <w:rsid w:val="007762D4"/>
    <w:rsid w:val="00776F62"/>
    <w:rsid w:val="007770E8"/>
    <w:rsid w:val="00777245"/>
    <w:rsid w:val="0078210B"/>
    <w:rsid w:val="00783392"/>
    <w:rsid w:val="007847FA"/>
    <w:rsid w:val="00785380"/>
    <w:rsid w:val="00786B48"/>
    <w:rsid w:val="00786ECA"/>
    <w:rsid w:val="0079028F"/>
    <w:rsid w:val="00790910"/>
    <w:rsid w:val="00790A85"/>
    <w:rsid w:val="00790CCC"/>
    <w:rsid w:val="00790E70"/>
    <w:rsid w:val="007916BF"/>
    <w:rsid w:val="007919D2"/>
    <w:rsid w:val="00791B44"/>
    <w:rsid w:val="00791C95"/>
    <w:rsid w:val="00791DE1"/>
    <w:rsid w:val="007926A6"/>
    <w:rsid w:val="00792DF6"/>
    <w:rsid w:val="00792F77"/>
    <w:rsid w:val="00794467"/>
    <w:rsid w:val="0079574C"/>
    <w:rsid w:val="00796A86"/>
    <w:rsid w:val="00796C71"/>
    <w:rsid w:val="007A0CBF"/>
    <w:rsid w:val="007A1181"/>
    <w:rsid w:val="007A3A8C"/>
    <w:rsid w:val="007A3CBD"/>
    <w:rsid w:val="007A4069"/>
    <w:rsid w:val="007A4D29"/>
    <w:rsid w:val="007A4ECE"/>
    <w:rsid w:val="007A57B1"/>
    <w:rsid w:val="007A60C9"/>
    <w:rsid w:val="007A66E9"/>
    <w:rsid w:val="007B0E0C"/>
    <w:rsid w:val="007B183C"/>
    <w:rsid w:val="007B2606"/>
    <w:rsid w:val="007B443D"/>
    <w:rsid w:val="007B4595"/>
    <w:rsid w:val="007B5DF6"/>
    <w:rsid w:val="007B5F72"/>
    <w:rsid w:val="007B6934"/>
    <w:rsid w:val="007B6B55"/>
    <w:rsid w:val="007B732B"/>
    <w:rsid w:val="007B74FC"/>
    <w:rsid w:val="007B7A51"/>
    <w:rsid w:val="007C1113"/>
    <w:rsid w:val="007C1B45"/>
    <w:rsid w:val="007C26E5"/>
    <w:rsid w:val="007C3409"/>
    <w:rsid w:val="007C5F98"/>
    <w:rsid w:val="007C60F4"/>
    <w:rsid w:val="007C689A"/>
    <w:rsid w:val="007C720A"/>
    <w:rsid w:val="007C7272"/>
    <w:rsid w:val="007D0326"/>
    <w:rsid w:val="007D0BC2"/>
    <w:rsid w:val="007D1092"/>
    <w:rsid w:val="007D13BF"/>
    <w:rsid w:val="007D2621"/>
    <w:rsid w:val="007D2917"/>
    <w:rsid w:val="007D2DF2"/>
    <w:rsid w:val="007D2F9B"/>
    <w:rsid w:val="007D35BB"/>
    <w:rsid w:val="007D594D"/>
    <w:rsid w:val="007D5D89"/>
    <w:rsid w:val="007D76C7"/>
    <w:rsid w:val="007E03F1"/>
    <w:rsid w:val="007E1C07"/>
    <w:rsid w:val="007E1C22"/>
    <w:rsid w:val="007E22F3"/>
    <w:rsid w:val="007E3562"/>
    <w:rsid w:val="007E38C5"/>
    <w:rsid w:val="007E3B27"/>
    <w:rsid w:val="007E3E64"/>
    <w:rsid w:val="007E3EDF"/>
    <w:rsid w:val="007E6BAA"/>
    <w:rsid w:val="007E71EC"/>
    <w:rsid w:val="007F08CA"/>
    <w:rsid w:val="007F0A9A"/>
    <w:rsid w:val="007F18EC"/>
    <w:rsid w:val="007F1D1A"/>
    <w:rsid w:val="007F2422"/>
    <w:rsid w:val="007F2993"/>
    <w:rsid w:val="007F3B6E"/>
    <w:rsid w:val="007F443F"/>
    <w:rsid w:val="007F4707"/>
    <w:rsid w:val="007F50DE"/>
    <w:rsid w:val="007F60D5"/>
    <w:rsid w:val="007F64BD"/>
    <w:rsid w:val="007F73E0"/>
    <w:rsid w:val="007F7521"/>
    <w:rsid w:val="007F7D5A"/>
    <w:rsid w:val="0080065D"/>
    <w:rsid w:val="008009E9"/>
    <w:rsid w:val="00801260"/>
    <w:rsid w:val="008012EE"/>
    <w:rsid w:val="00804D38"/>
    <w:rsid w:val="00804FFD"/>
    <w:rsid w:val="00805146"/>
    <w:rsid w:val="0080533D"/>
    <w:rsid w:val="008058E8"/>
    <w:rsid w:val="00806349"/>
    <w:rsid w:val="00806434"/>
    <w:rsid w:val="00806708"/>
    <w:rsid w:val="008068AA"/>
    <w:rsid w:val="00806922"/>
    <w:rsid w:val="00806A31"/>
    <w:rsid w:val="008073A0"/>
    <w:rsid w:val="0080764B"/>
    <w:rsid w:val="00810B57"/>
    <w:rsid w:val="008113FB"/>
    <w:rsid w:val="00811A16"/>
    <w:rsid w:val="00813288"/>
    <w:rsid w:val="0081382A"/>
    <w:rsid w:val="00815DBD"/>
    <w:rsid w:val="0081710A"/>
    <w:rsid w:val="00817694"/>
    <w:rsid w:val="00817DF4"/>
    <w:rsid w:val="00817EEF"/>
    <w:rsid w:val="00820D12"/>
    <w:rsid w:val="00821A29"/>
    <w:rsid w:val="00821EA3"/>
    <w:rsid w:val="00822A20"/>
    <w:rsid w:val="00823020"/>
    <w:rsid w:val="00823233"/>
    <w:rsid w:val="008233A0"/>
    <w:rsid w:val="00823901"/>
    <w:rsid w:val="008239F0"/>
    <w:rsid w:val="00824426"/>
    <w:rsid w:val="00824B19"/>
    <w:rsid w:val="00824E70"/>
    <w:rsid w:val="0082538F"/>
    <w:rsid w:val="008269BC"/>
    <w:rsid w:val="00830D5E"/>
    <w:rsid w:val="00830E52"/>
    <w:rsid w:val="0083193B"/>
    <w:rsid w:val="00832171"/>
    <w:rsid w:val="008324E3"/>
    <w:rsid w:val="008328BD"/>
    <w:rsid w:val="00832CC5"/>
    <w:rsid w:val="00832E0F"/>
    <w:rsid w:val="008336DE"/>
    <w:rsid w:val="00834DD9"/>
    <w:rsid w:val="00835FF3"/>
    <w:rsid w:val="0083677A"/>
    <w:rsid w:val="00836851"/>
    <w:rsid w:val="00836B83"/>
    <w:rsid w:val="00836E8D"/>
    <w:rsid w:val="00836F72"/>
    <w:rsid w:val="00837E7B"/>
    <w:rsid w:val="00840F4B"/>
    <w:rsid w:val="008411D1"/>
    <w:rsid w:val="00841603"/>
    <w:rsid w:val="0084244A"/>
    <w:rsid w:val="00843248"/>
    <w:rsid w:val="008436F2"/>
    <w:rsid w:val="00843F41"/>
    <w:rsid w:val="00844767"/>
    <w:rsid w:val="00845382"/>
    <w:rsid w:val="00845946"/>
    <w:rsid w:val="008467B4"/>
    <w:rsid w:val="008476A0"/>
    <w:rsid w:val="00850FA9"/>
    <w:rsid w:val="00851FDA"/>
    <w:rsid w:val="00852117"/>
    <w:rsid w:val="008526A3"/>
    <w:rsid w:val="00852F38"/>
    <w:rsid w:val="008530D2"/>
    <w:rsid w:val="008533D0"/>
    <w:rsid w:val="00854702"/>
    <w:rsid w:val="0085499B"/>
    <w:rsid w:val="00854C36"/>
    <w:rsid w:val="00856C34"/>
    <w:rsid w:val="008574AB"/>
    <w:rsid w:val="0085790A"/>
    <w:rsid w:val="00857AB8"/>
    <w:rsid w:val="00861499"/>
    <w:rsid w:val="00862A3E"/>
    <w:rsid w:val="0086301C"/>
    <w:rsid w:val="0086312A"/>
    <w:rsid w:val="00863857"/>
    <w:rsid w:val="00863C97"/>
    <w:rsid w:val="00864368"/>
    <w:rsid w:val="00864BCC"/>
    <w:rsid w:val="00865DC1"/>
    <w:rsid w:val="0086610A"/>
    <w:rsid w:val="008662CE"/>
    <w:rsid w:val="008678B0"/>
    <w:rsid w:val="00867EAC"/>
    <w:rsid w:val="00870089"/>
    <w:rsid w:val="0087054E"/>
    <w:rsid w:val="0087077E"/>
    <w:rsid w:val="008716C2"/>
    <w:rsid w:val="00872321"/>
    <w:rsid w:val="008740A8"/>
    <w:rsid w:val="008744C9"/>
    <w:rsid w:val="008744CE"/>
    <w:rsid w:val="0087484B"/>
    <w:rsid w:val="00874A4D"/>
    <w:rsid w:val="008750F9"/>
    <w:rsid w:val="00875341"/>
    <w:rsid w:val="0087536F"/>
    <w:rsid w:val="00877844"/>
    <w:rsid w:val="00880A40"/>
    <w:rsid w:val="00880BCD"/>
    <w:rsid w:val="00881147"/>
    <w:rsid w:val="00881A24"/>
    <w:rsid w:val="008824E9"/>
    <w:rsid w:val="008824FB"/>
    <w:rsid w:val="0088267B"/>
    <w:rsid w:val="00883949"/>
    <w:rsid w:val="00883C02"/>
    <w:rsid w:val="00884E24"/>
    <w:rsid w:val="008869F4"/>
    <w:rsid w:val="00886F84"/>
    <w:rsid w:val="00890EB7"/>
    <w:rsid w:val="008918AC"/>
    <w:rsid w:val="00892950"/>
    <w:rsid w:val="0089296F"/>
    <w:rsid w:val="00893EEF"/>
    <w:rsid w:val="00896301"/>
    <w:rsid w:val="0089691E"/>
    <w:rsid w:val="008A1B75"/>
    <w:rsid w:val="008A24C1"/>
    <w:rsid w:val="008A2545"/>
    <w:rsid w:val="008A3C58"/>
    <w:rsid w:val="008A423A"/>
    <w:rsid w:val="008A4880"/>
    <w:rsid w:val="008A52B1"/>
    <w:rsid w:val="008A5736"/>
    <w:rsid w:val="008A683D"/>
    <w:rsid w:val="008A6C7D"/>
    <w:rsid w:val="008A6D56"/>
    <w:rsid w:val="008A7188"/>
    <w:rsid w:val="008A7E4F"/>
    <w:rsid w:val="008B142E"/>
    <w:rsid w:val="008B1744"/>
    <w:rsid w:val="008B25E7"/>
    <w:rsid w:val="008B2C07"/>
    <w:rsid w:val="008B5797"/>
    <w:rsid w:val="008B5B32"/>
    <w:rsid w:val="008C03BA"/>
    <w:rsid w:val="008C0E8D"/>
    <w:rsid w:val="008C1E32"/>
    <w:rsid w:val="008C205C"/>
    <w:rsid w:val="008C2793"/>
    <w:rsid w:val="008C2DB7"/>
    <w:rsid w:val="008C2F78"/>
    <w:rsid w:val="008C3580"/>
    <w:rsid w:val="008C3D2C"/>
    <w:rsid w:val="008C428D"/>
    <w:rsid w:val="008C474D"/>
    <w:rsid w:val="008C50D3"/>
    <w:rsid w:val="008C6813"/>
    <w:rsid w:val="008C6A25"/>
    <w:rsid w:val="008D01E2"/>
    <w:rsid w:val="008D14CD"/>
    <w:rsid w:val="008D238E"/>
    <w:rsid w:val="008D290D"/>
    <w:rsid w:val="008D32E2"/>
    <w:rsid w:val="008D4B9B"/>
    <w:rsid w:val="008D544B"/>
    <w:rsid w:val="008D5484"/>
    <w:rsid w:val="008D5D80"/>
    <w:rsid w:val="008D6233"/>
    <w:rsid w:val="008D62D6"/>
    <w:rsid w:val="008D78FF"/>
    <w:rsid w:val="008E1E89"/>
    <w:rsid w:val="008E20EE"/>
    <w:rsid w:val="008E23C8"/>
    <w:rsid w:val="008E2F52"/>
    <w:rsid w:val="008E3719"/>
    <w:rsid w:val="008E4B45"/>
    <w:rsid w:val="008E4C0C"/>
    <w:rsid w:val="008E5145"/>
    <w:rsid w:val="008E606E"/>
    <w:rsid w:val="008E6462"/>
    <w:rsid w:val="008E6650"/>
    <w:rsid w:val="008E7A32"/>
    <w:rsid w:val="008F02BD"/>
    <w:rsid w:val="008F1B70"/>
    <w:rsid w:val="008F3C23"/>
    <w:rsid w:val="008F3DC8"/>
    <w:rsid w:val="008F3F25"/>
    <w:rsid w:val="008F415C"/>
    <w:rsid w:val="008F4461"/>
    <w:rsid w:val="008F50FD"/>
    <w:rsid w:val="008F5F39"/>
    <w:rsid w:val="008F69D9"/>
    <w:rsid w:val="008F6CB0"/>
    <w:rsid w:val="008F6CEC"/>
    <w:rsid w:val="009001CA"/>
    <w:rsid w:val="00900CA7"/>
    <w:rsid w:val="009015E7"/>
    <w:rsid w:val="00901ADF"/>
    <w:rsid w:val="00902E42"/>
    <w:rsid w:val="0090303F"/>
    <w:rsid w:val="0090379F"/>
    <w:rsid w:val="00903F30"/>
    <w:rsid w:val="00905089"/>
    <w:rsid w:val="0090626F"/>
    <w:rsid w:val="00906AC5"/>
    <w:rsid w:val="00906E2E"/>
    <w:rsid w:val="0091057C"/>
    <w:rsid w:val="00910B41"/>
    <w:rsid w:val="00910F47"/>
    <w:rsid w:val="00911753"/>
    <w:rsid w:val="00911817"/>
    <w:rsid w:val="00913383"/>
    <w:rsid w:val="00913ECA"/>
    <w:rsid w:val="0091454F"/>
    <w:rsid w:val="00914DA7"/>
    <w:rsid w:val="00914FD1"/>
    <w:rsid w:val="0091538A"/>
    <w:rsid w:val="00915F63"/>
    <w:rsid w:val="00916375"/>
    <w:rsid w:val="009177E9"/>
    <w:rsid w:val="00917A01"/>
    <w:rsid w:val="00920278"/>
    <w:rsid w:val="00920ECA"/>
    <w:rsid w:val="00921CD6"/>
    <w:rsid w:val="00921ED5"/>
    <w:rsid w:val="00922215"/>
    <w:rsid w:val="0092291D"/>
    <w:rsid w:val="009229E8"/>
    <w:rsid w:val="00922E40"/>
    <w:rsid w:val="00923F6A"/>
    <w:rsid w:val="009245DB"/>
    <w:rsid w:val="0092469B"/>
    <w:rsid w:val="00924CCF"/>
    <w:rsid w:val="00925567"/>
    <w:rsid w:val="0092606A"/>
    <w:rsid w:val="0092707B"/>
    <w:rsid w:val="0092736D"/>
    <w:rsid w:val="00927855"/>
    <w:rsid w:val="0093075B"/>
    <w:rsid w:val="00930CED"/>
    <w:rsid w:val="009314CA"/>
    <w:rsid w:val="00931FB4"/>
    <w:rsid w:val="009324B9"/>
    <w:rsid w:val="00932CDD"/>
    <w:rsid w:val="009331CF"/>
    <w:rsid w:val="009334AC"/>
    <w:rsid w:val="00933BD1"/>
    <w:rsid w:val="0093452D"/>
    <w:rsid w:val="00934F74"/>
    <w:rsid w:val="009366A0"/>
    <w:rsid w:val="009366CE"/>
    <w:rsid w:val="009406BD"/>
    <w:rsid w:val="0094086A"/>
    <w:rsid w:val="00940D2A"/>
    <w:rsid w:val="009415D8"/>
    <w:rsid w:val="00942010"/>
    <w:rsid w:val="009431FA"/>
    <w:rsid w:val="0094320A"/>
    <w:rsid w:val="009439E1"/>
    <w:rsid w:val="00943DF2"/>
    <w:rsid w:val="00944E06"/>
    <w:rsid w:val="00946A45"/>
    <w:rsid w:val="00946E9D"/>
    <w:rsid w:val="0095024F"/>
    <w:rsid w:val="00950524"/>
    <w:rsid w:val="00950898"/>
    <w:rsid w:val="00950958"/>
    <w:rsid w:val="00950B35"/>
    <w:rsid w:val="0095170D"/>
    <w:rsid w:val="00952375"/>
    <w:rsid w:val="00952AA5"/>
    <w:rsid w:val="0095307F"/>
    <w:rsid w:val="009533AD"/>
    <w:rsid w:val="00955122"/>
    <w:rsid w:val="00955526"/>
    <w:rsid w:val="009562A5"/>
    <w:rsid w:val="009569A3"/>
    <w:rsid w:val="00956D46"/>
    <w:rsid w:val="009624CE"/>
    <w:rsid w:val="009626C4"/>
    <w:rsid w:val="00963390"/>
    <w:rsid w:val="00965D83"/>
    <w:rsid w:val="00966C09"/>
    <w:rsid w:val="00966C1A"/>
    <w:rsid w:val="00967069"/>
    <w:rsid w:val="00967B91"/>
    <w:rsid w:val="00971331"/>
    <w:rsid w:val="00971ABC"/>
    <w:rsid w:val="009728B2"/>
    <w:rsid w:val="00973D51"/>
    <w:rsid w:val="00975663"/>
    <w:rsid w:val="009762B6"/>
    <w:rsid w:val="00976667"/>
    <w:rsid w:val="00977324"/>
    <w:rsid w:val="00977848"/>
    <w:rsid w:val="00980116"/>
    <w:rsid w:val="009813A5"/>
    <w:rsid w:val="00981EB9"/>
    <w:rsid w:val="00983045"/>
    <w:rsid w:val="009837DA"/>
    <w:rsid w:val="00984273"/>
    <w:rsid w:val="0098434F"/>
    <w:rsid w:val="00984441"/>
    <w:rsid w:val="009844CF"/>
    <w:rsid w:val="00984640"/>
    <w:rsid w:val="00984DD8"/>
    <w:rsid w:val="0098572C"/>
    <w:rsid w:val="00985F4B"/>
    <w:rsid w:val="0099085F"/>
    <w:rsid w:val="00990D77"/>
    <w:rsid w:val="00990F71"/>
    <w:rsid w:val="0099152F"/>
    <w:rsid w:val="009917E5"/>
    <w:rsid w:val="009925DB"/>
    <w:rsid w:val="00992C48"/>
    <w:rsid w:val="00992D92"/>
    <w:rsid w:val="00993CC9"/>
    <w:rsid w:val="00995290"/>
    <w:rsid w:val="009953CF"/>
    <w:rsid w:val="00997CA8"/>
    <w:rsid w:val="009A06EC"/>
    <w:rsid w:val="009A1F6C"/>
    <w:rsid w:val="009A35C4"/>
    <w:rsid w:val="009A5105"/>
    <w:rsid w:val="009A6CCE"/>
    <w:rsid w:val="009A6DEF"/>
    <w:rsid w:val="009A6F74"/>
    <w:rsid w:val="009B05FA"/>
    <w:rsid w:val="009B34BF"/>
    <w:rsid w:val="009B352A"/>
    <w:rsid w:val="009B364B"/>
    <w:rsid w:val="009B376D"/>
    <w:rsid w:val="009B4C17"/>
    <w:rsid w:val="009B5281"/>
    <w:rsid w:val="009B59DE"/>
    <w:rsid w:val="009B721B"/>
    <w:rsid w:val="009B73DF"/>
    <w:rsid w:val="009B7E64"/>
    <w:rsid w:val="009C1310"/>
    <w:rsid w:val="009C2073"/>
    <w:rsid w:val="009C3003"/>
    <w:rsid w:val="009C35A2"/>
    <w:rsid w:val="009C7BDA"/>
    <w:rsid w:val="009C7DFA"/>
    <w:rsid w:val="009D0FE6"/>
    <w:rsid w:val="009D27E9"/>
    <w:rsid w:val="009D2859"/>
    <w:rsid w:val="009D29DA"/>
    <w:rsid w:val="009D2F9A"/>
    <w:rsid w:val="009D3628"/>
    <w:rsid w:val="009D387B"/>
    <w:rsid w:val="009D3D69"/>
    <w:rsid w:val="009D4178"/>
    <w:rsid w:val="009D4A4C"/>
    <w:rsid w:val="009D4C2A"/>
    <w:rsid w:val="009D4CDE"/>
    <w:rsid w:val="009D6030"/>
    <w:rsid w:val="009D679D"/>
    <w:rsid w:val="009D68C8"/>
    <w:rsid w:val="009D6914"/>
    <w:rsid w:val="009E1C22"/>
    <w:rsid w:val="009E1F67"/>
    <w:rsid w:val="009E2481"/>
    <w:rsid w:val="009E2B64"/>
    <w:rsid w:val="009E2C45"/>
    <w:rsid w:val="009E48F2"/>
    <w:rsid w:val="009E4E75"/>
    <w:rsid w:val="009E5682"/>
    <w:rsid w:val="009E5A36"/>
    <w:rsid w:val="009E766F"/>
    <w:rsid w:val="009E7AC2"/>
    <w:rsid w:val="009F125E"/>
    <w:rsid w:val="009F2622"/>
    <w:rsid w:val="009F274E"/>
    <w:rsid w:val="009F2A0E"/>
    <w:rsid w:val="009F2A45"/>
    <w:rsid w:val="009F3631"/>
    <w:rsid w:val="009F3790"/>
    <w:rsid w:val="009F3E25"/>
    <w:rsid w:val="009F4A11"/>
    <w:rsid w:val="009F6781"/>
    <w:rsid w:val="009F7808"/>
    <w:rsid w:val="009F7CEB"/>
    <w:rsid w:val="00A001C1"/>
    <w:rsid w:val="00A0113F"/>
    <w:rsid w:val="00A019A4"/>
    <w:rsid w:val="00A01A23"/>
    <w:rsid w:val="00A01B5A"/>
    <w:rsid w:val="00A040FD"/>
    <w:rsid w:val="00A0426A"/>
    <w:rsid w:val="00A04C0D"/>
    <w:rsid w:val="00A06308"/>
    <w:rsid w:val="00A0672E"/>
    <w:rsid w:val="00A06846"/>
    <w:rsid w:val="00A06B07"/>
    <w:rsid w:val="00A0730E"/>
    <w:rsid w:val="00A07A7F"/>
    <w:rsid w:val="00A10207"/>
    <w:rsid w:val="00A10ED8"/>
    <w:rsid w:val="00A12135"/>
    <w:rsid w:val="00A12983"/>
    <w:rsid w:val="00A12A9C"/>
    <w:rsid w:val="00A137D9"/>
    <w:rsid w:val="00A1415C"/>
    <w:rsid w:val="00A14339"/>
    <w:rsid w:val="00A174B4"/>
    <w:rsid w:val="00A176E7"/>
    <w:rsid w:val="00A17866"/>
    <w:rsid w:val="00A17A5D"/>
    <w:rsid w:val="00A20B1A"/>
    <w:rsid w:val="00A20BA8"/>
    <w:rsid w:val="00A22893"/>
    <w:rsid w:val="00A229E0"/>
    <w:rsid w:val="00A22A39"/>
    <w:rsid w:val="00A22E4A"/>
    <w:rsid w:val="00A2370A"/>
    <w:rsid w:val="00A23DB3"/>
    <w:rsid w:val="00A2440B"/>
    <w:rsid w:val="00A2567F"/>
    <w:rsid w:val="00A26CE2"/>
    <w:rsid w:val="00A2779E"/>
    <w:rsid w:val="00A31DAB"/>
    <w:rsid w:val="00A32DBC"/>
    <w:rsid w:val="00A33345"/>
    <w:rsid w:val="00A34933"/>
    <w:rsid w:val="00A35132"/>
    <w:rsid w:val="00A3597A"/>
    <w:rsid w:val="00A3628E"/>
    <w:rsid w:val="00A368BE"/>
    <w:rsid w:val="00A369D7"/>
    <w:rsid w:val="00A40299"/>
    <w:rsid w:val="00A4074B"/>
    <w:rsid w:val="00A419D6"/>
    <w:rsid w:val="00A41E5D"/>
    <w:rsid w:val="00A42111"/>
    <w:rsid w:val="00A42274"/>
    <w:rsid w:val="00A4297B"/>
    <w:rsid w:val="00A42F9E"/>
    <w:rsid w:val="00A44084"/>
    <w:rsid w:val="00A4477F"/>
    <w:rsid w:val="00A450CD"/>
    <w:rsid w:val="00A46859"/>
    <w:rsid w:val="00A46934"/>
    <w:rsid w:val="00A47153"/>
    <w:rsid w:val="00A4767A"/>
    <w:rsid w:val="00A47CDD"/>
    <w:rsid w:val="00A50B75"/>
    <w:rsid w:val="00A50C37"/>
    <w:rsid w:val="00A510E0"/>
    <w:rsid w:val="00A51C15"/>
    <w:rsid w:val="00A5208E"/>
    <w:rsid w:val="00A52270"/>
    <w:rsid w:val="00A522AA"/>
    <w:rsid w:val="00A535FB"/>
    <w:rsid w:val="00A53AE4"/>
    <w:rsid w:val="00A53EE3"/>
    <w:rsid w:val="00A5495F"/>
    <w:rsid w:val="00A55443"/>
    <w:rsid w:val="00A56668"/>
    <w:rsid w:val="00A57F04"/>
    <w:rsid w:val="00A620A4"/>
    <w:rsid w:val="00A62ECE"/>
    <w:rsid w:val="00A6374D"/>
    <w:rsid w:val="00A649E8"/>
    <w:rsid w:val="00A64A4B"/>
    <w:rsid w:val="00A64AD0"/>
    <w:rsid w:val="00A65C51"/>
    <w:rsid w:val="00A6650B"/>
    <w:rsid w:val="00A67ACA"/>
    <w:rsid w:val="00A67B50"/>
    <w:rsid w:val="00A70119"/>
    <w:rsid w:val="00A71DF4"/>
    <w:rsid w:val="00A72858"/>
    <w:rsid w:val="00A73E19"/>
    <w:rsid w:val="00A74FD1"/>
    <w:rsid w:val="00A75062"/>
    <w:rsid w:val="00A7594E"/>
    <w:rsid w:val="00A761DA"/>
    <w:rsid w:val="00A76C51"/>
    <w:rsid w:val="00A76DC4"/>
    <w:rsid w:val="00A7745F"/>
    <w:rsid w:val="00A77956"/>
    <w:rsid w:val="00A81F82"/>
    <w:rsid w:val="00A82646"/>
    <w:rsid w:val="00A8264F"/>
    <w:rsid w:val="00A82A15"/>
    <w:rsid w:val="00A841B0"/>
    <w:rsid w:val="00A844E5"/>
    <w:rsid w:val="00A8492A"/>
    <w:rsid w:val="00A8547A"/>
    <w:rsid w:val="00A85A2B"/>
    <w:rsid w:val="00A8655A"/>
    <w:rsid w:val="00A87417"/>
    <w:rsid w:val="00A87912"/>
    <w:rsid w:val="00A87C5E"/>
    <w:rsid w:val="00A90E7A"/>
    <w:rsid w:val="00A913C8"/>
    <w:rsid w:val="00A9302A"/>
    <w:rsid w:val="00A93543"/>
    <w:rsid w:val="00A941C2"/>
    <w:rsid w:val="00A94EFC"/>
    <w:rsid w:val="00A95CC1"/>
    <w:rsid w:val="00A95FBE"/>
    <w:rsid w:val="00A96D4D"/>
    <w:rsid w:val="00AA1681"/>
    <w:rsid w:val="00AA1C2C"/>
    <w:rsid w:val="00AA28DA"/>
    <w:rsid w:val="00AA2FA1"/>
    <w:rsid w:val="00AA3293"/>
    <w:rsid w:val="00AA3B42"/>
    <w:rsid w:val="00AA402A"/>
    <w:rsid w:val="00AA4115"/>
    <w:rsid w:val="00AA43B6"/>
    <w:rsid w:val="00AA4628"/>
    <w:rsid w:val="00AA4EC1"/>
    <w:rsid w:val="00AA50CC"/>
    <w:rsid w:val="00AA51C1"/>
    <w:rsid w:val="00AA6111"/>
    <w:rsid w:val="00AA6156"/>
    <w:rsid w:val="00AA6233"/>
    <w:rsid w:val="00AA6D3F"/>
    <w:rsid w:val="00AA7238"/>
    <w:rsid w:val="00AA73AC"/>
    <w:rsid w:val="00AA7B77"/>
    <w:rsid w:val="00AB0054"/>
    <w:rsid w:val="00AB040E"/>
    <w:rsid w:val="00AB187A"/>
    <w:rsid w:val="00AB1A48"/>
    <w:rsid w:val="00AB1B45"/>
    <w:rsid w:val="00AB2B0F"/>
    <w:rsid w:val="00AB32B3"/>
    <w:rsid w:val="00AB34C2"/>
    <w:rsid w:val="00AB3589"/>
    <w:rsid w:val="00AB3A5A"/>
    <w:rsid w:val="00AB514A"/>
    <w:rsid w:val="00AB682B"/>
    <w:rsid w:val="00AB6EC0"/>
    <w:rsid w:val="00AB6F73"/>
    <w:rsid w:val="00AB7C67"/>
    <w:rsid w:val="00AC02C5"/>
    <w:rsid w:val="00AC0311"/>
    <w:rsid w:val="00AC075E"/>
    <w:rsid w:val="00AC080C"/>
    <w:rsid w:val="00AC1DB7"/>
    <w:rsid w:val="00AC217C"/>
    <w:rsid w:val="00AC2474"/>
    <w:rsid w:val="00AC26F0"/>
    <w:rsid w:val="00AC31A8"/>
    <w:rsid w:val="00AC36AF"/>
    <w:rsid w:val="00AC37EA"/>
    <w:rsid w:val="00AC41E6"/>
    <w:rsid w:val="00AC4D57"/>
    <w:rsid w:val="00AC50E3"/>
    <w:rsid w:val="00AC50E9"/>
    <w:rsid w:val="00AC646C"/>
    <w:rsid w:val="00AC796B"/>
    <w:rsid w:val="00AD197F"/>
    <w:rsid w:val="00AD3A42"/>
    <w:rsid w:val="00AD4D3D"/>
    <w:rsid w:val="00AD51C9"/>
    <w:rsid w:val="00AD5F4F"/>
    <w:rsid w:val="00AD6829"/>
    <w:rsid w:val="00AD78B1"/>
    <w:rsid w:val="00AE0DD5"/>
    <w:rsid w:val="00AE11D9"/>
    <w:rsid w:val="00AE2A68"/>
    <w:rsid w:val="00AE2FDB"/>
    <w:rsid w:val="00AE30B2"/>
    <w:rsid w:val="00AE3221"/>
    <w:rsid w:val="00AE4D00"/>
    <w:rsid w:val="00AE513E"/>
    <w:rsid w:val="00AE524D"/>
    <w:rsid w:val="00AE58DF"/>
    <w:rsid w:val="00AE6031"/>
    <w:rsid w:val="00AE6379"/>
    <w:rsid w:val="00AE65A2"/>
    <w:rsid w:val="00AE65C5"/>
    <w:rsid w:val="00AE681F"/>
    <w:rsid w:val="00AE7AA8"/>
    <w:rsid w:val="00AE7AE5"/>
    <w:rsid w:val="00AF0DF9"/>
    <w:rsid w:val="00AF1745"/>
    <w:rsid w:val="00AF2108"/>
    <w:rsid w:val="00AF4823"/>
    <w:rsid w:val="00AF4BE4"/>
    <w:rsid w:val="00AF5D1E"/>
    <w:rsid w:val="00AF68E8"/>
    <w:rsid w:val="00AF69AB"/>
    <w:rsid w:val="00AF765E"/>
    <w:rsid w:val="00B002DB"/>
    <w:rsid w:val="00B007D5"/>
    <w:rsid w:val="00B01856"/>
    <w:rsid w:val="00B0242D"/>
    <w:rsid w:val="00B02A74"/>
    <w:rsid w:val="00B03197"/>
    <w:rsid w:val="00B038A6"/>
    <w:rsid w:val="00B03D26"/>
    <w:rsid w:val="00B05A6C"/>
    <w:rsid w:val="00B05D79"/>
    <w:rsid w:val="00B05E7B"/>
    <w:rsid w:val="00B060C8"/>
    <w:rsid w:val="00B064C9"/>
    <w:rsid w:val="00B06901"/>
    <w:rsid w:val="00B0690D"/>
    <w:rsid w:val="00B069CD"/>
    <w:rsid w:val="00B077A3"/>
    <w:rsid w:val="00B07B46"/>
    <w:rsid w:val="00B102B7"/>
    <w:rsid w:val="00B10437"/>
    <w:rsid w:val="00B10D25"/>
    <w:rsid w:val="00B11BE3"/>
    <w:rsid w:val="00B11EA0"/>
    <w:rsid w:val="00B1311E"/>
    <w:rsid w:val="00B13150"/>
    <w:rsid w:val="00B146AE"/>
    <w:rsid w:val="00B15D9B"/>
    <w:rsid w:val="00B1647F"/>
    <w:rsid w:val="00B16685"/>
    <w:rsid w:val="00B17B32"/>
    <w:rsid w:val="00B17FDB"/>
    <w:rsid w:val="00B20693"/>
    <w:rsid w:val="00B21BB1"/>
    <w:rsid w:val="00B22F1C"/>
    <w:rsid w:val="00B239C4"/>
    <w:rsid w:val="00B2490C"/>
    <w:rsid w:val="00B2571F"/>
    <w:rsid w:val="00B25D68"/>
    <w:rsid w:val="00B25FD7"/>
    <w:rsid w:val="00B2777B"/>
    <w:rsid w:val="00B311BF"/>
    <w:rsid w:val="00B31985"/>
    <w:rsid w:val="00B31C5B"/>
    <w:rsid w:val="00B358D1"/>
    <w:rsid w:val="00B36645"/>
    <w:rsid w:val="00B372B2"/>
    <w:rsid w:val="00B4023A"/>
    <w:rsid w:val="00B40542"/>
    <w:rsid w:val="00B40C69"/>
    <w:rsid w:val="00B41639"/>
    <w:rsid w:val="00B418F3"/>
    <w:rsid w:val="00B427F3"/>
    <w:rsid w:val="00B430E0"/>
    <w:rsid w:val="00B437A8"/>
    <w:rsid w:val="00B452FC"/>
    <w:rsid w:val="00B46B3D"/>
    <w:rsid w:val="00B51634"/>
    <w:rsid w:val="00B527E1"/>
    <w:rsid w:val="00B539FB"/>
    <w:rsid w:val="00B53D00"/>
    <w:rsid w:val="00B53EBF"/>
    <w:rsid w:val="00B54099"/>
    <w:rsid w:val="00B555C7"/>
    <w:rsid w:val="00B55987"/>
    <w:rsid w:val="00B56EBC"/>
    <w:rsid w:val="00B57E9F"/>
    <w:rsid w:val="00B60620"/>
    <w:rsid w:val="00B60EEE"/>
    <w:rsid w:val="00B6104D"/>
    <w:rsid w:val="00B61166"/>
    <w:rsid w:val="00B613A9"/>
    <w:rsid w:val="00B61635"/>
    <w:rsid w:val="00B6285A"/>
    <w:rsid w:val="00B62DF2"/>
    <w:rsid w:val="00B63460"/>
    <w:rsid w:val="00B6367E"/>
    <w:rsid w:val="00B63852"/>
    <w:rsid w:val="00B638FD"/>
    <w:rsid w:val="00B63B06"/>
    <w:rsid w:val="00B6436B"/>
    <w:rsid w:val="00B646A7"/>
    <w:rsid w:val="00B64BBF"/>
    <w:rsid w:val="00B65240"/>
    <w:rsid w:val="00B65905"/>
    <w:rsid w:val="00B66C37"/>
    <w:rsid w:val="00B67119"/>
    <w:rsid w:val="00B703A6"/>
    <w:rsid w:val="00B71675"/>
    <w:rsid w:val="00B71B62"/>
    <w:rsid w:val="00B728F1"/>
    <w:rsid w:val="00B72C3D"/>
    <w:rsid w:val="00B73464"/>
    <w:rsid w:val="00B74E48"/>
    <w:rsid w:val="00B75087"/>
    <w:rsid w:val="00B75454"/>
    <w:rsid w:val="00B7563C"/>
    <w:rsid w:val="00B75BC0"/>
    <w:rsid w:val="00B760A5"/>
    <w:rsid w:val="00B7796D"/>
    <w:rsid w:val="00B77ACE"/>
    <w:rsid w:val="00B80938"/>
    <w:rsid w:val="00B80B83"/>
    <w:rsid w:val="00B81A5A"/>
    <w:rsid w:val="00B8262D"/>
    <w:rsid w:val="00B83BDB"/>
    <w:rsid w:val="00B83F76"/>
    <w:rsid w:val="00B85A37"/>
    <w:rsid w:val="00B85C3F"/>
    <w:rsid w:val="00B863A0"/>
    <w:rsid w:val="00B864BE"/>
    <w:rsid w:val="00B87326"/>
    <w:rsid w:val="00B9043C"/>
    <w:rsid w:val="00B90B5F"/>
    <w:rsid w:val="00B90DD5"/>
    <w:rsid w:val="00B915D3"/>
    <w:rsid w:val="00B91B2B"/>
    <w:rsid w:val="00B92123"/>
    <w:rsid w:val="00B9298C"/>
    <w:rsid w:val="00B92B93"/>
    <w:rsid w:val="00B93960"/>
    <w:rsid w:val="00B94CEC"/>
    <w:rsid w:val="00B95F7A"/>
    <w:rsid w:val="00B97705"/>
    <w:rsid w:val="00BA00A6"/>
    <w:rsid w:val="00BA01AB"/>
    <w:rsid w:val="00BA0AB5"/>
    <w:rsid w:val="00BA1519"/>
    <w:rsid w:val="00BA22F8"/>
    <w:rsid w:val="00BA2763"/>
    <w:rsid w:val="00BA3306"/>
    <w:rsid w:val="00BA37DF"/>
    <w:rsid w:val="00BA3940"/>
    <w:rsid w:val="00BA3A40"/>
    <w:rsid w:val="00BA3ADB"/>
    <w:rsid w:val="00BA4D46"/>
    <w:rsid w:val="00BA5FE6"/>
    <w:rsid w:val="00BA73EE"/>
    <w:rsid w:val="00BA74D9"/>
    <w:rsid w:val="00BB1B7E"/>
    <w:rsid w:val="00BB1E55"/>
    <w:rsid w:val="00BB46C5"/>
    <w:rsid w:val="00BB4772"/>
    <w:rsid w:val="00BB4832"/>
    <w:rsid w:val="00BC0695"/>
    <w:rsid w:val="00BC09A6"/>
    <w:rsid w:val="00BC1508"/>
    <w:rsid w:val="00BC1AEB"/>
    <w:rsid w:val="00BC1D0C"/>
    <w:rsid w:val="00BC309D"/>
    <w:rsid w:val="00BC46C0"/>
    <w:rsid w:val="00BC4ABF"/>
    <w:rsid w:val="00BC4B6F"/>
    <w:rsid w:val="00BC4D46"/>
    <w:rsid w:val="00BC5D2A"/>
    <w:rsid w:val="00BC6277"/>
    <w:rsid w:val="00BC635B"/>
    <w:rsid w:val="00BC6B83"/>
    <w:rsid w:val="00BC6D29"/>
    <w:rsid w:val="00BC7FCB"/>
    <w:rsid w:val="00BD03EC"/>
    <w:rsid w:val="00BD0867"/>
    <w:rsid w:val="00BD1B4B"/>
    <w:rsid w:val="00BD1D42"/>
    <w:rsid w:val="00BD1E97"/>
    <w:rsid w:val="00BD2F73"/>
    <w:rsid w:val="00BD4CD8"/>
    <w:rsid w:val="00BD5DFC"/>
    <w:rsid w:val="00BD608F"/>
    <w:rsid w:val="00BD7958"/>
    <w:rsid w:val="00BD7EA7"/>
    <w:rsid w:val="00BE10DE"/>
    <w:rsid w:val="00BE1640"/>
    <w:rsid w:val="00BE3B03"/>
    <w:rsid w:val="00BE3CAA"/>
    <w:rsid w:val="00BE3E5F"/>
    <w:rsid w:val="00BE44E8"/>
    <w:rsid w:val="00BE583A"/>
    <w:rsid w:val="00BE6862"/>
    <w:rsid w:val="00BE6E6D"/>
    <w:rsid w:val="00BE6E93"/>
    <w:rsid w:val="00BE7807"/>
    <w:rsid w:val="00BF01C9"/>
    <w:rsid w:val="00BF0225"/>
    <w:rsid w:val="00BF20F1"/>
    <w:rsid w:val="00BF3037"/>
    <w:rsid w:val="00BF321F"/>
    <w:rsid w:val="00BF3EFB"/>
    <w:rsid w:val="00BF4A6F"/>
    <w:rsid w:val="00BF53ED"/>
    <w:rsid w:val="00BF5A8B"/>
    <w:rsid w:val="00BF5D65"/>
    <w:rsid w:val="00BF7205"/>
    <w:rsid w:val="00BF786B"/>
    <w:rsid w:val="00C00A17"/>
    <w:rsid w:val="00C014B5"/>
    <w:rsid w:val="00C02604"/>
    <w:rsid w:val="00C02F27"/>
    <w:rsid w:val="00C0345A"/>
    <w:rsid w:val="00C05DB2"/>
    <w:rsid w:val="00C060E6"/>
    <w:rsid w:val="00C06418"/>
    <w:rsid w:val="00C07188"/>
    <w:rsid w:val="00C071ED"/>
    <w:rsid w:val="00C07417"/>
    <w:rsid w:val="00C076F1"/>
    <w:rsid w:val="00C07BBA"/>
    <w:rsid w:val="00C07CF1"/>
    <w:rsid w:val="00C104C2"/>
    <w:rsid w:val="00C10CB5"/>
    <w:rsid w:val="00C11033"/>
    <w:rsid w:val="00C134CC"/>
    <w:rsid w:val="00C14BAF"/>
    <w:rsid w:val="00C15537"/>
    <w:rsid w:val="00C156D7"/>
    <w:rsid w:val="00C1584D"/>
    <w:rsid w:val="00C15DB7"/>
    <w:rsid w:val="00C161F8"/>
    <w:rsid w:val="00C162A2"/>
    <w:rsid w:val="00C16D80"/>
    <w:rsid w:val="00C17074"/>
    <w:rsid w:val="00C202BF"/>
    <w:rsid w:val="00C20990"/>
    <w:rsid w:val="00C231A1"/>
    <w:rsid w:val="00C23590"/>
    <w:rsid w:val="00C23670"/>
    <w:rsid w:val="00C23FEA"/>
    <w:rsid w:val="00C24839"/>
    <w:rsid w:val="00C261A0"/>
    <w:rsid w:val="00C267B0"/>
    <w:rsid w:val="00C26EBF"/>
    <w:rsid w:val="00C27972"/>
    <w:rsid w:val="00C27A17"/>
    <w:rsid w:val="00C27F66"/>
    <w:rsid w:val="00C309A9"/>
    <w:rsid w:val="00C30A12"/>
    <w:rsid w:val="00C314AD"/>
    <w:rsid w:val="00C317F3"/>
    <w:rsid w:val="00C3180A"/>
    <w:rsid w:val="00C31C5F"/>
    <w:rsid w:val="00C3283F"/>
    <w:rsid w:val="00C32C0F"/>
    <w:rsid w:val="00C33903"/>
    <w:rsid w:val="00C34242"/>
    <w:rsid w:val="00C35BCB"/>
    <w:rsid w:val="00C37753"/>
    <w:rsid w:val="00C407A6"/>
    <w:rsid w:val="00C429C9"/>
    <w:rsid w:val="00C42C6A"/>
    <w:rsid w:val="00C42DCE"/>
    <w:rsid w:val="00C43BF8"/>
    <w:rsid w:val="00C43FAA"/>
    <w:rsid w:val="00C446FB"/>
    <w:rsid w:val="00C44876"/>
    <w:rsid w:val="00C44C37"/>
    <w:rsid w:val="00C458A2"/>
    <w:rsid w:val="00C46A90"/>
    <w:rsid w:val="00C46AE5"/>
    <w:rsid w:val="00C47654"/>
    <w:rsid w:val="00C47E43"/>
    <w:rsid w:val="00C51897"/>
    <w:rsid w:val="00C52ACF"/>
    <w:rsid w:val="00C54844"/>
    <w:rsid w:val="00C57E4D"/>
    <w:rsid w:val="00C60527"/>
    <w:rsid w:val="00C607C9"/>
    <w:rsid w:val="00C6254C"/>
    <w:rsid w:val="00C626E2"/>
    <w:rsid w:val="00C628C8"/>
    <w:rsid w:val="00C62F6E"/>
    <w:rsid w:val="00C6320B"/>
    <w:rsid w:val="00C634EA"/>
    <w:rsid w:val="00C63A38"/>
    <w:rsid w:val="00C63B10"/>
    <w:rsid w:val="00C63DDD"/>
    <w:rsid w:val="00C659D7"/>
    <w:rsid w:val="00C65CF9"/>
    <w:rsid w:val="00C66F48"/>
    <w:rsid w:val="00C679C7"/>
    <w:rsid w:val="00C67D52"/>
    <w:rsid w:val="00C705BF"/>
    <w:rsid w:val="00C711A3"/>
    <w:rsid w:val="00C712AF"/>
    <w:rsid w:val="00C718C4"/>
    <w:rsid w:val="00C725E2"/>
    <w:rsid w:val="00C74141"/>
    <w:rsid w:val="00C7519E"/>
    <w:rsid w:val="00C75657"/>
    <w:rsid w:val="00C7611E"/>
    <w:rsid w:val="00C76B2B"/>
    <w:rsid w:val="00C77379"/>
    <w:rsid w:val="00C81A12"/>
    <w:rsid w:val="00C82D10"/>
    <w:rsid w:val="00C83DB5"/>
    <w:rsid w:val="00C846BE"/>
    <w:rsid w:val="00C84A81"/>
    <w:rsid w:val="00C855C9"/>
    <w:rsid w:val="00C86926"/>
    <w:rsid w:val="00C8700F"/>
    <w:rsid w:val="00C87B92"/>
    <w:rsid w:val="00C9003E"/>
    <w:rsid w:val="00C914F2"/>
    <w:rsid w:val="00C915B7"/>
    <w:rsid w:val="00C92845"/>
    <w:rsid w:val="00C94887"/>
    <w:rsid w:val="00C95043"/>
    <w:rsid w:val="00C95194"/>
    <w:rsid w:val="00C953EF"/>
    <w:rsid w:val="00C963DE"/>
    <w:rsid w:val="00C970CC"/>
    <w:rsid w:val="00C97800"/>
    <w:rsid w:val="00CA0275"/>
    <w:rsid w:val="00CA0C26"/>
    <w:rsid w:val="00CA13FC"/>
    <w:rsid w:val="00CA151F"/>
    <w:rsid w:val="00CA22EA"/>
    <w:rsid w:val="00CA2B9C"/>
    <w:rsid w:val="00CA3499"/>
    <w:rsid w:val="00CA4F35"/>
    <w:rsid w:val="00CA50F7"/>
    <w:rsid w:val="00CA53EC"/>
    <w:rsid w:val="00CA5584"/>
    <w:rsid w:val="00CA5AA9"/>
    <w:rsid w:val="00CA5EB5"/>
    <w:rsid w:val="00CA5F01"/>
    <w:rsid w:val="00CA664C"/>
    <w:rsid w:val="00CA74FD"/>
    <w:rsid w:val="00CA77AF"/>
    <w:rsid w:val="00CA7A4D"/>
    <w:rsid w:val="00CB04C6"/>
    <w:rsid w:val="00CB07A8"/>
    <w:rsid w:val="00CB102B"/>
    <w:rsid w:val="00CB14A1"/>
    <w:rsid w:val="00CB1CFE"/>
    <w:rsid w:val="00CB3EC7"/>
    <w:rsid w:val="00CB5389"/>
    <w:rsid w:val="00CB610E"/>
    <w:rsid w:val="00CC069E"/>
    <w:rsid w:val="00CC0A70"/>
    <w:rsid w:val="00CC10E1"/>
    <w:rsid w:val="00CC2003"/>
    <w:rsid w:val="00CC24E8"/>
    <w:rsid w:val="00CC6034"/>
    <w:rsid w:val="00CC6D36"/>
    <w:rsid w:val="00CC6DBE"/>
    <w:rsid w:val="00CD09CC"/>
    <w:rsid w:val="00CD12E3"/>
    <w:rsid w:val="00CD14FE"/>
    <w:rsid w:val="00CD1E8A"/>
    <w:rsid w:val="00CD5F4E"/>
    <w:rsid w:val="00CD612E"/>
    <w:rsid w:val="00CD6327"/>
    <w:rsid w:val="00CD68E6"/>
    <w:rsid w:val="00CD6B29"/>
    <w:rsid w:val="00CD6F7F"/>
    <w:rsid w:val="00CD7374"/>
    <w:rsid w:val="00CD7B72"/>
    <w:rsid w:val="00CD7C1B"/>
    <w:rsid w:val="00CE2B78"/>
    <w:rsid w:val="00CE371A"/>
    <w:rsid w:val="00CE391C"/>
    <w:rsid w:val="00CE4B27"/>
    <w:rsid w:val="00CE5DB9"/>
    <w:rsid w:val="00CE654D"/>
    <w:rsid w:val="00CE6F68"/>
    <w:rsid w:val="00CE74A3"/>
    <w:rsid w:val="00CE77BA"/>
    <w:rsid w:val="00CF0623"/>
    <w:rsid w:val="00CF1C2C"/>
    <w:rsid w:val="00CF26FF"/>
    <w:rsid w:val="00CF311E"/>
    <w:rsid w:val="00CF4D76"/>
    <w:rsid w:val="00CF5088"/>
    <w:rsid w:val="00CF5DBF"/>
    <w:rsid w:val="00CF6815"/>
    <w:rsid w:val="00CF7330"/>
    <w:rsid w:val="00D00794"/>
    <w:rsid w:val="00D00A73"/>
    <w:rsid w:val="00D01152"/>
    <w:rsid w:val="00D01504"/>
    <w:rsid w:val="00D02076"/>
    <w:rsid w:val="00D025DE"/>
    <w:rsid w:val="00D0293C"/>
    <w:rsid w:val="00D02A49"/>
    <w:rsid w:val="00D034DD"/>
    <w:rsid w:val="00D03672"/>
    <w:rsid w:val="00D03D0C"/>
    <w:rsid w:val="00D04952"/>
    <w:rsid w:val="00D04BCE"/>
    <w:rsid w:val="00D04DAD"/>
    <w:rsid w:val="00D06A16"/>
    <w:rsid w:val="00D1078F"/>
    <w:rsid w:val="00D10E60"/>
    <w:rsid w:val="00D11BC9"/>
    <w:rsid w:val="00D12AE3"/>
    <w:rsid w:val="00D12CD2"/>
    <w:rsid w:val="00D12DEE"/>
    <w:rsid w:val="00D130EF"/>
    <w:rsid w:val="00D131AC"/>
    <w:rsid w:val="00D134EE"/>
    <w:rsid w:val="00D1377C"/>
    <w:rsid w:val="00D14582"/>
    <w:rsid w:val="00D14D23"/>
    <w:rsid w:val="00D14D44"/>
    <w:rsid w:val="00D15353"/>
    <w:rsid w:val="00D1599F"/>
    <w:rsid w:val="00D15D8B"/>
    <w:rsid w:val="00D16646"/>
    <w:rsid w:val="00D16F8D"/>
    <w:rsid w:val="00D16FCB"/>
    <w:rsid w:val="00D1773E"/>
    <w:rsid w:val="00D1779A"/>
    <w:rsid w:val="00D17984"/>
    <w:rsid w:val="00D2002E"/>
    <w:rsid w:val="00D20534"/>
    <w:rsid w:val="00D207BF"/>
    <w:rsid w:val="00D20D43"/>
    <w:rsid w:val="00D211BF"/>
    <w:rsid w:val="00D2123B"/>
    <w:rsid w:val="00D21B97"/>
    <w:rsid w:val="00D22344"/>
    <w:rsid w:val="00D2365E"/>
    <w:rsid w:val="00D23991"/>
    <w:rsid w:val="00D23F5C"/>
    <w:rsid w:val="00D24B82"/>
    <w:rsid w:val="00D24DAD"/>
    <w:rsid w:val="00D25916"/>
    <w:rsid w:val="00D25AF4"/>
    <w:rsid w:val="00D26A28"/>
    <w:rsid w:val="00D27269"/>
    <w:rsid w:val="00D2784A"/>
    <w:rsid w:val="00D30A6A"/>
    <w:rsid w:val="00D30AB5"/>
    <w:rsid w:val="00D31F31"/>
    <w:rsid w:val="00D32190"/>
    <w:rsid w:val="00D329E6"/>
    <w:rsid w:val="00D334C7"/>
    <w:rsid w:val="00D33D99"/>
    <w:rsid w:val="00D342C4"/>
    <w:rsid w:val="00D34309"/>
    <w:rsid w:val="00D35473"/>
    <w:rsid w:val="00D357C5"/>
    <w:rsid w:val="00D3724E"/>
    <w:rsid w:val="00D377BA"/>
    <w:rsid w:val="00D37972"/>
    <w:rsid w:val="00D37D40"/>
    <w:rsid w:val="00D40896"/>
    <w:rsid w:val="00D41534"/>
    <w:rsid w:val="00D42687"/>
    <w:rsid w:val="00D42DC9"/>
    <w:rsid w:val="00D43159"/>
    <w:rsid w:val="00D451FC"/>
    <w:rsid w:val="00D46672"/>
    <w:rsid w:val="00D46C3B"/>
    <w:rsid w:val="00D4711B"/>
    <w:rsid w:val="00D4733E"/>
    <w:rsid w:val="00D477D1"/>
    <w:rsid w:val="00D47EC5"/>
    <w:rsid w:val="00D507EE"/>
    <w:rsid w:val="00D50B1B"/>
    <w:rsid w:val="00D50D56"/>
    <w:rsid w:val="00D51788"/>
    <w:rsid w:val="00D51867"/>
    <w:rsid w:val="00D53128"/>
    <w:rsid w:val="00D54F68"/>
    <w:rsid w:val="00D555A5"/>
    <w:rsid w:val="00D55AF4"/>
    <w:rsid w:val="00D55D82"/>
    <w:rsid w:val="00D5611F"/>
    <w:rsid w:val="00D57A74"/>
    <w:rsid w:val="00D606B0"/>
    <w:rsid w:val="00D60792"/>
    <w:rsid w:val="00D608D1"/>
    <w:rsid w:val="00D611D0"/>
    <w:rsid w:val="00D618B3"/>
    <w:rsid w:val="00D61AF0"/>
    <w:rsid w:val="00D61B93"/>
    <w:rsid w:val="00D62044"/>
    <w:rsid w:val="00D62286"/>
    <w:rsid w:val="00D6269C"/>
    <w:rsid w:val="00D63BB9"/>
    <w:rsid w:val="00D63C0D"/>
    <w:rsid w:val="00D63C48"/>
    <w:rsid w:val="00D64126"/>
    <w:rsid w:val="00D64289"/>
    <w:rsid w:val="00D64481"/>
    <w:rsid w:val="00D64955"/>
    <w:rsid w:val="00D6667B"/>
    <w:rsid w:val="00D70580"/>
    <w:rsid w:val="00D7076B"/>
    <w:rsid w:val="00D71400"/>
    <w:rsid w:val="00D7191D"/>
    <w:rsid w:val="00D71D41"/>
    <w:rsid w:val="00D721FE"/>
    <w:rsid w:val="00D723AF"/>
    <w:rsid w:val="00D72C23"/>
    <w:rsid w:val="00D730E4"/>
    <w:rsid w:val="00D73EB3"/>
    <w:rsid w:val="00D754BA"/>
    <w:rsid w:val="00D7579B"/>
    <w:rsid w:val="00D83569"/>
    <w:rsid w:val="00D83E7F"/>
    <w:rsid w:val="00D8435D"/>
    <w:rsid w:val="00D84473"/>
    <w:rsid w:val="00D84A03"/>
    <w:rsid w:val="00D86FEB"/>
    <w:rsid w:val="00D87D06"/>
    <w:rsid w:val="00D87EC4"/>
    <w:rsid w:val="00D91812"/>
    <w:rsid w:val="00D94207"/>
    <w:rsid w:val="00D94383"/>
    <w:rsid w:val="00D94BCE"/>
    <w:rsid w:val="00D95394"/>
    <w:rsid w:val="00D96193"/>
    <w:rsid w:val="00D96B7B"/>
    <w:rsid w:val="00D96CFA"/>
    <w:rsid w:val="00D96DB3"/>
    <w:rsid w:val="00D970E7"/>
    <w:rsid w:val="00D97700"/>
    <w:rsid w:val="00DA017B"/>
    <w:rsid w:val="00DA032B"/>
    <w:rsid w:val="00DA0456"/>
    <w:rsid w:val="00DA0887"/>
    <w:rsid w:val="00DA147C"/>
    <w:rsid w:val="00DA1BC6"/>
    <w:rsid w:val="00DA1E76"/>
    <w:rsid w:val="00DA2541"/>
    <w:rsid w:val="00DA25ED"/>
    <w:rsid w:val="00DA3324"/>
    <w:rsid w:val="00DA3328"/>
    <w:rsid w:val="00DA367A"/>
    <w:rsid w:val="00DA3A1E"/>
    <w:rsid w:val="00DA3D84"/>
    <w:rsid w:val="00DA4704"/>
    <w:rsid w:val="00DA4D5F"/>
    <w:rsid w:val="00DA50D4"/>
    <w:rsid w:val="00DA5485"/>
    <w:rsid w:val="00DA55BB"/>
    <w:rsid w:val="00DA55CF"/>
    <w:rsid w:val="00DA5AD5"/>
    <w:rsid w:val="00DA6FA6"/>
    <w:rsid w:val="00DA73EE"/>
    <w:rsid w:val="00DA7A17"/>
    <w:rsid w:val="00DA7ED7"/>
    <w:rsid w:val="00DB0754"/>
    <w:rsid w:val="00DB0887"/>
    <w:rsid w:val="00DB0C18"/>
    <w:rsid w:val="00DB172B"/>
    <w:rsid w:val="00DB1850"/>
    <w:rsid w:val="00DB196F"/>
    <w:rsid w:val="00DB1E96"/>
    <w:rsid w:val="00DB3E68"/>
    <w:rsid w:val="00DB4375"/>
    <w:rsid w:val="00DB4F47"/>
    <w:rsid w:val="00DB7F24"/>
    <w:rsid w:val="00DC034B"/>
    <w:rsid w:val="00DC09FD"/>
    <w:rsid w:val="00DC1743"/>
    <w:rsid w:val="00DC1F73"/>
    <w:rsid w:val="00DC2122"/>
    <w:rsid w:val="00DC2225"/>
    <w:rsid w:val="00DC236B"/>
    <w:rsid w:val="00DC244C"/>
    <w:rsid w:val="00DC25E6"/>
    <w:rsid w:val="00DC2A7A"/>
    <w:rsid w:val="00DC2F84"/>
    <w:rsid w:val="00DC34D0"/>
    <w:rsid w:val="00DC3E3E"/>
    <w:rsid w:val="00DC4208"/>
    <w:rsid w:val="00DC45B4"/>
    <w:rsid w:val="00DC4CC9"/>
    <w:rsid w:val="00DC52FE"/>
    <w:rsid w:val="00DC5A54"/>
    <w:rsid w:val="00DC6D0F"/>
    <w:rsid w:val="00DC7746"/>
    <w:rsid w:val="00DD02D8"/>
    <w:rsid w:val="00DD0567"/>
    <w:rsid w:val="00DD0C98"/>
    <w:rsid w:val="00DD1413"/>
    <w:rsid w:val="00DD2821"/>
    <w:rsid w:val="00DD3049"/>
    <w:rsid w:val="00DD310D"/>
    <w:rsid w:val="00DD359C"/>
    <w:rsid w:val="00DD4D88"/>
    <w:rsid w:val="00DD5549"/>
    <w:rsid w:val="00DD788F"/>
    <w:rsid w:val="00DD7995"/>
    <w:rsid w:val="00DE0C46"/>
    <w:rsid w:val="00DE12B4"/>
    <w:rsid w:val="00DE1646"/>
    <w:rsid w:val="00DE260B"/>
    <w:rsid w:val="00DE29EB"/>
    <w:rsid w:val="00DE2AB2"/>
    <w:rsid w:val="00DE30E2"/>
    <w:rsid w:val="00DE3A9A"/>
    <w:rsid w:val="00DE4DA7"/>
    <w:rsid w:val="00DE5B0F"/>
    <w:rsid w:val="00DE6421"/>
    <w:rsid w:val="00DE64EE"/>
    <w:rsid w:val="00DE6523"/>
    <w:rsid w:val="00DE708B"/>
    <w:rsid w:val="00DF085C"/>
    <w:rsid w:val="00DF16C0"/>
    <w:rsid w:val="00DF179E"/>
    <w:rsid w:val="00DF1F87"/>
    <w:rsid w:val="00DF34AD"/>
    <w:rsid w:val="00DF548B"/>
    <w:rsid w:val="00DF57B8"/>
    <w:rsid w:val="00DF5A50"/>
    <w:rsid w:val="00DF5D69"/>
    <w:rsid w:val="00DF5FF9"/>
    <w:rsid w:val="00DF6185"/>
    <w:rsid w:val="00DF6BE8"/>
    <w:rsid w:val="00DF6EC0"/>
    <w:rsid w:val="00DF78C9"/>
    <w:rsid w:val="00E01A76"/>
    <w:rsid w:val="00E04AE5"/>
    <w:rsid w:val="00E05911"/>
    <w:rsid w:val="00E05FBC"/>
    <w:rsid w:val="00E06140"/>
    <w:rsid w:val="00E10B7D"/>
    <w:rsid w:val="00E10F4C"/>
    <w:rsid w:val="00E11EAC"/>
    <w:rsid w:val="00E14265"/>
    <w:rsid w:val="00E14B36"/>
    <w:rsid w:val="00E17054"/>
    <w:rsid w:val="00E172D4"/>
    <w:rsid w:val="00E1795C"/>
    <w:rsid w:val="00E17978"/>
    <w:rsid w:val="00E2018E"/>
    <w:rsid w:val="00E2058C"/>
    <w:rsid w:val="00E2165A"/>
    <w:rsid w:val="00E227EA"/>
    <w:rsid w:val="00E22AED"/>
    <w:rsid w:val="00E2326E"/>
    <w:rsid w:val="00E23660"/>
    <w:rsid w:val="00E23C2C"/>
    <w:rsid w:val="00E25198"/>
    <w:rsid w:val="00E251F5"/>
    <w:rsid w:val="00E251F9"/>
    <w:rsid w:val="00E25C13"/>
    <w:rsid w:val="00E26EF8"/>
    <w:rsid w:val="00E2761D"/>
    <w:rsid w:val="00E277FA"/>
    <w:rsid w:val="00E27B30"/>
    <w:rsid w:val="00E300D6"/>
    <w:rsid w:val="00E307E0"/>
    <w:rsid w:val="00E3122D"/>
    <w:rsid w:val="00E31A1E"/>
    <w:rsid w:val="00E32FC6"/>
    <w:rsid w:val="00E339BD"/>
    <w:rsid w:val="00E33E00"/>
    <w:rsid w:val="00E34484"/>
    <w:rsid w:val="00E34630"/>
    <w:rsid w:val="00E3599F"/>
    <w:rsid w:val="00E3621D"/>
    <w:rsid w:val="00E36E51"/>
    <w:rsid w:val="00E37424"/>
    <w:rsid w:val="00E4041E"/>
    <w:rsid w:val="00E40CFA"/>
    <w:rsid w:val="00E42BBB"/>
    <w:rsid w:val="00E42FB3"/>
    <w:rsid w:val="00E430F7"/>
    <w:rsid w:val="00E439EB"/>
    <w:rsid w:val="00E44FC2"/>
    <w:rsid w:val="00E45180"/>
    <w:rsid w:val="00E45305"/>
    <w:rsid w:val="00E4588E"/>
    <w:rsid w:val="00E4610B"/>
    <w:rsid w:val="00E4634C"/>
    <w:rsid w:val="00E4650B"/>
    <w:rsid w:val="00E46AC9"/>
    <w:rsid w:val="00E47DF5"/>
    <w:rsid w:val="00E50309"/>
    <w:rsid w:val="00E51151"/>
    <w:rsid w:val="00E51681"/>
    <w:rsid w:val="00E519AC"/>
    <w:rsid w:val="00E51ACE"/>
    <w:rsid w:val="00E51B65"/>
    <w:rsid w:val="00E52397"/>
    <w:rsid w:val="00E52A1A"/>
    <w:rsid w:val="00E52FFF"/>
    <w:rsid w:val="00E53A6F"/>
    <w:rsid w:val="00E53BB6"/>
    <w:rsid w:val="00E53DB6"/>
    <w:rsid w:val="00E54B5A"/>
    <w:rsid w:val="00E54DB5"/>
    <w:rsid w:val="00E54FB3"/>
    <w:rsid w:val="00E55904"/>
    <w:rsid w:val="00E55E72"/>
    <w:rsid w:val="00E57A40"/>
    <w:rsid w:val="00E600E1"/>
    <w:rsid w:val="00E604DE"/>
    <w:rsid w:val="00E61812"/>
    <w:rsid w:val="00E61D4A"/>
    <w:rsid w:val="00E62B25"/>
    <w:rsid w:val="00E630F2"/>
    <w:rsid w:val="00E65676"/>
    <w:rsid w:val="00E6573C"/>
    <w:rsid w:val="00E65F1B"/>
    <w:rsid w:val="00E66614"/>
    <w:rsid w:val="00E668A3"/>
    <w:rsid w:val="00E66C4B"/>
    <w:rsid w:val="00E671A2"/>
    <w:rsid w:val="00E70720"/>
    <w:rsid w:val="00E7092F"/>
    <w:rsid w:val="00E70F1C"/>
    <w:rsid w:val="00E722EF"/>
    <w:rsid w:val="00E731CD"/>
    <w:rsid w:val="00E73E50"/>
    <w:rsid w:val="00E7482A"/>
    <w:rsid w:val="00E74C36"/>
    <w:rsid w:val="00E74C9F"/>
    <w:rsid w:val="00E76512"/>
    <w:rsid w:val="00E76FF4"/>
    <w:rsid w:val="00E773DF"/>
    <w:rsid w:val="00E8010A"/>
    <w:rsid w:val="00E80508"/>
    <w:rsid w:val="00E80FF6"/>
    <w:rsid w:val="00E8142E"/>
    <w:rsid w:val="00E81719"/>
    <w:rsid w:val="00E8269B"/>
    <w:rsid w:val="00E8551A"/>
    <w:rsid w:val="00E85997"/>
    <w:rsid w:val="00E85C38"/>
    <w:rsid w:val="00E85F59"/>
    <w:rsid w:val="00E8733E"/>
    <w:rsid w:val="00E90A04"/>
    <w:rsid w:val="00E90AA0"/>
    <w:rsid w:val="00E9187B"/>
    <w:rsid w:val="00E92199"/>
    <w:rsid w:val="00E930FA"/>
    <w:rsid w:val="00E933EF"/>
    <w:rsid w:val="00E94C83"/>
    <w:rsid w:val="00E94DB5"/>
    <w:rsid w:val="00E95379"/>
    <w:rsid w:val="00E960B5"/>
    <w:rsid w:val="00E967CF"/>
    <w:rsid w:val="00E96B93"/>
    <w:rsid w:val="00E96C60"/>
    <w:rsid w:val="00EA029A"/>
    <w:rsid w:val="00EA05F7"/>
    <w:rsid w:val="00EA0653"/>
    <w:rsid w:val="00EA1B29"/>
    <w:rsid w:val="00EA3180"/>
    <w:rsid w:val="00EA393D"/>
    <w:rsid w:val="00EA6631"/>
    <w:rsid w:val="00EA66E6"/>
    <w:rsid w:val="00EB0331"/>
    <w:rsid w:val="00EB0E6A"/>
    <w:rsid w:val="00EB21B0"/>
    <w:rsid w:val="00EB2409"/>
    <w:rsid w:val="00EB27F8"/>
    <w:rsid w:val="00EB2CA0"/>
    <w:rsid w:val="00EB3F3E"/>
    <w:rsid w:val="00EB425C"/>
    <w:rsid w:val="00EB426B"/>
    <w:rsid w:val="00EB4A1A"/>
    <w:rsid w:val="00EB51D4"/>
    <w:rsid w:val="00EB58B3"/>
    <w:rsid w:val="00EB58D1"/>
    <w:rsid w:val="00EB5E6D"/>
    <w:rsid w:val="00EB7158"/>
    <w:rsid w:val="00EB7BF2"/>
    <w:rsid w:val="00EC02EB"/>
    <w:rsid w:val="00EC2ABE"/>
    <w:rsid w:val="00EC3F3C"/>
    <w:rsid w:val="00EC45FE"/>
    <w:rsid w:val="00EC4C47"/>
    <w:rsid w:val="00EC588D"/>
    <w:rsid w:val="00EC612E"/>
    <w:rsid w:val="00EC63F9"/>
    <w:rsid w:val="00ED1919"/>
    <w:rsid w:val="00ED35B3"/>
    <w:rsid w:val="00ED43F1"/>
    <w:rsid w:val="00ED5284"/>
    <w:rsid w:val="00ED65FB"/>
    <w:rsid w:val="00ED7752"/>
    <w:rsid w:val="00ED7C39"/>
    <w:rsid w:val="00ED7FCB"/>
    <w:rsid w:val="00EE030C"/>
    <w:rsid w:val="00EE07F0"/>
    <w:rsid w:val="00EE155F"/>
    <w:rsid w:val="00EE1BEE"/>
    <w:rsid w:val="00EE22C8"/>
    <w:rsid w:val="00EE2737"/>
    <w:rsid w:val="00EE48FE"/>
    <w:rsid w:val="00EE5902"/>
    <w:rsid w:val="00EE6D1C"/>
    <w:rsid w:val="00EE79C5"/>
    <w:rsid w:val="00EE7CC8"/>
    <w:rsid w:val="00EF188F"/>
    <w:rsid w:val="00EF18CD"/>
    <w:rsid w:val="00EF3278"/>
    <w:rsid w:val="00EF3AF0"/>
    <w:rsid w:val="00EF4347"/>
    <w:rsid w:val="00F001E4"/>
    <w:rsid w:val="00F00B29"/>
    <w:rsid w:val="00F02DB5"/>
    <w:rsid w:val="00F030DE"/>
    <w:rsid w:val="00F040ED"/>
    <w:rsid w:val="00F049EC"/>
    <w:rsid w:val="00F06B4B"/>
    <w:rsid w:val="00F07AF6"/>
    <w:rsid w:val="00F07E52"/>
    <w:rsid w:val="00F101E8"/>
    <w:rsid w:val="00F11A66"/>
    <w:rsid w:val="00F1329D"/>
    <w:rsid w:val="00F140D0"/>
    <w:rsid w:val="00F144AC"/>
    <w:rsid w:val="00F14C3E"/>
    <w:rsid w:val="00F14CD2"/>
    <w:rsid w:val="00F167B1"/>
    <w:rsid w:val="00F17972"/>
    <w:rsid w:val="00F17C00"/>
    <w:rsid w:val="00F17E97"/>
    <w:rsid w:val="00F201A3"/>
    <w:rsid w:val="00F21A21"/>
    <w:rsid w:val="00F21D20"/>
    <w:rsid w:val="00F21D21"/>
    <w:rsid w:val="00F21DBC"/>
    <w:rsid w:val="00F22FC8"/>
    <w:rsid w:val="00F23355"/>
    <w:rsid w:val="00F23C81"/>
    <w:rsid w:val="00F242E6"/>
    <w:rsid w:val="00F24D61"/>
    <w:rsid w:val="00F25786"/>
    <w:rsid w:val="00F26B4B"/>
    <w:rsid w:val="00F26EF9"/>
    <w:rsid w:val="00F2706C"/>
    <w:rsid w:val="00F27409"/>
    <w:rsid w:val="00F3094A"/>
    <w:rsid w:val="00F30EB2"/>
    <w:rsid w:val="00F31139"/>
    <w:rsid w:val="00F31252"/>
    <w:rsid w:val="00F32178"/>
    <w:rsid w:val="00F3298D"/>
    <w:rsid w:val="00F32D23"/>
    <w:rsid w:val="00F32E14"/>
    <w:rsid w:val="00F3383F"/>
    <w:rsid w:val="00F35A16"/>
    <w:rsid w:val="00F35D77"/>
    <w:rsid w:val="00F37784"/>
    <w:rsid w:val="00F37C5E"/>
    <w:rsid w:val="00F40D06"/>
    <w:rsid w:val="00F419C5"/>
    <w:rsid w:val="00F43C2E"/>
    <w:rsid w:val="00F43C3F"/>
    <w:rsid w:val="00F44EFB"/>
    <w:rsid w:val="00F460DD"/>
    <w:rsid w:val="00F477CE"/>
    <w:rsid w:val="00F47AAB"/>
    <w:rsid w:val="00F51104"/>
    <w:rsid w:val="00F513E9"/>
    <w:rsid w:val="00F522B1"/>
    <w:rsid w:val="00F52485"/>
    <w:rsid w:val="00F52673"/>
    <w:rsid w:val="00F54F9A"/>
    <w:rsid w:val="00F55F33"/>
    <w:rsid w:val="00F56314"/>
    <w:rsid w:val="00F57408"/>
    <w:rsid w:val="00F617D6"/>
    <w:rsid w:val="00F6226A"/>
    <w:rsid w:val="00F628DB"/>
    <w:rsid w:val="00F62B0C"/>
    <w:rsid w:val="00F63AE5"/>
    <w:rsid w:val="00F64B38"/>
    <w:rsid w:val="00F659D1"/>
    <w:rsid w:val="00F65DBA"/>
    <w:rsid w:val="00F65E88"/>
    <w:rsid w:val="00F7013E"/>
    <w:rsid w:val="00F708CF"/>
    <w:rsid w:val="00F70C55"/>
    <w:rsid w:val="00F71013"/>
    <w:rsid w:val="00F71DDD"/>
    <w:rsid w:val="00F721E1"/>
    <w:rsid w:val="00F72B1F"/>
    <w:rsid w:val="00F72B42"/>
    <w:rsid w:val="00F72C9B"/>
    <w:rsid w:val="00F73036"/>
    <w:rsid w:val="00F7307C"/>
    <w:rsid w:val="00F733F3"/>
    <w:rsid w:val="00F73A39"/>
    <w:rsid w:val="00F74863"/>
    <w:rsid w:val="00F7522B"/>
    <w:rsid w:val="00F75272"/>
    <w:rsid w:val="00F755DF"/>
    <w:rsid w:val="00F75D3A"/>
    <w:rsid w:val="00F7722D"/>
    <w:rsid w:val="00F7774B"/>
    <w:rsid w:val="00F77988"/>
    <w:rsid w:val="00F77E79"/>
    <w:rsid w:val="00F80139"/>
    <w:rsid w:val="00F80BFF"/>
    <w:rsid w:val="00F80C3E"/>
    <w:rsid w:val="00F80D12"/>
    <w:rsid w:val="00F81638"/>
    <w:rsid w:val="00F81BEB"/>
    <w:rsid w:val="00F81F9D"/>
    <w:rsid w:val="00F822AB"/>
    <w:rsid w:val="00F82EB3"/>
    <w:rsid w:val="00F83383"/>
    <w:rsid w:val="00F83557"/>
    <w:rsid w:val="00F845EB"/>
    <w:rsid w:val="00F85C4A"/>
    <w:rsid w:val="00F85EAD"/>
    <w:rsid w:val="00F8656C"/>
    <w:rsid w:val="00F86BBB"/>
    <w:rsid w:val="00F873B9"/>
    <w:rsid w:val="00F87C31"/>
    <w:rsid w:val="00F907C4"/>
    <w:rsid w:val="00F90D96"/>
    <w:rsid w:val="00F9212E"/>
    <w:rsid w:val="00F9386F"/>
    <w:rsid w:val="00F958A4"/>
    <w:rsid w:val="00F95D6F"/>
    <w:rsid w:val="00F9783F"/>
    <w:rsid w:val="00FA0329"/>
    <w:rsid w:val="00FA0A80"/>
    <w:rsid w:val="00FA212B"/>
    <w:rsid w:val="00FA43BF"/>
    <w:rsid w:val="00FA498B"/>
    <w:rsid w:val="00FA5722"/>
    <w:rsid w:val="00FA59B1"/>
    <w:rsid w:val="00FA5A2E"/>
    <w:rsid w:val="00FA5DC8"/>
    <w:rsid w:val="00FA62C8"/>
    <w:rsid w:val="00FA642D"/>
    <w:rsid w:val="00FB035C"/>
    <w:rsid w:val="00FB27A2"/>
    <w:rsid w:val="00FB2F39"/>
    <w:rsid w:val="00FB366A"/>
    <w:rsid w:val="00FB37E8"/>
    <w:rsid w:val="00FB455F"/>
    <w:rsid w:val="00FB57DB"/>
    <w:rsid w:val="00FB6238"/>
    <w:rsid w:val="00FB76A8"/>
    <w:rsid w:val="00FB7AC5"/>
    <w:rsid w:val="00FC06E3"/>
    <w:rsid w:val="00FC0874"/>
    <w:rsid w:val="00FC0CBC"/>
    <w:rsid w:val="00FC0CD6"/>
    <w:rsid w:val="00FC17A7"/>
    <w:rsid w:val="00FC22AB"/>
    <w:rsid w:val="00FC30AE"/>
    <w:rsid w:val="00FC594B"/>
    <w:rsid w:val="00FC7B02"/>
    <w:rsid w:val="00FD0146"/>
    <w:rsid w:val="00FD0DA5"/>
    <w:rsid w:val="00FD10FE"/>
    <w:rsid w:val="00FD1B1F"/>
    <w:rsid w:val="00FD2162"/>
    <w:rsid w:val="00FD24B9"/>
    <w:rsid w:val="00FD2AA9"/>
    <w:rsid w:val="00FD2FB0"/>
    <w:rsid w:val="00FD3552"/>
    <w:rsid w:val="00FD3698"/>
    <w:rsid w:val="00FD3761"/>
    <w:rsid w:val="00FD406D"/>
    <w:rsid w:val="00FD51B5"/>
    <w:rsid w:val="00FD5C9D"/>
    <w:rsid w:val="00FD5D85"/>
    <w:rsid w:val="00FD617E"/>
    <w:rsid w:val="00FD690C"/>
    <w:rsid w:val="00FD7841"/>
    <w:rsid w:val="00FE0C81"/>
    <w:rsid w:val="00FE1AC7"/>
    <w:rsid w:val="00FE2431"/>
    <w:rsid w:val="00FE3773"/>
    <w:rsid w:val="00FE4C58"/>
    <w:rsid w:val="00FE6150"/>
    <w:rsid w:val="00FE6374"/>
    <w:rsid w:val="00FE6746"/>
    <w:rsid w:val="00FE6B1B"/>
    <w:rsid w:val="00FE70B4"/>
    <w:rsid w:val="00FF0C2F"/>
    <w:rsid w:val="00FF1031"/>
    <w:rsid w:val="00FF2550"/>
    <w:rsid w:val="00FF2711"/>
    <w:rsid w:val="00FF2A8D"/>
    <w:rsid w:val="00FF35AB"/>
    <w:rsid w:val="00FF394E"/>
    <w:rsid w:val="00FF4F43"/>
    <w:rsid w:val="00FF5269"/>
    <w:rsid w:val="00FF5389"/>
    <w:rsid w:val="00FF5C21"/>
    <w:rsid w:val="00FF6024"/>
    <w:rsid w:val="00FF610D"/>
    <w:rsid w:val="00FF6136"/>
    <w:rsid w:val="00FF6357"/>
    <w:rsid w:val="00FF6752"/>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semiHidden="1" w:uiPriority="1" w:unhideWhenUsed="1"/>
    <w:lsdException w:name="heading 3" w:semiHidden="1" w:uiPriority="0" w:unhideWhenUsed="1"/>
    <w:lsdException w:name="heading 4" w:semiHidden="1" w:uiPriority="0" w:unhideWhenUsed="1"/>
    <w:lsdException w:name="heading 5" w:semiHidden="1" w:uiPriority="7" w:unhideWhenUsed="1"/>
    <w:lsdException w:name="heading 6" w:semiHidden="1" w:uiPriority="7"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EF"/>
    <w:pPr>
      <w:jc w:val="both"/>
    </w:pPr>
    <w:rPr>
      <w:rFonts w:ascii="Calibri" w:hAnsi="Calibri"/>
      <w:sz w:val="24"/>
      <w:szCs w:val="24"/>
    </w:rPr>
  </w:style>
  <w:style w:type="paragraph" w:styleId="Heading1">
    <w:name w:val="heading 1"/>
    <w:basedOn w:val="Normal"/>
    <w:next w:val="Normal"/>
    <w:link w:val="Heading1Char"/>
    <w:uiPriority w:val="1"/>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aliases w:val="Subsection Headings"/>
    <w:basedOn w:val="Normal"/>
    <w:next w:val="Normal"/>
    <w:link w:val="Heading2Char"/>
    <w:uiPriority w:val="1"/>
    <w:rsid w:val="00147986"/>
    <w:pPr>
      <w:keepNext/>
      <w:spacing w:line="360" w:lineRule="auto"/>
      <w:outlineLvl w:val="1"/>
    </w:pPr>
    <w:rPr>
      <w:rFonts w:asciiTheme="minorHAnsi" w:eastAsiaTheme="majorEastAsia" w:hAnsiTheme="minorHAnsi" w:cstheme="majorBidi"/>
      <w:b/>
      <w:i/>
      <w:sz w:val="28"/>
    </w:rPr>
  </w:style>
  <w:style w:type="paragraph" w:styleId="Heading3">
    <w:name w:val="heading 3"/>
    <w:basedOn w:val="Normal"/>
    <w:next w:val="Normal"/>
    <w:link w:val="Heading3Char"/>
    <w:unhideWhenUsed/>
    <w:rsid w:val="0003596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Heading 1 - Body"/>
    <w:basedOn w:val="Heading1"/>
    <w:next w:val="Normal"/>
    <w:link w:val="Heading4Char"/>
    <w:semiHidden/>
    <w:unhideWhenUsed/>
    <w:rsid w:val="00624315"/>
    <w:pPr>
      <w:numPr>
        <w:numId w:val="0"/>
      </w:numPr>
      <w:spacing w:before="40" w:after="0"/>
      <w:outlineLvl w:val="3"/>
    </w:pPr>
    <w:rPr>
      <w:rFonts w:asciiTheme="majorHAnsi" w:hAnsiTheme="majorHAnsi"/>
      <w:b w:val="0"/>
      <w:i/>
      <w:iCs/>
      <w:color w:val="2E74B5" w:themeColor="accent1" w:themeShade="BF"/>
      <w:sz w:val="24"/>
      <w:szCs w:val="24"/>
    </w:rPr>
  </w:style>
  <w:style w:type="paragraph" w:styleId="Heading5">
    <w:name w:val="heading 5"/>
    <w:aliases w:val="Heading 2 - Body"/>
    <w:basedOn w:val="Heading2"/>
    <w:next w:val="Normal"/>
    <w:link w:val="Heading5Char"/>
    <w:uiPriority w:val="7"/>
    <w:unhideWhenUsed/>
    <w:rsid w:val="003B095E"/>
    <w:pPr>
      <w:outlineLvl w:val="4"/>
    </w:pPr>
  </w:style>
  <w:style w:type="paragraph" w:styleId="Heading6">
    <w:name w:val="heading 6"/>
    <w:aliases w:val="Heading 3 - Body"/>
    <w:basedOn w:val="Heading3"/>
    <w:next w:val="Normal"/>
    <w:link w:val="Heading6Char"/>
    <w:uiPriority w:val="7"/>
    <w:unhideWhenUsed/>
    <w:rsid w:val="00624315"/>
    <w:pPr>
      <w:outlineLvl w:val="5"/>
    </w:pPr>
  </w:style>
  <w:style w:type="paragraph" w:styleId="Heading7">
    <w:name w:val="heading 7"/>
    <w:basedOn w:val="Heading1"/>
    <w:next w:val="Normal"/>
    <w:link w:val="Heading7Char"/>
    <w:semiHidden/>
    <w:unhideWhenUsed/>
    <w:rsid w:val="00441197"/>
    <w:pPr>
      <w:numPr>
        <w:numId w:val="0"/>
      </w:numPr>
      <w:spacing w:before="40" w:after="0"/>
      <w:outlineLvl w:val="6"/>
    </w:pPr>
    <w:rPr>
      <w:rFonts w:asciiTheme="majorHAnsi" w:hAnsiTheme="majorHAnsi"/>
      <w:b w:val="0"/>
      <w:i/>
      <w:iCs/>
      <w:color w:val="1F4D78" w:themeColor="accent1" w:themeShade="7F"/>
      <w:sz w:val="24"/>
      <w:szCs w:val="24"/>
    </w:rPr>
  </w:style>
  <w:style w:type="paragraph" w:styleId="Heading8">
    <w:name w:val="heading 8"/>
    <w:basedOn w:val="Normal"/>
    <w:next w:val="Normal"/>
    <w:link w:val="Heading8Char"/>
    <w:semiHidden/>
    <w:unhideWhenUsed/>
    <w:rsid w:val="002B5D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semiHidden/>
    <w:unhideWhenUsed/>
    <w:rsid w:val="002A4503"/>
    <w:pPr>
      <w:numPr>
        <w:numId w:val="0"/>
      </w:numPr>
      <w:spacing w:before="40" w:after="0"/>
      <w:outlineLvl w:val="8"/>
    </w:pPr>
    <w:rPr>
      <w:rFonts w:asciiTheme="majorHAnsi" w:hAnsiTheme="majorHAnsi"/>
      <w:b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ascii="Calibri" w:eastAsiaTheme="majorEastAsia" w:hAnsi="Calibri" w:cstheme="majorBidi"/>
      <w:b/>
      <w:sz w:val="32"/>
      <w:szCs w:val="28"/>
    </w:rPr>
  </w:style>
  <w:style w:type="character" w:customStyle="1" w:styleId="Heading2Char">
    <w:name w:val="Heading 2 Char"/>
    <w:aliases w:val="Subsection Headings Char"/>
    <w:basedOn w:val="DefaultParagraphFont"/>
    <w:link w:val="Heading2"/>
    <w:uiPriority w:val="1"/>
    <w:rsid w:val="00147986"/>
    <w:rPr>
      <w:rFonts w:asciiTheme="minorHAnsi" w:eastAsiaTheme="majorEastAsia" w:hAnsiTheme="minorHAnsi" w:cstheme="majorBidi"/>
      <w:b/>
      <w:i/>
      <w:sz w:val="28"/>
      <w:szCs w:val="24"/>
    </w:rPr>
  </w:style>
  <w:style w:type="character" w:customStyle="1" w:styleId="Heading3Char">
    <w:name w:val="Heading 3 Char"/>
    <w:basedOn w:val="DefaultParagraphFont"/>
    <w:link w:val="Heading3"/>
    <w:rsid w:val="00035962"/>
    <w:rPr>
      <w:rFonts w:asciiTheme="majorHAnsi" w:eastAsiaTheme="majorEastAsia" w:hAnsiTheme="majorHAnsi" w:cstheme="majorBidi"/>
      <w:b/>
      <w:bCs/>
      <w:color w:val="5B9BD5" w:themeColor="accent1"/>
      <w:sz w:val="24"/>
      <w:szCs w:val="24"/>
    </w:rPr>
  </w:style>
  <w:style w:type="paragraph" w:styleId="ListParagraph">
    <w:name w:val="List Paragraph"/>
    <w:aliases w:val="Body Text Bullet Points,BulletPoints,Numbered para,Bullet point,List Paragraph1,List Paragraph11,Recommendation,Styl moj,Akapit z listą11,Table Legend,Footnote,ES Paragraph,PBAC ES Paragraph,PBAC normal points,Bullet List"/>
    <w:next w:val="ListBullet"/>
    <w:link w:val="ListParagraphChar"/>
    <w:uiPriority w:val="34"/>
    <w:qFormat/>
    <w:rsid w:val="00FB455F"/>
    <w:pPr>
      <w:numPr>
        <w:numId w:val="47"/>
      </w:numPr>
      <w:spacing w:after="120"/>
      <w:ind w:left="1094" w:hanging="357"/>
      <w:jc w:val="both"/>
    </w:pPr>
    <w:rPr>
      <w:rFonts w:asciiTheme="minorHAnsi" w:hAnsiTheme="minorHAnsi" w:cs="Arial"/>
      <w:snapToGrid w:val="0"/>
      <w:sz w:val="24"/>
      <w:szCs w:val="24"/>
    </w:rPr>
  </w:style>
  <w:style w:type="paragraph" w:customStyle="1" w:styleId="V50Heading2nonumbers">
    <w:name w:val="V5.0 Heading 2 no numbers"/>
    <w:basedOn w:val="Heading2"/>
    <w:rsid w:val="00186307"/>
    <w:pPr>
      <w:ind w:left="578" w:hanging="578"/>
    </w:pPr>
  </w:style>
  <w:style w:type="paragraph" w:customStyle="1" w:styleId="V50Instructions">
    <w:name w:val="V5.0 Instructions"/>
    <w:basedOn w:val="Normal"/>
    <w:link w:val="V50InstructionsChar"/>
    <w:rsid w:val="003E6475"/>
    <w:rPr>
      <w:color w:val="4472C4" w:themeColor="accent5"/>
    </w:rPr>
  </w:style>
  <w:style w:type="character" w:customStyle="1" w:styleId="Heading4Char">
    <w:name w:val="Heading 4 Char"/>
    <w:aliases w:val="Heading 1 - Body Char"/>
    <w:basedOn w:val="DefaultParagraphFont"/>
    <w:link w:val="Heading4"/>
    <w:semiHidden/>
    <w:rsid w:val="0062431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semiHidden/>
    <w:rsid w:val="0044119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semiHidden/>
    <w:rsid w:val="002A4503"/>
    <w:rPr>
      <w:rFonts w:asciiTheme="majorHAnsi" w:eastAsiaTheme="majorEastAsia" w:hAnsiTheme="majorHAnsi" w:cstheme="majorBidi"/>
      <w:i/>
      <w:iCs/>
      <w:color w:val="272727" w:themeColor="text1" w:themeTint="D8"/>
      <w:sz w:val="21"/>
      <w:szCs w:val="21"/>
    </w:rPr>
  </w:style>
  <w:style w:type="paragraph" w:customStyle="1" w:styleId="V50Heading1nonumbers">
    <w:name w:val="V5.0 Heading 1 no numbers"/>
    <w:basedOn w:val="Heading1"/>
    <w:rsid w:val="00186307"/>
    <w:pPr>
      <w:numPr>
        <w:numId w:val="0"/>
      </w:numPr>
    </w:pPr>
  </w:style>
  <w:style w:type="table" w:styleId="TableGrid">
    <w:name w:val="Table Grid"/>
    <w:aliases w:val="Summary box,Table Gridbeth,PBAC table,new style,MSD Table Grid,ASD Table"/>
    <w:basedOn w:val="TableNormal"/>
    <w:uiPriority w:val="39"/>
    <w:rsid w:val="000E362B"/>
    <w:pPr>
      <w:jc w:val="center"/>
    </w:pPr>
    <w:rPr>
      <w:rFonts w:ascii="Arial Narrow" w:hAnsi="Arial Narrow"/>
      <w:lang w:val="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hemeFill="background1"/>
      <w:vAlign w:val="center"/>
    </w:tcPr>
    <w:tblStylePr w:type="firstRow">
      <w:rPr>
        <w:rFonts w:ascii="Calibri+FPEF" w:hAnsi="Calibri+FPEF"/>
        <w:b/>
        <w:sz w:val="20"/>
      </w:r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rsid w:val="002B4941"/>
    <w:pPr>
      <w:spacing w:after="200"/>
    </w:pPr>
    <w:rPr>
      <w:i/>
      <w:iCs/>
      <w:color w:val="44546A" w:themeColor="text2"/>
      <w:sz w:val="18"/>
      <w:szCs w:val="18"/>
    </w:rPr>
  </w:style>
  <w:style w:type="paragraph" w:customStyle="1" w:styleId="V50TableText">
    <w:name w:val="V5.0 TableText"/>
    <w:link w:val="V50TableTextChar"/>
    <w:rsid w:val="00186307"/>
    <w:rPr>
      <w:szCs w:val="24"/>
      <w:lang w:val="en-US"/>
    </w:rPr>
  </w:style>
  <w:style w:type="paragraph" w:customStyle="1" w:styleId="V50TableTextInstruction">
    <w:name w:val="V5.0 TableText Instruction"/>
    <w:basedOn w:val="V50TableText"/>
    <w:rsid w:val="00597972"/>
    <w:rPr>
      <w:b/>
      <w:color w:val="4472C4" w:themeColor="accent5"/>
    </w:rPr>
  </w:style>
  <w:style w:type="paragraph" w:customStyle="1" w:styleId="V50InstructionsBullets">
    <w:name w:val="V5.0 Instructions Bullets"/>
    <w:basedOn w:val="V50Instructions"/>
    <w:rsid w:val="007F08CA"/>
    <w:pPr>
      <w:numPr>
        <w:numId w:val="2"/>
      </w:numPr>
      <w:ind w:left="714" w:hanging="357"/>
    </w:pPr>
  </w:style>
  <w:style w:type="table" w:customStyle="1" w:styleId="TableGridLight1">
    <w:name w:val="Table Grid Light1"/>
    <w:basedOn w:val="TableNormal"/>
    <w:uiPriority w:val="40"/>
    <w:rsid w:val="00D666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link w:val="TableTextChar"/>
    <w:qFormat/>
    <w:rsid w:val="001341EF"/>
    <w:pPr>
      <w:keepNext/>
    </w:pPr>
    <w:rPr>
      <w:rFonts w:ascii="Arial Narrow" w:eastAsiaTheme="majorEastAsia" w:hAnsi="Arial Narrow" w:cstheme="majorBidi"/>
      <w:bCs/>
      <w:szCs w:val="24"/>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rsid w:val="00BA3306"/>
    <w:pPr>
      <w:keepNext/>
      <w:spacing w:after="240"/>
      <w:ind w:left="1418" w:hanging="1418"/>
    </w:pPr>
    <w:rPr>
      <w:rFonts w:ascii="Franklin Gothic Medium" w:hAnsi="Franklin Gothic Medium"/>
      <w:sz w:val="22"/>
    </w:rPr>
  </w:style>
  <w:style w:type="paragraph" w:customStyle="1" w:styleId="TableHeading">
    <w:name w:val="TableHeading"/>
    <w:basedOn w:val="Caption"/>
    <w:rsid w:val="00624315"/>
    <w:pPr>
      <w:ind w:left="709"/>
    </w:pPr>
  </w:style>
  <w:style w:type="paragraph" w:styleId="FootnoteText">
    <w:name w:val="footnote text"/>
    <w:basedOn w:val="Normal"/>
    <w:link w:val="FootnoteTextChar"/>
    <w:unhideWhenUsed/>
    <w:rsid w:val="00BA3306"/>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rsid w:val="00BA3306"/>
    <w:pPr>
      <w:spacing w:after="360"/>
    </w:pPr>
    <w:rPr>
      <w:sz w:val="18"/>
    </w:rPr>
  </w:style>
  <w:style w:type="character" w:styleId="Emphasis">
    <w:name w:val="Emphasis"/>
    <w:basedOn w:val="DefaultParagraphFont"/>
    <w:uiPriority w:val="20"/>
    <w:rsid w:val="00BA3306"/>
    <w:rPr>
      <w:b w:val="0"/>
      <w:i/>
      <w:iCs/>
    </w:rPr>
  </w:style>
  <w:style w:type="character" w:styleId="CommentReference">
    <w:name w:val="annotation reference"/>
    <w:aliases w:val="Table Title"/>
    <w:basedOn w:val="DefaultParagraphFont"/>
    <w:uiPriority w:val="99"/>
    <w:rsid w:val="00035962"/>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link w:val="TableHeadingChar"/>
    <w:rsid w:val="0087484B"/>
    <w:pPr>
      <w:keepNext/>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rFonts w:ascii="Calibri" w:hAnsi="Calibri"/>
      <w:i/>
      <w:iCs/>
      <w:color w:val="44546A" w:themeColor="text2"/>
      <w:sz w:val="18"/>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rsid w:val="0087484B"/>
    <w:pPr>
      <w:widowControl w:val="0"/>
      <w:contextualSpacing/>
    </w:pPr>
    <w:rPr>
      <w:rFonts w:ascii="Arial Narrow" w:hAnsi="Arial Narrow" w:cs="Arial"/>
      <w:snapToGrid w:val="0"/>
      <w:sz w:val="18"/>
      <w:szCs w:val="20"/>
    </w:rPr>
  </w:style>
  <w:style w:type="character" w:customStyle="1" w:styleId="TableFooterChar">
    <w:name w:val="Table Footer Char"/>
    <w:link w:val="TableFooter"/>
    <w:rsid w:val="0087484B"/>
    <w:rPr>
      <w:rFonts w:ascii="Arial Narrow" w:eastAsia="Times New Roman" w:hAnsi="Arial Narrow" w:cs="Arial"/>
      <w:snapToGrid w:val="0"/>
      <w:sz w:val="18"/>
      <w:szCs w:val="20"/>
    </w:rPr>
  </w:style>
  <w:style w:type="paragraph" w:customStyle="1" w:styleId="TableNotes">
    <w:name w:val="TableNotes"/>
    <w:basedOn w:val="Normal"/>
    <w:rsid w:val="00C317F3"/>
    <w:pPr>
      <w:spacing w:after="60"/>
    </w:pPr>
    <w:rPr>
      <w:sz w:val="20"/>
    </w:rPr>
  </w:style>
  <w:style w:type="paragraph" w:customStyle="1" w:styleId="oldTablefooter">
    <w:name w:val="old Table footer"/>
    <w:basedOn w:val="Normal"/>
    <w:link w:val="oldTablefooterChar"/>
    <w:rsid w:val="00C317F3"/>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qFormat/>
    <w:rsid w:val="001341EF"/>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1341EF"/>
    <w:rPr>
      <w:rFonts w:ascii="Calibri" w:hAnsi="Calibri"/>
      <w:sz w:val="24"/>
      <w:szCs w:val="24"/>
    </w:rPr>
  </w:style>
  <w:style w:type="paragraph" w:styleId="Footer">
    <w:name w:val="footer"/>
    <w:basedOn w:val="Normal"/>
    <w:link w:val="FooterChar"/>
    <w:uiPriority w:val="99"/>
    <w:unhideWhenUsed/>
    <w:rsid w:val="00C317F3"/>
    <w:pPr>
      <w:tabs>
        <w:tab w:val="center" w:pos="4513"/>
        <w:tab w:val="right" w:pos="9026"/>
      </w:tabs>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ind w:left="220"/>
    </w:pPr>
    <w:rPr>
      <w:rFonts w:ascii="Arial" w:hAnsi="Arial" w:cs="Arial"/>
      <w:iCs/>
      <w:snapToGrid w:val="0"/>
      <w:sz w:val="20"/>
      <w:szCs w:val="20"/>
    </w:rPr>
  </w:style>
  <w:style w:type="paragraph" w:styleId="TOC1">
    <w:name w:val="toc 1"/>
    <w:basedOn w:val="Normal"/>
    <w:next w:val="Normal"/>
    <w:autoRedefine/>
    <w:uiPriority w:val="39"/>
    <w:rsid w:val="00C95194"/>
    <w:pPr>
      <w:widowControl w:val="0"/>
      <w:spacing w:before="240" w:after="120"/>
    </w:pPr>
    <w:rPr>
      <w:rFonts w:ascii="Arial" w:hAnsi="Arial" w:cs="Arial"/>
      <w:bCs/>
      <w:i/>
      <w:snapToGrid w:val="0"/>
      <w:sz w:val="20"/>
      <w:szCs w:val="20"/>
    </w:rPr>
  </w:style>
  <w:style w:type="paragraph" w:customStyle="1" w:styleId="TableHeader">
    <w:name w:val="Table Header"/>
    <w:basedOn w:val="Normal"/>
    <w:next w:val="Normal"/>
    <w:uiPriority w:val="3"/>
    <w:rsid w:val="00C317F3"/>
    <w:pPr>
      <w:widowControl w:val="0"/>
    </w:pPr>
    <w:rPr>
      <w:rFonts w:ascii="Arial Narrow" w:hAnsi="Arial Narrow" w:cs="Arial"/>
      <w:b/>
      <w:snapToGrid w:val="0"/>
      <w:sz w:val="20"/>
      <w:szCs w:val="20"/>
    </w:rPr>
  </w:style>
  <w:style w:type="paragraph" w:styleId="Title">
    <w:name w:val="Title"/>
    <w:basedOn w:val="Normal"/>
    <w:next w:val="Normal"/>
    <w:link w:val="TitleChar"/>
    <w:uiPriority w:val="10"/>
    <w:rsid w:val="00C317F3"/>
    <w:pPr>
      <w:widowControl w:val="0"/>
      <w:spacing w:before="240" w:after="60"/>
      <w:jc w:val="center"/>
      <w:outlineLvl w:val="0"/>
    </w:pPr>
    <w:rPr>
      <w:rFonts w:ascii="Cambria" w:hAnsi="Cambria" w:cs="Arial"/>
      <w:b/>
      <w:bCs/>
      <w:snapToGrid w:val="0"/>
      <w:kern w:val="28"/>
      <w:sz w:val="32"/>
      <w:szCs w:val="32"/>
    </w:rPr>
  </w:style>
  <w:style w:type="character" w:customStyle="1" w:styleId="TitleChar">
    <w:name w:val="Title Char"/>
    <w:basedOn w:val="DefaultParagraphFont"/>
    <w:link w:val="Title"/>
    <w:uiPriority w:val="10"/>
    <w:rsid w:val="00C317F3"/>
    <w:rPr>
      <w:rFonts w:ascii="Cambria" w:eastAsia="Times New Roman" w:hAnsi="Cambria" w:cs="Arial"/>
      <w:b/>
      <w:bCs/>
      <w:snapToGrid w:val="0"/>
      <w:kern w:val="28"/>
      <w:sz w:val="32"/>
      <w:szCs w:val="32"/>
    </w:rPr>
  </w:style>
  <w:style w:type="paragraph" w:styleId="BodyText">
    <w:name w:val="Body Text"/>
    <w:basedOn w:val="Normal"/>
    <w:link w:val="BodyTextChar"/>
    <w:rsid w:val="00C317F3"/>
    <w:pPr>
      <w:widowControl w:val="0"/>
    </w:pPr>
    <w:rPr>
      <w:rFonts w:ascii="Arial"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aliases w:val="Subsection subheading"/>
    <w:basedOn w:val="Heading3"/>
    <w:next w:val="3BodyText"/>
    <w:link w:val="NoSpacingChar"/>
    <w:uiPriority w:val="99"/>
    <w:rsid w:val="001A77C6"/>
    <w:pPr>
      <w:spacing w:line="360" w:lineRule="auto"/>
    </w:pPr>
    <w:rPr>
      <w:rFonts w:asciiTheme="minorHAnsi" w:hAnsiTheme="minorHAnsi"/>
      <w:color w:val="auto"/>
    </w:rPr>
  </w:style>
  <w:style w:type="paragraph" w:customStyle="1" w:styleId="Tabletext0">
    <w:name w:val="Table text"/>
    <w:basedOn w:val="Normal"/>
    <w:link w:val="TabletextChar0"/>
    <w:uiPriority w:val="99"/>
    <w:rsid w:val="00C317F3"/>
    <w:rPr>
      <w:rFonts w:ascii="Arial Narrow" w:hAnsi="Arial Narrow"/>
      <w:sz w:val="20"/>
      <w:szCs w:val="20"/>
    </w:rPr>
  </w:style>
  <w:style w:type="character" w:customStyle="1" w:styleId="TabletextChar0">
    <w:name w:val="Table text Char"/>
    <w:link w:val="Tabletext0"/>
    <w:uiPriority w:val="99"/>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hAnsi="Times New Roman"/>
      <w:szCs w:val="20"/>
      <w:lang w:val="en-GB"/>
    </w:rPr>
  </w:style>
  <w:style w:type="paragraph" w:styleId="TOCHeading">
    <w:name w:val="TOC Heading"/>
    <w:basedOn w:val="Heading1"/>
    <w:next w:val="Normal"/>
    <w:uiPriority w:val="71"/>
    <w:semiHidden/>
    <w:unhideWhenUsed/>
    <w:rsid w:val="00C317F3"/>
    <w:pPr>
      <w:numPr>
        <w:numId w:val="0"/>
      </w:numPr>
      <w:spacing w:after="0"/>
      <w:outlineLvl w:val="9"/>
    </w:pPr>
    <w:rPr>
      <w:rFonts w:asciiTheme="majorHAnsi" w:hAnsiTheme="majorHAnsi"/>
      <w:b w:val="0"/>
      <w:color w:val="2E74B5" w:themeColor="accent1" w:themeShade="BF"/>
      <w:szCs w:val="32"/>
    </w:rPr>
  </w:style>
  <w:style w:type="paragraph" w:styleId="TOC3">
    <w:name w:val="toc 3"/>
    <w:basedOn w:val="Normal"/>
    <w:next w:val="Normal"/>
    <w:autoRedefine/>
    <w:uiPriority w:val="39"/>
    <w:unhideWhenUsed/>
    <w:rsid w:val="00C317F3"/>
    <w:pPr>
      <w:widowControl w:val="0"/>
      <w:ind w:left="440"/>
    </w:pPr>
    <w:rPr>
      <w:rFonts w:cs="Arial"/>
      <w:snapToGrid w:val="0"/>
      <w:sz w:val="20"/>
      <w:szCs w:val="20"/>
    </w:rPr>
  </w:style>
  <w:style w:type="paragraph" w:styleId="BodyText3">
    <w:name w:val="Body Text 3"/>
    <w:basedOn w:val="Normal"/>
    <w:link w:val="BodyText3Char"/>
    <w:uiPriority w:val="9"/>
    <w:rsid w:val="00C317F3"/>
    <w:pPr>
      <w:widowControl w:val="0"/>
      <w:spacing w:after="120"/>
    </w:pPr>
    <w:rPr>
      <w:rFonts w:ascii="Arial"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ind w:left="660"/>
    </w:pPr>
    <w:rPr>
      <w:rFonts w:cs="Arial"/>
      <w:snapToGrid w:val="0"/>
      <w:sz w:val="20"/>
      <w:szCs w:val="20"/>
    </w:rPr>
  </w:style>
  <w:style w:type="paragraph" w:styleId="TOC5">
    <w:name w:val="toc 5"/>
    <w:basedOn w:val="Normal"/>
    <w:next w:val="Normal"/>
    <w:autoRedefine/>
    <w:uiPriority w:val="9"/>
    <w:rsid w:val="00C317F3"/>
    <w:pPr>
      <w:widowControl w:val="0"/>
      <w:ind w:left="880"/>
    </w:pPr>
    <w:rPr>
      <w:rFonts w:cs="Arial"/>
      <w:snapToGrid w:val="0"/>
      <w:sz w:val="20"/>
      <w:szCs w:val="20"/>
    </w:rPr>
  </w:style>
  <w:style w:type="paragraph" w:styleId="TOC6">
    <w:name w:val="toc 6"/>
    <w:basedOn w:val="Normal"/>
    <w:next w:val="Normal"/>
    <w:autoRedefine/>
    <w:uiPriority w:val="9"/>
    <w:rsid w:val="00C317F3"/>
    <w:pPr>
      <w:widowControl w:val="0"/>
      <w:ind w:left="1100"/>
    </w:pPr>
    <w:rPr>
      <w:rFonts w:cs="Arial"/>
      <w:snapToGrid w:val="0"/>
      <w:sz w:val="20"/>
      <w:szCs w:val="20"/>
    </w:rPr>
  </w:style>
  <w:style w:type="paragraph" w:styleId="TOC7">
    <w:name w:val="toc 7"/>
    <w:basedOn w:val="Normal"/>
    <w:next w:val="Normal"/>
    <w:autoRedefine/>
    <w:uiPriority w:val="9"/>
    <w:rsid w:val="00C317F3"/>
    <w:pPr>
      <w:widowControl w:val="0"/>
      <w:ind w:left="1320"/>
    </w:pPr>
    <w:rPr>
      <w:rFonts w:cs="Arial"/>
      <w:snapToGrid w:val="0"/>
      <w:sz w:val="20"/>
      <w:szCs w:val="20"/>
    </w:rPr>
  </w:style>
  <w:style w:type="paragraph" w:styleId="TOC8">
    <w:name w:val="toc 8"/>
    <w:basedOn w:val="Normal"/>
    <w:next w:val="Normal"/>
    <w:autoRedefine/>
    <w:uiPriority w:val="9"/>
    <w:rsid w:val="00C317F3"/>
    <w:pPr>
      <w:widowControl w:val="0"/>
      <w:ind w:left="1540"/>
    </w:pPr>
    <w:rPr>
      <w:rFonts w:cs="Arial"/>
      <w:snapToGrid w:val="0"/>
      <w:sz w:val="20"/>
      <w:szCs w:val="20"/>
    </w:rPr>
  </w:style>
  <w:style w:type="paragraph" w:styleId="TOC9">
    <w:name w:val="toc 9"/>
    <w:basedOn w:val="Normal"/>
    <w:next w:val="Normal"/>
    <w:autoRedefine/>
    <w:uiPriority w:val="9"/>
    <w:rsid w:val="00C317F3"/>
    <w:pPr>
      <w:widowControl w:val="0"/>
      <w:ind w:left="1760"/>
    </w:pPr>
    <w:rPr>
      <w:rFonts w:cs="Arial"/>
      <w:snapToGrid w:val="0"/>
      <w:sz w:val="20"/>
      <w:szCs w:val="20"/>
    </w:rPr>
  </w:style>
  <w:style w:type="paragraph" w:styleId="BodyText2">
    <w:name w:val="Body Text 2"/>
    <w:basedOn w:val="Normal"/>
    <w:link w:val="BodyText2Char"/>
    <w:uiPriority w:val="9"/>
    <w:rsid w:val="00C317F3"/>
    <w:pPr>
      <w:widowControl w:val="0"/>
      <w:spacing w:after="120" w:line="480" w:lineRule="auto"/>
    </w:pPr>
    <w:rPr>
      <w:rFonts w:ascii="Arial"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rPr>
      <w:rFonts w:ascii="Arial" w:hAnsi="Arial" w:cs="Arial"/>
      <w:snapToGrid w:val="0"/>
    </w:rPr>
  </w:style>
  <w:style w:type="paragraph" w:styleId="BodyTextIndent">
    <w:name w:val="Body Text Indent"/>
    <w:basedOn w:val="Normal"/>
    <w:link w:val="BodyTextIndentChar"/>
    <w:uiPriority w:val="9"/>
    <w:rsid w:val="00C317F3"/>
    <w:pPr>
      <w:widowControl w:val="0"/>
      <w:spacing w:after="120"/>
      <w:ind w:left="283"/>
    </w:pPr>
    <w:rPr>
      <w:rFonts w:ascii="Arial"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rsid w:val="00DD788F"/>
    <w:pPr>
      <w:ind w:left="720" w:hanging="720"/>
      <w:outlineLvl w:val="0"/>
    </w:pPr>
    <w:rPr>
      <w:rFonts w:ascii="Calibri" w:hAnsi="Calibri" w:cs="Arial"/>
      <w:b/>
      <w:snapToGrid w:val="0"/>
      <w:sz w:val="28"/>
      <w:szCs w:val="22"/>
    </w:rPr>
  </w:style>
  <w:style w:type="paragraph" w:customStyle="1" w:styleId="Style1">
    <w:name w:val="Style1"/>
    <w:basedOn w:val="Normal"/>
    <w:rsid w:val="00C317F3"/>
    <w:pPr>
      <w:widowControl w:val="0"/>
    </w:pPr>
    <w:rPr>
      <w:rFonts w:ascii="Arial" w:hAnsi="Arial" w:cs="Arial"/>
      <w:snapToGrid w:val="0"/>
      <w:sz w:val="22"/>
      <w:szCs w:val="20"/>
    </w:rPr>
  </w:style>
  <w:style w:type="paragraph" w:customStyle="1" w:styleId="PBACheading10">
    <w:name w:val="PBAC heading 1"/>
    <w:rsid w:val="00C317F3"/>
    <w:pPr>
      <w:ind w:left="720" w:hanging="720"/>
    </w:pPr>
    <w:rPr>
      <w:rFonts w:ascii="Arial" w:hAnsi="Arial" w:cs="Arial"/>
      <w:snapToGrid w:val="0"/>
    </w:rPr>
  </w:style>
  <w:style w:type="character" w:customStyle="1" w:styleId="ListParagraphChar">
    <w:name w:val="List Paragraph Char"/>
    <w:aliases w:val="Body Text Bullet Points Char,BulletPoints Char,Numbered para Char,Bullet point Char,List Paragraph1 Char,List Paragraph11 Char,Recommendation Char,Styl moj Char,Akapit z listą11 Char,Table Legend Char,Footnote Char,ES Paragraph Char"/>
    <w:basedOn w:val="DefaultParagraphFont"/>
    <w:link w:val="ListParagraph"/>
    <w:uiPriority w:val="34"/>
    <w:qFormat/>
    <w:locked/>
    <w:rsid w:val="00FB455F"/>
    <w:rPr>
      <w:rFonts w:asciiTheme="minorHAnsi" w:hAnsiTheme="minorHAnsi" w:cs="Arial"/>
      <w:snapToGrid w:val="0"/>
      <w:sz w:val="24"/>
      <w:szCs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rsid w:val="00E46AC9"/>
    <w:pPr>
      <w:numPr>
        <w:numId w:val="6"/>
      </w:numPr>
      <w:spacing w:after="240"/>
      <w:ind w:left="357" w:hanging="357"/>
    </w:pPr>
    <w:rPr>
      <w:sz w:val="22"/>
    </w:rPr>
  </w:style>
  <w:style w:type="paragraph" w:customStyle="1" w:styleId="TableFigNote">
    <w:name w:val="TableFigNote"/>
    <w:basedOn w:val="Normal"/>
    <w:rsid w:val="00576ADE"/>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hAnsi="Times New Roman"/>
      <w:lang w:eastAsia="en-AU"/>
    </w:rPr>
  </w:style>
  <w:style w:type="paragraph" w:customStyle="1" w:styleId="ESnumberedpara">
    <w:name w:val="ES numbered para"/>
    <w:basedOn w:val="Normal"/>
    <w:rsid w:val="00C52ACF"/>
    <w:pPr>
      <w:spacing w:after="120"/>
      <w:ind w:left="720" w:hanging="720"/>
    </w:pPr>
  </w:style>
  <w:style w:type="character" w:customStyle="1" w:styleId="TableHeadingChar">
    <w:name w:val="Table Heading Char"/>
    <w:link w:val="TableHeading0"/>
    <w:rsid w:val="00304DF7"/>
    <w:rPr>
      <w:rFonts w:ascii="Arial Narrow" w:hAnsi="Arial Narrow"/>
      <w:b/>
      <w:sz w:val="20"/>
    </w:rPr>
  </w:style>
  <w:style w:type="character" w:customStyle="1" w:styleId="TableTextChar">
    <w:name w:val="Table Text Char"/>
    <w:basedOn w:val="DefaultParagraphFont"/>
    <w:link w:val="TableText"/>
    <w:rsid w:val="001341EF"/>
    <w:rPr>
      <w:rFonts w:ascii="Arial Narrow" w:eastAsiaTheme="majorEastAsia" w:hAnsi="Arial Narrow" w:cstheme="majorBidi"/>
      <w:bCs/>
      <w:szCs w:val="24"/>
    </w:rPr>
  </w:style>
  <w:style w:type="table" w:customStyle="1" w:styleId="TableGridLight2">
    <w:name w:val="Table Grid Light2"/>
    <w:basedOn w:val="TableNormal"/>
    <w:uiPriority w:val="40"/>
    <w:rsid w:val="00304D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content">
    <w:name w:val="li-content"/>
    <w:basedOn w:val="DefaultParagraphFont"/>
    <w:rsid w:val="007C689A"/>
    <w:rPr>
      <w:color w:val="000000"/>
    </w:rPr>
  </w:style>
  <w:style w:type="paragraph" w:customStyle="1" w:styleId="PBACTableText">
    <w:name w:val="PBAC Table Text"/>
    <w:basedOn w:val="Normal"/>
    <w:link w:val="PBACTableTextChar"/>
    <w:rsid w:val="00F65DBA"/>
    <w:pPr>
      <w:spacing w:before="40" w:after="40"/>
    </w:pPr>
    <w:rPr>
      <w:rFonts w:ascii="Arial Narrow" w:hAnsi="Arial Narrow"/>
      <w:sz w:val="20"/>
      <w:szCs w:val="20"/>
    </w:rPr>
  </w:style>
  <w:style w:type="character" w:customStyle="1" w:styleId="PBACTableTextChar">
    <w:name w:val="PBAC Table Text Char"/>
    <w:basedOn w:val="DefaultParagraphFont"/>
    <w:link w:val="PBACTableText"/>
    <w:rsid w:val="00F65DBA"/>
    <w:rPr>
      <w:rFonts w:ascii="Arial Narrow" w:eastAsia="Times New Roman" w:hAnsi="Arial Narrow" w:cs="Times New Roman"/>
      <w:sz w:val="20"/>
      <w:szCs w:val="20"/>
    </w:rPr>
  </w:style>
  <w:style w:type="paragraph" w:customStyle="1" w:styleId="PbacTableHeading">
    <w:name w:val="Pbac Table Heading"/>
    <w:basedOn w:val="PBACTableText"/>
    <w:rsid w:val="00F65DBA"/>
    <w:pPr>
      <w:spacing w:before="0" w:after="80"/>
    </w:pPr>
    <w:rPr>
      <w:rFonts w:eastAsiaTheme="minorHAnsi" w:cs="Arial"/>
      <w:b/>
    </w:rPr>
  </w:style>
  <w:style w:type="table" w:customStyle="1" w:styleId="AZTable">
    <w:name w:val="AZ Table"/>
    <w:basedOn w:val="TableNormal"/>
    <w:uiPriority w:val="99"/>
    <w:rsid w:val="0058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KMC16-Caption">
    <w:name w:val="KMC16 - Caption"/>
    <w:basedOn w:val="Normal"/>
    <w:rsid w:val="00AC2474"/>
    <w:pPr>
      <w:keepNext/>
      <w:tabs>
        <w:tab w:val="left" w:pos="567"/>
      </w:tabs>
      <w:spacing w:before="240" w:after="40"/>
      <w:ind w:left="992" w:hanging="992"/>
      <w:contextualSpacing/>
    </w:pPr>
    <w:rPr>
      <w:rFonts w:ascii="Arial" w:hAnsi="Arial"/>
      <w:b/>
      <w:color w:val="000000"/>
      <w:sz w:val="20"/>
      <w:szCs w:val="20"/>
      <w:lang w:eastAsia="en-AU"/>
    </w:rPr>
  </w:style>
  <w:style w:type="paragraph" w:customStyle="1" w:styleId="KMC16ES-Tableheading">
    <w:name w:val="KMC16 ES - Table heading"/>
    <w:basedOn w:val="Normal"/>
    <w:rsid w:val="00AC2474"/>
    <w:pPr>
      <w:spacing w:before="40" w:after="40"/>
      <w:jc w:val="center"/>
    </w:pPr>
    <w:rPr>
      <w:rFonts w:ascii="Arial Narrow" w:hAnsi="Arial Narrow" w:cs="Arial"/>
      <w:b/>
      <w:color w:val="000000"/>
      <w:sz w:val="20"/>
    </w:rPr>
  </w:style>
  <w:style w:type="paragraph" w:customStyle="1" w:styleId="KMC16ES-tabletext">
    <w:name w:val="KMC16 ES - table text"/>
    <w:basedOn w:val="Normal"/>
    <w:rsid w:val="00AC2474"/>
    <w:pPr>
      <w:keepNext/>
      <w:spacing w:after="40"/>
    </w:pPr>
    <w:rPr>
      <w:rFonts w:ascii="Arial Narrow" w:hAnsi="Arial Narrow"/>
      <w:color w:val="000000" w:themeColor="text1"/>
      <w:sz w:val="20"/>
      <w:szCs w:val="20"/>
    </w:rPr>
  </w:style>
  <w:style w:type="paragraph" w:customStyle="1" w:styleId="KMC16-Tablecontent">
    <w:name w:val="KMC16 - Table content"/>
    <w:basedOn w:val="Normal"/>
    <w:link w:val="KMC16-TablecontentChar"/>
    <w:rsid w:val="00AC2474"/>
    <w:pPr>
      <w:spacing w:before="40" w:after="40"/>
    </w:pPr>
    <w:rPr>
      <w:rFonts w:ascii="Arial Narrow" w:hAnsi="Arial Narrow" w:cs="Arial"/>
      <w:color w:val="000000"/>
      <w:sz w:val="20"/>
      <w:lang w:val="en-GB"/>
    </w:rPr>
  </w:style>
  <w:style w:type="character" w:customStyle="1" w:styleId="KMC16-TablecontentChar">
    <w:name w:val="KMC16 - Table content Char"/>
    <w:basedOn w:val="DefaultParagraphFont"/>
    <w:link w:val="KMC16-Tablecontent"/>
    <w:rsid w:val="00AC2474"/>
    <w:rPr>
      <w:rFonts w:ascii="Arial Narrow" w:eastAsia="Times New Roman" w:hAnsi="Arial Narrow" w:cs="Arial"/>
      <w:color w:val="000000"/>
      <w:sz w:val="20"/>
      <w:lang w:val="en-GB"/>
    </w:rPr>
  </w:style>
  <w:style w:type="paragraph" w:customStyle="1" w:styleId="KMC16-TableHeading">
    <w:name w:val="KMC16 - Table Heading"/>
    <w:basedOn w:val="Normal"/>
    <w:rsid w:val="00AC2474"/>
    <w:pPr>
      <w:spacing w:before="40" w:after="40"/>
      <w:jc w:val="center"/>
    </w:pPr>
    <w:rPr>
      <w:rFonts w:ascii="Arial Narrow" w:hAnsi="Arial Narrow" w:cs="Arial"/>
      <w:b/>
      <w:color w:val="000000"/>
      <w:sz w:val="20"/>
    </w:rPr>
  </w:style>
  <w:style w:type="paragraph" w:customStyle="1" w:styleId="Bulletpoints">
    <w:name w:val="Bullet points"/>
    <w:basedOn w:val="ListParagraph"/>
    <w:rsid w:val="00C231A1"/>
    <w:pPr>
      <w:numPr>
        <w:numId w:val="10"/>
      </w:numPr>
    </w:pPr>
    <w:rPr>
      <w:rFonts w:ascii="Calibri" w:hAnsi="Calibri" w:cs="Times New Roman"/>
    </w:rPr>
  </w:style>
  <w:style w:type="paragraph" w:customStyle="1" w:styleId="DashEndList">
    <w:name w:val="Dash End List"/>
    <w:basedOn w:val="Normal"/>
    <w:rsid w:val="00054BF5"/>
    <w:pPr>
      <w:numPr>
        <w:numId w:val="12"/>
      </w:numPr>
      <w:spacing w:after="240"/>
      <w:ind w:left="714" w:hanging="357"/>
    </w:pPr>
    <w:rPr>
      <w:sz w:val="22"/>
    </w:rPr>
  </w:style>
  <w:style w:type="table" w:customStyle="1" w:styleId="MSDTableGrid1">
    <w:name w:val="MSD Table Grid1"/>
    <w:basedOn w:val="TableNormal"/>
    <w:next w:val="TableGrid"/>
    <w:uiPriority w:val="59"/>
    <w:rsid w:val="00054BF5"/>
    <w:rPr>
      <w:rFonts w:ascii="Arial Narrow" w:eastAsia="Calibri" w:hAnsi="Arial Narrow"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Narrow" w:hAnsi="Arial Narrow"/>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Arial Narrow" w:hAnsi="Arial Narrow"/>
        <w:b w:val="0"/>
        <w:sz w:val="20"/>
      </w:rPr>
      <w:tblPr/>
      <w:tcPr>
        <w:vAlign w:val="center"/>
      </w:tcPr>
    </w:tblStylePr>
  </w:style>
  <w:style w:type="table" w:customStyle="1" w:styleId="MSDTableGrid2">
    <w:name w:val="MSD Table Grid2"/>
    <w:basedOn w:val="TableNormal"/>
    <w:next w:val="TableGrid"/>
    <w:uiPriority w:val="59"/>
    <w:rsid w:val="00054BF5"/>
    <w:rPr>
      <w:rFonts w:ascii="Arial Narrow" w:eastAsia="Calibri" w:hAnsi="Arial Narrow"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Narrow" w:hAnsi="Arial Narrow"/>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Arial Narrow" w:hAnsi="Arial Narrow"/>
        <w:b w:val="0"/>
        <w:sz w:val="20"/>
      </w:rPr>
      <w:tblPr/>
      <w:tcPr>
        <w:vAlign w:val="center"/>
      </w:tcPr>
    </w:tblStylePr>
  </w:style>
  <w:style w:type="table" w:customStyle="1" w:styleId="TableGridbeth2">
    <w:name w:val="Table Gridbeth2"/>
    <w:basedOn w:val="TableNormal"/>
    <w:next w:val="TableGrid"/>
    <w:uiPriority w:val="59"/>
    <w:rsid w:val="00C7611E"/>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In-tableHeadings">
    <w:name w:val="In-table Headings"/>
    <w:rsid w:val="005C141C"/>
    <w:rPr>
      <w:rFonts w:ascii="Arial Narrow" w:eastAsiaTheme="majorEastAsia" w:hAnsi="Arial Narrow"/>
      <w:b/>
      <w:sz w:val="22"/>
      <w:szCs w:val="24"/>
      <w:lang w:val="en-US"/>
    </w:rPr>
  </w:style>
  <w:style w:type="paragraph" w:customStyle="1" w:styleId="2Sections">
    <w:name w:val="2. Sections"/>
    <w:qFormat/>
    <w:rsid w:val="00035962"/>
    <w:p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rsid w:val="00035962"/>
    <w:pPr>
      <w:widowControl/>
      <w:spacing w:before="120" w:after="160"/>
      <w:ind w:left="720" w:hanging="720"/>
      <w:contextualSpacing/>
      <w:jc w:val="left"/>
    </w:pPr>
    <w:rPr>
      <w:rFonts w:asciiTheme="minorHAnsi" w:eastAsiaTheme="majorEastAsia" w:hAnsiTheme="minorHAnsi" w:cstheme="majorBidi"/>
      <w:bCs w:val="0"/>
      <w:snapToGrid/>
      <w:spacing w:val="5"/>
      <w:sz w:val="36"/>
      <w:szCs w:val="36"/>
    </w:rPr>
  </w:style>
  <w:style w:type="character" w:customStyle="1" w:styleId="1MainTitleChar">
    <w:name w:val="1. Main Title Char"/>
    <w:basedOn w:val="TitleChar"/>
    <w:link w:val="1MainTitle"/>
    <w:rsid w:val="00035962"/>
    <w:rPr>
      <w:rFonts w:asciiTheme="minorHAnsi" w:eastAsiaTheme="majorEastAsia" w:hAnsiTheme="minorHAnsi" w:cstheme="majorBidi"/>
      <w:b/>
      <w:bCs w:val="0"/>
      <w:snapToGrid/>
      <w:spacing w:val="5"/>
      <w:kern w:val="28"/>
      <w:sz w:val="36"/>
      <w:szCs w:val="36"/>
    </w:rPr>
  </w:style>
  <w:style w:type="paragraph" w:customStyle="1" w:styleId="TableFigureHeading">
    <w:name w:val="Table/Figure Heading"/>
    <w:link w:val="TableFigureHeadingChar"/>
    <w:qFormat/>
    <w:rsid w:val="00F101E8"/>
    <w:pPr>
      <w:keepNext/>
      <w:keepLines/>
      <w:textboxTightWrap w:val="allLines"/>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F101E8"/>
    <w:rPr>
      <w:rFonts w:ascii="Arial Narrow" w:eastAsiaTheme="majorEastAsia" w:hAnsi="Arial Narrow" w:cstheme="majorBidi"/>
      <w:b/>
      <w:bCs/>
      <w:szCs w:val="24"/>
    </w:rPr>
  </w:style>
  <w:style w:type="paragraph" w:customStyle="1" w:styleId="3BodyText">
    <w:name w:val="3. Body Text"/>
    <w:basedOn w:val="ListParagraph"/>
    <w:link w:val="3BodyTextChar"/>
    <w:rsid w:val="00E51B65"/>
    <w:pPr>
      <w:ind w:left="0" w:firstLine="0"/>
    </w:pPr>
    <w:rPr>
      <w:rFonts w:eastAsiaTheme="minorHAnsi" w:cstheme="minorBidi"/>
      <w:snapToGrid/>
      <w:szCs w:val="22"/>
    </w:rPr>
  </w:style>
  <w:style w:type="character" w:customStyle="1" w:styleId="3BodyTextChar">
    <w:name w:val="3. Body Text Char"/>
    <w:basedOn w:val="ListParagraphChar"/>
    <w:link w:val="3BodyText"/>
    <w:rsid w:val="00E51B65"/>
    <w:rPr>
      <w:rFonts w:asciiTheme="minorHAnsi" w:eastAsiaTheme="minorHAnsi" w:hAnsiTheme="minorHAnsi" w:cstheme="minorBidi"/>
      <w:snapToGrid/>
      <w:sz w:val="24"/>
      <w:szCs w:val="22"/>
    </w:rPr>
  </w:style>
  <w:style w:type="paragraph" w:customStyle="1" w:styleId="PBACFooter">
    <w:name w:val="PBAC Footer"/>
    <w:basedOn w:val="Footer"/>
    <w:link w:val="PBACFooterChar"/>
    <w:rsid w:val="00035962"/>
    <w:pPr>
      <w:tabs>
        <w:tab w:val="clear" w:pos="4513"/>
        <w:tab w:val="clear" w:pos="9026"/>
        <w:tab w:val="center" w:pos="4153"/>
        <w:tab w:val="right" w:pos="8306"/>
      </w:tabs>
      <w:jc w:val="center"/>
    </w:pPr>
    <w:rPr>
      <w:rFonts w:cs="Arial"/>
      <w:b/>
    </w:rPr>
  </w:style>
  <w:style w:type="character" w:customStyle="1" w:styleId="PBACFooterChar">
    <w:name w:val="PBAC Footer Char"/>
    <w:basedOn w:val="FooterChar"/>
    <w:link w:val="PBACFooter"/>
    <w:rsid w:val="00035962"/>
    <w:rPr>
      <w:rFonts w:ascii="Calibri" w:hAnsi="Calibri" w:cs="Arial"/>
      <w:b/>
      <w:sz w:val="24"/>
      <w:szCs w:val="24"/>
    </w:rPr>
  </w:style>
  <w:style w:type="paragraph" w:customStyle="1" w:styleId="Lists">
    <w:name w:val="Lists"/>
    <w:basedOn w:val="3BodyText"/>
    <w:link w:val="ListsChar"/>
    <w:rsid w:val="00035962"/>
    <w:pPr>
      <w:ind w:left="1080" w:hanging="360"/>
    </w:pPr>
  </w:style>
  <w:style w:type="character" w:customStyle="1" w:styleId="ListsChar">
    <w:name w:val="Lists Char"/>
    <w:basedOn w:val="3BodyTextChar"/>
    <w:link w:val="Lists"/>
    <w:rsid w:val="00035962"/>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1341E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1341EF"/>
    <w:rPr>
      <w:rFonts w:ascii="Arial Narrow" w:hAnsi="Arial Narrow" w:cs="Arial"/>
      <w:snapToGrid w:val="0"/>
      <w:sz w:val="18"/>
      <w:szCs w:val="22"/>
    </w:rPr>
  </w:style>
  <w:style w:type="character" w:customStyle="1" w:styleId="NoSpacingChar">
    <w:name w:val="No Spacing Char"/>
    <w:aliases w:val="Subsection subheading Char"/>
    <w:basedOn w:val="DefaultParagraphFont"/>
    <w:link w:val="NoSpacing"/>
    <w:uiPriority w:val="99"/>
    <w:rsid w:val="001A77C6"/>
    <w:rPr>
      <w:rFonts w:asciiTheme="minorHAnsi" w:eastAsiaTheme="majorEastAsia" w:hAnsiTheme="minorHAnsi" w:cstheme="majorBidi"/>
      <w:b/>
      <w:bCs/>
      <w:sz w:val="24"/>
      <w:szCs w:val="24"/>
    </w:rPr>
  </w:style>
  <w:style w:type="paragraph" w:customStyle="1" w:styleId="GeneralHeading">
    <w:name w:val="General Heading"/>
    <w:qFormat/>
    <w:rsid w:val="001341EF"/>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1341EF"/>
    <w:pPr>
      <w:keepNext/>
    </w:pPr>
    <w:rPr>
      <w:rFonts w:ascii="Arial Narrow" w:eastAsiaTheme="majorEastAsia" w:hAnsi="Arial Narrow"/>
      <w:b/>
      <w:szCs w:val="24"/>
      <w:lang w:val="en-US"/>
    </w:rPr>
  </w:style>
  <w:style w:type="paragraph" w:customStyle="1" w:styleId="2-SectionHeading">
    <w:name w:val="2-Section Heading"/>
    <w:qFormat/>
    <w:rsid w:val="001341EF"/>
    <w:pPr>
      <w:keepNext/>
      <w:numPr>
        <w:numId w:val="4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1341E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1341EF"/>
    <w:rPr>
      <w:rFonts w:asciiTheme="minorHAnsi" w:eastAsiaTheme="majorEastAsia" w:hAnsiTheme="minorHAnsi" w:cstheme="majorBidi"/>
      <w:b/>
      <w:spacing w:val="5"/>
      <w:kern w:val="28"/>
      <w:sz w:val="36"/>
      <w:szCs w:val="36"/>
    </w:rPr>
  </w:style>
  <w:style w:type="paragraph" w:customStyle="1" w:styleId="3-BodyText">
    <w:name w:val="3-Body Text"/>
    <w:link w:val="3-BodyTextChar"/>
    <w:qFormat/>
    <w:rsid w:val="000F2EE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0F2EE3"/>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1341E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1341EF"/>
    <w:rPr>
      <w:rFonts w:ascii="Calibri" w:hAnsi="Calibri" w:cs="Arial"/>
      <w:b/>
      <w:sz w:val="24"/>
      <w:szCs w:val="24"/>
    </w:rPr>
  </w:style>
  <w:style w:type="paragraph" w:customStyle="1" w:styleId="4-SubsectionHeading">
    <w:name w:val="4-Subsection Heading"/>
    <w:basedOn w:val="Heading2"/>
    <w:next w:val="3-BodyText"/>
    <w:link w:val="4-SubsectionHeadingChar"/>
    <w:qFormat/>
    <w:rsid w:val="001341EF"/>
    <w:pPr>
      <w:spacing w:before="120" w:after="120" w:line="240" w:lineRule="auto"/>
    </w:pPr>
    <w:rPr>
      <w:spacing w:val="5"/>
      <w:kern w:val="28"/>
      <w:szCs w:val="36"/>
    </w:rPr>
  </w:style>
  <w:style w:type="character" w:customStyle="1" w:styleId="4-SubsectionHeadingChar">
    <w:name w:val="4-Subsection Heading Char"/>
    <w:basedOn w:val="Heading2Char"/>
    <w:link w:val="4-SubsectionHeading"/>
    <w:rsid w:val="001341EF"/>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1341EF"/>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1341EF"/>
    <w:rPr>
      <w:rFonts w:asciiTheme="minorHAnsi" w:eastAsiaTheme="majorEastAsia" w:hAnsiTheme="minorHAnsi" w:cstheme="majorBidi"/>
      <w:b/>
      <w:bCs w:val="0"/>
      <w:color w:val="000000" w:themeColor="text1"/>
      <w:sz w:val="24"/>
      <w:szCs w:val="24"/>
    </w:rPr>
  </w:style>
  <w:style w:type="paragraph" w:customStyle="1" w:styleId="EndNoteBibliography">
    <w:name w:val="EndNote Bibliography"/>
    <w:basedOn w:val="Normal"/>
    <w:link w:val="EndNoteBibliographyChar"/>
    <w:locked/>
    <w:rsid w:val="00F6226A"/>
    <w:pPr>
      <w:spacing w:after="160"/>
    </w:pPr>
    <w:rPr>
      <w:rFonts w:ascii="Arial" w:eastAsiaTheme="minorHAnsi" w:hAnsi="Arial" w:cs="Arial"/>
      <w:noProof/>
      <w:sz w:val="22"/>
      <w:szCs w:val="22"/>
      <w:lang w:val="en-US"/>
    </w:rPr>
  </w:style>
  <w:style w:type="character" w:customStyle="1" w:styleId="EndNoteBibliographyChar">
    <w:name w:val="EndNote Bibliography Char"/>
    <w:basedOn w:val="DefaultParagraphFont"/>
    <w:link w:val="EndNoteBibliography"/>
    <w:rsid w:val="00F6226A"/>
    <w:rPr>
      <w:rFonts w:ascii="Arial" w:eastAsiaTheme="minorHAnsi" w:hAnsi="Arial" w:cs="Arial"/>
      <w:noProof/>
      <w:sz w:val="22"/>
      <w:szCs w:val="22"/>
      <w:lang w:val="en-US"/>
    </w:rPr>
  </w:style>
  <w:style w:type="paragraph" w:styleId="ListBullet">
    <w:name w:val="List Bullet"/>
    <w:basedOn w:val="Normal"/>
    <w:uiPriority w:val="99"/>
    <w:semiHidden/>
    <w:unhideWhenUsed/>
    <w:rsid w:val="001341EF"/>
    <w:pPr>
      <w:numPr>
        <w:numId w:val="42"/>
      </w:numPr>
      <w:contextualSpacing/>
    </w:pPr>
  </w:style>
  <w:style w:type="paragraph" w:customStyle="1" w:styleId="Bodytextitalics">
    <w:name w:val="Body text italics"/>
    <w:basedOn w:val="BodyText"/>
    <w:qFormat/>
    <w:rsid w:val="000F19F4"/>
    <w:pPr>
      <w:widowControl/>
      <w:tabs>
        <w:tab w:val="num" w:pos="360"/>
      </w:tabs>
      <w:spacing w:after="120"/>
      <w:jc w:val="left"/>
    </w:pPr>
    <w:rPr>
      <w:rFonts w:asciiTheme="minorHAnsi" w:eastAsiaTheme="minorHAnsi" w:hAnsiTheme="minorHAnsi" w:cstheme="minorBidi"/>
      <w:i/>
      <w:snapToGrid/>
      <w:sz w:val="24"/>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529">
      <w:bodyDiv w:val="1"/>
      <w:marLeft w:val="0"/>
      <w:marRight w:val="0"/>
      <w:marTop w:val="0"/>
      <w:marBottom w:val="0"/>
      <w:divBdr>
        <w:top w:val="none" w:sz="0" w:space="0" w:color="auto"/>
        <w:left w:val="none" w:sz="0" w:space="0" w:color="auto"/>
        <w:bottom w:val="none" w:sz="0" w:space="0" w:color="auto"/>
        <w:right w:val="none" w:sz="0" w:space="0" w:color="auto"/>
      </w:divBdr>
      <w:divsChild>
        <w:div w:id="502166450">
          <w:marLeft w:val="0"/>
          <w:marRight w:val="0"/>
          <w:marTop w:val="0"/>
          <w:marBottom w:val="0"/>
          <w:divBdr>
            <w:top w:val="none" w:sz="0" w:space="0" w:color="auto"/>
            <w:left w:val="none" w:sz="0" w:space="0" w:color="auto"/>
            <w:bottom w:val="none" w:sz="0" w:space="0" w:color="auto"/>
            <w:right w:val="none" w:sz="0" w:space="0" w:color="auto"/>
          </w:divBdr>
        </w:div>
        <w:div w:id="639773198">
          <w:marLeft w:val="0"/>
          <w:marRight w:val="0"/>
          <w:marTop w:val="0"/>
          <w:marBottom w:val="0"/>
          <w:divBdr>
            <w:top w:val="none" w:sz="0" w:space="0" w:color="auto"/>
            <w:left w:val="none" w:sz="0" w:space="0" w:color="auto"/>
            <w:bottom w:val="none" w:sz="0" w:space="0" w:color="auto"/>
            <w:right w:val="none" w:sz="0" w:space="0" w:color="auto"/>
          </w:divBdr>
        </w:div>
        <w:div w:id="749156814">
          <w:marLeft w:val="0"/>
          <w:marRight w:val="0"/>
          <w:marTop w:val="0"/>
          <w:marBottom w:val="0"/>
          <w:divBdr>
            <w:top w:val="none" w:sz="0" w:space="0" w:color="auto"/>
            <w:left w:val="none" w:sz="0" w:space="0" w:color="auto"/>
            <w:bottom w:val="none" w:sz="0" w:space="0" w:color="auto"/>
            <w:right w:val="none" w:sz="0" w:space="0" w:color="auto"/>
          </w:divBdr>
        </w:div>
        <w:div w:id="1228685251">
          <w:marLeft w:val="0"/>
          <w:marRight w:val="0"/>
          <w:marTop w:val="0"/>
          <w:marBottom w:val="0"/>
          <w:divBdr>
            <w:top w:val="none" w:sz="0" w:space="0" w:color="auto"/>
            <w:left w:val="none" w:sz="0" w:space="0" w:color="auto"/>
            <w:bottom w:val="none" w:sz="0" w:space="0" w:color="auto"/>
            <w:right w:val="none" w:sz="0" w:space="0" w:color="auto"/>
          </w:divBdr>
        </w:div>
        <w:div w:id="1695115155">
          <w:marLeft w:val="0"/>
          <w:marRight w:val="0"/>
          <w:marTop w:val="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5706017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7054377">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94169343">
      <w:bodyDiv w:val="1"/>
      <w:marLeft w:val="0"/>
      <w:marRight w:val="0"/>
      <w:marTop w:val="0"/>
      <w:marBottom w:val="0"/>
      <w:divBdr>
        <w:top w:val="none" w:sz="0" w:space="0" w:color="auto"/>
        <w:left w:val="none" w:sz="0" w:space="0" w:color="auto"/>
        <w:bottom w:val="none" w:sz="0" w:space="0" w:color="auto"/>
        <w:right w:val="none" w:sz="0" w:space="0" w:color="auto"/>
      </w:divBdr>
    </w:div>
    <w:div w:id="884105162">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800609066">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EED3-1312-415B-9295-36EA4E18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17411</Words>
  <Characters>99247</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2020-02-27T23:18:00Z</dcterms:created>
  <dcterms:modified xsi:type="dcterms:W3CDTF">2020-02-27T23:20:00Z</dcterms:modified>
</cp:coreProperties>
</file>