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5B" w:rsidRPr="008A2917" w:rsidRDefault="00CB0A5B" w:rsidP="00387896">
      <w:pPr>
        <w:widowControl/>
      </w:pPr>
    </w:p>
    <w:p w:rsidR="003B0FE5" w:rsidRPr="00C62B93" w:rsidRDefault="00B93140" w:rsidP="00C62B93">
      <w:pPr>
        <w:widowControl/>
        <w:ind w:left="720" w:hanging="720"/>
        <w:jc w:val="left"/>
        <w:outlineLvl w:val="0"/>
        <w:rPr>
          <w:b/>
          <w:sz w:val="36"/>
          <w:szCs w:val="36"/>
        </w:rPr>
      </w:pPr>
      <w:r w:rsidRPr="008A2917">
        <w:rPr>
          <w:b/>
          <w:sz w:val="36"/>
          <w:szCs w:val="36"/>
        </w:rPr>
        <w:t>7.03</w:t>
      </w:r>
      <w:r w:rsidR="00CB0A5B" w:rsidRPr="008A2917">
        <w:rPr>
          <w:b/>
          <w:sz w:val="36"/>
          <w:szCs w:val="36"/>
        </w:rPr>
        <w:tab/>
        <w:t xml:space="preserve">HIGH DOSE INACTIVATED TRIVALENT INFLUENZA VACCINE (SPLIT VIRION), </w:t>
      </w:r>
      <w:r w:rsidR="003117CD" w:rsidRPr="008A2917">
        <w:rPr>
          <w:b/>
          <w:sz w:val="36"/>
          <w:szCs w:val="36"/>
        </w:rPr>
        <w:br/>
      </w:r>
      <w:r w:rsidR="005F26BD" w:rsidRPr="008A2917">
        <w:rPr>
          <w:b/>
          <w:sz w:val="36"/>
          <w:szCs w:val="36"/>
        </w:rPr>
        <w:t>Injection</w:t>
      </w:r>
      <w:r w:rsidR="00CB0A5B" w:rsidRPr="008A2917">
        <w:rPr>
          <w:b/>
          <w:sz w:val="36"/>
          <w:szCs w:val="36"/>
        </w:rPr>
        <w:t xml:space="preserve"> 0.5</w:t>
      </w:r>
      <w:r w:rsidR="005F26BD" w:rsidRPr="008A2917">
        <w:rPr>
          <w:b/>
          <w:sz w:val="36"/>
          <w:szCs w:val="36"/>
        </w:rPr>
        <w:t xml:space="preserve"> mL</w:t>
      </w:r>
      <w:r w:rsidR="00CB0A5B" w:rsidRPr="008A2917">
        <w:rPr>
          <w:b/>
          <w:sz w:val="36"/>
          <w:szCs w:val="36"/>
        </w:rPr>
        <w:t xml:space="preserve">, </w:t>
      </w:r>
      <w:r w:rsidR="003117CD" w:rsidRPr="008A2917">
        <w:rPr>
          <w:b/>
          <w:sz w:val="36"/>
          <w:szCs w:val="36"/>
        </w:rPr>
        <w:br/>
      </w:r>
      <w:proofErr w:type="spellStart"/>
      <w:proofErr w:type="gramStart"/>
      <w:r w:rsidR="005F26BD" w:rsidRPr="008A2917">
        <w:rPr>
          <w:b/>
          <w:sz w:val="36"/>
          <w:szCs w:val="36"/>
        </w:rPr>
        <w:t>Fluzone</w:t>
      </w:r>
      <w:proofErr w:type="spellEnd"/>
      <w:proofErr w:type="gramEnd"/>
      <w:r w:rsidR="005F26BD" w:rsidRPr="008A2917">
        <w:rPr>
          <w:b/>
          <w:sz w:val="36"/>
          <w:szCs w:val="36"/>
        </w:rPr>
        <w:t>® High-</w:t>
      </w:r>
      <w:r w:rsidR="00CB0A5B" w:rsidRPr="008A2917">
        <w:rPr>
          <w:b/>
          <w:sz w:val="36"/>
          <w:szCs w:val="36"/>
        </w:rPr>
        <w:t xml:space="preserve">Dose, </w:t>
      </w:r>
      <w:r w:rsidR="003117CD" w:rsidRPr="008A2917">
        <w:rPr>
          <w:b/>
          <w:sz w:val="36"/>
          <w:szCs w:val="36"/>
        </w:rPr>
        <w:br/>
      </w:r>
      <w:r w:rsidR="00CB0A5B" w:rsidRPr="008A2917">
        <w:rPr>
          <w:b/>
          <w:sz w:val="36"/>
          <w:szCs w:val="36"/>
        </w:rPr>
        <w:t>Sanofi–Aventis Australia Pty Ltd</w:t>
      </w:r>
      <w:r w:rsidR="005F26BD" w:rsidRPr="008A2917">
        <w:rPr>
          <w:b/>
          <w:sz w:val="36"/>
          <w:szCs w:val="36"/>
        </w:rPr>
        <w:t>.</w:t>
      </w:r>
      <w:bookmarkStart w:id="0" w:name="_Toc371170698"/>
      <w:bookmarkStart w:id="1" w:name="_Toc18942055"/>
    </w:p>
    <w:p w:rsidR="00CB0A5B" w:rsidRPr="008A2917" w:rsidRDefault="00CB0A5B" w:rsidP="00C62B93">
      <w:pPr>
        <w:pStyle w:val="PBACHeading1"/>
        <w:spacing w:before="240" w:after="120"/>
      </w:pPr>
      <w:bookmarkStart w:id="2" w:name="_Toc371170699"/>
      <w:bookmarkStart w:id="3" w:name="_Toc18942056"/>
      <w:bookmarkEnd w:id="0"/>
      <w:bookmarkEnd w:id="1"/>
      <w:r w:rsidRPr="008A2917">
        <w:t>Purpose of Application</w:t>
      </w:r>
      <w:bookmarkEnd w:id="2"/>
      <w:bookmarkEnd w:id="3"/>
    </w:p>
    <w:p w:rsidR="00CB0A5B" w:rsidRPr="008A2917" w:rsidRDefault="00F70A89" w:rsidP="009F20E1">
      <w:pPr>
        <w:pStyle w:val="ListParagraph"/>
        <w:widowControl/>
        <w:numPr>
          <w:ilvl w:val="1"/>
          <w:numId w:val="1"/>
        </w:numPr>
        <w:spacing w:after="120"/>
      </w:pPr>
      <w:r w:rsidRPr="008A2917">
        <w:t>R</w:t>
      </w:r>
      <w:r w:rsidR="00CB0A5B" w:rsidRPr="008A2917">
        <w:t xml:space="preserve">esubmission for the trivalent influenza high dose </w:t>
      </w:r>
      <w:r w:rsidRPr="008A2917">
        <w:t xml:space="preserve">vaccine </w:t>
      </w:r>
      <w:r w:rsidR="00CB0A5B" w:rsidRPr="008A2917">
        <w:t>(TIV-HD</w:t>
      </w:r>
      <w:r w:rsidR="00355B47" w:rsidRPr="008A2917">
        <w:t xml:space="preserve">, </w:t>
      </w:r>
      <w:proofErr w:type="spellStart"/>
      <w:r w:rsidR="00355B47" w:rsidRPr="008A2917">
        <w:t>Fluzone</w:t>
      </w:r>
      <w:proofErr w:type="spellEnd"/>
      <w:r w:rsidR="00355B47" w:rsidRPr="008A2917">
        <w:t xml:space="preserve"> High-Dose</w:t>
      </w:r>
      <w:r w:rsidR="00CB0A5B" w:rsidRPr="008A2917">
        <w:t xml:space="preserve">) listing on </w:t>
      </w:r>
      <w:r w:rsidR="009B4B09" w:rsidRPr="008A2917">
        <w:rPr>
          <w:snapToGrid/>
        </w:rPr>
        <w:t xml:space="preserve">Schedule 1 (Designated vaccines and circumstances in which vaccines may be provided) of the </w:t>
      </w:r>
      <w:r w:rsidR="009B4B09" w:rsidRPr="008A2917">
        <w:rPr>
          <w:i/>
          <w:snapToGrid/>
        </w:rPr>
        <w:t>National Health (Immunisation Program – Designated Vaccines) Determination 2014 (No.1)</w:t>
      </w:r>
      <w:r w:rsidR="009B4B09" w:rsidRPr="008A2917">
        <w:rPr>
          <w:snapToGrid/>
        </w:rPr>
        <w:t xml:space="preserve"> (the Determination) </w:t>
      </w:r>
      <w:r w:rsidR="00CB0A5B" w:rsidRPr="008A2917">
        <w:t xml:space="preserve">from the 2020 influenza season onwards, for people aged ≥65 years </w:t>
      </w:r>
      <w:r w:rsidR="0039161C" w:rsidRPr="008A2917">
        <w:t>at an increased price</w:t>
      </w:r>
      <w:r w:rsidR="00CB0A5B" w:rsidRPr="008A2917">
        <w:t xml:space="preserve">. </w:t>
      </w:r>
    </w:p>
    <w:p w:rsidR="00E876B5" w:rsidRPr="008A2917" w:rsidRDefault="00CB0A5B" w:rsidP="009F20E1">
      <w:pPr>
        <w:pStyle w:val="ListParagraph"/>
        <w:widowControl/>
        <w:numPr>
          <w:ilvl w:val="1"/>
          <w:numId w:val="1"/>
        </w:numPr>
        <w:spacing w:after="120"/>
      </w:pPr>
      <w:r w:rsidRPr="008A2917">
        <w:t xml:space="preserve">The basis for </w:t>
      </w:r>
      <w:r w:rsidR="00184178" w:rsidRPr="008A2917">
        <w:t xml:space="preserve">the price increase </w:t>
      </w:r>
      <w:r w:rsidRPr="008A2917">
        <w:t>was</w:t>
      </w:r>
      <w:r w:rsidR="00184178" w:rsidRPr="008A2917">
        <w:t xml:space="preserve"> a</w:t>
      </w:r>
      <w:r w:rsidRPr="008A2917">
        <w:t xml:space="preserve"> cost-effectiveness </w:t>
      </w:r>
      <w:r w:rsidR="00184178" w:rsidRPr="008A2917">
        <w:t xml:space="preserve">analysis </w:t>
      </w:r>
      <w:r w:rsidRPr="008A2917">
        <w:t xml:space="preserve">of TIV-HD compared with </w:t>
      </w:r>
      <w:r w:rsidR="0039161C" w:rsidRPr="008A2917">
        <w:t xml:space="preserve">the </w:t>
      </w:r>
      <w:r w:rsidR="00D06698" w:rsidRPr="008A2917">
        <w:t xml:space="preserve">nominated </w:t>
      </w:r>
      <w:r w:rsidR="0039161C" w:rsidRPr="008A2917">
        <w:t xml:space="preserve">main comparator </w:t>
      </w:r>
      <w:r w:rsidRPr="008A2917">
        <w:t xml:space="preserve">standard dose </w:t>
      </w:r>
      <w:proofErr w:type="spellStart"/>
      <w:r w:rsidRPr="008A2917">
        <w:t>quadrivalent</w:t>
      </w:r>
      <w:proofErr w:type="spellEnd"/>
      <w:r w:rsidRPr="008A2917">
        <w:t xml:space="preserve"> influenza vaccine (QIV-SD), </w:t>
      </w:r>
      <w:r w:rsidR="0039161C" w:rsidRPr="008A2917">
        <w:t xml:space="preserve">and near market comparators </w:t>
      </w:r>
      <w:proofErr w:type="spellStart"/>
      <w:r w:rsidRPr="008A2917">
        <w:t>adjuvanted</w:t>
      </w:r>
      <w:proofErr w:type="spellEnd"/>
      <w:r w:rsidRPr="008A2917">
        <w:t xml:space="preserve"> trivalent influenza vaccine (</w:t>
      </w:r>
      <w:proofErr w:type="spellStart"/>
      <w:r w:rsidR="004922B5" w:rsidRPr="008A2917">
        <w:t>aTIV</w:t>
      </w:r>
      <w:proofErr w:type="spellEnd"/>
      <w:r w:rsidRPr="008A2917">
        <w:t xml:space="preserve">) and </w:t>
      </w:r>
      <w:proofErr w:type="spellStart"/>
      <w:r w:rsidRPr="008A2917">
        <w:t>adjuvanted</w:t>
      </w:r>
      <w:proofErr w:type="spellEnd"/>
      <w:r w:rsidRPr="008A2917">
        <w:t xml:space="preserve"> </w:t>
      </w:r>
      <w:proofErr w:type="spellStart"/>
      <w:r w:rsidRPr="008A2917">
        <w:t>quadrivalent</w:t>
      </w:r>
      <w:proofErr w:type="spellEnd"/>
      <w:r w:rsidRPr="008A2917">
        <w:t xml:space="preserve"> influenza vaccine (</w:t>
      </w:r>
      <w:proofErr w:type="spellStart"/>
      <w:r w:rsidR="004922B5" w:rsidRPr="008A2917">
        <w:t>aQIV</w:t>
      </w:r>
      <w:proofErr w:type="spellEnd"/>
      <w:r w:rsidRPr="008A2917">
        <w:t>).</w:t>
      </w:r>
    </w:p>
    <w:p w:rsidR="00E876B5" w:rsidRPr="008A2917" w:rsidRDefault="00E876B5">
      <w:pPr>
        <w:widowControl/>
        <w:jc w:val="left"/>
      </w:pPr>
      <w:r w:rsidRPr="008A2917">
        <w:br w:type="page"/>
      </w:r>
    </w:p>
    <w:p w:rsidR="00CB0A5B" w:rsidRPr="008A2917" w:rsidRDefault="00CB0A5B" w:rsidP="00387896">
      <w:pPr>
        <w:pStyle w:val="TableHeading0"/>
        <w:rPr>
          <w:rStyle w:val="CommentReference"/>
          <w:b/>
          <w:szCs w:val="22"/>
        </w:rPr>
      </w:pPr>
      <w:r w:rsidRPr="008A2917">
        <w:rPr>
          <w:rStyle w:val="CommentReference"/>
          <w:b/>
          <w:szCs w:val="22"/>
        </w:rPr>
        <w:lastRenderedPageBreak/>
        <w:t>Table 1: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1"/>
      </w:tblGrid>
      <w:tr w:rsidR="00CB0A5B" w:rsidRPr="008A2917" w:rsidTr="0076020D">
        <w:trPr>
          <w:cantSplit/>
        </w:trPr>
        <w:tc>
          <w:tcPr>
            <w:tcW w:w="924" w:type="pct"/>
            <w:shd w:val="clear" w:color="auto" w:fill="auto"/>
          </w:tcPr>
          <w:p w:rsidR="00CB0A5B" w:rsidRPr="006E5E1E" w:rsidRDefault="00CB0A5B" w:rsidP="00387896">
            <w:pPr>
              <w:pStyle w:val="Tabletext"/>
              <w:rPr>
                <w:b/>
                <w:szCs w:val="20"/>
              </w:rPr>
            </w:pPr>
            <w:r w:rsidRPr="006E5E1E">
              <w:rPr>
                <w:b/>
              </w:rPr>
              <w:t>Component</w:t>
            </w:r>
          </w:p>
        </w:tc>
        <w:tc>
          <w:tcPr>
            <w:tcW w:w="4076" w:type="pct"/>
            <w:shd w:val="clear" w:color="auto" w:fill="auto"/>
          </w:tcPr>
          <w:p w:rsidR="00CB0A5B" w:rsidRPr="006E5E1E" w:rsidRDefault="00CB0A5B" w:rsidP="00387896">
            <w:pPr>
              <w:pStyle w:val="Tabletext"/>
              <w:jc w:val="center"/>
              <w:rPr>
                <w:b/>
              </w:rPr>
            </w:pPr>
            <w:r w:rsidRPr="006E5E1E">
              <w:rPr>
                <w:b/>
              </w:rPr>
              <w:t>Description</w:t>
            </w:r>
          </w:p>
        </w:tc>
      </w:tr>
      <w:tr w:rsidR="00CB0A5B" w:rsidRPr="008A2917" w:rsidTr="0076020D">
        <w:trPr>
          <w:cantSplit/>
        </w:trPr>
        <w:tc>
          <w:tcPr>
            <w:tcW w:w="924" w:type="pct"/>
            <w:shd w:val="clear" w:color="auto" w:fill="auto"/>
          </w:tcPr>
          <w:p w:rsidR="00CB0A5B" w:rsidRPr="006E5E1E" w:rsidRDefault="00CB0A5B" w:rsidP="00387896">
            <w:pPr>
              <w:pStyle w:val="Tabletext"/>
            </w:pPr>
            <w:r w:rsidRPr="006E5E1E">
              <w:t>Population</w:t>
            </w:r>
          </w:p>
        </w:tc>
        <w:tc>
          <w:tcPr>
            <w:tcW w:w="4076" w:type="pct"/>
            <w:shd w:val="clear" w:color="auto" w:fill="auto"/>
          </w:tcPr>
          <w:p w:rsidR="00CB0A5B" w:rsidRPr="006E5E1E" w:rsidRDefault="00CB0A5B" w:rsidP="00387896">
            <w:pPr>
              <w:pStyle w:val="Tabletext"/>
            </w:pPr>
            <w:r w:rsidRPr="006E5E1E">
              <w:t>Adults aged ≥ 65 years</w:t>
            </w:r>
          </w:p>
        </w:tc>
      </w:tr>
      <w:tr w:rsidR="00CB0A5B" w:rsidRPr="008A2917" w:rsidTr="0076020D">
        <w:trPr>
          <w:cantSplit/>
        </w:trPr>
        <w:tc>
          <w:tcPr>
            <w:tcW w:w="924" w:type="pct"/>
            <w:shd w:val="clear" w:color="auto" w:fill="auto"/>
          </w:tcPr>
          <w:p w:rsidR="00CB0A5B" w:rsidRPr="006E5E1E" w:rsidRDefault="00CB0A5B" w:rsidP="00387896">
            <w:pPr>
              <w:pStyle w:val="Tabletext"/>
            </w:pPr>
            <w:r w:rsidRPr="006E5E1E">
              <w:t>Intervention</w:t>
            </w:r>
          </w:p>
        </w:tc>
        <w:tc>
          <w:tcPr>
            <w:tcW w:w="4076" w:type="pct"/>
            <w:shd w:val="clear" w:color="auto" w:fill="auto"/>
          </w:tcPr>
          <w:p w:rsidR="00CB0A5B" w:rsidRPr="006E5E1E" w:rsidRDefault="00CB0A5B" w:rsidP="00387896">
            <w:pPr>
              <w:pStyle w:val="Tabletext"/>
            </w:pPr>
            <w:r w:rsidRPr="006E5E1E">
              <w:t>TIV-HD (</w:t>
            </w:r>
            <w:proofErr w:type="spellStart"/>
            <w:r w:rsidRPr="006E5E1E">
              <w:t>Fluzone</w:t>
            </w:r>
            <w:proofErr w:type="spellEnd"/>
            <w:r w:rsidRPr="006E5E1E">
              <w:t xml:space="preserve"> High-Dose)</w:t>
            </w:r>
          </w:p>
        </w:tc>
      </w:tr>
      <w:tr w:rsidR="00CB0A5B" w:rsidRPr="008A2917" w:rsidTr="0076020D">
        <w:trPr>
          <w:cantSplit/>
        </w:trPr>
        <w:tc>
          <w:tcPr>
            <w:tcW w:w="924" w:type="pct"/>
            <w:shd w:val="clear" w:color="auto" w:fill="auto"/>
          </w:tcPr>
          <w:p w:rsidR="00CB0A5B" w:rsidRPr="006E5E1E" w:rsidRDefault="00CB0A5B" w:rsidP="00387896">
            <w:pPr>
              <w:pStyle w:val="Tabletext"/>
            </w:pPr>
            <w:r w:rsidRPr="006E5E1E">
              <w:t>Comparator</w:t>
            </w:r>
          </w:p>
        </w:tc>
        <w:tc>
          <w:tcPr>
            <w:tcW w:w="4076" w:type="pct"/>
            <w:shd w:val="clear" w:color="auto" w:fill="auto"/>
          </w:tcPr>
          <w:p w:rsidR="00CB0A5B" w:rsidRPr="006E5E1E" w:rsidRDefault="008968E7" w:rsidP="00387896">
            <w:pPr>
              <w:pStyle w:val="Tabletext"/>
            </w:pPr>
            <w:r w:rsidRPr="006E5E1E">
              <w:t>Main: QIV-SD</w:t>
            </w:r>
            <w:r w:rsidR="00CB0A5B" w:rsidRPr="006E5E1E">
              <w:t xml:space="preserve"> </w:t>
            </w:r>
          </w:p>
          <w:p w:rsidR="00CB0A5B" w:rsidRPr="006E5E1E" w:rsidRDefault="00CB0A5B" w:rsidP="00387896">
            <w:pPr>
              <w:pStyle w:val="Tabletext"/>
            </w:pPr>
            <w:r w:rsidRPr="006E5E1E">
              <w:t xml:space="preserve">Near Market: </w:t>
            </w:r>
            <w:proofErr w:type="spellStart"/>
            <w:r w:rsidR="004922B5" w:rsidRPr="006E5E1E">
              <w:t>aTIV</w:t>
            </w:r>
            <w:proofErr w:type="spellEnd"/>
            <w:r w:rsidRPr="006E5E1E">
              <w:t>/</w:t>
            </w:r>
            <w:proofErr w:type="spellStart"/>
            <w:r w:rsidR="004922B5" w:rsidRPr="006E5E1E">
              <w:t>aQIV</w:t>
            </w:r>
            <w:proofErr w:type="spellEnd"/>
          </w:p>
        </w:tc>
      </w:tr>
      <w:tr w:rsidR="00CB0A5B" w:rsidRPr="008A2917" w:rsidTr="0076020D">
        <w:trPr>
          <w:cantSplit/>
        </w:trPr>
        <w:tc>
          <w:tcPr>
            <w:tcW w:w="924" w:type="pct"/>
            <w:shd w:val="clear" w:color="auto" w:fill="auto"/>
          </w:tcPr>
          <w:p w:rsidR="00CB0A5B" w:rsidRPr="006E5E1E" w:rsidRDefault="00CB0A5B" w:rsidP="00387896">
            <w:pPr>
              <w:pStyle w:val="Tabletext"/>
            </w:pPr>
            <w:r w:rsidRPr="006E5E1E">
              <w:t>Outcomes</w:t>
            </w:r>
          </w:p>
        </w:tc>
        <w:tc>
          <w:tcPr>
            <w:tcW w:w="4076" w:type="pct"/>
            <w:shd w:val="clear" w:color="auto" w:fill="auto"/>
          </w:tcPr>
          <w:p w:rsidR="00CB0A5B" w:rsidRPr="006E5E1E" w:rsidRDefault="00CB0A5B" w:rsidP="00387896">
            <w:pPr>
              <w:pStyle w:val="Tabletext"/>
            </w:pPr>
            <w:r w:rsidRPr="006E5E1E">
              <w:t xml:space="preserve">Clinically diagnosed </w:t>
            </w:r>
            <w:r w:rsidR="008968E7" w:rsidRPr="006E5E1E">
              <w:t>and</w:t>
            </w:r>
            <w:r w:rsidRPr="006E5E1E">
              <w:t xml:space="preserve"> laboratory confirmed influenza, cardio-respiratory hospitalisation</w:t>
            </w:r>
          </w:p>
        </w:tc>
      </w:tr>
      <w:tr w:rsidR="00CB0A5B" w:rsidRPr="008A2917" w:rsidTr="0076020D">
        <w:trPr>
          <w:cantSplit/>
        </w:trPr>
        <w:tc>
          <w:tcPr>
            <w:tcW w:w="924" w:type="pct"/>
            <w:shd w:val="clear" w:color="auto" w:fill="auto"/>
          </w:tcPr>
          <w:p w:rsidR="00CB0A5B" w:rsidRPr="006E5E1E" w:rsidRDefault="00CB0A5B" w:rsidP="00387896">
            <w:pPr>
              <w:pStyle w:val="Tabletext"/>
            </w:pPr>
            <w:r w:rsidRPr="006E5E1E">
              <w:t>Clinical claim</w:t>
            </w:r>
          </w:p>
        </w:tc>
        <w:tc>
          <w:tcPr>
            <w:tcW w:w="4076" w:type="pct"/>
            <w:shd w:val="clear" w:color="auto" w:fill="auto"/>
          </w:tcPr>
          <w:p w:rsidR="00CB0A5B" w:rsidRPr="006E5E1E" w:rsidRDefault="00CB0A5B" w:rsidP="00387896">
            <w:pPr>
              <w:pStyle w:val="Tabletext"/>
            </w:pPr>
            <w:r w:rsidRPr="006E5E1E">
              <w:t xml:space="preserve">Reduction in cases of clinically diagnosed </w:t>
            </w:r>
            <w:r w:rsidR="008968E7" w:rsidRPr="006E5E1E">
              <w:t>and</w:t>
            </w:r>
            <w:r w:rsidRPr="006E5E1E">
              <w:t xml:space="preserve"> laboratory confirmed influenza</w:t>
            </w:r>
          </w:p>
          <w:p w:rsidR="00CB0A5B" w:rsidRPr="006E5E1E" w:rsidRDefault="00CB0A5B" w:rsidP="00387896">
            <w:pPr>
              <w:pStyle w:val="Tabletext"/>
            </w:pPr>
            <w:r w:rsidRPr="006E5E1E">
              <w:t>Reduction in cardio-respiratory hospitalisations</w:t>
            </w:r>
          </w:p>
          <w:p w:rsidR="00CB0A5B" w:rsidRPr="006E5E1E" w:rsidRDefault="00CB0A5B" w:rsidP="00387896">
            <w:pPr>
              <w:pStyle w:val="Tabletext"/>
            </w:pPr>
            <w:r w:rsidRPr="006E5E1E">
              <w:t>Acceptable safety profile</w:t>
            </w:r>
          </w:p>
        </w:tc>
      </w:tr>
    </w:tbl>
    <w:p w:rsidR="00CB0A5B" w:rsidRPr="008A2917" w:rsidRDefault="004922B5" w:rsidP="00387896">
      <w:pPr>
        <w:pStyle w:val="TableFooter"/>
        <w:widowControl/>
      </w:pPr>
      <w:proofErr w:type="spellStart"/>
      <w:proofErr w:type="gramStart"/>
      <w:r w:rsidRPr="008A2917">
        <w:t>aQIV</w:t>
      </w:r>
      <w:proofErr w:type="spellEnd"/>
      <w:proofErr w:type="gramEnd"/>
      <w:r w:rsidR="00CB0A5B" w:rsidRPr="008A2917">
        <w:t xml:space="preserve">: </w:t>
      </w:r>
      <w:proofErr w:type="spellStart"/>
      <w:r w:rsidR="00CB0A5B" w:rsidRPr="008A2917">
        <w:t>adjuvanted</w:t>
      </w:r>
      <w:proofErr w:type="spellEnd"/>
      <w:r w:rsidR="00CB0A5B" w:rsidRPr="008A2917">
        <w:t xml:space="preserve"> </w:t>
      </w:r>
      <w:proofErr w:type="spellStart"/>
      <w:r w:rsidR="00CB0A5B" w:rsidRPr="008A2917">
        <w:t>quadrivalent</w:t>
      </w:r>
      <w:proofErr w:type="spellEnd"/>
      <w:r w:rsidR="00CB0A5B" w:rsidRPr="008A2917">
        <w:t xml:space="preserve"> influenza vaccine; </w:t>
      </w:r>
      <w:proofErr w:type="spellStart"/>
      <w:r w:rsidRPr="008A2917">
        <w:t>aTIV</w:t>
      </w:r>
      <w:proofErr w:type="spellEnd"/>
      <w:r w:rsidR="00CB0A5B" w:rsidRPr="008A2917">
        <w:t xml:space="preserve">: </w:t>
      </w:r>
      <w:proofErr w:type="spellStart"/>
      <w:r w:rsidR="00CB0A5B" w:rsidRPr="008A2917">
        <w:t>adjuvanted</w:t>
      </w:r>
      <w:proofErr w:type="spellEnd"/>
      <w:r w:rsidR="00CB0A5B" w:rsidRPr="008A2917">
        <w:t xml:space="preserve"> trivalent </w:t>
      </w:r>
      <w:r w:rsidR="00F70A89" w:rsidRPr="008A2917">
        <w:t>i</w:t>
      </w:r>
      <w:r w:rsidR="00CB0A5B" w:rsidRPr="008A2917">
        <w:t xml:space="preserve">nfluenza </w:t>
      </w:r>
      <w:r w:rsidR="00F70A89" w:rsidRPr="008A2917">
        <w:t>v</w:t>
      </w:r>
      <w:r w:rsidR="00CB0A5B" w:rsidRPr="008A2917">
        <w:t xml:space="preserve">accine; QIV-SD: standard dose </w:t>
      </w:r>
      <w:proofErr w:type="spellStart"/>
      <w:r w:rsidR="00CB0A5B" w:rsidRPr="008A2917">
        <w:t>quadrivalent</w:t>
      </w:r>
      <w:proofErr w:type="spellEnd"/>
      <w:r w:rsidR="00CB0A5B" w:rsidRPr="008A2917">
        <w:t xml:space="preserve"> influenza vaccine; TIV-HD: high dose trivalent influenza vaccine.</w:t>
      </w:r>
    </w:p>
    <w:p w:rsidR="00CB0A5B" w:rsidRPr="00C62B93" w:rsidRDefault="00CB0A5B" w:rsidP="00C62B93">
      <w:pPr>
        <w:pStyle w:val="TableFooter"/>
        <w:widowControl/>
        <w:rPr>
          <w:sz w:val="20"/>
        </w:rPr>
      </w:pPr>
      <w:r w:rsidRPr="008A2917">
        <w:t>Source: Table 1.1, p18 of the resubmission.</w:t>
      </w:r>
    </w:p>
    <w:p w:rsidR="00C35F1E" w:rsidRPr="008A2917" w:rsidRDefault="00C35F1E" w:rsidP="00C62B93">
      <w:pPr>
        <w:pStyle w:val="PBACHeading1"/>
        <w:spacing w:before="240" w:after="120"/>
      </w:pPr>
      <w:bookmarkStart w:id="4" w:name="_Toc371170701"/>
      <w:bookmarkStart w:id="5" w:name="_Toc18942058"/>
      <w:r w:rsidRPr="008A2917">
        <w:t>Requested listing</w:t>
      </w:r>
    </w:p>
    <w:p w:rsidR="00C35F1E" w:rsidRPr="008A2917" w:rsidRDefault="00C35F1E" w:rsidP="00C35F1E">
      <w:pPr>
        <w:pStyle w:val="ListParagraph"/>
        <w:widowControl/>
        <w:numPr>
          <w:ilvl w:val="1"/>
          <w:numId w:val="1"/>
        </w:numPr>
        <w:spacing w:after="120"/>
      </w:pPr>
      <w:r w:rsidRPr="008A2917">
        <w:t>The current price for TIV-HD is $</w:t>
      </w:r>
      <w:r w:rsidR="001A215D">
        <w:rPr>
          <w:noProof/>
          <w:color w:val="000000"/>
          <w:highlight w:val="black"/>
        </w:rPr>
        <w:t>'''''''''</w:t>
      </w:r>
      <w:r w:rsidRPr="008A2917">
        <w:t xml:space="preserve"> per dose. The requested price in the resubmission </w:t>
      </w:r>
      <w:r w:rsidR="008968E7" w:rsidRPr="008A2917">
        <w:t>wa</w:t>
      </w:r>
      <w:r w:rsidRPr="008A2917">
        <w:t>s $</w:t>
      </w:r>
      <w:r w:rsidR="001A215D">
        <w:rPr>
          <w:noProof/>
          <w:color w:val="000000"/>
          <w:highlight w:val="black"/>
        </w:rPr>
        <w:t>''''''''''</w:t>
      </w:r>
      <w:r w:rsidRPr="008A2917">
        <w:t xml:space="preserve"> per dose</w:t>
      </w:r>
      <w:r w:rsidR="001B28A0" w:rsidRPr="008A2917">
        <w:t xml:space="preserve">. The requested price </w:t>
      </w:r>
      <w:r w:rsidRPr="008A2917">
        <w:t>in the submission considered at the July 2019 PBAC meeting</w:t>
      </w:r>
      <w:r w:rsidR="001B28A0" w:rsidRPr="008A2917">
        <w:t xml:space="preserve"> was $</w:t>
      </w:r>
      <w:r w:rsidR="001A215D">
        <w:rPr>
          <w:noProof/>
          <w:color w:val="000000"/>
          <w:highlight w:val="black"/>
        </w:rPr>
        <w:t>''''''''''''</w:t>
      </w:r>
      <w:r w:rsidR="001B28A0" w:rsidRPr="008A2917">
        <w:t xml:space="preserve"> per dose</w:t>
      </w:r>
      <w:r w:rsidRPr="008A2917">
        <w:t>.</w:t>
      </w:r>
    </w:p>
    <w:p w:rsidR="00C35F1E" w:rsidRPr="008A2917" w:rsidRDefault="00C35F1E" w:rsidP="00C35F1E">
      <w:pPr>
        <w:pStyle w:val="ListParagraph"/>
        <w:widowControl/>
        <w:numPr>
          <w:ilvl w:val="1"/>
          <w:numId w:val="1"/>
        </w:numPr>
        <w:spacing w:after="120"/>
        <w:rPr>
          <w:iCs/>
        </w:rPr>
      </w:pPr>
      <w:r w:rsidRPr="008A2917">
        <w:rPr>
          <w:iCs/>
        </w:rPr>
        <w:t xml:space="preserve">The requested restriction is the same as the </w:t>
      </w:r>
      <w:r w:rsidR="00AB1312" w:rsidRPr="008A2917">
        <w:rPr>
          <w:iCs/>
        </w:rPr>
        <w:t>current NIP</w:t>
      </w:r>
      <w:r w:rsidRPr="008A2917">
        <w:rPr>
          <w:iCs/>
        </w:rPr>
        <w:t xml:space="preserve"> </w:t>
      </w:r>
      <w:r w:rsidR="00AB1312" w:rsidRPr="008A2917">
        <w:rPr>
          <w:iCs/>
        </w:rPr>
        <w:t>indication</w:t>
      </w:r>
      <w:r w:rsidRPr="008A2917">
        <w:rPr>
          <w:iCs/>
        </w:rPr>
        <w:t xml:space="preserve">. </w:t>
      </w:r>
    </w:p>
    <w:p w:rsidR="00C35F1E" w:rsidRPr="008A2917" w:rsidRDefault="00C35F1E" w:rsidP="00C35F1E">
      <w:pPr>
        <w:keepNext/>
        <w:widowControl/>
        <w:rPr>
          <w:rStyle w:val="CommentReference"/>
        </w:rPr>
      </w:pPr>
      <w:r w:rsidRPr="008A2917">
        <w:rPr>
          <w:rStyle w:val="CommentReference"/>
        </w:rPr>
        <w:t>Table 2: Essential elements of the requested listing</w:t>
      </w:r>
    </w:p>
    <w:tbl>
      <w:tblPr>
        <w:tblW w:w="5000" w:type="pct"/>
        <w:tblCellMar>
          <w:left w:w="28" w:type="dxa"/>
          <w:right w:w="28" w:type="dxa"/>
        </w:tblCellMar>
        <w:tblLook w:val="0000" w:firstRow="0" w:lastRow="0" w:firstColumn="0" w:lastColumn="0" w:noHBand="0" w:noVBand="0"/>
      </w:tblPr>
      <w:tblGrid>
        <w:gridCol w:w="2265"/>
        <w:gridCol w:w="1137"/>
        <w:gridCol w:w="1094"/>
        <w:gridCol w:w="850"/>
        <w:gridCol w:w="1526"/>
        <w:gridCol w:w="657"/>
        <w:gridCol w:w="1498"/>
      </w:tblGrid>
      <w:tr w:rsidR="00C35F1E" w:rsidRPr="008A2917" w:rsidTr="00D76698">
        <w:trPr>
          <w:cantSplit/>
          <w:trHeight w:val="463"/>
        </w:trPr>
        <w:tc>
          <w:tcPr>
            <w:tcW w:w="1884" w:type="pct"/>
            <w:gridSpan w:val="2"/>
            <w:tcBorders>
              <w:top w:val="single" w:sz="4" w:space="0" w:color="auto"/>
              <w:bottom w:val="single" w:sz="4" w:space="0" w:color="auto"/>
            </w:tcBorders>
            <w:vAlign w:val="center"/>
          </w:tcPr>
          <w:p w:rsidR="00C35F1E" w:rsidRPr="008A2917" w:rsidRDefault="00C35F1E" w:rsidP="00D76698">
            <w:pPr>
              <w:keepNext/>
              <w:widowControl/>
              <w:jc w:val="left"/>
              <w:rPr>
                <w:rFonts w:ascii="Arial Narrow" w:hAnsi="Arial Narrow"/>
                <w:b/>
                <w:sz w:val="20"/>
              </w:rPr>
            </w:pPr>
            <w:r w:rsidRPr="008A2917">
              <w:rPr>
                <w:rFonts w:ascii="Arial Narrow" w:hAnsi="Arial Narrow"/>
                <w:b/>
                <w:sz w:val="20"/>
              </w:rPr>
              <w:t>Name, Restriction,</w:t>
            </w:r>
          </w:p>
          <w:p w:rsidR="00C35F1E" w:rsidRPr="008A2917" w:rsidRDefault="00C35F1E" w:rsidP="00D76698">
            <w:pPr>
              <w:keepNext/>
              <w:widowControl/>
              <w:jc w:val="left"/>
              <w:rPr>
                <w:rFonts w:ascii="Arial Narrow" w:hAnsi="Arial Narrow"/>
                <w:b/>
                <w:sz w:val="20"/>
              </w:rPr>
            </w:pPr>
            <w:r w:rsidRPr="008A2917">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C35F1E" w:rsidRPr="008A2917" w:rsidRDefault="00C35F1E" w:rsidP="00D76698">
            <w:pPr>
              <w:keepNext/>
              <w:widowControl/>
              <w:jc w:val="center"/>
              <w:rPr>
                <w:rFonts w:ascii="Arial Narrow" w:hAnsi="Arial Narrow"/>
                <w:b/>
                <w:sz w:val="20"/>
              </w:rPr>
            </w:pPr>
            <w:r w:rsidRPr="008A2917">
              <w:rPr>
                <w:rFonts w:ascii="Arial Narrow" w:hAnsi="Arial Narrow"/>
                <w:b/>
                <w:sz w:val="20"/>
              </w:rPr>
              <w:t>Max.</w:t>
            </w:r>
          </w:p>
          <w:p w:rsidR="00C35F1E" w:rsidRPr="008A2917" w:rsidRDefault="00C35F1E" w:rsidP="00D76698">
            <w:pPr>
              <w:keepNext/>
              <w:widowControl/>
              <w:jc w:val="center"/>
              <w:rPr>
                <w:rFonts w:ascii="Arial Narrow" w:hAnsi="Arial Narrow"/>
                <w:b/>
                <w:sz w:val="20"/>
              </w:rPr>
            </w:pPr>
            <w:proofErr w:type="spellStart"/>
            <w:r w:rsidRPr="008A2917">
              <w:rPr>
                <w:rFonts w:ascii="Arial Narrow" w:hAnsi="Arial Narrow"/>
                <w:b/>
                <w:sz w:val="20"/>
              </w:rPr>
              <w:t>Qty</w:t>
            </w:r>
            <w:proofErr w:type="spellEnd"/>
          </w:p>
        </w:tc>
        <w:tc>
          <w:tcPr>
            <w:tcW w:w="471" w:type="pct"/>
            <w:tcBorders>
              <w:top w:val="single" w:sz="4" w:space="0" w:color="auto"/>
              <w:bottom w:val="single" w:sz="4" w:space="0" w:color="auto"/>
            </w:tcBorders>
            <w:vAlign w:val="center"/>
          </w:tcPr>
          <w:p w:rsidR="00C35F1E" w:rsidRPr="008A2917" w:rsidRDefault="00C35F1E" w:rsidP="00D76698">
            <w:pPr>
              <w:keepNext/>
              <w:widowControl/>
              <w:jc w:val="center"/>
              <w:rPr>
                <w:rFonts w:ascii="Arial Narrow" w:hAnsi="Arial Narrow"/>
                <w:b/>
                <w:sz w:val="20"/>
              </w:rPr>
            </w:pPr>
            <w:r w:rsidRPr="008A2917">
              <w:rPr>
                <w:rFonts w:ascii="Arial Narrow" w:hAnsi="Arial Narrow" w:cs="Times New Roman"/>
                <w:b/>
                <w:sz w:val="20"/>
              </w:rPr>
              <w:t>№</w:t>
            </w:r>
            <w:r w:rsidRPr="008A2917">
              <w:rPr>
                <w:rFonts w:ascii="Arial Narrow" w:hAnsi="Arial Narrow"/>
                <w:b/>
                <w:sz w:val="20"/>
              </w:rPr>
              <w:t>.of</w:t>
            </w:r>
          </w:p>
          <w:p w:rsidR="00C35F1E" w:rsidRPr="008A2917" w:rsidRDefault="00C35F1E" w:rsidP="00D76698">
            <w:pPr>
              <w:keepNext/>
              <w:widowControl/>
              <w:jc w:val="center"/>
              <w:rPr>
                <w:rFonts w:ascii="Arial Narrow" w:hAnsi="Arial Narrow"/>
                <w:b/>
                <w:sz w:val="20"/>
              </w:rPr>
            </w:pPr>
            <w:proofErr w:type="spellStart"/>
            <w:r w:rsidRPr="008A2917">
              <w:rPr>
                <w:rFonts w:ascii="Arial Narrow" w:hAnsi="Arial Narrow"/>
                <w:b/>
                <w:sz w:val="20"/>
              </w:rPr>
              <w:t>Rpts</w:t>
            </w:r>
            <w:proofErr w:type="spellEnd"/>
          </w:p>
        </w:tc>
        <w:tc>
          <w:tcPr>
            <w:tcW w:w="845" w:type="pct"/>
            <w:tcBorders>
              <w:top w:val="single" w:sz="4" w:space="0" w:color="auto"/>
              <w:bottom w:val="single" w:sz="4" w:space="0" w:color="auto"/>
            </w:tcBorders>
            <w:vAlign w:val="center"/>
          </w:tcPr>
          <w:p w:rsidR="00C35F1E" w:rsidRPr="008A2917" w:rsidRDefault="00C35F1E" w:rsidP="00D76698">
            <w:pPr>
              <w:keepNext/>
              <w:widowControl/>
              <w:jc w:val="center"/>
              <w:rPr>
                <w:rFonts w:ascii="Arial Narrow" w:hAnsi="Arial Narrow"/>
                <w:b/>
                <w:sz w:val="20"/>
              </w:rPr>
            </w:pPr>
            <w:r w:rsidRPr="008A2917">
              <w:rPr>
                <w:rFonts w:ascii="Arial Narrow" w:hAnsi="Arial Narrow"/>
                <w:b/>
                <w:sz w:val="20"/>
              </w:rPr>
              <w:t>Approved ex-manufacturer</w:t>
            </w:r>
          </w:p>
          <w:p w:rsidR="00C35F1E" w:rsidRPr="008A2917" w:rsidRDefault="00C35F1E" w:rsidP="00D76698">
            <w:pPr>
              <w:keepNext/>
              <w:widowControl/>
              <w:jc w:val="center"/>
              <w:rPr>
                <w:rFonts w:ascii="Arial Narrow" w:hAnsi="Arial Narrow"/>
                <w:b/>
                <w:sz w:val="20"/>
              </w:rPr>
            </w:pPr>
            <w:r w:rsidRPr="008A2917">
              <w:rPr>
                <w:rFonts w:ascii="Arial Narrow" w:hAnsi="Arial Narrow"/>
                <w:b/>
                <w:sz w:val="20"/>
              </w:rPr>
              <w:t>price</w:t>
            </w:r>
          </w:p>
        </w:tc>
        <w:tc>
          <w:tcPr>
            <w:tcW w:w="1194" w:type="pct"/>
            <w:gridSpan w:val="2"/>
            <w:tcBorders>
              <w:top w:val="single" w:sz="4" w:space="0" w:color="auto"/>
              <w:bottom w:val="single" w:sz="4" w:space="0" w:color="auto"/>
            </w:tcBorders>
            <w:vAlign w:val="center"/>
          </w:tcPr>
          <w:p w:rsidR="00C35F1E" w:rsidRPr="008A2917" w:rsidRDefault="00C35F1E" w:rsidP="00D76698">
            <w:pPr>
              <w:keepNext/>
              <w:widowControl/>
              <w:jc w:val="center"/>
              <w:rPr>
                <w:rFonts w:ascii="Arial Narrow" w:hAnsi="Arial Narrow"/>
                <w:b/>
                <w:sz w:val="20"/>
              </w:rPr>
            </w:pPr>
            <w:r w:rsidRPr="008A2917">
              <w:rPr>
                <w:rFonts w:ascii="Arial Narrow" w:hAnsi="Arial Narrow"/>
                <w:b/>
                <w:sz w:val="20"/>
              </w:rPr>
              <w:t>Proprietary Name and Manufacturer</w:t>
            </w:r>
          </w:p>
        </w:tc>
      </w:tr>
      <w:tr w:rsidR="00C35F1E" w:rsidRPr="008A2917" w:rsidTr="00D76698">
        <w:trPr>
          <w:cantSplit/>
          <w:trHeight w:val="567"/>
        </w:trPr>
        <w:tc>
          <w:tcPr>
            <w:tcW w:w="1884" w:type="pct"/>
            <w:gridSpan w:val="2"/>
            <w:vAlign w:val="center"/>
          </w:tcPr>
          <w:p w:rsidR="00C35F1E" w:rsidRPr="008A2917" w:rsidRDefault="00C35F1E" w:rsidP="00D76698">
            <w:pPr>
              <w:keepNext/>
              <w:widowControl/>
              <w:jc w:val="left"/>
              <w:rPr>
                <w:rFonts w:ascii="Arial Narrow" w:hAnsi="Arial Narrow"/>
                <w:sz w:val="20"/>
              </w:rPr>
            </w:pPr>
            <w:r w:rsidRPr="008A2917">
              <w:rPr>
                <w:rFonts w:ascii="Arial Narrow" w:hAnsi="Arial Narrow"/>
                <w:sz w:val="20"/>
              </w:rPr>
              <w:t>INACTIVATED TRIVALENT INFLUENZA VACCINE (SPLIT VIRION), 0.5ML, INJECTION, PREFILLED SYRINGE</w:t>
            </w:r>
          </w:p>
        </w:tc>
        <w:tc>
          <w:tcPr>
            <w:tcW w:w="606" w:type="pct"/>
            <w:vAlign w:val="center"/>
          </w:tcPr>
          <w:p w:rsidR="00C35F1E" w:rsidRPr="008A2917" w:rsidRDefault="00C35F1E" w:rsidP="00D76698">
            <w:pPr>
              <w:keepNext/>
              <w:widowControl/>
              <w:jc w:val="center"/>
              <w:rPr>
                <w:rFonts w:ascii="Arial Narrow" w:hAnsi="Arial Narrow"/>
                <w:sz w:val="20"/>
              </w:rPr>
            </w:pPr>
          </w:p>
          <w:p w:rsidR="00C35F1E" w:rsidRPr="008A2917" w:rsidRDefault="00C35F1E" w:rsidP="00D76698">
            <w:pPr>
              <w:keepNext/>
              <w:widowControl/>
              <w:jc w:val="center"/>
              <w:rPr>
                <w:rFonts w:ascii="Arial Narrow" w:hAnsi="Arial Narrow"/>
                <w:sz w:val="20"/>
              </w:rPr>
            </w:pPr>
            <w:r w:rsidRPr="008A2917">
              <w:rPr>
                <w:rFonts w:ascii="Arial Narrow" w:hAnsi="Arial Narrow"/>
                <w:sz w:val="20"/>
              </w:rPr>
              <w:t>1</w:t>
            </w:r>
          </w:p>
        </w:tc>
        <w:tc>
          <w:tcPr>
            <w:tcW w:w="471" w:type="pct"/>
            <w:vAlign w:val="center"/>
          </w:tcPr>
          <w:p w:rsidR="00C35F1E" w:rsidRPr="008A2917" w:rsidRDefault="00C35F1E" w:rsidP="00D76698">
            <w:pPr>
              <w:keepNext/>
              <w:widowControl/>
              <w:jc w:val="center"/>
              <w:rPr>
                <w:rFonts w:ascii="Arial Narrow" w:hAnsi="Arial Narrow"/>
                <w:sz w:val="20"/>
              </w:rPr>
            </w:pPr>
          </w:p>
          <w:p w:rsidR="00C35F1E" w:rsidRPr="008A2917" w:rsidRDefault="00C35F1E" w:rsidP="00D76698">
            <w:pPr>
              <w:keepNext/>
              <w:widowControl/>
              <w:jc w:val="center"/>
              <w:rPr>
                <w:rFonts w:ascii="Arial Narrow" w:hAnsi="Arial Narrow"/>
                <w:sz w:val="20"/>
              </w:rPr>
            </w:pPr>
            <w:r w:rsidRPr="008A2917">
              <w:rPr>
                <w:rFonts w:ascii="Arial Narrow" w:hAnsi="Arial Narrow"/>
                <w:sz w:val="20"/>
              </w:rPr>
              <w:t>0</w:t>
            </w:r>
          </w:p>
        </w:tc>
        <w:tc>
          <w:tcPr>
            <w:tcW w:w="845" w:type="pct"/>
            <w:vAlign w:val="center"/>
          </w:tcPr>
          <w:p w:rsidR="00C35F1E" w:rsidRPr="008A2917" w:rsidRDefault="00C35F1E" w:rsidP="00D76698">
            <w:pPr>
              <w:keepNext/>
              <w:widowControl/>
              <w:jc w:val="center"/>
              <w:rPr>
                <w:rFonts w:ascii="Arial Narrow" w:hAnsi="Arial Narrow"/>
                <w:sz w:val="20"/>
              </w:rPr>
            </w:pPr>
          </w:p>
          <w:p w:rsidR="00C35F1E" w:rsidRPr="008A2917" w:rsidRDefault="00C35F1E" w:rsidP="00D76698">
            <w:pPr>
              <w:keepNext/>
              <w:widowControl/>
              <w:jc w:val="center"/>
              <w:rPr>
                <w:rFonts w:ascii="Arial Narrow" w:hAnsi="Arial Narrow"/>
                <w:sz w:val="20"/>
              </w:rPr>
            </w:pPr>
            <w:r w:rsidRPr="008A2917">
              <w:rPr>
                <w:rFonts w:ascii="Arial Narrow" w:hAnsi="Arial Narrow"/>
                <w:sz w:val="20"/>
              </w:rPr>
              <w:t>$</w:t>
            </w:r>
            <w:r w:rsidR="001A215D">
              <w:rPr>
                <w:rFonts w:ascii="Arial Narrow" w:hAnsi="Arial Narrow"/>
                <w:noProof/>
                <w:color w:val="000000"/>
                <w:sz w:val="20"/>
                <w:highlight w:val="black"/>
              </w:rPr>
              <w:t>'''''''''''''''</w:t>
            </w:r>
          </w:p>
        </w:tc>
        <w:tc>
          <w:tcPr>
            <w:tcW w:w="364" w:type="pct"/>
            <w:vAlign w:val="center"/>
          </w:tcPr>
          <w:p w:rsidR="00C35F1E" w:rsidRPr="008A2917" w:rsidRDefault="00C35F1E" w:rsidP="00D76698">
            <w:pPr>
              <w:keepNext/>
              <w:widowControl/>
              <w:jc w:val="center"/>
              <w:rPr>
                <w:rFonts w:ascii="Arial Narrow" w:hAnsi="Arial Narrow"/>
                <w:sz w:val="20"/>
              </w:rPr>
            </w:pPr>
            <w:proofErr w:type="spellStart"/>
            <w:r w:rsidRPr="008A2917">
              <w:rPr>
                <w:rFonts w:ascii="Arial Narrow" w:hAnsi="Arial Narrow"/>
                <w:sz w:val="20"/>
              </w:rPr>
              <w:t>Fluzone</w:t>
            </w:r>
            <w:proofErr w:type="spellEnd"/>
            <w:r w:rsidRPr="008A2917">
              <w:rPr>
                <w:rFonts w:ascii="Arial Narrow" w:hAnsi="Arial Narrow"/>
                <w:sz w:val="20"/>
              </w:rPr>
              <w:t xml:space="preserve"> High-Dose</w:t>
            </w:r>
          </w:p>
        </w:tc>
        <w:tc>
          <w:tcPr>
            <w:tcW w:w="830" w:type="pct"/>
            <w:vAlign w:val="center"/>
          </w:tcPr>
          <w:p w:rsidR="00C35F1E" w:rsidRPr="008A2917" w:rsidRDefault="00C35F1E" w:rsidP="00D76698">
            <w:pPr>
              <w:keepNext/>
              <w:widowControl/>
              <w:jc w:val="center"/>
              <w:rPr>
                <w:rFonts w:ascii="Arial Narrow" w:hAnsi="Arial Narrow"/>
                <w:sz w:val="20"/>
              </w:rPr>
            </w:pPr>
            <w:r w:rsidRPr="008A2917">
              <w:rPr>
                <w:rFonts w:ascii="Arial Narrow" w:hAnsi="Arial Narrow"/>
                <w:sz w:val="20"/>
              </w:rPr>
              <w:t>Sanofi-Aventis Australia Pty Ltd</w:t>
            </w:r>
          </w:p>
        </w:tc>
      </w:tr>
      <w:tr w:rsidR="00C35F1E" w:rsidRPr="008A2917" w:rsidTr="00D76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C35F1E" w:rsidRPr="008A2917" w:rsidRDefault="00C35F1E" w:rsidP="00D76698">
            <w:pPr>
              <w:pStyle w:val="Tabletext"/>
              <w:rPr>
                <w:lang w:eastAsia="en-AU"/>
              </w:rPr>
            </w:pPr>
            <w:r w:rsidRPr="008A2917">
              <w:rPr>
                <w:lang w:eastAsia="en-AU"/>
              </w:rPr>
              <w:t>Category/Program:</w:t>
            </w:r>
          </w:p>
        </w:tc>
        <w:tc>
          <w:tcPr>
            <w:tcW w:w="3746" w:type="pct"/>
            <w:gridSpan w:val="6"/>
            <w:tcBorders>
              <w:top w:val="single" w:sz="4" w:space="0" w:color="auto"/>
              <w:left w:val="single" w:sz="4" w:space="0" w:color="auto"/>
              <w:bottom w:val="single" w:sz="4" w:space="0" w:color="auto"/>
              <w:right w:val="single" w:sz="4" w:space="0" w:color="auto"/>
            </w:tcBorders>
          </w:tcPr>
          <w:p w:rsidR="00C35F1E" w:rsidRPr="008A2917" w:rsidRDefault="00C35F1E" w:rsidP="00D76698">
            <w:pPr>
              <w:pStyle w:val="Tabletext"/>
              <w:rPr>
                <w:lang w:eastAsia="en-AU"/>
              </w:rPr>
            </w:pPr>
            <w:r w:rsidRPr="008A2917">
              <w:rPr>
                <w:lang w:eastAsia="en-AU"/>
              </w:rPr>
              <w:t>NIP</w:t>
            </w:r>
          </w:p>
        </w:tc>
      </w:tr>
      <w:tr w:rsidR="00C35F1E" w:rsidRPr="008A2917" w:rsidTr="00D76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4" w:type="pct"/>
            <w:tcBorders>
              <w:top w:val="single" w:sz="4" w:space="0" w:color="auto"/>
              <w:left w:val="single" w:sz="4" w:space="0" w:color="auto"/>
              <w:bottom w:val="single" w:sz="4" w:space="0" w:color="auto"/>
              <w:right w:val="single" w:sz="4" w:space="0" w:color="auto"/>
            </w:tcBorders>
            <w:hideMark/>
          </w:tcPr>
          <w:p w:rsidR="00C35F1E" w:rsidRPr="008A2917" w:rsidRDefault="00C35F1E" w:rsidP="00D76698">
            <w:pPr>
              <w:pStyle w:val="Tabletext"/>
              <w:rPr>
                <w:lang w:eastAsia="en-AU"/>
              </w:rPr>
            </w:pPr>
            <w:r w:rsidRPr="008A2917">
              <w:rPr>
                <w:lang w:eastAsia="en-AU"/>
              </w:rPr>
              <w:t>NIP indication:</w:t>
            </w:r>
          </w:p>
        </w:tc>
        <w:tc>
          <w:tcPr>
            <w:tcW w:w="3746" w:type="pct"/>
            <w:gridSpan w:val="6"/>
            <w:tcBorders>
              <w:top w:val="single" w:sz="4" w:space="0" w:color="auto"/>
              <w:left w:val="single" w:sz="4" w:space="0" w:color="auto"/>
              <w:bottom w:val="single" w:sz="4" w:space="0" w:color="auto"/>
              <w:right w:val="single" w:sz="4" w:space="0" w:color="auto"/>
            </w:tcBorders>
          </w:tcPr>
          <w:p w:rsidR="00C35F1E" w:rsidRPr="008A2917" w:rsidRDefault="00C35F1E" w:rsidP="00D76698">
            <w:pPr>
              <w:pStyle w:val="Tabletext"/>
              <w:rPr>
                <w:lang w:eastAsia="en-AU"/>
              </w:rPr>
            </w:pPr>
            <w:r w:rsidRPr="008A2917">
              <w:rPr>
                <w:lang w:eastAsia="en-AU"/>
              </w:rPr>
              <w:t xml:space="preserve">A single injection against influenza disease caused by influenza virus types A and B contained in the vaccine for use in persons </w:t>
            </w:r>
            <w:r w:rsidRPr="008A2917">
              <w:t>≥</w:t>
            </w:r>
            <w:r w:rsidRPr="008A2917">
              <w:rPr>
                <w:lang w:eastAsia="en-AU"/>
              </w:rPr>
              <w:t xml:space="preserve"> 65 years of age.</w:t>
            </w:r>
          </w:p>
        </w:tc>
      </w:tr>
    </w:tbl>
    <w:p w:rsidR="00C35F1E" w:rsidRPr="008A2917" w:rsidRDefault="00C35F1E" w:rsidP="00C35F1E">
      <w:pPr>
        <w:pStyle w:val="TableFooter"/>
        <w:widowControl/>
      </w:pPr>
      <w:r w:rsidRPr="008A2917">
        <w:t>NIP: National Immunisation Program</w:t>
      </w:r>
    </w:p>
    <w:p w:rsidR="00C35F1E" w:rsidRPr="00C62B93" w:rsidRDefault="00C35F1E" w:rsidP="00C62B93">
      <w:pPr>
        <w:pStyle w:val="TableFooter"/>
        <w:widowControl/>
        <w:rPr>
          <w:sz w:val="20"/>
        </w:rPr>
      </w:pPr>
      <w:r w:rsidRPr="008A2917">
        <w:t>Source: Table 1.9, p35 of the resubmission.</w:t>
      </w:r>
    </w:p>
    <w:p w:rsidR="00CB0A5B" w:rsidRPr="008A2917" w:rsidRDefault="00C35F1E" w:rsidP="00C62B93">
      <w:pPr>
        <w:pStyle w:val="PBACHeading1"/>
        <w:spacing w:before="240" w:after="120"/>
      </w:pPr>
      <w:r w:rsidRPr="008A2917">
        <w:t xml:space="preserve"> </w:t>
      </w:r>
      <w:r w:rsidR="00CB0A5B" w:rsidRPr="008A2917">
        <w:t>Background</w:t>
      </w:r>
      <w:bookmarkEnd w:id="4"/>
      <w:bookmarkEnd w:id="5"/>
    </w:p>
    <w:p w:rsidR="00CB0A5B" w:rsidRPr="008A2917" w:rsidRDefault="00CB0A5B" w:rsidP="00387896">
      <w:pPr>
        <w:pStyle w:val="Heading2"/>
      </w:pPr>
      <w:r w:rsidRPr="008A2917">
        <w:t>Registration status</w:t>
      </w:r>
    </w:p>
    <w:p w:rsidR="00CB0A5B" w:rsidRPr="008A2917" w:rsidRDefault="0039161C" w:rsidP="00387896">
      <w:pPr>
        <w:pStyle w:val="ListParagraph"/>
        <w:widowControl/>
        <w:numPr>
          <w:ilvl w:val="1"/>
          <w:numId w:val="1"/>
        </w:numPr>
      </w:pPr>
      <w:r w:rsidRPr="008A2917">
        <w:t xml:space="preserve">TGA status: </w:t>
      </w:r>
      <w:r w:rsidR="00CB0A5B" w:rsidRPr="008A2917">
        <w:t xml:space="preserve">TIV-HD was TGA registered on 20 December 2017 for active immunisation against influenza disease caused by influenza virus types A and B contained in the vaccine for use in </w:t>
      </w:r>
      <w:proofErr w:type="gramStart"/>
      <w:r w:rsidR="00CB0A5B" w:rsidRPr="008A2917">
        <w:t>persons</w:t>
      </w:r>
      <w:proofErr w:type="gramEnd"/>
      <w:r w:rsidR="00CB0A5B" w:rsidRPr="008A2917">
        <w:t xml:space="preserve"> ≥ 65 years of age.</w:t>
      </w:r>
    </w:p>
    <w:p w:rsidR="00CB0A5B" w:rsidRPr="008A2917" w:rsidRDefault="00CB0A5B" w:rsidP="00387896">
      <w:pPr>
        <w:pStyle w:val="ListParagraph"/>
        <w:widowControl/>
        <w:numPr>
          <w:ilvl w:val="1"/>
          <w:numId w:val="1"/>
        </w:numPr>
      </w:pPr>
      <w:r w:rsidRPr="008A2917">
        <w:t xml:space="preserve">TIV-HD for intramuscular injection is an inactivated influenza virus vaccine. It contains 180 micrograms (μg) </w:t>
      </w:r>
      <w:proofErr w:type="spellStart"/>
      <w:r w:rsidRPr="008A2917">
        <w:t>haemagglutinin</w:t>
      </w:r>
      <w:proofErr w:type="spellEnd"/>
      <w:r w:rsidRPr="008A2917">
        <w:t xml:space="preserve"> per 0.5 mL dose in the recommended ratio of 60 μg </w:t>
      </w:r>
      <w:proofErr w:type="spellStart"/>
      <w:r w:rsidRPr="008A2917">
        <w:t>haemagglutinin</w:t>
      </w:r>
      <w:proofErr w:type="spellEnd"/>
      <w:r w:rsidRPr="008A2917">
        <w:t xml:space="preserve"> of each of three strains. The recommended strains for the 2019 influenza season were:</w:t>
      </w:r>
    </w:p>
    <w:p w:rsidR="00CB0A5B" w:rsidRPr="008A2917" w:rsidRDefault="00CB0A5B" w:rsidP="00387896">
      <w:pPr>
        <w:pStyle w:val="Intextbulletpoints"/>
        <w:widowControl/>
        <w:rPr>
          <w:lang w:val="en-AU"/>
        </w:rPr>
      </w:pPr>
      <w:r w:rsidRPr="008A2917">
        <w:rPr>
          <w:lang w:val="en-AU"/>
        </w:rPr>
        <w:t>A/Michigan/45/2015 (H1N1) pdm09 - like virus (A/Michigan/45/2015 X-275)</w:t>
      </w:r>
    </w:p>
    <w:p w:rsidR="00CB0A5B" w:rsidRPr="008A2917" w:rsidRDefault="00CB0A5B" w:rsidP="00387896">
      <w:pPr>
        <w:pStyle w:val="Intextbulletpoints"/>
        <w:widowControl/>
        <w:rPr>
          <w:lang w:val="en-AU"/>
        </w:rPr>
      </w:pPr>
      <w:r w:rsidRPr="008A2917">
        <w:rPr>
          <w:lang w:val="en-AU"/>
        </w:rPr>
        <w:t>A/Switzerland/8060/2017 (H3N2)-like virus (A/Brisbane/1/2018 X-311)</w:t>
      </w:r>
    </w:p>
    <w:p w:rsidR="00D32806" w:rsidRPr="008A2917" w:rsidRDefault="00CB0A5B" w:rsidP="00387896">
      <w:pPr>
        <w:pStyle w:val="Intextbulletpoints"/>
        <w:widowControl/>
        <w:rPr>
          <w:lang w:val="en-AU"/>
        </w:rPr>
      </w:pPr>
      <w:r w:rsidRPr="008A2917">
        <w:rPr>
          <w:lang w:val="en-AU"/>
        </w:rPr>
        <w:lastRenderedPageBreak/>
        <w:t xml:space="preserve">B/Phuket/3073/2013 - like virus (B/Phuket/3073/2013; Yamagata lineage). </w:t>
      </w:r>
    </w:p>
    <w:p w:rsidR="00CB0A5B" w:rsidRPr="008A2917" w:rsidRDefault="00CB0A5B" w:rsidP="00387896">
      <w:pPr>
        <w:pStyle w:val="Heading2"/>
      </w:pPr>
      <w:r w:rsidRPr="008A2917">
        <w:t>Previous PBAC consideration</w:t>
      </w:r>
    </w:p>
    <w:p w:rsidR="00CB0A5B" w:rsidRPr="008A2917" w:rsidRDefault="00CB0A5B" w:rsidP="00387896">
      <w:pPr>
        <w:pStyle w:val="ListParagraph"/>
        <w:widowControl/>
        <w:numPr>
          <w:ilvl w:val="1"/>
          <w:numId w:val="1"/>
        </w:numPr>
      </w:pPr>
      <w:r w:rsidRPr="008A2917">
        <w:t xml:space="preserve">TIV-HD was first considered </w:t>
      </w:r>
      <w:r w:rsidR="004275AD" w:rsidRPr="008A2917">
        <w:t xml:space="preserve">and recommended for listing on the Determination </w:t>
      </w:r>
      <w:r w:rsidRPr="008A2917">
        <w:t xml:space="preserve">by </w:t>
      </w:r>
      <w:r w:rsidR="00154745" w:rsidRPr="008A2917">
        <w:t xml:space="preserve">the </w:t>
      </w:r>
      <w:r w:rsidRPr="008A2917">
        <w:t>PBAC in January 2018</w:t>
      </w:r>
      <w:r w:rsidR="008A2917">
        <w:t xml:space="preserve">. </w:t>
      </w:r>
      <w:r w:rsidR="004275AD" w:rsidRPr="008A2917">
        <w:t>It</w:t>
      </w:r>
      <w:r w:rsidR="00DA2E05" w:rsidRPr="008A2917">
        <w:t xml:space="preserve"> was </w:t>
      </w:r>
      <w:r w:rsidR="004275AD" w:rsidRPr="008A2917">
        <w:t xml:space="preserve">subsequently </w:t>
      </w:r>
      <w:r w:rsidR="00DA2E05" w:rsidRPr="008A2917">
        <w:t>available on the</w:t>
      </w:r>
      <w:r w:rsidRPr="008A2917">
        <w:t xml:space="preserve"> </w:t>
      </w:r>
      <w:r w:rsidR="004275AD" w:rsidRPr="008A2917">
        <w:t>National Immunisation Program (</w:t>
      </w:r>
      <w:r w:rsidRPr="008A2917">
        <w:t>NIP</w:t>
      </w:r>
      <w:r w:rsidR="004275AD" w:rsidRPr="008A2917">
        <w:t>)</w:t>
      </w:r>
      <w:r w:rsidRPr="008A2917">
        <w:t xml:space="preserve"> for the 2018 influenza season. It was</w:t>
      </w:r>
      <w:r w:rsidR="000973DE" w:rsidRPr="008A2917">
        <w:t xml:space="preserve"> recommended on the basis of</w:t>
      </w:r>
      <w:r w:rsidRPr="008A2917">
        <w:t xml:space="preserve"> a minor submission using a cost-minimisation approach in which TIV-HD was recommended at the same price as QIV-SD</w:t>
      </w:r>
      <w:r w:rsidR="00EE2AF0" w:rsidRPr="008A2917">
        <w:t xml:space="preserve"> in response to the severe outcomes of the influenza season in 2017</w:t>
      </w:r>
      <w:r w:rsidRPr="008A2917">
        <w:t>.</w:t>
      </w:r>
    </w:p>
    <w:p w:rsidR="00CB0A5B" w:rsidRPr="008A2917" w:rsidRDefault="00CB0A5B" w:rsidP="00387896">
      <w:pPr>
        <w:pStyle w:val="ListParagraph"/>
        <w:widowControl/>
        <w:numPr>
          <w:ilvl w:val="1"/>
          <w:numId w:val="1"/>
        </w:numPr>
      </w:pPr>
      <w:r w:rsidRPr="008A2917">
        <w:t xml:space="preserve">TIV-HD was </w:t>
      </w:r>
      <w:r w:rsidR="007935FA" w:rsidRPr="008A2917">
        <w:t xml:space="preserve">again </w:t>
      </w:r>
      <w:r w:rsidRPr="008A2917">
        <w:t>considered by PBAC in July 2018. Th</w:t>
      </w:r>
      <w:r w:rsidR="000973DE" w:rsidRPr="008A2917">
        <w:t>e</w:t>
      </w:r>
      <w:r w:rsidRPr="008A2917">
        <w:t xml:space="preserve"> resubmission sought a price increase and provided a cost-effectiveness analysis which compared TIV-HD with QIV-SD. </w:t>
      </w:r>
      <w:r w:rsidR="000973DE" w:rsidRPr="008A2917">
        <w:t>T</w:t>
      </w:r>
      <w:r w:rsidRPr="008A2917">
        <w:t>he PBAC did not recommend the requested price increase for TIV-HD based on:</w:t>
      </w:r>
    </w:p>
    <w:p w:rsidR="00CB0A5B" w:rsidRPr="008A2917" w:rsidRDefault="00CB0A5B" w:rsidP="00387896">
      <w:pPr>
        <w:pStyle w:val="Intextbulletpoints"/>
        <w:widowControl/>
        <w:rPr>
          <w:lang w:val="en-AU"/>
        </w:rPr>
      </w:pPr>
      <w:r w:rsidRPr="008A2917">
        <w:rPr>
          <w:lang w:val="en-AU"/>
        </w:rPr>
        <w:t>high financial implications of the proposed increase in price;</w:t>
      </w:r>
    </w:p>
    <w:p w:rsidR="00CB0A5B" w:rsidRPr="008A2917" w:rsidRDefault="00CB0A5B" w:rsidP="00387896">
      <w:pPr>
        <w:pStyle w:val="Intextbulletpoints"/>
        <w:widowControl/>
        <w:rPr>
          <w:lang w:val="en-AU"/>
        </w:rPr>
      </w:pPr>
      <w:r w:rsidRPr="008A2917">
        <w:rPr>
          <w:lang w:val="en-AU"/>
        </w:rPr>
        <w:t xml:space="preserve">uncertainty around the loss of protection against the alternative B lineage and the incremental benefit of the strains matched with the comparator vaccine; </w:t>
      </w:r>
      <w:r w:rsidR="001B28A0" w:rsidRPr="008A2917">
        <w:rPr>
          <w:lang w:val="en-AU"/>
        </w:rPr>
        <w:t>and</w:t>
      </w:r>
    </w:p>
    <w:p w:rsidR="00CB0A5B" w:rsidRPr="008A2917" w:rsidRDefault="00CB0A5B" w:rsidP="00387896">
      <w:pPr>
        <w:pStyle w:val="Intextbulletpoints"/>
        <w:widowControl/>
        <w:rPr>
          <w:lang w:val="en-AU"/>
        </w:rPr>
      </w:pPr>
      <w:proofErr w:type="gramStart"/>
      <w:r w:rsidRPr="008A2917">
        <w:rPr>
          <w:lang w:val="en-AU"/>
        </w:rPr>
        <w:t>associated</w:t>
      </w:r>
      <w:proofErr w:type="gramEnd"/>
      <w:r w:rsidRPr="008A2917">
        <w:rPr>
          <w:lang w:val="en-AU"/>
        </w:rPr>
        <w:t xml:space="preserve"> uncertainty in assessing the incremental cost-effectiveness of the vaccine (para 7.1, p25, TIV-HD</w:t>
      </w:r>
      <w:r w:rsidR="00C92F12">
        <w:rPr>
          <w:lang w:val="en-AU"/>
        </w:rPr>
        <w:t xml:space="preserve"> Public Summary Document</w:t>
      </w:r>
      <w:r w:rsidRPr="008A2917">
        <w:rPr>
          <w:lang w:val="en-AU"/>
        </w:rPr>
        <w:t xml:space="preserve"> </w:t>
      </w:r>
      <w:r w:rsidR="00C92F12">
        <w:rPr>
          <w:lang w:val="en-AU"/>
        </w:rPr>
        <w:t>(</w:t>
      </w:r>
      <w:r w:rsidRPr="008A2917">
        <w:rPr>
          <w:lang w:val="en-AU"/>
        </w:rPr>
        <w:t>PSD</w:t>
      </w:r>
      <w:r w:rsidR="00C92F12">
        <w:rPr>
          <w:lang w:val="en-AU"/>
        </w:rPr>
        <w:t>)</w:t>
      </w:r>
      <w:r w:rsidRPr="008A2917">
        <w:rPr>
          <w:lang w:val="en-AU"/>
        </w:rPr>
        <w:t>, July 2018).</w:t>
      </w:r>
    </w:p>
    <w:p w:rsidR="00ED17E3" w:rsidRPr="008A2917" w:rsidRDefault="00ED17E3" w:rsidP="00387896">
      <w:pPr>
        <w:pStyle w:val="ListParagraph"/>
        <w:widowControl/>
        <w:numPr>
          <w:ilvl w:val="1"/>
          <w:numId w:val="1"/>
        </w:numPr>
      </w:pPr>
      <w:r w:rsidRPr="008A2917">
        <w:t>The sponsor did not supply TIV-HD on the NIP for the 2019 season.</w:t>
      </w:r>
    </w:p>
    <w:p w:rsidR="00CB0A5B" w:rsidRPr="008A2917" w:rsidRDefault="00CB0A5B" w:rsidP="00387896">
      <w:pPr>
        <w:pStyle w:val="ListParagraph"/>
        <w:widowControl/>
        <w:numPr>
          <w:ilvl w:val="1"/>
          <w:numId w:val="1"/>
        </w:numPr>
      </w:pPr>
      <w:r w:rsidRPr="008A2917">
        <w:t xml:space="preserve">Table </w:t>
      </w:r>
      <w:r w:rsidR="00B879EF" w:rsidRPr="008A2917">
        <w:t xml:space="preserve">3 </w:t>
      </w:r>
      <w:r w:rsidRPr="008A2917">
        <w:t xml:space="preserve">summarises the outstanding matters of concern from the July 2018 PBAC meeting and how they have been addressed in the resubmission. </w:t>
      </w:r>
    </w:p>
    <w:p w:rsidR="00B879EF" w:rsidRPr="008A2917" w:rsidRDefault="00B879EF" w:rsidP="00387896">
      <w:pPr>
        <w:keepNext/>
        <w:widowControl/>
        <w:rPr>
          <w:rFonts w:ascii="Arial Narrow" w:hAnsi="Arial Narrow"/>
          <w:b/>
          <w:bCs/>
          <w:sz w:val="20"/>
          <w:szCs w:val="20"/>
        </w:rPr>
      </w:pPr>
      <w:r w:rsidRPr="008A2917">
        <w:rPr>
          <w:rFonts w:ascii="Arial Narrow" w:hAnsi="Arial Narrow"/>
          <w:b/>
          <w:bCs/>
          <w:sz w:val="20"/>
          <w:szCs w:val="20"/>
        </w:rPr>
        <w:t>Table 3: 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3830"/>
        <w:gridCol w:w="4059"/>
      </w:tblGrid>
      <w:tr w:rsidR="00B879EF" w:rsidRPr="008A2917" w:rsidTr="003B0FE5">
        <w:trPr>
          <w:cantSplit/>
          <w:trHeight w:val="20"/>
          <w:tblHeader/>
        </w:trPr>
        <w:tc>
          <w:tcPr>
            <w:tcW w:w="625" w:type="pct"/>
          </w:tcPr>
          <w:p w:rsidR="00B879EF" w:rsidRPr="008A2917" w:rsidRDefault="00B879EF" w:rsidP="00387896">
            <w:pPr>
              <w:pStyle w:val="Tabletext"/>
              <w:keepNext/>
              <w:rPr>
                <w:b/>
              </w:rPr>
            </w:pPr>
            <w:r w:rsidRPr="008A2917">
              <w:rPr>
                <w:b/>
              </w:rPr>
              <w:t>Component</w:t>
            </w:r>
          </w:p>
        </w:tc>
        <w:tc>
          <w:tcPr>
            <w:tcW w:w="2124" w:type="pct"/>
          </w:tcPr>
          <w:p w:rsidR="00B879EF" w:rsidRPr="008A2917" w:rsidRDefault="00B879EF" w:rsidP="00387896">
            <w:pPr>
              <w:pStyle w:val="Tabletext"/>
              <w:keepNext/>
              <w:jc w:val="center"/>
              <w:rPr>
                <w:b/>
              </w:rPr>
            </w:pPr>
            <w:r w:rsidRPr="008A2917">
              <w:rPr>
                <w:b/>
              </w:rPr>
              <w:t>Matter of concern from previous submission</w:t>
            </w:r>
          </w:p>
        </w:tc>
        <w:tc>
          <w:tcPr>
            <w:tcW w:w="2251" w:type="pct"/>
          </w:tcPr>
          <w:p w:rsidR="00B879EF" w:rsidRPr="008A2917" w:rsidRDefault="00B879EF" w:rsidP="00387896">
            <w:pPr>
              <w:pStyle w:val="Tabletext"/>
              <w:keepNext/>
              <w:jc w:val="center"/>
              <w:rPr>
                <w:b/>
              </w:rPr>
            </w:pPr>
            <w:r w:rsidRPr="008A2917">
              <w:rPr>
                <w:b/>
              </w:rPr>
              <w:t>How the resubmission addresses it</w:t>
            </w:r>
          </w:p>
        </w:tc>
      </w:tr>
      <w:tr w:rsidR="00B879EF" w:rsidRPr="008A2917" w:rsidTr="003B0FE5">
        <w:trPr>
          <w:cantSplit/>
          <w:trHeight w:val="20"/>
        </w:trPr>
        <w:tc>
          <w:tcPr>
            <w:tcW w:w="625" w:type="pct"/>
          </w:tcPr>
          <w:p w:rsidR="00B879EF" w:rsidRPr="008A2917" w:rsidRDefault="00B879EF" w:rsidP="00387896">
            <w:pPr>
              <w:pStyle w:val="Tabletext"/>
            </w:pPr>
            <w:r w:rsidRPr="008A2917">
              <w:t>Section 1</w:t>
            </w:r>
          </w:p>
        </w:tc>
        <w:tc>
          <w:tcPr>
            <w:tcW w:w="2124" w:type="pct"/>
          </w:tcPr>
          <w:p w:rsidR="00B879EF" w:rsidRPr="008A2917" w:rsidRDefault="00B879EF" w:rsidP="00387896">
            <w:pPr>
              <w:pStyle w:val="Tabletext"/>
              <w:rPr>
                <w:i/>
                <w:iCs/>
              </w:rPr>
            </w:pPr>
            <w:r w:rsidRPr="008A2917">
              <w:t>The previous submission requested a price of $</w:t>
            </w:r>
            <w:r w:rsidR="001A215D">
              <w:rPr>
                <w:noProof/>
                <w:color w:val="000000"/>
                <w:highlight w:val="black"/>
              </w:rPr>
              <w:t>'''''''''''''</w:t>
            </w:r>
            <w:r w:rsidRPr="008A2917">
              <w:t xml:space="preserve"> per dose. The Committee rejected the submission based on “…the high financial implications of the proposed price increase.” (para. 7.1, p25, TIV-HD PSD, July 2018).</w:t>
            </w:r>
          </w:p>
        </w:tc>
        <w:tc>
          <w:tcPr>
            <w:tcW w:w="2251" w:type="pct"/>
          </w:tcPr>
          <w:p w:rsidR="00B879EF" w:rsidRPr="008A2917" w:rsidRDefault="00B879EF" w:rsidP="00B465C1">
            <w:pPr>
              <w:pStyle w:val="Tabletext"/>
            </w:pPr>
            <w:r w:rsidRPr="008A2917">
              <w:t>The resubmission reduced the requested price to $</w:t>
            </w:r>
            <w:r w:rsidR="001A215D">
              <w:rPr>
                <w:noProof/>
                <w:color w:val="000000"/>
                <w:highlight w:val="black"/>
              </w:rPr>
              <w:t>''''''''''''''</w:t>
            </w:r>
            <w:r w:rsidRPr="008A2917">
              <w:t xml:space="preserve"> per dose. </w:t>
            </w:r>
            <w:r w:rsidR="00154745" w:rsidRPr="008A2917">
              <w:t>The resubmission suggested a stepped implementation with TIV-HD provided to</w:t>
            </w:r>
            <w:r w:rsidR="004E5F3B" w:rsidRPr="008A2917">
              <w:t xml:space="preserve"> residents</w:t>
            </w:r>
            <w:r w:rsidR="00B465C1" w:rsidRPr="008A2917">
              <w:t xml:space="preserve"> in aged care facilities</w:t>
            </w:r>
            <w:r w:rsidR="004E5F3B" w:rsidRPr="008A2917">
              <w:t xml:space="preserve"> in 2020.</w:t>
            </w:r>
          </w:p>
        </w:tc>
      </w:tr>
      <w:tr w:rsidR="00B879EF" w:rsidRPr="008A2917" w:rsidTr="003B0FE5">
        <w:trPr>
          <w:cantSplit/>
          <w:trHeight w:val="20"/>
        </w:trPr>
        <w:tc>
          <w:tcPr>
            <w:tcW w:w="625" w:type="pct"/>
            <w:vMerge w:val="restart"/>
          </w:tcPr>
          <w:p w:rsidR="00B879EF" w:rsidRPr="008A2917" w:rsidRDefault="00B879EF" w:rsidP="00387896">
            <w:pPr>
              <w:pStyle w:val="Tabletext"/>
            </w:pPr>
            <w:r w:rsidRPr="008A2917">
              <w:t>Section 2</w:t>
            </w:r>
          </w:p>
        </w:tc>
        <w:tc>
          <w:tcPr>
            <w:tcW w:w="2124" w:type="pct"/>
          </w:tcPr>
          <w:p w:rsidR="00B879EF" w:rsidRPr="008A2917" w:rsidRDefault="00184178" w:rsidP="00387896">
            <w:pPr>
              <w:pStyle w:val="Tabletext"/>
            </w:pPr>
            <w:r w:rsidRPr="008A2917">
              <w:t xml:space="preserve">Comparison vs </w:t>
            </w:r>
            <w:proofErr w:type="spellStart"/>
            <w:r w:rsidRPr="008A2917">
              <w:t>aTIV</w:t>
            </w:r>
            <w:proofErr w:type="spellEnd"/>
            <w:r w:rsidRPr="008A2917">
              <w:t xml:space="preserve">: </w:t>
            </w:r>
            <w:r w:rsidR="00B879EF" w:rsidRPr="008A2917">
              <w:t xml:space="preserve">Although the previous submission nominated </w:t>
            </w:r>
            <w:proofErr w:type="spellStart"/>
            <w:r w:rsidR="00B879EF" w:rsidRPr="008A2917">
              <w:t>aTIV</w:t>
            </w:r>
            <w:proofErr w:type="spellEnd"/>
            <w:r w:rsidR="00B879EF" w:rsidRPr="008A2917">
              <w:t xml:space="preserve"> as a near market comparator, there were no studies identified which could inform a comparison of patient-relevant outcomes.</w:t>
            </w:r>
          </w:p>
        </w:tc>
        <w:tc>
          <w:tcPr>
            <w:tcW w:w="2251" w:type="pct"/>
          </w:tcPr>
          <w:p w:rsidR="00B879EF" w:rsidRPr="008A2917" w:rsidRDefault="00B879EF" w:rsidP="006B5DF0">
            <w:pPr>
              <w:pStyle w:val="Tabletext"/>
              <w:rPr>
                <w:i/>
                <w:iCs/>
              </w:rPr>
            </w:pPr>
            <w:r w:rsidRPr="008A2917">
              <w:t xml:space="preserve">No RCTs with published results were identified which directly compared TIV-HD to </w:t>
            </w:r>
            <w:proofErr w:type="spellStart"/>
            <w:r w:rsidRPr="008A2917">
              <w:t>aTIV</w:t>
            </w:r>
            <w:proofErr w:type="spellEnd"/>
            <w:r w:rsidRPr="008A2917">
              <w:t xml:space="preserve"> or </w:t>
            </w:r>
            <w:proofErr w:type="spellStart"/>
            <w:r w:rsidRPr="008A2917">
              <w:t>aQIV</w:t>
            </w:r>
            <w:proofErr w:type="spellEnd"/>
            <w:r w:rsidRPr="008A2917">
              <w:t>. The resubmission presented an observational study (</w:t>
            </w:r>
            <w:proofErr w:type="spellStart"/>
            <w:r w:rsidR="00240F35" w:rsidRPr="008A2917">
              <w:rPr>
                <w:iCs/>
              </w:rPr>
              <w:t>Izurieta</w:t>
            </w:r>
            <w:proofErr w:type="spellEnd"/>
            <w:r w:rsidR="00240F35" w:rsidRPr="008A2917">
              <w:rPr>
                <w:iCs/>
              </w:rPr>
              <w:t xml:space="preserve"> et al.</w:t>
            </w:r>
            <w:r w:rsidR="006B5DF0" w:rsidRPr="008A2917">
              <w:rPr>
                <w:iCs/>
              </w:rPr>
              <w:t xml:space="preserve"> </w:t>
            </w:r>
            <w:r w:rsidRPr="008A2917">
              <w:rPr>
                <w:iCs/>
              </w:rPr>
              <w:t>2018)</w:t>
            </w:r>
            <w:r w:rsidRPr="008A2917">
              <w:t xml:space="preserve"> which reported </w:t>
            </w:r>
            <w:proofErr w:type="spellStart"/>
            <w:r w:rsidR="00154745" w:rsidRPr="008A2917">
              <w:t>rVE</w:t>
            </w:r>
            <w:proofErr w:type="spellEnd"/>
            <w:r w:rsidR="00154745" w:rsidRPr="008A2917">
              <w:t xml:space="preserve"> </w:t>
            </w:r>
            <w:r w:rsidRPr="008A2917">
              <w:t xml:space="preserve">of TIV-HD and </w:t>
            </w:r>
            <w:proofErr w:type="spellStart"/>
            <w:r w:rsidRPr="008A2917">
              <w:t>aTIV</w:t>
            </w:r>
            <w:proofErr w:type="spellEnd"/>
            <w:r w:rsidRPr="008A2917">
              <w:t xml:space="preserve"> in reducing influenza-related hospitalisations. </w:t>
            </w:r>
          </w:p>
        </w:tc>
      </w:tr>
      <w:tr w:rsidR="00B879EF" w:rsidRPr="008A2917" w:rsidTr="003B0FE5">
        <w:trPr>
          <w:cantSplit/>
          <w:trHeight w:val="20"/>
        </w:trPr>
        <w:tc>
          <w:tcPr>
            <w:tcW w:w="625" w:type="pct"/>
            <w:vMerge/>
          </w:tcPr>
          <w:p w:rsidR="00B879EF" w:rsidRPr="008A2917" w:rsidRDefault="00B879EF" w:rsidP="00387896">
            <w:pPr>
              <w:pStyle w:val="Tabletext"/>
            </w:pPr>
          </w:p>
        </w:tc>
        <w:tc>
          <w:tcPr>
            <w:tcW w:w="2124" w:type="pct"/>
          </w:tcPr>
          <w:p w:rsidR="00B879EF" w:rsidRPr="008A2917" w:rsidRDefault="00184178" w:rsidP="00387896">
            <w:pPr>
              <w:pStyle w:val="Tabletext"/>
              <w:rPr>
                <w:iCs/>
              </w:rPr>
            </w:pPr>
            <w:r w:rsidRPr="008A2917">
              <w:rPr>
                <w:iCs/>
              </w:rPr>
              <w:t xml:space="preserve">Comparison vs QIV-SD: </w:t>
            </w:r>
            <w:r w:rsidR="00B879EF" w:rsidRPr="008A2917">
              <w:rPr>
                <w:iCs/>
              </w:rPr>
              <w:t>PBAC considered the uncertainty around the loss of protection against the alternative B lineage and the incremental benefit of the strains matched with the comparator vaccine (para. 7.1, p25, TIV-HD PSD, July 2018).</w:t>
            </w:r>
          </w:p>
        </w:tc>
        <w:tc>
          <w:tcPr>
            <w:tcW w:w="2251" w:type="pct"/>
          </w:tcPr>
          <w:p w:rsidR="00B879EF" w:rsidRPr="008A2917" w:rsidRDefault="00FC354D" w:rsidP="00387896">
            <w:pPr>
              <w:pStyle w:val="Tabletext"/>
            </w:pPr>
            <w:r w:rsidRPr="008A2917">
              <w:rPr>
                <w:iCs/>
              </w:rPr>
              <w:t>Assessed using scenario analyses in the economic evaluation.</w:t>
            </w:r>
          </w:p>
        </w:tc>
      </w:tr>
      <w:tr w:rsidR="00B879EF" w:rsidRPr="008A2917" w:rsidTr="003B0FE5">
        <w:trPr>
          <w:cantSplit/>
          <w:trHeight w:val="20"/>
        </w:trPr>
        <w:tc>
          <w:tcPr>
            <w:tcW w:w="625" w:type="pct"/>
          </w:tcPr>
          <w:p w:rsidR="00B879EF" w:rsidRPr="008A2917" w:rsidRDefault="00B879EF" w:rsidP="00387896">
            <w:pPr>
              <w:pStyle w:val="Tabletext"/>
            </w:pPr>
            <w:r w:rsidRPr="008A2917">
              <w:lastRenderedPageBreak/>
              <w:t>Section 3</w:t>
            </w:r>
          </w:p>
        </w:tc>
        <w:tc>
          <w:tcPr>
            <w:tcW w:w="2124" w:type="pct"/>
          </w:tcPr>
          <w:p w:rsidR="00B879EF" w:rsidRPr="008A2917" w:rsidRDefault="00B879EF" w:rsidP="00387896">
            <w:pPr>
              <w:pStyle w:val="Tabletext"/>
            </w:pPr>
            <w:r w:rsidRPr="008A2917">
              <w:t>“Given the very large opportunity cost of the proposed price change, the PBAC considered better modelling and scenario analyses around TIV-HD compared with QIV-SD using data from Australian experience over a longer time-frame was required.” (para. 7.1, p25, TIV-HD PSD, July 2018).</w:t>
            </w:r>
          </w:p>
          <w:p w:rsidR="00B879EF" w:rsidRPr="008A2917" w:rsidRDefault="00B879EF" w:rsidP="00387896">
            <w:pPr>
              <w:pStyle w:val="Tabletext"/>
            </w:pPr>
          </w:p>
          <w:p w:rsidR="00B879EF" w:rsidRPr="008A2917" w:rsidRDefault="00B879EF" w:rsidP="00387896">
            <w:pPr>
              <w:pStyle w:val="Tabletext"/>
            </w:pPr>
            <w:r w:rsidRPr="008A2917">
              <w:t>“The PBAC considered that the extent to which the benefits of TIV-HD outweighed the potential loss of protection against the mismatched B strain in QIV-SD compared to TIV-SD remained uncertain given year to year variability in influenza strains and severity of the season.” (para. 7.6, p26, TIV-HD PSD, July 2018).</w:t>
            </w:r>
          </w:p>
          <w:p w:rsidR="00B879EF" w:rsidRPr="008A2917" w:rsidRDefault="00B879EF" w:rsidP="00387896">
            <w:pPr>
              <w:pStyle w:val="Tabletext"/>
            </w:pPr>
          </w:p>
          <w:p w:rsidR="00B879EF" w:rsidRPr="008A2917" w:rsidRDefault="00B879EF" w:rsidP="00387896">
            <w:pPr>
              <w:pStyle w:val="Tabletext"/>
              <w:rPr>
                <w:iCs/>
              </w:rPr>
            </w:pPr>
            <w:r w:rsidRPr="008A2917">
              <w:rPr>
                <w:iCs/>
              </w:rPr>
              <w:t>The ESC considered it inappropriate to model cardiovascular hospitalisation</w:t>
            </w:r>
            <w:r w:rsidR="00276411" w:rsidRPr="008A2917">
              <w:rPr>
                <w:iCs/>
              </w:rPr>
              <w:t xml:space="preserve"> (paragraph 6.43, p23, TIV-HD PSD, July 2018)</w:t>
            </w:r>
            <w:r w:rsidRPr="008A2917">
              <w:rPr>
                <w:iCs/>
              </w:rPr>
              <w:t>.</w:t>
            </w:r>
          </w:p>
          <w:p w:rsidR="00776CAE" w:rsidRPr="008A2917" w:rsidRDefault="00776CAE" w:rsidP="00387896">
            <w:pPr>
              <w:pStyle w:val="Tabletext"/>
              <w:rPr>
                <w:iCs/>
              </w:rPr>
            </w:pPr>
          </w:p>
          <w:p w:rsidR="00B879EF" w:rsidRPr="008A2917" w:rsidRDefault="00B879EF" w:rsidP="00387896">
            <w:pPr>
              <w:pStyle w:val="Tabletext"/>
              <w:rPr>
                <w:i/>
                <w:iCs/>
              </w:rPr>
            </w:pPr>
            <w:r w:rsidRPr="008A2917">
              <w:rPr>
                <w:iCs/>
              </w:rPr>
              <w:t>The ESC preferred use of a narrower definition of influenza-related hospitalisation</w:t>
            </w:r>
            <w:r w:rsidR="00276411" w:rsidRPr="008A2917">
              <w:rPr>
                <w:iCs/>
              </w:rPr>
              <w:t xml:space="preserve"> (</w:t>
            </w:r>
            <w:r w:rsidR="00276411" w:rsidRPr="008A2917">
              <w:rPr>
                <w:iCs/>
                <w:snapToGrid w:val="0"/>
                <w:szCs w:val="20"/>
              </w:rPr>
              <w:t>paragraph 6.30, p13, TIV-HD PSD, July 2018)</w:t>
            </w:r>
            <w:r w:rsidRPr="008A2917">
              <w:rPr>
                <w:iCs/>
              </w:rPr>
              <w:t>.</w:t>
            </w:r>
          </w:p>
        </w:tc>
        <w:tc>
          <w:tcPr>
            <w:tcW w:w="2251" w:type="pct"/>
          </w:tcPr>
          <w:p w:rsidR="00B879EF" w:rsidRPr="008A2917" w:rsidRDefault="00B879EF" w:rsidP="00387896">
            <w:pPr>
              <w:pStyle w:val="Tabletext"/>
            </w:pPr>
            <w:r w:rsidRPr="008A2917">
              <w:t>The resubmission included strain distribution data over 15 seasons (2002 to 2016). These were divided into seasons where the prevalence of A strain was high, moderate, or low (approximately five seasons of each), and the matching of the B strain to the TIV vaccine was high, moderate or low (approximately five seasons of each). Taken together, these data allowed for nine possible scenarios over which to assess the value of TIV-HD relative to QIV-SD.</w:t>
            </w:r>
          </w:p>
          <w:p w:rsidR="00B879EF" w:rsidRPr="008A2917" w:rsidRDefault="00B879EF" w:rsidP="00387896">
            <w:pPr>
              <w:pStyle w:val="Tabletext"/>
              <w:rPr>
                <w:highlight w:val="yellow"/>
              </w:rPr>
            </w:pPr>
          </w:p>
          <w:p w:rsidR="00776CAE" w:rsidRPr="008A2917" w:rsidRDefault="00776CAE" w:rsidP="00387896">
            <w:pPr>
              <w:pStyle w:val="Tabletext"/>
              <w:rPr>
                <w:iCs/>
              </w:rPr>
            </w:pPr>
          </w:p>
          <w:p w:rsidR="00776CAE" w:rsidRPr="008A2917" w:rsidRDefault="00776CAE" w:rsidP="00387896">
            <w:pPr>
              <w:pStyle w:val="Tabletext"/>
              <w:rPr>
                <w:iCs/>
              </w:rPr>
            </w:pPr>
          </w:p>
          <w:p w:rsidR="00776CAE" w:rsidRPr="008A2917" w:rsidRDefault="00776CAE" w:rsidP="00387896">
            <w:pPr>
              <w:pStyle w:val="Tabletext"/>
              <w:rPr>
                <w:iCs/>
              </w:rPr>
            </w:pPr>
          </w:p>
          <w:p w:rsidR="00776CAE" w:rsidRPr="008A2917" w:rsidRDefault="00776CAE" w:rsidP="00387896">
            <w:pPr>
              <w:pStyle w:val="Tabletext"/>
              <w:rPr>
                <w:iCs/>
              </w:rPr>
            </w:pPr>
          </w:p>
          <w:p w:rsidR="00776CAE" w:rsidRPr="008A2917" w:rsidRDefault="00776CAE" w:rsidP="00387896">
            <w:pPr>
              <w:pStyle w:val="Tabletext"/>
              <w:rPr>
                <w:iCs/>
              </w:rPr>
            </w:pPr>
          </w:p>
          <w:p w:rsidR="0085454E" w:rsidRPr="008A2917" w:rsidRDefault="0085454E" w:rsidP="00387896">
            <w:pPr>
              <w:pStyle w:val="Tabletext"/>
              <w:rPr>
                <w:iCs/>
              </w:rPr>
            </w:pPr>
          </w:p>
          <w:p w:rsidR="00B879EF" w:rsidRPr="008A2917" w:rsidRDefault="00B879EF" w:rsidP="00387896">
            <w:pPr>
              <w:pStyle w:val="Tabletext"/>
              <w:rPr>
                <w:iCs/>
              </w:rPr>
            </w:pPr>
            <w:r w:rsidRPr="008A2917">
              <w:rPr>
                <w:iCs/>
              </w:rPr>
              <w:t xml:space="preserve">Cardiovascular hospitalisation </w:t>
            </w:r>
            <w:r w:rsidR="00FC354D" w:rsidRPr="008A2917">
              <w:rPr>
                <w:iCs/>
              </w:rPr>
              <w:t>were not included</w:t>
            </w:r>
            <w:r w:rsidRPr="008A2917">
              <w:rPr>
                <w:iCs/>
              </w:rPr>
              <w:t xml:space="preserve"> in the Supplementary model, but remained in the Main model.</w:t>
            </w:r>
          </w:p>
          <w:p w:rsidR="00B879EF" w:rsidRPr="008A2917" w:rsidRDefault="00B879EF" w:rsidP="00387896">
            <w:pPr>
              <w:pStyle w:val="Tabletext"/>
              <w:rPr>
                <w:iCs/>
              </w:rPr>
            </w:pPr>
          </w:p>
          <w:p w:rsidR="00B879EF" w:rsidRPr="008A2917" w:rsidRDefault="00B879EF" w:rsidP="0085454E">
            <w:pPr>
              <w:pStyle w:val="Tabletext"/>
              <w:rPr>
                <w:iCs/>
              </w:rPr>
            </w:pPr>
            <w:r w:rsidRPr="008A2917">
              <w:rPr>
                <w:iCs/>
              </w:rPr>
              <w:t>The Supplementary model</w:t>
            </w:r>
            <w:r w:rsidR="0085454E" w:rsidRPr="008A2917">
              <w:rPr>
                <w:iCs/>
              </w:rPr>
              <w:t>, but not the main model,</w:t>
            </w:r>
            <w:r w:rsidRPr="008A2917">
              <w:rPr>
                <w:iCs/>
              </w:rPr>
              <w:t xml:space="preserve"> </w:t>
            </w:r>
            <w:r w:rsidR="00A27FC4" w:rsidRPr="008A2917">
              <w:rPr>
                <w:iCs/>
              </w:rPr>
              <w:t>used</w:t>
            </w:r>
            <w:r w:rsidRPr="008A2917">
              <w:rPr>
                <w:iCs/>
              </w:rPr>
              <w:t xml:space="preserve"> the narrower definition of influenza-related hospitalisation.</w:t>
            </w:r>
          </w:p>
        </w:tc>
      </w:tr>
      <w:tr w:rsidR="00B879EF" w:rsidRPr="008A2917" w:rsidTr="003B0FE5">
        <w:trPr>
          <w:cantSplit/>
          <w:trHeight w:val="20"/>
        </w:trPr>
        <w:tc>
          <w:tcPr>
            <w:tcW w:w="625" w:type="pct"/>
          </w:tcPr>
          <w:p w:rsidR="00B879EF" w:rsidRPr="008A2917" w:rsidRDefault="00B879EF" w:rsidP="00387896">
            <w:pPr>
              <w:pStyle w:val="Tabletext"/>
            </w:pPr>
            <w:r w:rsidRPr="008A2917">
              <w:t>Section 4</w:t>
            </w:r>
          </w:p>
        </w:tc>
        <w:tc>
          <w:tcPr>
            <w:tcW w:w="2124" w:type="pct"/>
          </w:tcPr>
          <w:p w:rsidR="00B879EF" w:rsidRPr="008A2917" w:rsidRDefault="00B879EF" w:rsidP="00387896">
            <w:pPr>
              <w:pStyle w:val="Tabletext"/>
              <w:rPr>
                <w:highlight w:val="yellow"/>
              </w:rPr>
            </w:pPr>
            <w:r w:rsidRPr="008A2917">
              <w:t xml:space="preserve">The proposed listing was projected to </w:t>
            </w:r>
            <w:r w:rsidRPr="00524264">
              <w:t>cost $</w:t>
            </w:r>
            <w:r w:rsidR="00524264" w:rsidRPr="00524264">
              <w:t>81</w:t>
            </w:r>
            <w:r w:rsidRPr="008A2917">
              <w:t xml:space="preserve"> mil in Year 1 and $</w:t>
            </w:r>
            <w:r w:rsidR="001A215D">
              <w:rPr>
                <w:noProof/>
                <w:color w:val="000000"/>
                <w:highlight w:val="black"/>
              </w:rPr>
              <w:t>'''''</w:t>
            </w:r>
            <w:r w:rsidRPr="008A2917">
              <w:t xml:space="preserve"> mil in Year 6.</w:t>
            </w:r>
          </w:p>
        </w:tc>
        <w:tc>
          <w:tcPr>
            <w:tcW w:w="2251" w:type="pct"/>
          </w:tcPr>
          <w:p w:rsidR="00B879EF" w:rsidRPr="008A2917" w:rsidRDefault="00776CAE" w:rsidP="0085454E">
            <w:pPr>
              <w:pStyle w:val="Tabletext"/>
              <w:rPr>
                <w:i/>
                <w:iCs/>
              </w:rPr>
            </w:pPr>
            <w:r w:rsidRPr="008A2917">
              <w:t>T</w:t>
            </w:r>
            <w:r w:rsidR="00B879EF" w:rsidRPr="008A2917">
              <w:t xml:space="preserve">he net cost to the government was projected to be </w:t>
            </w:r>
            <w:r w:rsidR="00B879EF" w:rsidRPr="008A2917">
              <w:rPr>
                <w:iCs/>
              </w:rPr>
              <w:t>$</w:t>
            </w:r>
            <w:r w:rsidR="001A215D">
              <w:rPr>
                <w:iCs/>
                <w:noProof/>
                <w:color w:val="000000"/>
                <w:highlight w:val="black"/>
              </w:rPr>
              <w:t>''''''</w:t>
            </w:r>
            <w:r w:rsidR="00B879EF" w:rsidRPr="008A2917">
              <w:rPr>
                <w:iCs/>
              </w:rPr>
              <w:t xml:space="preserve"> </w:t>
            </w:r>
            <w:proofErr w:type="spellStart"/>
            <w:r w:rsidR="00B879EF" w:rsidRPr="008A2917">
              <w:rPr>
                <w:iCs/>
              </w:rPr>
              <w:t>mil</w:t>
            </w:r>
            <w:r w:rsidR="00B879EF" w:rsidRPr="008A2917">
              <w:rPr>
                <w:iCs/>
                <w:vertAlign w:val="superscript"/>
              </w:rPr>
              <w:t>a</w:t>
            </w:r>
            <w:proofErr w:type="spellEnd"/>
            <w:r w:rsidR="00B879EF" w:rsidRPr="008A2917">
              <w:t xml:space="preserve"> in Year 1 and </w:t>
            </w:r>
            <w:r w:rsidR="00B879EF" w:rsidRPr="008A2917">
              <w:rPr>
                <w:iCs/>
              </w:rPr>
              <w:t>$</w:t>
            </w:r>
            <w:r w:rsidR="001A215D">
              <w:rPr>
                <w:iCs/>
                <w:noProof/>
                <w:color w:val="000000"/>
                <w:highlight w:val="black"/>
              </w:rPr>
              <w:t>''''''</w:t>
            </w:r>
            <w:r w:rsidR="00B879EF" w:rsidRPr="008A2917">
              <w:rPr>
                <w:iCs/>
              </w:rPr>
              <w:t xml:space="preserve"> </w:t>
            </w:r>
            <w:proofErr w:type="spellStart"/>
            <w:r w:rsidR="00B879EF" w:rsidRPr="008A2917">
              <w:rPr>
                <w:iCs/>
              </w:rPr>
              <w:t>mil</w:t>
            </w:r>
            <w:r w:rsidR="00B879EF" w:rsidRPr="008A2917">
              <w:rPr>
                <w:iCs/>
                <w:vertAlign w:val="superscript"/>
              </w:rPr>
              <w:t>a</w:t>
            </w:r>
            <w:proofErr w:type="spellEnd"/>
            <w:r w:rsidR="00B879EF" w:rsidRPr="008A2917">
              <w:t xml:space="preserve"> in Year 6. </w:t>
            </w:r>
            <w:r w:rsidR="00FC354D" w:rsidRPr="008A2917">
              <w:t>Based on the economic model</w:t>
            </w:r>
            <w:r w:rsidR="00B879EF" w:rsidRPr="008A2917">
              <w:t xml:space="preserve">, the incremental acquisition costs of the vaccine </w:t>
            </w:r>
            <w:r w:rsidR="0085454E" w:rsidRPr="008A2917">
              <w:t xml:space="preserve">were </w:t>
            </w:r>
            <w:r w:rsidR="00B879EF" w:rsidRPr="008A2917">
              <w:t>claimed to be completely offset by savings accrued to the health system via reductions in hospitalisations and health resource utilisation resulting from influenza infection</w:t>
            </w:r>
            <w:r w:rsidR="00A27FC4" w:rsidRPr="008A2917">
              <w:t>.</w:t>
            </w:r>
          </w:p>
        </w:tc>
      </w:tr>
    </w:tbl>
    <w:p w:rsidR="00B879EF" w:rsidRPr="008A2917" w:rsidRDefault="00B879EF" w:rsidP="00387896">
      <w:pPr>
        <w:pStyle w:val="TableFooter"/>
        <w:widowControl/>
      </w:pPr>
      <w:proofErr w:type="spellStart"/>
      <w:proofErr w:type="gramStart"/>
      <w:r w:rsidRPr="008A2917">
        <w:rPr>
          <w:vertAlign w:val="superscript"/>
        </w:rPr>
        <w:t>a</w:t>
      </w:r>
      <w:proofErr w:type="spellEnd"/>
      <w:proofErr w:type="gramEnd"/>
      <w:r w:rsidRPr="008A2917">
        <w:t xml:space="preserve"> Incorrectly calculated as $</w:t>
      </w:r>
      <w:r w:rsidR="001A215D">
        <w:rPr>
          <w:noProof/>
          <w:color w:val="000000"/>
          <w:highlight w:val="black"/>
        </w:rPr>
        <w:t>''''''</w:t>
      </w:r>
      <w:r w:rsidRPr="008A2917">
        <w:t xml:space="preserve"> million and $</w:t>
      </w:r>
      <w:r w:rsidR="001A215D">
        <w:rPr>
          <w:noProof/>
          <w:color w:val="000000"/>
          <w:highlight w:val="black"/>
        </w:rPr>
        <w:t>''''''</w:t>
      </w:r>
      <w:r w:rsidRPr="008A2917">
        <w:t xml:space="preserve"> million in the resubmission. </w:t>
      </w:r>
    </w:p>
    <w:p w:rsidR="00B879EF" w:rsidRPr="008A2917" w:rsidRDefault="00B879EF" w:rsidP="00387896">
      <w:pPr>
        <w:pStyle w:val="TableFooter"/>
        <w:widowControl/>
      </w:pPr>
      <w:proofErr w:type="spellStart"/>
      <w:proofErr w:type="gramStart"/>
      <w:r w:rsidRPr="008A2917">
        <w:t>aQIV</w:t>
      </w:r>
      <w:proofErr w:type="spellEnd"/>
      <w:proofErr w:type="gramEnd"/>
      <w:r w:rsidRPr="008A2917">
        <w:t xml:space="preserve">: </w:t>
      </w:r>
      <w:proofErr w:type="spellStart"/>
      <w:r w:rsidRPr="008A2917">
        <w:t>Adjuvanted</w:t>
      </w:r>
      <w:proofErr w:type="spellEnd"/>
      <w:r w:rsidRPr="008A2917">
        <w:t xml:space="preserve"> </w:t>
      </w:r>
      <w:proofErr w:type="spellStart"/>
      <w:r w:rsidRPr="008A2917">
        <w:t>quadrivalent</w:t>
      </w:r>
      <w:proofErr w:type="spellEnd"/>
      <w:r w:rsidRPr="008A2917">
        <w:t xml:space="preserve"> Influenza Vaccine; </w:t>
      </w:r>
      <w:proofErr w:type="spellStart"/>
      <w:r w:rsidRPr="008A2917">
        <w:t>aTIV</w:t>
      </w:r>
      <w:proofErr w:type="spellEnd"/>
      <w:r w:rsidRPr="008A2917">
        <w:t xml:space="preserve">; </w:t>
      </w:r>
      <w:proofErr w:type="spellStart"/>
      <w:r w:rsidRPr="008A2917">
        <w:t>Adjuvan</w:t>
      </w:r>
      <w:r w:rsidR="009D73A6" w:rsidRPr="008A2917">
        <w:t>ted</w:t>
      </w:r>
      <w:proofErr w:type="spellEnd"/>
      <w:r w:rsidR="009D73A6" w:rsidRPr="008A2917">
        <w:t xml:space="preserve"> trivalent Influenza Vaccine</w:t>
      </w:r>
      <w:r w:rsidRPr="008A2917">
        <w:t xml:space="preserve">; ESC: Economics Sub Committee; PBAC: Pharmaceutical Benefits Advisory Committee; PSD: Public Summary Document; QIV-SD: </w:t>
      </w:r>
      <w:proofErr w:type="spellStart"/>
      <w:r w:rsidRPr="008A2917">
        <w:t>Quadrivalent</w:t>
      </w:r>
      <w:proofErr w:type="spellEnd"/>
      <w:r w:rsidRPr="008A2917">
        <w:t xml:space="preserve"> Influenza Vaccine – Standard Dose; RCT: Randomised Controlled Trial; TIV-HD: Trivalent Influenza Vaccine – High Dose</w:t>
      </w:r>
    </w:p>
    <w:p w:rsidR="00B879EF" w:rsidRPr="008A2917" w:rsidRDefault="00B879EF" w:rsidP="00387896">
      <w:pPr>
        <w:pStyle w:val="TableFooter"/>
        <w:widowControl/>
      </w:pPr>
      <w:r w:rsidRPr="008A2917">
        <w:t>Source: p10 of the resubmission, and complied during the Evaluation.</w:t>
      </w:r>
    </w:p>
    <w:p w:rsidR="00CB0A5B" w:rsidRPr="008A2917" w:rsidRDefault="00CB0A5B" w:rsidP="00387896">
      <w:pPr>
        <w:widowControl/>
        <w:rPr>
          <w:rStyle w:val="CommentReference"/>
          <w:rFonts w:ascii="Calibri" w:hAnsi="Calibri"/>
          <w:b w:val="0"/>
          <w:sz w:val="24"/>
          <w:szCs w:val="22"/>
        </w:rPr>
      </w:pPr>
    </w:p>
    <w:p w:rsidR="007268B1" w:rsidRPr="008A2917" w:rsidRDefault="007268B1" w:rsidP="007268B1">
      <w:pPr>
        <w:pStyle w:val="ListParagraph"/>
        <w:ind w:left="709"/>
        <w:rPr>
          <w:rFonts w:asciiTheme="minorHAnsi" w:hAnsiTheme="minorHAnsi"/>
          <w:i/>
        </w:rPr>
      </w:pPr>
      <w:bookmarkStart w:id="6" w:name="_Toc371170702"/>
      <w:bookmarkStart w:id="7" w:name="_Toc18942059"/>
      <w:r w:rsidRPr="008A2917">
        <w:rPr>
          <w:rFonts w:asciiTheme="minorHAnsi" w:hAnsiTheme="minorHAnsi"/>
          <w:i/>
        </w:rPr>
        <w:t>For more detail on PBAC’s view, see section 7 PBAC outcome.</w:t>
      </w:r>
    </w:p>
    <w:p w:rsidR="00CB0A5B" w:rsidRPr="008A2917" w:rsidRDefault="00CB0A5B" w:rsidP="00C62B93">
      <w:pPr>
        <w:pStyle w:val="PBACHeading1"/>
        <w:spacing w:before="240" w:after="120"/>
      </w:pPr>
      <w:r w:rsidRPr="008A2917">
        <w:t>Population and disease</w:t>
      </w:r>
      <w:bookmarkEnd w:id="6"/>
      <w:bookmarkEnd w:id="7"/>
    </w:p>
    <w:p w:rsidR="00CB0A5B" w:rsidRPr="008A2917" w:rsidRDefault="00CB0A5B" w:rsidP="00387896">
      <w:pPr>
        <w:pStyle w:val="ListParagraph"/>
        <w:widowControl/>
        <w:numPr>
          <w:ilvl w:val="1"/>
          <w:numId w:val="1"/>
        </w:numPr>
      </w:pPr>
      <w:r w:rsidRPr="008A2917">
        <w:t xml:space="preserve">The relevant population is Australians aged </w:t>
      </w:r>
      <w:r w:rsidRPr="008A2917">
        <w:rPr>
          <w:rFonts w:cs="Calibri"/>
        </w:rPr>
        <w:t>≥</w:t>
      </w:r>
      <w:r w:rsidRPr="008A2917">
        <w:t xml:space="preserve"> 65 years.</w:t>
      </w:r>
      <w:r w:rsidRPr="008A2917">
        <w:rPr>
          <w:iCs/>
        </w:rPr>
        <w:t xml:space="preserve"> This is unchanged from the previous submission.</w:t>
      </w:r>
      <w:r w:rsidRPr="008A2917">
        <w:t xml:space="preserve"> </w:t>
      </w:r>
    </w:p>
    <w:p w:rsidR="007935FA" w:rsidRPr="008A2917" w:rsidRDefault="007935FA" w:rsidP="00387896">
      <w:pPr>
        <w:pStyle w:val="ListParagraph"/>
        <w:widowControl/>
        <w:numPr>
          <w:ilvl w:val="1"/>
          <w:numId w:val="1"/>
        </w:numPr>
      </w:pPr>
      <w:r w:rsidRPr="008A2917">
        <w:t>Influenza is an acute viral infection of the respiratory tract. There are four types of influenza viruses: influenza A, B, C, and D but only influenza A and B viruses cause clinically important human disease and seasonal epidemics.</w:t>
      </w:r>
    </w:p>
    <w:p w:rsidR="007935FA" w:rsidRPr="008A2917" w:rsidRDefault="007935FA" w:rsidP="00387896">
      <w:pPr>
        <w:pStyle w:val="ListParagraph"/>
        <w:widowControl/>
        <w:numPr>
          <w:ilvl w:val="1"/>
          <w:numId w:val="1"/>
        </w:numPr>
      </w:pPr>
      <w:r w:rsidRPr="008A2917">
        <w:t xml:space="preserve">Beyond the acute symptoms, influenza is also associated with complications including (but not limited to) acute bronchitis, pneumonia (both primary viral and secondary bacterial pneumonia), and cardiovascular complications including myocarditis and pericarditis. </w:t>
      </w:r>
    </w:p>
    <w:p w:rsidR="007935FA" w:rsidRPr="008A2917" w:rsidRDefault="007935FA" w:rsidP="00387896">
      <w:pPr>
        <w:pStyle w:val="ListParagraph"/>
        <w:widowControl/>
        <w:numPr>
          <w:ilvl w:val="1"/>
          <w:numId w:val="1"/>
        </w:numPr>
      </w:pPr>
      <w:r w:rsidRPr="008A2917">
        <w:lastRenderedPageBreak/>
        <w:t>Figure 1 shows the unweighted rate of influenza-like illness reported from sentinel GP surveillance systems in Australia (Jan 2014 to Jun 2019). Among the notified laboratory confirmed cases of influenza in all ages, a higher proportion was caused by influenza A/H3</w:t>
      </w:r>
      <w:r w:rsidR="00573385" w:rsidRPr="008A2917">
        <w:t>N2</w:t>
      </w:r>
      <w:r w:rsidRPr="008A2917">
        <w:t xml:space="preserve"> in older adults. </w:t>
      </w:r>
    </w:p>
    <w:p w:rsidR="007935FA" w:rsidRPr="008A2917" w:rsidRDefault="007935FA" w:rsidP="00387896">
      <w:pPr>
        <w:pStyle w:val="ListParagraph"/>
        <w:widowControl/>
        <w:numPr>
          <w:ilvl w:val="1"/>
          <w:numId w:val="1"/>
        </w:numPr>
      </w:pPr>
      <w:r w:rsidRPr="008A2917">
        <w:t xml:space="preserve">The 2019 influenza season has seen most deaths caused by influenza A (98%, n=189), with notifications of influenza </w:t>
      </w:r>
      <w:r w:rsidR="009D73A6" w:rsidRPr="008A2917">
        <w:t>A (</w:t>
      </w:r>
      <w:r w:rsidRPr="008A2917">
        <w:t>H3N2) highest in adults aged 80 years and older (71.1 per 100,000).</w:t>
      </w:r>
      <w:r w:rsidR="00184178" w:rsidRPr="008A2917">
        <w:t xml:space="preserve"> The resubmission claimed, although still early in the season, a more effective vaccine is required for the </w:t>
      </w:r>
      <w:r w:rsidR="00184178" w:rsidRPr="008A2917">
        <w:rPr>
          <w:rFonts w:cs="Calibri"/>
        </w:rPr>
        <w:t>≥</w:t>
      </w:r>
      <w:r w:rsidR="00184178" w:rsidRPr="008A2917">
        <w:t>65 year cohort.</w:t>
      </w:r>
    </w:p>
    <w:p w:rsidR="00CB0A5B" w:rsidRPr="008A2917" w:rsidRDefault="00CB0A5B" w:rsidP="00387896">
      <w:pPr>
        <w:pStyle w:val="TableHeading0"/>
        <w:rPr>
          <w:rStyle w:val="CommentReference"/>
          <w:b/>
          <w:szCs w:val="22"/>
        </w:rPr>
      </w:pPr>
      <w:r w:rsidRPr="008A2917">
        <w:rPr>
          <w:rStyle w:val="CommentReference"/>
          <w:b/>
          <w:szCs w:val="22"/>
        </w:rPr>
        <w:t>Figure 1: Unweighted rate of Influenza-like illness reported from sentinel GP surveillance systems, Australia, 1 January 2014 to 16 June 2019, by month and week.</w:t>
      </w:r>
    </w:p>
    <w:p w:rsidR="00CB0A5B" w:rsidRPr="008A2917" w:rsidRDefault="00CB0A5B" w:rsidP="00387896">
      <w:pPr>
        <w:widowControl/>
      </w:pPr>
      <w:r w:rsidRPr="008A2917">
        <w:rPr>
          <w:noProof/>
          <w:lang w:eastAsia="en-AU"/>
        </w:rPr>
        <w:drawing>
          <wp:inline distT="0" distB="0" distL="0" distR="0" wp14:anchorId="3F694317" wp14:editId="443FB002">
            <wp:extent cx="5702400" cy="3488400"/>
            <wp:effectExtent l="19050" t="19050" r="12700" b="17145"/>
            <wp:docPr id="5" name="Picture 5" title="Figure 1: Unweighted rate of Influenza-like illness reported from sentinel GP surveillance systems, Australia, 1 January 2014 to 16 June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400" cy="3488400"/>
                    </a:xfrm>
                    <a:prstGeom prst="rect">
                      <a:avLst/>
                    </a:prstGeom>
                    <a:noFill/>
                    <a:ln w="3175">
                      <a:solidFill>
                        <a:schemeClr val="tx1"/>
                      </a:solidFill>
                    </a:ln>
                  </pic:spPr>
                </pic:pic>
              </a:graphicData>
            </a:graphic>
          </wp:inline>
        </w:drawing>
      </w:r>
    </w:p>
    <w:p w:rsidR="00CB0A5B" w:rsidRPr="008A2917" w:rsidRDefault="00CB0A5B" w:rsidP="00387896">
      <w:pPr>
        <w:pStyle w:val="TableFooter"/>
        <w:widowControl/>
      </w:pPr>
      <w:r w:rsidRPr="008A2917">
        <w:t>GP: general practitioner</w:t>
      </w:r>
    </w:p>
    <w:p w:rsidR="00CB0A5B" w:rsidRPr="008A2917" w:rsidRDefault="00CB0A5B" w:rsidP="00387896">
      <w:pPr>
        <w:pStyle w:val="TableFooter"/>
        <w:widowControl/>
      </w:pPr>
      <w:r w:rsidRPr="008A2917">
        <w:t xml:space="preserve">Source: Figure 2, p14 of the resubmission (Australian Influenza Surveillance report June 2019). </w:t>
      </w:r>
    </w:p>
    <w:p w:rsidR="00CB0A5B" w:rsidRPr="008A2917" w:rsidRDefault="00CB0A5B" w:rsidP="00387896">
      <w:pPr>
        <w:widowControl/>
      </w:pPr>
    </w:p>
    <w:p w:rsidR="00E61CCC" w:rsidRPr="008A2917" w:rsidRDefault="00427C83" w:rsidP="00387896">
      <w:pPr>
        <w:pStyle w:val="ListParagraph"/>
        <w:widowControl/>
        <w:numPr>
          <w:ilvl w:val="1"/>
          <w:numId w:val="1"/>
        </w:numPr>
      </w:pPr>
      <w:r w:rsidRPr="008A2917">
        <w:t xml:space="preserve">After </w:t>
      </w:r>
      <w:r w:rsidR="00E61CCC" w:rsidRPr="008A2917">
        <w:t xml:space="preserve">lodgement of the submission, the unweighted rate of influenza-like illness reported from sentinel GP surveillance systems in Australia </w:t>
      </w:r>
      <w:r w:rsidR="004A34E4" w:rsidRPr="008A2917">
        <w:t>appear</w:t>
      </w:r>
      <w:r w:rsidRPr="008A2917">
        <w:t>ed</w:t>
      </w:r>
      <w:r w:rsidR="004A34E4" w:rsidRPr="008A2917">
        <w:t xml:space="preserve"> to </w:t>
      </w:r>
      <w:r w:rsidR="00E61CCC" w:rsidRPr="008A2917">
        <w:t xml:space="preserve">plateau (Figure </w:t>
      </w:r>
      <w:r w:rsidR="00A27FC4" w:rsidRPr="008A2917">
        <w:t>2</w:t>
      </w:r>
      <w:r w:rsidR="00E61CCC" w:rsidRPr="008A2917">
        <w:t>).</w:t>
      </w:r>
    </w:p>
    <w:p w:rsidR="00E61CCC" w:rsidRPr="008A2917" w:rsidRDefault="00E61CCC" w:rsidP="00387896">
      <w:pPr>
        <w:pStyle w:val="TableHeading0"/>
        <w:rPr>
          <w:rStyle w:val="CommentReference"/>
          <w:b/>
          <w:szCs w:val="22"/>
        </w:rPr>
      </w:pPr>
      <w:r w:rsidRPr="008A2917">
        <w:rPr>
          <w:rStyle w:val="CommentReference"/>
          <w:b/>
          <w:szCs w:val="22"/>
        </w:rPr>
        <w:lastRenderedPageBreak/>
        <w:t xml:space="preserve">Figure </w:t>
      </w:r>
      <w:r w:rsidR="00A27FC4" w:rsidRPr="008A2917">
        <w:rPr>
          <w:rStyle w:val="CommentReference"/>
          <w:b/>
          <w:szCs w:val="22"/>
        </w:rPr>
        <w:t>2:</w:t>
      </w:r>
      <w:r w:rsidRPr="008A2917">
        <w:rPr>
          <w:rStyle w:val="CommentReference"/>
          <w:b/>
          <w:szCs w:val="22"/>
        </w:rPr>
        <w:t xml:space="preserve"> Unweighted rate of </w:t>
      </w:r>
      <w:r w:rsidR="00A27FC4" w:rsidRPr="008A2917">
        <w:rPr>
          <w:rStyle w:val="CommentReference"/>
          <w:b/>
          <w:szCs w:val="22"/>
        </w:rPr>
        <w:t xml:space="preserve">Influenza-like illness </w:t>
      </w:r>
      <w:r w:rsidRPr="008A2917">
        <w:rPr>
          <w:rStyle w:val="CommentReference"/>
          <w:b/>
          <w:szCs w:val="22"/>
        </w:rPr>
        <w:t>reported from sentinel GP surveillance systems, Australia, 1 January 2014 to 25 August 2019, by month and week.</w:t>
      </w:r>
    </w:p>
    <w:p w:rsidR="00DE0B12" w:rsidRPr="008A2917" w:rsidRDefault="00E61CCC" w:rsidP="00387896">
      <w:pPr>
        <w:widowControl/>
        <w:rPr>
          <w:rStyle w:val="TableFooterChar"/>
          <w:b/>
        </w:rPr>
      </w:pPr>
      <w:r w:rsidRPr="008A2917">
        <w:rPr>
          <w:noProof/>
          <w:lang w:eastAsia="en-AU"/>
        </w:rPr>
        <w:drawing>
          <wp:inline distT="0" distB="0" distL="0" distR="0" wp14:anchorId="5A5010B8" wp14:editId="4C9E546F">
            <wp:extent cx="5702400" cy="3488400"/>
            <wp:effectExtent l="0" t="0" r="0" b="0"/>
            <wp:docPr id="19" name="Picture 19" descr="Please refer above for description and interpretation." title="Figure 2. Unweighted rate of ILI reported from sentinel GP surveillance systems, Australia, 1 January 2014 to 25 August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400" cy="3488400"/>
                    </a:xfrm>
                    <a:prstGeom prst="rect">
                      <a:avLst/>
                    </a:prstGeom>
                    <a:noFill/>
                  </pic:spPr>
                </pic:pic>
              </a:graphicData>
            </a:graphic>
          </wp:inline>
        </w:drawing>
      </w:r>
    </w:p>
    <w:p w:rsidR="00E61CCC" w:rsidRPr="008A2917" w:rsidRDefault="00E61CCC" w:rsidP="007268B1">
      <w:pPr>
        <w:pStyle w:val="TableFooter"/>
        <w:widowControl/>
        <w:rPr>
          <w:snapToGrid/>
        </w:rPr>
      </w:pPr>
      <w:r w:rsidRPr="008A2917">
        <w:rPr>
          <w:snapToGrid/>
        </w:rPr>
        <w:t>Source:</w:t>
      </w:r>
      <w:r w:rsidR="00573385" w:rsidRPr="008A2917">
        <w:rPr>
          <w:snapToGrid/>
        </w:rPr>
        <w:t xml:space="preserve"> Department of Health, Australian Influenza Surveillance report week ending 26 August 2019</w:t>
      </w:r>
      <w:r w:rsidR="009D73A6" w:rsidRPr="008A2917">
        <w:rPr>
          <w:snapToGrid/>
        </w:rPr>
        <w:t xml:space="preserve">, </w:t>
      </w:r>
      <w:r w:rsidR="00573385" w:rsidRPr="008A2917">
        <w:rPr>
          <w:snapToGrid/>
        </w:rPr>
        <w:t>https://www1.health.gov.au/internet/main/publishing.nsf/Content/cda-surveil-ozflu-flucurr.htm</w:t>
      </w:r>
    </w:p>
    <w:p w:rsidR="00DE0B12" w:rsidRPr="008A2917" w:rsidRDefault="00DE0B12" w:rsidP="00387896">
      <w:pPr>
        <w:widowControl/>
      </w:pPr>
    </w:p>
    <w:p w:rsidR="00CB0A5B" w:rsidRPr="008A2917" w:rsidRDefault="00CB0A5B" w:rsidP="00387896">
      <w:pPr>
        <w:pStyle w:val="ListParagraph"/>
        <w:widowControl/>
        <w:numPr>
          <w:ilvl w:val="1"/>
          <w:numId w:val="1"/>
        </w:numPr>
      </w:pPr>
      <w:r w:rsidRPr="008A2917">
        <w:t xml:space="preserve">Influenza like illness is not always laboratory confirmed. </w:t>
      </w:r>
      <w:r w:rsidR="008F6727" w:rsidRPr="008A2917">
        <w:t>The higher rates of testing with results being reported faster, particularly point of care testing in emergency departments and residential aged care</w:t>
      </w:r>
      <w:r w:rsidR="00CB39DA" w:rsidRPr="008A2917">
        <w:t xml:space="preserve"> facilities</w:t>
      </w:r>
      <w:r w:rsidR="008F6727" w:rsidRPr="008A2917">
        <w:t>, and the preliminary advice</w:t>
      </w:r>
      <w:r w:rsidR="008F6727" w:rsidRPr="008A2917">
        <w:rPr>
          <w:sz w:val="22"/>
          <w:vertAlign w:val="superscript"/>
        </w:rPr>
        <w:footnoteReference w:id="1"/>
      </w:r>
      <w:r w:rsidR="008F6727" w:rsidRPr="008A2917">
        <w:t xml:space="preserve"> to immunise later in the year to ensure protection in August/September may have contributed to the 2019 trend.</w:t>
      </w:r>
    </w:p>
    <w:p w:rsidR="007935FA" w:rsidRPr="008A2917" w:rsidRDefault="00CB0A5B" w:rsidP="00387896">
      <w:pPr>
        <w:pStyle w:val="ListParagraph"/>
        <w:widowControl/>
        <w:numPr>
          <w:ilvl w:val="1"/>
          <w:numId w:val="1"/>
        </w:numPr>
      </w:pPr>
      <w:r w:rsidRPr="008A2917">
        <w:t xml:space="preserve">The resubmission </w:t>
      </w:r>
      <w:r w:rsidR="00CB39DA" w:rsidRPr="008A2917">
        <w:t xml:space="preserve">proposed TIV-HD as an alternative </w:t>
      </w:r>
      <w:proofErr w:type="gramStart"/>
      <w:r w:rsidR="00CB39DA" w:rsidRPr="008A2917">
        <w:t xml:space="preserve">to </w:t>
      </w:r>
      <w:r w:rsidRPr="008A2917">
        <w:t xml:space="preserve"> </w:t>
      </w:r>
      <w:proofErr w:type="spellStart"/>
      <w:r w:rsidR="004922B5" w:rsidRPr="008A2917">
        <w:t>aTIV</w:t>
      </w:r>
      <w:proofErr w:type="spellEnd"/>
      <w:proofErr w:type="gramEnd"/>
      <w:r w:rsidRPr="008A2917">
        <w:t xml:space="preserve"> </w:t>
      </w:r>
      <w:r w:rsidR="00CB39DA" w:rsidRPr="008A2917">
        <w:t xml:space="preserve"> for the 2020 season</w:t>
      </w:r>
      <w:r w:rsidRPr="008A2917">
        <w:t xml:space="preserve">. </w:t>
      </w:r>
      <w:r w:rsidR="005E2BCE" w:rsidRPr="008A2917">
        <w:t xml:space="preserve">The PBAC did not recommend the requested price increase </w:t>
      </w:r>
      <w:r w:rsidRPr="008A2917">
        <w:rPr>
          <w:iCs/>
        </w:rPr>
        <w:t xml:space="preserve">for </w:t>
      </w:r>
      <w:proofErr w:type="spellStart"/>
      <w:r w:rsidR="004922B5" w:rsidRPr="008A2917">
        <w:rPr>
          <w:iCs/>
        </w:rPr>
        <w:t>aTIV</w:t>
      </w:r>
      <w:proofErr w:type="spellEnd"/>
      <w:r w:rsidRPr="008A2917">
        <w:rPr>
          <w:iCs/>
        </w:rPr>
        <w:t xml:space="preserve"> for people aged </w:t>
      </w:r>
      <w:r w:rsidRPr="008A2917">
        <w:rPr>
          <w:rFonts w:cs="Calibri"/>
          <w:iCs/>
        </w:rPr>
        <w:t>≥</w:t>
      </w:r>
      <w:r w:rsidRPr="008A2917">
        <w:rPr>
          <w:iCs/>
        </w:rPr>
        <w:t xml:space="preserve"> 65 years</w:t>
      </w:r>
      <w:r w:rsidR="005E2BCE" w:rsidRPr="008A2917">
        <w:rPr>
          <w:iCs/>
        </w:rPr>
        <w:t xml:space="preserve"> at the July 2019 meeting</w:t>
      </w:r>
      <w:r w:rsidR="002B3EAD" w:rsidRPr="008A2917">
        <w:rPr>
          <w:iCs/>
        </w:rPr>
        <w:t xml:space="preserve"> </w:t>
      </w:r>
      <w:r w:rsidR="00CC38F1" w:rsidRPr="008A2917">
        <w:rPr>
          <w:iCs/>
        </w:rPr>
        <w:t>however</w:t>
      </w:r>
      <w:r w:rsidR="00CC38F1" w:rsidRPr="008A2917">
        <w:t xml:space="preserve"> t</w:t>
      </w:r>
      <w:r w:rsidR="005E2BCE" w:rsidRPr="008A2917">
        <w:t xml:space="preserve">he PBAC </w:t>
      </w:r>
      <w:r w:rsidR="002B3EAD" w:rsidRPr="008A2917">
        <w:rPr>
          <w:iCs/>
        </w:rPr>
        <w:t xml:space="preserve">recommended </w:t>
      </w:r>
      <w:proofErr w:type="spellStart"/>
      <w:r w:rsidR="002B3EAD" w:rsidRPr="008A2917">
        <w:rPr>
          <w:iCs/>
        </w:rPr>
        <w:t>aQIV</w:t>
      </w:r>
      <w:proofErr w:type="spellEnd"/>
      <w:r w:rsidR="002B3EAD" w:rsidRPr="008A2917">
        <w:rPr>
          <w:iCs/>
        </w:rPr>
        <w:t xml:space="preserve"> for listing </w:t>
      </w:r>
      <w:r w:rsidR="00CC38F1" w:rsidRPr="008A2917">
        <w:rPr>
          <w:iCs/>
        </w:rPr>
        <w:t xml:space="preserve">on the NIP </w:t>
      </w:r>
      <w:r w:rsidR="002B3EAD" w:rsidRPr="008A2917">
        <w:rPr>
          <w:iCs/>
        </w:rPr>
        <w:t xml:space="preserve">at </w:t>
      </w:r>
      <w:r w:rsidR="008726E7" w:rsidRPr="008A2917">
        <w:rPr>
          <w:iCs/>
        </w:rPr>
        <w:t xml:space="preserve">the </w:t>
      </w:r>
      <w:r w:rsidR="002B3EAD" w:rsidRPr="008A2917">
        <w:rPr>
          <w:iCs/>
        </w:rPr>
        <w:t xml:space="preserve">August </w:t>
      </w:r>
      <w:r w:rsidR="00427C83" w:rsidRPr="008A2917">
        <w:rPr>
          <w:iCs/>
        </w:rPr>
        <w:t xml:space="preserve">2019 </w:t>
      </w:r>
      <w:r w:rsidR="002B3EAD" w:rsidRPr="008A2917">
        <w:rPr>
          <w:iCs/>
        </w:rPr>
        <w:t>meeting</w:t>
      </w:r>
      <w:r w:rsidR="005E2BCE" w:rsidRPr="008A2917">
        <w:rPr>
          <w:iCs/>
        </w:rPr>
        <w:t>.</w:t>
      </w:r>
      <w:r w:rsidRPr="008A2917">
        <w:t xml:space="preserve"> </w:t>
      </w:r>
    </w:p>
    <w:p w:rsidR="007935FA" w:rsidRPr="008A2917" w:rsidRDefault="007935FA" w:rsidP="00387896">
      <w:pPr>
        <w:pStyle w:val="ListParagraph"/>
        <w:widowControl/>
        <w:numPr>
          <w:ilvl w:val="1"/>
          <w:numId w:val="1"/>
        </w:numPr>
      </w:pPr>
      <w:r w:rsidRPr="008A2917">
        <w:t xml:space="preserve">The resubmission suggested that TIV-HD could be the standard of care for influenza immunisation in people aged </w:t>
      </w:r>
      <w:r w:rsidRPr="008A2917">
        <w:rPr>
          <w:rFonts w:cs="Calibri"/>
        </w:rPr>
        <w:t>≥</w:t>
      </w:r>
      <w:r w:rsidRPr="008A2917">
        <w:t xml:space="preserve"> 65 years in the 2020 influenza season.</w:t>
      </w:r>
    </w:p>
    <w:p w:rsidR="007935FA" w:rsidRPr="008A2917" w:rsidRDefault="007935FA" w:rsidP="00387896">
      <w:pPr>
        <w:pStyle w:val="ListParagraph"/>
        <w:widowControl/>
        <w:numPr>
          <w:ilvl w:val="1"/>
          <w:numId w:val="1"/>
        </w:numPr>
      </w:pPr>
      <w:r w:rsidRPr="008A2917">
        <w:t xml:space="preserve">The resubmission </w:t>
      </w:r>
      <w:r w:rsidR="00EB78BD" w:rsidRPr="008A2917">
        <w:t xml:space="preserve">proposed </w:t>
      </w:r>
      <w:r w:rsidRPr="008A2917">
        <w:t>a stepped approach to adoption where TIV-HD could be provided for a</w:t>
      </w:r>
      <w:r w:rsidR="00090C5E" w:rsidRPr="008A2917">
        <w:t>n</w:t>
      </w:r>
      <w:r w:rsidRPr="008A2917">
        <w:t xml:space="preserve"> </w:t>
      </w:r>
      <w:r w:rsidR="00090C5E" w:rsidRPr="008A2917">
        <w:t xml:space="preserve">aged care facilities </w:t>
      </w:r>
      <w:r w:rsidRPr="008A2917">
        <w:t xml:space="preserve">cohort initially </w:t>
      </w:r>
      <w:r w:rsidR="00486C4A" w:rsidRPr="008A2917">
        <w:t xml:space="preserve">(2020) </w:t>
      </w:r>
      <w:r w:rsidRPr="008A2917">
        <w:t xml:space="preserve">with consideration to broaden access to the full cohort in the future. </w:t>
      </w:r>
      <w:r w:rsidR="00EB78BD" w:rsidRPr="008A2917">
        <w:rPr>
          <w:iCs/>
        </w:rPr>
        <w:t xml:space="preserve">The NIP does not currently </w:t>
      </w:r>
      <w:r w:rsidR="00FA3EC8" w:rsidRPr="008A2917">
        <w:rPr>
          <w:iCs/>
        </w:rPr>
        <w:t xml:space="preserve">delineate </w:t>
      </w:r>
      <w:r w:rsidR="00FA3EC8" w:rsidRPr="008A2917">
        <w:rPr>
          <w:iCs/>
        </w:rPr>
        <w:lastRenderedPageBreak/>
        <w:t xml:space="preserve">eligibility for people living in </w:t>
      </w:r>
      <w:r w:rsidR="00CD79CA" w:rsidRPr="008A2917">
        <w:rPr>
          <w:iCs/>
        </w:rPr>
        <w:t>aged care facilities</w:t>
      </w:r>
      <w:r w:rsidR="00486C4A" w:rsidRPr="008A2917">
        <w:rPr>
          <w:iCs/>
        </w:rPr>
        <w:t xml:space="preserve"> in the ≥65 years and older cohort</w:t>
      </w:r>
      <w:r w:rsidR="00EB78BD" w:rsidRPr="008A2917">
        <w:rPr>
          <w:iCs/>
        </w:rPr>
        <w:t xml:space="preserve">. </w:t>
      </w:r>
      <w:r w:rsidRPr="008A2917">
        <w:rPr>
          <w:iCs/>
        </w:rPr>
        <w:t xml:space="preserve">The resubmission did not analyse this sub-cohort in the economic model or the financial model. </w:t>
      </w:r>
    </w:p>
    <w:p w:rsidR="007268B1" w:rsidRPr="008A2917" w:rsidRDefault="007268B1" w:rsidP="007268B1">
      <w:pPr>
        <w:pStyle w:val="ListParagraph"/>
        <w:ind w:left="709"/>
        <w:rPr>
          <w:rFonts w:asciiTheme="minorHAnsi" w:hAnsiTheme="minorHAnsi"/>
          <w:i/>
        </w:rPr>
      </w:pPr>
      <w:bookmarkStart w:id="8" w:name="_Toc371170703"/>
      <w:bookmarkStart w:id="9" w:name="_Toc18942060"/>
      <w:r w:rsidRPr="008A2917">
        <w:rPr>
          <w:rFonts w:asciiTheme="minorHAnsi" w:hAnsiTheme="minorHAnsi"/>
          <w:i/>
        </w:rPr>
        <w:t>For more detail on PBAC’s view, see section 7 PBAC outcome.</w:t>
      </w:r>
    </w:p>
    <w:p w:rsidR="00CB0A5B" w:rsidRPr="008A2917" w:rsidRDefault="00CB0A5B" w:rsidP="00C62B93">
      <w:pPr>
        <w:pStyle w:val="PBACHeading1"/>
        <w:spacing w:before="240" w:after="120"/>
      </w:pPr>
      <w:r w:rsidRPr="008A2917">
        <w:t>Comparator</w:t>
      </w:r>
      <w:bookmarkEnd w:id="8"/>
      <w:bookmarkEnd w:id="9"/>
    </w:p>
    <w:p w:rsidR="007935FA" w:rsidRPr="008A2917" w:rsidRDefault="007935FA" w:rsidP="00387896">
      <w:pPr>
        <w:pStyle w:val="ListParagraph"/>
        <w:widowControl/>
        <w:numPr>
          <w:ilvl w:val="1"/>
          <w:numId w:val="1"/>
        </w:numPr>
      </w:pPr>
      <w:r w:rsidRPr="008A2917">
        <w:rPr>
          <w:rFonts w:cs="Calibri"/>
          <w:snapToGrid/>
          <w:szCs w:val="24"/>
          <w:lang w:eastAsia="en-AU"/>
        </w:rPr>
        <w:t xml:space="preserve">The resubmission proposed QIV-SD as the main comparator. </w:t>
      </w:r>
      <w:r w:rsidRPr="008A2917">
        <w:rPr>
          <w:rFonts w:cs="Calibri"/>
          <w:iCs/>
          <w:snapToGrid/>
          <w:szCs w:val="24"/>
          <w:lang w:eastAsia="en-AU"/>
        </w:rPr>
        <w:t xml:space="preserve">This </w:t>
      </w:r>
      <w:r w:rsidR="00427C83" w:rsidRPr="008A2917">
        <w:rPr>
          <w:rFonts w:cs="Calibri"/>
          <w:iCs/>
          <w:snapToGrid/>
          <w:szCs w:val="24"/>
          <w:lang w:eastAsia="en-AU"/>
        </w:rPr>
        <w:t>wa</w:t>
      </w:r>
      <w:r w:rsidRPr="008A2917">
        <w:rPr>
          <w:rFonts w:cs="Calibri"/>
          <w:iCs/>
          <w:snapToGrid/>
          <w:szCs w:val="24"/>
          <w:lang w:eastAsia="en-AU"/>
        </w:rPr>
        <w:t xml:space="preserve">s unchanged from the previous submission. </w:t>
      </w:r>
    </w:p>
    <w:p w:rsidR="007935FA" w:rsidRPr="008A2917" w:rsidRDefault="007935FA" w:rsidP="00387896">
      <w:pPr>
        <w:pStyle w:val="ListParagraph"/>
        <w:widowControl/>
        <w:numPr>
          <w:ilvl w:val="1"/>
          <w:numId w:val="1"/>
        </w:numPr>
      </w:pPr>
      <w:r w:rsidRPr="008A2917">
        <w:t xml:space="preserve">The resubmission </w:t>
      </w:r>
      <w:r w:rsidR="00B7241A" w:rsidRPr="008A2917">
        <w:t xml:space="preserve">proposed </w:t>
      </w:r>
      <w:proofErr w:type="spellStart"/>
      <w:r w:rsidR="00BC272B" w:rsidRPr="008A2917">
        <w:t>a</w:t>
      </w:r>
      <w:r w:rsidR="004922B5" w:rsidRPr="008A2917">
        <w:t>TIV</w:t>
      </w:r>
      <w:proofErr w:type="spellEnd"/>
      <w:r w:rsidRPr="008A2917">
        <w:t xml:space="preserve"> and </w:t>
      </w:r>
      <w:proofErr w:type="spellStart"/>
      <w:r w:rsidR="004922B5" w:rsidRPr="008A2917">
        <w:t>aQIV</w:t>
      </w:r>
      <w:proofErr w:type="spellEnd"/>
      <w:r w:rsidRPr="008A2917">
        <w:t xml:space="preserve"> as near market comparators. </w:t>
      </w:r>
      <w:r w:rsidR="00D04668" w:rsidRPr="008A2917">
        <w:rPr>
          <w:iCs/>
        </w:rPr>
        <w:t>T</w:t>
      </w:r>
      <w:r w:rsidRPr="008A2917">
        <w:rPr>
          <w:iCs/>
        </w:rPr>
        <w:t xml:space="preserve">he previous submission nominated </w:t>
      </w:r>
      <w:proofErr w:type="spellStart"/>
      <w:r w:rsidR="004922B5" w:rsidRPr="008A2917">
        <w:rPr>
          <w:iCs/>
        </w:rPr>
        <w:t>aTIV</w:t>
      </w:r>
      <w:proofErr w:type="spellEnd"/>
      <w:r w:rsidRPr="008A2917">
        <w:rPr>
          <w:iCs/>
        </w:rPr>
        <w:t xml:space="preserve"> as the only near market comparator</w:t>
      </w:r>
      <w:r w:rsidR="00B12807" w:rsidRPr="008A2917">
        <w:rPr>
          <w:iCs/>
        </w:rPr>
        <w:t xml:space="preserve"> as it was prior to the introduction of </w:t>
      </w:r>
      <w:proofErr w:type="spellStart"/>
      <w:r w:rsidR="00B12807" w:rsidRPr="008A2917">
        <w:rPr>
          <w:iCs/>
        </w:rPr>
        <w:t>aQIV</w:t>
      </w:r>
      <w:proofErr w:type="spellEnd"/>
      <w:r w:rsidR="00B12807" w:rsidRPr="008A2917">
        <w:rPr>
          <w:iCs/>
        </w:rPr>
        <w:t xml:space="preserve"> to Australia</w:t>
      </w:r>
      <w:r w:rsidRPr="008A2917">
        <w:rPr>
          <w:iCs/>
        </w:rPr>
        <w:t xml:space="preserve">. </w:t>
      </w:r>
      <w:r w:rsidR="00776CAE" w:rsidRPr="008A2917">
        <w:rPr>
          <w:iCs/>
        </w:rPr>
        <w:t>Given</w:t>
      </w:r>
      <w:r w:rsidR="00B7241A" w:rsidRPr="008A2917">
        <w:rPr>
          <w:iCs/>
        </w:rPr>
        <w:t xml:space="preserve"> </w:t>
      </w:r>
      <w:r w:rsidR="00EB78BD" w:rsidRPr="008A2917">
        <w:t xml:space="preserve">the requested price increase </w:t>
      </w:r>
      <w:r w:rsidR="00EB78BD" w:rsidRPr="008A2917">
        <w:rPr>
          <w:iCs/>
        </w:rPr>
        <w:t xml:space="preserve">for </w:t>
      </w:r>
      <w:proofErr w:type="spellStart"/>
      <w:r w:rsidR="00EB78BD" w:rsidRPr="008A2917">
        <w:rPr>
          <w:iCs/>
        </w:rPr>
        <w:t>aTIV</w:t>
      </w:r>
      <w:proofErr w:type="spellEnd"/>
      <w:r w:rsidR="00EB78BD" w:rsidRPr="008A2917">
        <w:rPr>
          <w:iCs/>
        </w:rPr>
        <w:t xml:space="preserve"> was not recommended</w:t>
      </w:r>
      <w:r w:rsidR="00B7241A" w:rsidRPr="008A2917">
        <w:rPr>
          <w:iCs/>
        </w:rPr>
        <w:t xml:space="preserve"> at the July 2019 meeting</w:t>
      </w:r>
      <w:r w:rsidR="00776CAE" w:rsidRPr="008A2917">
        <w:rPr>
          <w:iCs/>
        </w:rPr>
        <w:t xml:space="preserve">, the ESC considered that </w:t>
      </w:r>
      <w:proofErr w:type="spellStart"/>
      <w:r w:rsidR="00776CAE" w:rsidRPr="008A2917">
        <w:rPr>
          <w:iCs/>
        </w:rPr>
        <w:t>aTIV</w:t>
      </w:r>
      <w:proofErr w:type="spellEnd"/>
      <w:r w:rsidR="00776CAE" w:rsidRPr="008A2917">
        <w:rPr>
          <w:iCs/>
        </w:rPr>
        <w:t xml:space="preserve"> </w:t>
      </w:r>
      <w:r w:rsidR="00DD49E6" w:rsidRPr="008A2917">
        <w:rPr>
          <w:iCs/>
        </w:rPr>
        <w:t>wa</w:t>
      </w:r>
      <w:r w:rsidR="00776CAE" w:rsidRPr="008A2917">
        <w:rPr>
          <w:iCs/>
        </w:rPr>
        <w:t>s not an informative near market comparator</w:t>
      </w:r>
      <w:r w:rsidR="00AF32E8" w:rsidRPr="008A2917">
        <w:rPr>
          <w:iCs/>
        </w:rPr>
        <w:t>. At the August 2019 meeting</w:t>
      </w:r>
      <w:r w:rsidR="00EB78BD" w:rsidRPr="008A2917">
        <w:rPr>
          <w:iCs/>
        </w:rPr>
        <w:t xml:space="preserve"> </w:t>
      </w:r>
      <w:proofErr w:type="spellStart"/>
      <w:r w:rsidR="009E21B9" w:rsidRPr="008A2917">
        <w:rPr>
          <w:iCs/>
        </w:rPr>
        <w:t>aQIV</w:t>
      </w:r>
      <w:proofErr w:type="spellEnd"/>
      <w:r w:rsidR="009E21B9" w:rsidRPr="008A2917">
        <w:rPr>
          <w:iCs/>
        </w:rPr>
        <w:t xml:space="preserve"> was</w:t>
      </w:r>
      <w:r w:rsidR="00EB78BD" w:rsidRPr="008A2917">
        <w:t xml:space="preserve"> </w:t>
      </w:r>
      <w:r w:rsidR="0082411E" w:rsidRPr="008A2917">
        <w:t>recommended</w:t>
      </w:r>
      <w:r w:rsidR="00B7241A" w:rsidRPr="008A2917">
        <w:t xml:space="preserve"> for listing on the NIP</w:t>
      </w:r>
      <w:r w:rsidR="00776CAE" w:rsidRPr="008A2917">
        <w:t xml:space="preserve">, and therefore ESC considered </w:t>
      </w:r>
      <w:proofErr w:type="spellStart"/>
      <w:r w:rsidR="00776CAE" w:rsidRPr="008A2917">
        <w:t>aQIV</w:t>
      </w:r>
      <w:proofErr w:type="spellEnd"/>
      <w:r w:rsidR="00776CAE" w:rsidRPr="008A2917">
        <w:t xml:space="preserve"> to be an informative near market comparator</w:t>
      </w:r>
      <w:r w:rsidR="00AF32E8" w:rsidRPr="008A2917">
        <w:t>.</w:t>
      </w:r>
      <w:r w:rsidR="009E21B9" w:rsidRPr="008A2917">
        <w:rPr>
          <w:iCs/>
        </w:rPr>
        <w:t xml:space="preserve"> </w:t>
      </w:r>
    </w:p>
    <w:p w:rsidR="00E77F14" w:rsidRPr="008A2917" w:rsidRDefault="00860A71" w:rsidP="00387896">
      <w:pPr>
        <w:pStyle w:val="ListParagraph"/>
        <w:widowControl/>
        <w:numPr>
          <w:ilvl w:val="1"/>
          <w:numId w:val="1"/>
        </w:numPr>
      </w:pPr>
      <w:r w:rsidRPr="008A2917">
        <w:rPr>
          <w:rFonts w:cs="Calibri"/>
          <w:iCs/>
          <w:snapToGrid/>
          <w:szCs w:val="24"/>
          <w:lang w:eastAsia="en-AU"/>
        </w:rPr>
        <w:t xml:space="preserve">The ESC considered that </w:t>
      </w:r>
      <w:r w:rsidRPr="008A2917">
        <w:rPr>
          <w:iCs/>
        </w:rPr>
        <w:t xml:space="preserve">QIV-SD and </w:t>
      </w:r>
      <w:proofErr w:type="spellStart"/>
      <w:r w:rsidRPr="008A2917">
        <w:rPr>
          <w:iCs/>
        </w:rPr>
        <w:t>aQIV</w:t>
      </w:r>
      <w:proofErr w:type="spellEnd"/>
      <w:r w:rsidRPr="008A2917">
        <w:rPr>
          <w:iCs/>
        </w:rPr>
        <w:t xml:space="preserve"> were appropriate comparators</w:t>
      </w:r>
      <w:r w:rsidR="00A70155" w:rsidRPr="008A2917">
        <w:rPr>
          <w:iCs/>
        </w:rPr>
        <w:t>.</w:t>
      </w:r>
      <w:r w:rsidR="003644D0" w:rsidRPr="008A2917">
        <w:rPr>
          <w:iCs/>
        </w:rPr>
        <w:t xml:space="preserve"> T</w:t>
      </w:r>
      <w:r w:rsidR="003644D0" w:rsidRPr="008A2917">
        <w:rPr>
          <w:rFonts w:asciiTheme="minorHAnsi" w:hAnsiTheme="minorHAnsi"/>
          <w:bCs/>
          <w:szCs w:val="24"/>
        </w:rPr>
        <w:t xml:space="preserve">he PBAC considered </w:t>
      </w:r>
      <w:proofErr w:type="spellStart"/>
      <w:r w:rsidR="003644D0" w:rsidRPr="008A2917">
        <w:rPr>
          <w:rFonts w:asciiTheme="minorHAnsi" w:hAnsiTheme="minorHAnsi"/>
          <w:bCs/>
          <w:szCs w:val="24"/>
        </w:rPr>
        <w:t>aQIV</w:t>
      </w:r>
      <w:proofErr w:type="spellEnd"/>
      <w:r w:rsidR="003644D0" w:rsidRPr="008A2917">
        <w:rPr>
          <w:rFonts w:asciiTheme="minorHAnsi" w:hAnsiTheme="minorHAnsi"/>
          <w:bCs/>
          <w:szCs w:val="24"/>
        </w:rPr>
        <w:t xml:space="preserve"> would be the vaccine most </w:t>
      </w:r>
      <w:r w:rsidR="00B7241A" w:rsidRPr="008A2917">
        <w:rPr>
          <w:rFonts w:asciiTheme="minorHAnsi" w:hAnsiTheme="minorHAnsi"/>
          <w:bCs/>
          <w:szCs w:val="24"/>
        </w:rPr>
        <w:t xml:space="preserve">commonly </w:t>
      </w:r>
      <w:r w:rsidR="003644D0" w:rsidRPr="008A2917">
        <w:rPr>
          <w:rFonts w:asciiTheme="minorHAnsi" w:hAnsiTheme="minorHAnsi"/>
          <w:bCs/>
          <w:szCs w:val="24"/>
        </w:rPr>
        <w:t>replaced by TIV-HD.</w:t>
      </w:r>
    </w:p>
    <w:p w:rsidR="007268B1" w:rsidRPr="008A2917" w:rsidRDefault="007268B1" w:rsidP="007268B1">
      <w:pPr>
        <w:pStyle w:val="ListParagraph"/>
        <w:ind w:left="709"/>
        <w:rPr>
          <w:rFonts w:asciiTheme="minorHAnsi" w:hAnsiTheme="minorHAnsi"/>
          <w:i/>
        </w:rPr>
      </w:pPr>
      <w:bookmarkStart w:id="10" w:name="_Toc371170704"/>
      <w:bookmarkStart w:id="11" w:name="_Toc18942061"/>
      <w:r w:rsidRPr="008A2917">
        <w:rPr>
          <w:rFonts w:asciiTheme="minorHAnsi" w:hAnsiTheme="minorHAnsi"/>
          <w:i/>
        </w:rPr>
        <w:t>For more detail on PBAC’s view, see section 7 PBAC outcome.</w:t>
      </w:r>
    </w:p>
    <w:p w:rsidR="00CB0A5B" w:rsidRPr="008A2917" w:rsidRDefault="00CB0A5B" w:rsidP="00C62B93">
      <w:pPr>
        <w:pStyle w:val="PBACHeading1"/>
        <w:spacing w:before="240" w:after="120"/>
      </w:pPr>
      <w:r w:rsidRPr="008A2917">
        <w:t>Consideration of the evidence</w:t>
      </w:r>
      <w:bookmarkEnd w:id="10"/>
      <w:bookmarkEnd w:id="11"/>
    </w:p>
    <w:p w:rsidR="00042DA8" w:rsidRPr="00042DA8" w:rsidRDefault="007268B1" w:rsidP="00042DA8">
      <w:pPr>
        <w:pStyle w:val="Heading2"/>
      </w:pPr>
      <w:bookmarkStart w:id="12" w:name="_Toc371170705"/>
      <w:bookmarkStart w:id="13" w:name="_Toc18942062"/>
      <w:r w:rsidRPr="008A2917">
        <w:t>Sponsor hearing</w:t>
      </w:r>
    </w:p>
    <w:p w:rsidR="007268B1" w:rsidRPr="008A2917" w:rsidRDefault="007268B1" w:rsidP="007268B1">
      <w:pPr>
        <w:numPr>
          <w:ilvl w:val="1"/>
          <w:numId w:val="1"/>
        </w:numPr>
        <w:spacing w:after="120"/>
        <w:rPr>
          <w:rFonts w:asciiTheme="minorHAnsi" w:hAnsiTheme="minorHAnsi"/>
          <w:bCs/>
        </w:rPr>
      </w:pPr>
      <w:r w:rsidRPr="008A2917">
        <w:rPr>
          <w:rFonts w:asciiTheme="minorHAnsi" w:hAnsiTheme="minorHAnsi"/>
          <w:bCs/>
        </w:rPr>
        <w:t>The</w:t>
      </w:r>
      <w:r w:rsidR="00F96310" w:rsidRPr="008A2917">
        <w:rPr>
          <w:rFonts w:asciiTheme="minorHAnsi" w:hAnsiTheme="minorHAnsi"/>
          <w:bCs/>
        </w:rPr>
        <w:t>re was no hearing for this item</w:t>
      </w:r>
      <w:r w:rsidRPr="008A2917">
        <w:rPr>
          <w:rFonts w:asciiTheme="minorHAnsi" w:hAnsiTheme="minorHAnsi"/>
          <w:bCs/>
        </w:rPr>
        <w:t>.</w:t>
      </w:r>
    </w:p>
    <w:p w:rsidR="007268B1" w:rsidRPr="008A2917" w:rsidRDefault="007268B1" w:rsidP="007268B1">
      <w:pPr>
        <w:pStyle w:val="Heading2"/>
      </w:pPr>
      <w:r w:rsidRPr="008A2917">
        <w:t>Consumer comments</w:t>
      </w:r>
    </w:p>
    <w:p w:rsidR="00EE5D3B" w:rsidRPr="008A2917" w:rsidRDefault="007268B1" w:rsidP="007268B1">
      <w:pPr>
        <w:numPr>
          <w:ilvl w:val="1"/>
          <w:numId w:val="1"/>
        </w:numPr>
        <w:spacing w:after="120"/>
        <w:rPr>
          <w:rFonts w:asciiTheme="minorHAnsi" w:hAnsiTheme="minorHAnsi"/>
          <w:bCs/>
        </w:rPr>
      </w:pPr>
      <w:r w:rsidRPr="008A2917">
        <w:rPr>
          <w:rFonts w:asciiTheme="minorHAnsi" w:hAnsiTheme="minorHAnsi"/>
          <w:bCs/>
        </w:rPr>
        <w:t xml:space="preserve">The PBAC noted and welcomed the input from </w:t>
      </w:r>
      <w:r w:rsidR="00F96310" w:rsidRPr="008A2917">
        <w:rPr>
          <w:rFonts w:asciiTheme="minorHAnsi" w:hAnsiTheme="minorHAnsi"/>
          <w:bCs/>
        </w:rPr>
        <w:t>organisations (3</w:t>
      </w:r>
      <w:r w:rsidRPr="008A2917">
        <w:rPr>
          <w:rFonts w:asciiTheme="minorHAnsi" w:hAnsiTheme="minorHAnsi"/>
          <w:bCs/>
        </w:rPr>
        <w:t>) via the Consumer Comments facility on the PBS website</w:t>
      </w:r>
      <w:r w:rsidR="00EE5D3B" w:rsidRPr="008A2917">
        <w:rPr>
          <w:rFonts w:asciiTheme="minorHAnsi" w:hAnsiTheme="minorHAnsi"/>
          <w:bCs/>
        </w:rPr>
        <w:t>:</w:t>
      </w:r>
    </w:p>
    <w:p w:rsidR="00062711" w:rsidRPr="008A2917" w:rsidRDefault="00EE5D3B" w:rsidP="0070150A">
      <w:pPr>
        <w:pStyle w:val="ListParagraph"/>
        <w:numPr>
          <w:ilvl w:val="0"/>
          <w:numId w:val="6"/>
        </w:numPr>
        <w:spacing w:after="120"/>
        <w:rPr>
          <w:rFonts w:asciiTheme="minorHAnsi" w:hAnsiTheme="minorHAnsi"/>
          <w:bCs/>
        </w:rPr>
      </w:pPr>
      <w:r w:rsidRPr="008A2917">
        <w:rPr>
          <w:rFonts w:asciiTheme="minorHAnsi" w:hAnsiTheme="minorHAnsi"/>
          <w:bCs/>
        </w:rPr>
        <w:t xml:space="preserve">Diabetes </w:t>
      </w:r>
      <w:r w:rsidR="00895FD3" w:rsidRPr="008A2917">
        <w:rPr>
          <w:rFonts w:asciiTheme="minorHAnsi" w:hAnsiTheme="minorHAnsi"/>
          <w:bCs/>
        </w:rPr>
        <w:t>Australia</w:t>
      </w:r>
      <w:r w:rsidR="00062711" w:rsidRPr="008A2917">
        <w:rPr>
          <w:rFonts w:asciiTheme="minorHAnsi" w:hAnsiTheme="minorHAnsi"/>
          <w:bCs/>
        </w:rPr>
        <w:t>,</w:t>
      </w:r>
      <w:r w:rsidR="00895FD3" w:rsidRPr="008A2917">
        <w:rPr>
          <w:rFonts w:asciiTheme="minorHAnsi" w:hAnsiTheme="minorHAnsi"/>
          <w:bCs/>
        </w:rPr>
        <w:t xml:space="preserve"> </w:t>
      </w:r>
      <w:r w:rsidR="00062711" w:rsidRPr="008A2917">
        <w:rPr>
          <w:rFonts w:asciiTheme="minorHAnsi" w:hAnsiTheme="minorHAnsi"/>
          <w:bCs/>
        </w:rPr>
        <w:t xml:space="preserve">Diabetes NSW &amp; ACT and Diabetes Queensland </w:t>
      </w:r>
      <w:r w:rsidR="00895FD3" w:rsidRPr="008A2917">
        <w:rPr>
          <w:rFonts w:asciiTheme="minorHAnsi" w:hAnsiTheme="minorHAnsi"/>
          <w:bCs/>
        </w:rPr>
        <w:t>noted the higher risk</w:t>
      </w:r>
      <w:r w:rsidR="003C1561" w:rsidRPr="008A2917">
        <w:rPr>
          <w:rFonts w:asciiTheme="minorHAnsi" w:hAnsiTheme="minorHAnsi"/>
          <w:bCs/>
        </w:rPr>
        <w:t xml:space="preserve"> of complications </w:t>
      </w:r>
      <w:r w:rsidR="00895FD3" w:rsidRPr="008A2917">
        <w:rPr>
          <w:rFonts w:asciiTheme="minorHAnsi" w:hAnsiTheme="minorHAnsi"/>
          <w:bCs/>
        </w:rPr>
        <w:t xml:space="preserve">associated with influenza for those aged 65 </w:t>
      </w:r>
      <w:r w:rsidR="003C1561" w:rsidRPr="008A2917">
        <w:rPr>
          <w:rFonts w:asciiTheme="minorHAnsi" w:hAnsiTheme="minorHAnsi"/>
          <w:bCs/>
        </w:rPr>
        <w:t xml:space="preserve">years </w:t>
      </w:r>
      <w:r w:rsidR="00895FD3" w:rsidRPr="008A2917">
        <w:rPr>
          <w:rFonts w:asciiTheme="minorHAnsi" w:hAnsiTheme="minorHAnsi"/>
          <w:bCs/>
        </w:rPr>
        <w:t>and over, including hospitalisation</w:t>
      </w:r>
      <w:r w:rsidR="003C1561" w:rsidRPr="008A2917">
        <w:rPr>
          <w:rFonts w:asciiTheme="minorHAnsi" w:hAnsiTheme="minorHAnsi"/>
          <w:bCs/>
        </w:rPr>
        <w:t xml:space="preserve"> </w:t>
      </w:r>
      <w:r w:rsidR="00895FD3" w:rsidRPr="008A2917">
        <w:rPr>
          <w:rFonts w:asciiTheme="minorHAnsi" w:hAnsiTheme="minorHAnsi"/>
          <w:bCs/>
        </w:rPr>
        <w:t>and death</w:t>
      </w:r>
      <w:r w:rsidR="00857B6E" w:rsidRPr="008A2917">
        <w:rPr>
          <w:rFonts w:asciiTheme="minorHAnsi" w:hAnsiTheme="minorHAnsi"/>
          <w:bCs/>
        </w:rPr>
        <w:t xml:space="preserve">, </w:t>
      </w:r>
      <w:r w:rsidR="003C1561" w:rsidRPr="008A2917">
        <w:rPr>
          <w:rFonts w:asciiTheme="minorHAnsi" w:hAnsiTheme="minorHAnsi"/>
          <w:bCs/>
        </w:rPr>
        <w:t>and that the risk was further increased</w:t>
      </w:r>
      <w:r w:rsidR="00857B6E" w:rsidRPr="008A2917">
        <w:rPr>
          <w:rFonts w:asciiTheme="minorHAnsi" w:hAnsiTheme="minorHAnsi"/>
          <w:bCs/>
        </w:rPr>
        <w:t xml:space="preserve"> for those with diabetes</w:t>
      </w:r>
      <w:r w:rsidR="00895FD3" w:rsidRPr="008A2917">
        <w:rPr>
          <w:rFonts w:asciiTheme="minorHAnsi" w:hAnsiTheme="minorHAnsi"/>
          <w:bCs/>
        </w:rPr>
        <w:t xml:space="preserve">. </w:t>
      </w:r>
    </w:p>
    <w:p w:rsidR="00895FD3" w:rsidRPr="008A2917" w:rsidRDefault="00895FD3" w:rsidP="0070150A">
      <w:pPr>
        <w:pStyle w:val="ListParagraph"/>
        <w:numPr>
          <w:ilvl w:val="0"/>
          <w:numId w:val="6"/>
        </w:numPr>
        <w:spacing w:after="120"/>
        <w:rPr>
          <w:rFonts w:asciiTheme="minorHAnsi" w:hAnsiTheme="minorHAnsi"/>
          <w:bCs/>
        </w:rPr>
      </w:pPr>
      <w:r w:rsidRPr="008A2917">
        <w:rPr>
          <w:rFonts w:asciiTheme="minorHAnsi" w:hAnsiTheme="minorHAnsi"/>
          <w:bCs/>
        </w:rPr>
        <w:t xml:space="preserve">Diabetes Australia </w:t>
      </w:r>
      <w:r w:rsidR="00062711" w:rsidRPr="008A2917">
        <w:rPr>
          <w:rFonts w:asciiTheme="minorHAnsi" w:hAnsiTheme="minorHAnsi"/>
          <w:bCs/>
        </w:rPr>
        <w:t>supported the listing of TIV-HD</w:t>
      </w:r>
      <w:r w:rsidR="006C0A2F" w:rsidRPr="008A2917">
        <w:rPr>
          <w:rFonts w:asciiTheme="minorHAnsi" w:hAnsiTheme="minorHAnsi"/>
          <w:bCs/>
        </w:rPr>
        <w:t xml:space="preserve">, </w:t>
      </w:r>
      <w:r w:rsidR="00C3614B" w:rsidRPr="008A2917">
        <w:rPr>
          <w:rFonts w:asciiTheme="minorHAnsi" w:hAnsiTheme="minorHAnsi"/>
          <w:bCs/>
        </w:rPr>
        <w:t xml:space="preserve">noted </w:t>
      </w:r>
      <w:r w:rsidR="003E687B" w:rsidRPr="008A2917">
        <w:rPr>
          <w:rFonts w:asciiTheme="minorHAnsi" w:hAnsiTheme="minorHAnsi"/>
          <w:bCs/>
        </w:rPr>
        <w:t>the outcomes of a US study</w:t>
      </w:r>
      <w:r w:rsidR="00C3614B" w:rsidRPr="008A2917">
        <w:rPr>
          <w:rFonts w:asciiTheme="minorHAnsi" w:hAnsiTheme="minorHAnsi"/>
          <w:bCs/>
        </w:rPr>
        <w:t xml:space="preserve"> (not referenced)</w:t>
      </w:r>
      <w:r w:rsidR="003E687B" w:rsidRPr="008A2917">
        <w:rPr>
          <w:rFonts w:asciiTheme="minorHAnsi" w:hAnsiTheme="minorHAnsi"/>
          <w:bCs/>
        </w:rPr>
        <w:t xml:space="preserve"> and claimed that</w:t>
      </w:r>
      <w:r w:rsidR="005156EB" w:rsidRPr="008A2917">
        <w:rPr>
          <w:rFonts w:asciiTheme="minorHAnsi" w:hAnsiTheme="minorHAnsi"/>
          <w:bCs/>
        </w:rPr>
        <w:t xml:space="preserve"> </w:t>
      </w:r>
      <w:r w:rsidR="003E687B" w:rsidRPr="008A2917">
        <w:rPr>
          <w:rFonts w:asciiTheme="minorHAnsi" w:hAnsiTheme="minorHAnsi"/>
          <w:bCs/>
        </w:rPr>
        <w:t xml:space="preserve">reduced respiratory hospitalisations in that study </w:t>
      </w:r>
      <w:r w:rsidR="005156EB" w:rsidRPr="008A2917">
        <w:rPr>
          <w:rFonts w:asciiTheme="minorHAnsi" w:hAnsiTheme="minorHAnsi"/>
          <w:bCs/>
        </w:rPr>
        <w:t xml:space="preserve">would translate </w:t>
      </w:r>
      <w:r w:rsidR="003E687B" w:rsidRPr="008A2917">
        <w:rPr>
          <w:rFonts w:asciiTheme="minorHAnsi" w:hAnsiTheme="minorHAnsi"/>
          <w:bCs/>
        </w:rPr>
        <w:t xml:space="preserve">to </w:t>
      </w:r>
      <w:r w:rsidR="005156EB" w:rsidRPr="008A2917">
        <w:rPr>
          <w:rFonts w:asciiTheme="minorHAnsi" w:hAnsiTheme="minorHAnsi"/>
          <w:bCs/>
        </w:rPr>
        <w:t xml:space="preserve">the </w:t>
      </w:r>
      <w:r w:rsidR="003E687B" w:rsidRPr="008A2917">
        <w:rPr>
          <w:rFonts w:asciiTheme="minorHAnsi" w:hAnsiTheme="minorHAnsi"/>
          <w:bCs/>
        </w:rPr>
        <w:t>Australia</w:t>
      </w:r>
      <w:r w:rsidR="005156EB" w:rsidRPr="008A2917">
        <w:rPr>
          <w:rFonts w:asciiTheme="minorHAnsi" w:hAnsiTheme="minorHAnsi"/>
          <w:bCs/>
        </w:rPr>
        <w:t>n setting</w:t>
      </w:r>
      <w:r w:rsidR="003E687B" w:rsidRPr="008A2917">
        <w:rPr>
          <w:rFonts w:asciiTheme="minorHAnsi" w:hAnsiTheme="minorHAnsi"/>
          <w:bCs/>
        </w:rPr>
        <w:t>.</w:t>
      </w:r>
    </w:p>
    <w:p w:rsidR="00EE5D3B" w:rsidRPr="008A2917" w:rsidRDefault="00062711" w:rsidP="0070150A">
      <w:pPr>
        <w:pStyle w:val="ListParagraph"/>
        <w:numPr>
          <w:ilvl w:val="0"/>
          <w:numId w:val="6"/>
        </w:numPr>
        <w:spacing w:after="120"/>
        <w:rPr>
          <w:rFonts w:asciiTheme="minorHAnsi" w:hAnsiTheme="minorHAnsi"/>
          <w:bCs/>
        </w:rPr>
      </w:pPr>
      <w:r w:rsidRPr="008A2917">
        <w:rPr>
          <w:rFonts w:asciiTheme="minorHAnsi" w:hAnsiTheme="minorHAnsi"/>
          <w:bCs/>
        </w:rPr>
        <w:t>Diabetes Queensland noted that there had been high rates of influenza and mortality in those aged 65</w:t>
      </w:r>
      <w:r w:rsidR="00DA2E0D" w:rsidRPr="008A2917">
        <w:rPr>
          <w:rFonts w:asciiTheme="minorHAnsi" w:hAnsiTheme="minorHAnsi"/>
          <w:bCs/>
        </w:rPr>
        <w:t xml:space="preserve"> years</w:t>
      </w:r>
      <w:r w:rsidRPr="008A2917">
        <w:rPr>
          <w:rFonts w:asciiTheme="minorHAnsi" w:hAnsiTheme="minorHAnsi"/>
          <w:bCs/>
        </w:rPr>
        <w:t xml:space="preserve"> and over in 2019 despite high vaccination rates</w:t>
      </w:r>
      <w:r w:rsidR="00DA2E0D" w:rsidRPr="008A2917">
        <w:rPr>
          <w:rFonts w:asciiTheme="minorHAnsi" w:hAnsiTheme="minorHAnsi"/>
          <w:bCs/>
        </w:rPr>
        <w:t>,</w:t>
      </w:r>
      <w:r w:rsidRPr="008A2917">
        <w:rPr>
          <w:rFonts w:asciiTheme="minorHAnsi" w:hAnsiTheme="minorHAnsi"/>
          <w:bCs/>
        </w:rPr>
        <w:t xml:space="preserve"> and </w:t>
      </w:r>
      <w:r w:rsidR="00857B6E" w:rsidRPr="008A2917">
        <w:rPr>
          <w:rFonts w:asciiTheme="minorHAnsi" w:hAnsiTheme="minorHAnsi"/>
          <w:bCs/>
        </w:rPr>
        <w:t xml:space="preserve">stated its </w:t>
      </w:r>
      <w:r w:rsidR="00DA2E0D" w:rsidRPr="008A2917">
        <w:rPr>
          <w:rFonts w:asciiTheme="minorHAnsi" w:hAnsiTheme="minorHAnsi"/>
          <w:bCs/>
        </w:rPr>
        <w:t xml:space="preserve">view that </w:t>
      </w:r>
      <w:r w:rsidR="00857B6E" w:rsidRPr="008A2917">
        <w:rPr>
          <w:rFonts w:asciiTheme="minorHAnsi" w:hAnsiTheme="minorHAnsi"/>
          <w:bCs/>
        </w:rPr>
        <w:t>there may be a need for a more effective vaccine.</w:t>
      </w:r>
    </w:p>
    <w:p w:rsidR="00857B6E" w:rsidRPr="008A2917" w:rsidRDefault="003E687B" w:rsidP="0070150A">
      <w:pPr>
        <w:pStyle w:val="ListParagraph"/>
        <w:numPr>
          <w:ilvl w:val="0"/>
          <w:numId w:val="6"/>
        </w:numPr>
        <w:spacing w:after="120"/>
        <w:rPr>
          <w:rFonts w:asciiTheme="minorHAnsi" w:hAnsiTheme="minorHAnsi"/>
          <w:bCs/>
        </w:rPr>
      </w:pPr>
      <w:r w:rsidRPr="008A2917">
        <w:rPr>
          <w:rFonts w:asciiTheme="minorHAnsi" w:hAnsiTheme="minorHAnsi"/>
          <w:bCs/>
        </w:rPr>
        <w:t>Diabetes Queensland outlined its support of measures to vaccinate those aged 65</w:t>
      </w:r>
      <w:r w:rsidR="00DA2E0D" w:rsidRPr="008A2917">
        <w:rPr>
          <w:rFonts w:asciiTheme="minorHAnsi" w:hAnsiTheme="minorHAnsi"/>
          <w:bCs/>
        </w:rPr>
        <w:t xml:space="preserve"> </w:t>
      </w:r>
      <w:r w:rsidR="00DA2E0D" w:rsidRPr="008A2917">
        <w:rPr>
          <w:rFonts w:asciiTheme="minorHAnsi" w:hAnsiTheme="minorHAnsi"/>
          <w:bCs/>
        </w:rPr>
        <w:lastRenderedPageBreak/>
        <w:t>years</w:t>
      </w:r>
      <w:r w:rsidRPr="008A2917">
        <w:rPr>
          <w:rFonts w:asciiTheme="minorHAnsi" w:hAnsiTheme="minorHAnsi"/>
          <w:bCs/>
        </w:rPr>
        <w:t xml:space="preserve"> and over as well as those who come into contact with this </w:t>
      </w:r>
      <w:r w:rsidR="00052299" w:rsidRPr="008A2917">
        <w:rPr>
          <w:rFonts w:asciiTheme="minorHAnsi" w:hAnsiTheme="minorHAnsi"/>
          <w:bCs/>
        </w:rPr>
        <w:t>population</w:t>
      </w:r>
      <w:r w:rsidR="008A2917">
        <w:rPr>
          <w:rFonts w:asciiTheme="minorHAnsi" w:hAnsiTheme="minorHAnsi"/>
          <w:bCs/>
        </w:rPr>
        <w:t xml:space="preserve">. </w:t>
      </w:r>
    </w:p>
    <w:p w:rsidR="00CB0A5B" w:rsidRPr="008A2917" w:rsidRDefault="00CB0A5B" w:rsidP="00387896">
      <w:pPr>
        <w:pStyle w:val="Heading2"/>
      </w:pPr>
      <w:r w:rsidRPr="008A2917">
        <w:t>Clinical trials</w:t>
      </w:r>
      <w:bookmarkEnd w:id="12"/>
      <w:bookmarkEnd w:id="13"/>
    </w:p>
    <w:p w:rsidR="00203A18" w:rsidRPr="008A2917" w:rsidRDefault="00203A18" w:rsidP="00387896">
      <w:pPr>
        <w:widowControl/>
        <w:numPr>
          <w:ilvl w:val="1"/>
          <w:numId w:val="1"/>
        </w:numPr>
        <w:spacing w:after="160"/>
        <w:rPr>
          <w:rFonts w:cs="Calibri"/>
          <w:iCs/>
          <w:snapToGrid/>
          <w:szCs w:val="24"/>
          <w:lang w:eastAsia="en-AU"/>
        </w:rPr>
      </w:pPr>
      <w:r w:rsidRPr="008A2917">
        <w:rPr>
          <w:rFonts w:cs="Calibri"/>
          <w:iCs/>
          <w:snapToGrid/>
          <w:szCs w:val="24"/>
          <w:lang w:eastAsia="en-AU"/>
        </w:rPr>
        <w:t xml:space="preserve">The resubmission did not </w:t>
      </w:r>
      <w:r w:rsidR="00142FA8" w:rsidRPr="008A2917">
        <w:rPr>
          <w:rFonts w:cs="Calibri"/>
          <w:iCs/>
          <w:snapToGrid/>
          <w:szCs w:val="24"/>
          <w:lang w:eastAsia="en-AU"/>
        </w:rPr>
        <w:t>re-</w:t>
      </w:r>
      <w:r w:rsidRPr="008A2917">
        <w:rPr>
          <w:rFonts w:cs="Calibri"/>
          <w:iCs/>
          <w:snapToGrid/>
          <w:szCs w:val="24"/>
          <w:lang w:eastAsia="en-AU"/>
        </w:rPr>
        <w:t>present details of the relevant trials identified within the previous submission</w:t>
      </w:r>
      <w:r w:rsidR="00142FA8" w:rsidRPr="008A2917">
        <w:rPr>
          <w:rFonts w:cs="Calibri"/>
          <w:iCs/>
          <w:snapToGrid/>
          <w:szCs w:val="24"/>
          <w:lang w:eastAsia="en-AU"/>
        </w:rPr>
        <w:t xml:space="preserve">, however key results were </w:t>
      </w:r>
      <w:r w:rsidR="00DA2E0D" w:rsidRPr="008A2917">
        <w:rPr>
          <w:rFonts w:cs="Calibri"/>
          <w:iCs/>
          <w:snapToGrid/>
          <w:szCs w:val="24"/>
          <w:lang w:eastAsia="en-AU"/>
        </w:rPr>
        <w:t>re-</w:t>
      </w:r>
      <w:r w:rsidR="00142FA8" w:rsidRPr="008A2917">
        <w:rPr>
          <w:rFonts w:cs="Calibri"/>
          <w:iCs/>
          <w:snapToGrid/>
          <w:szCs w:val="24"/>
          <w:lang w:eastAsia="en-AU"/>
        </w:rPr>
        <w:t>presented in the Commentary.</w:t>
      </w:r>
    </w:p>
    <w:p w:rsidR="00203A18" w:rsidRPr="008A2917" w:rsidRDefault="00203A18" w:rsidP="00387896">
      <w:pPr>
        <w:widowControl/>
        <w:numPr>
          <w:ilvl w:val="1"/>
          <w:numId w:val="1"/>
        </w:numPr>
        <w:spacing w:after="160"/>
        <w:rPr>
          <w:rFonts w:cs="Calibri"/>
          <w:snapToGrid/>
          <w:szCs w:val="24"/>
          <w:lang w:eastAsia="en-AU"/>
        </w:rPr>
      </w:pPr>
      <w:r w:rsidRPr="008A2917">
        <w:rPr>
          <w:rFonts w:cs="Calibri"/>
          <w:snapToGrid/>
          <w:szCs w:val="24"/>
          <w:lang w:eastAsia="en-AU"/>
        </w:rPr>
        <w:t xml:space="preserve">The resubmission did not </w:t>
      </w:r>
      <w:r w:rsidR="00142FA8" w:rsidRPr="008A2917">
        <w:rPr>
          <w:rFonts w:cs="Calibri"/>
          <w:snapToGrid/>
          <w:szCs w:val="24"/>
          <w:lang w:eastAsia="en-AU"/>
        </w:rPr>
        <w:t xml:space="preserve">identify </w:t>
      </w:r>
      <w:r w:rsidRPr="008A2917">
        <w:rPr>
          <w:rFonts w:cs="Calibri"/>
          <w:snapToGrid/>
          <w:szCs w:val="24"/>
          <w:lang w:eastAsia="en-AU"/>
        </w:rPr>
        <w:t xml:space="preserve">any head-to-head randomised controlled trials (RCTs) comparing TIV-HD and QIV-SD. The resubmission </w:t>
      </w:r>
      <w:r w:rsidR="00CD4BB8" w:rsidRPr="008A2917">
        <w:rPr>
          <w:rFonts w:cs="Calibri"/>
          <w:snapToGrid/>
          <w:szCs w:val="24"/>
          <w:lang w:eastAsia="en-AU"/>
        </w:rPr>
        <w:t>relied upon the previous submission’s clinical claim that TIV-HD is superior to TIV-SD, and in turn QIV-SD,</w:t>
      </w:r>
      <w:r w:rsidRPr="008A2917">
        <w:rPr>
          <w:rFonts w:cs="Calibri"/>
          <w:snapToGrid/>
          <w:szCs w:val="24"/>
          <w:lang w:eastAsia="en-AU"/>
        </w:rPr>
        <w:t xml:space="preserve"> based on the two following clinical trials comparing TIV-HD to TIV-SD. </w:t>
      </w:r>
    </w:p>
    <w:p w:rsidR="00203A18" w:rsidRPr="008A2917" w:rsidRDefault="00203A18" w:rsidP="00387896">
      <w:pPr>
        <w:pStyle w:val="Intextbulletpoints"/>
        <w:widowControl/>
        <w:rPr>
          <w:lang w:val="en-AU"/>
        </w:rPr>
      </w:pPr>
      <w:r w:rsidRPr="008A2917">
        <w:rPr>
          <w:lang w:val="en-AU"/>
        </w:rPr>
        <w:t>FIM12: A Phase III/IV large scale, multi-centre, randomised, double blind, active-controlled trial comparing the efficacy and safety of TIV-HD to TIV-SD in a population aged ≥ 65 years in the US and Canada over two consecutive influenza seasons (N=31,989).</w:t>
      </w:r>
    </w:p>
    <w:p w:rsidR="00203A18" w:rsidRPr="008A2917" w:rsidRDefault="00203A18" w:rsidP="00387896">
      <w:pPr>
        <w:pStyle w:val="Intextbulletpoints"/>
        <w:widowControl/>
        <w:rPr>
          <w:lang w:val="en-AU"/>
        </w:rPr>
      </w:pPr>
      <w:proofErr w:type="spellStart"/>
      <w:r w:rsidRPr="008A2917">
        <w:rPr>
          <w:lang w:val="en-AU"/>
        </w:rPr>
        <w:t>Gravenstein</w:t>
      </w:r>
      <w:proofErr w:type="spellEnd"/>
      <w:r w:rsidR="00396D2A" w:rsidRPr="008A2917">
        <w:rPr>
          <w:lang w:val="en-AU"/>
        </w:rPr>
        <w:t xml:space="preserve"> 2017</w:t>
      </w:r>
      <w:r w:rsidRPr="008A2917">
        <w:rPr>
          <w:lang w:val="en-AU"/>
        </w:rPr>
        <w:t xml:space="preserve">: A large cluster </w:t>
      </w:r>
      <w:r w:rsidR="003825A4" w:rsidRPr="008A2917">
        <w:rPr>
          <w:lang w:val="en-AU"/>
        </w:rPr>
        <w:t xml:space="preserve">trial </w:t>
      </w:r>
      <w:r w:rsidRPr="008A2917">
        <w:rPr>
          <w:lang w:val="en-AU"/>
        </w:rPr>
        <w:t>of 823 nursing home residents aged ≥ 65 years conducted over a single influenza season (N=92,269 residents were recruited, N=53,008 met the inclusion criteria)</w:t>
      </w:r>
      <w:r w:rsidR="001E38D1" w:rsidRPr="008A2917">
        <w:rPr>
          <w:lang w:val="en-AU"/>
        </w:rPr>
        <w:t>, with randomis</w:t>
      </w:r>
      <w:r w:rsidR="003825A4" w:rsidRPr="008A2917">
        <w:rPr>
          <w:lang w:val="en-AU"/>
        </w:rPr>
        <w:t>ation at the level of nursing home</w:t>
      </w:r>
      <w:r w:rsidRPr="008A2917">
        <w:rPr>
          <w:lang w:val="en-AU"/>
        </w:rPr>
        <w:t xml:space="preserve">. </w:t>
      </w:r>
    </w:p>
    <w:p w:rsidR="00203A18" w:rsidRPr="008A2917" w:rsidRDefault="00203A18" w:rsidP="00387896">
      <w:pPr>
        <w:widowControl/>
        <w:numPr>
          <w:ilvl w:val="1"/>
          <w:numId w:val="1"/>
        </w:numPr>
        <w:spacing w:after="160"/>
      </w:pPr>
      <w:r w:rsidRPr="008A2917">
        <w:rPr>
          <w:rFonts w:cs="Calibri"/>
          <w:snapToGrid/>
          <w:szCs w:val="24"/>
          <w:lang w:eastAsia="en-AU"/>
        </w:rPr>
        <w:t xml:space="preserve">The resubmission used </w:t>
      </w:r>
      <w:proofErr w:type="spellStart"/>
      <w:r w:rsidR="00240F35" w:rsidRPr="008A2917">
        <w:rPr>
          <w:rFonts w:cs="Calibri"/>
          <w:snapToGrid/>
          <w:szCs w:val="24"/>
          <w:lang w:eastAsia="en-AU"/>
        </w:rPr>
        <w:t>Izurieta</w:t>
      </w:r>
      <w:proofErr w:type="spellEnd"/>
      <w:r w:rsidR="00240F35" w:rsidRPr="008A2917">
        <w:rPr>
          <w:rFonts w:cs="Calibri"/>
          <w:snapToGrid/>
          <w:szCs w:val="24"/>
          <w:lang w:eastAsia="en-AU"/>
        </w:rPr>
        <w:t xml:space="preserve"> </w:t>
      </w:r>
      <w:r w:rsidRPr="008A2917">
        <w:rPr>
          <w:rFonts w:cs="Calibri"/>
          <w:snapToGrid/>
          <w:szCs w:val="24"/>
          <w:lang w:eastAsia="en-AU"/>
        </w:rPr>
        <w:t>to inform the comparison of TIV-HD</w:t>
      </w:r>
      <w:r w:rsidR="00BD10D0" w:rsidRPr="008A2917">
        <w:rPr>
          <w:rFonts w:cs="Calibri"/>
          <w:snapToGrid/>
          <w:szCs w:val="24"/>
          <w:lang w:eastAsia="en-AU"/>
        </w:rPr>
        <w:t xml:space="preserve"> to</w:t>
      </w:r>
      <w:r w:rsidRPr="008A2917">
        <w:rPr>
          <w:rFonts w:cs="Calibri"/>
          <w:snapToGrid/>
          <w:szCs w:val="24"/>
          <w:lang w:eastAsia="en-AU"/>
        </w:rPr>
        <w:t xml:space="preserve"> </w:t>
      </w:r>
      <w:proofErr w:type="spellStart"/>
      <w:r w:rsidR="004922B5" w:rsidRPr="008A2917">
        <w:rPr>
          <w:rFonts w:cs="Calibri"/>
          <w:snapToGrid/>
          <w:szCs w:val="24"/>
          <w:lang w:eastAsia="en-AU"/>
        </w:rPr>
        <w:t>aTIV</w:t>
      </w:r>
      <w:proofErr w:type="spellEnd"/>
      <w:r w:rsidRPr="008A2917">
        <w:rPr>
          <w:rFonts w:cs="Calibri"/>
          <w:snapToGrid/>
          <w:szCs w:val="24"/>
          <w:lang w:eastAsia="en-AU"/>
        </w:rPr>
        <w:t xml:space="preserve">. </w:t>
      </w:r>
      <w:proofErr w:type="spellStart"/>
      <w:r w:rsidR="00C80D28" w:rsidRPr="008A2917">
        <w:rPr>
          <w:rFonts w:cs="Calibri"/>
          <w:snapToGrid/>
          <w:szCs w:val="24"/>
          <w:lang w:eastAsia="en-AU"/>
        </w:rPr>
        <w:t>Izurieta</w:t>
      </w:r>
      <w:proofErr w:type="spellEnd"/>
      <w:r w:rsidR="00C80D28" w:rsidRPr="008A2917">
        <w:rPr>
          <w:rFonts w:cs="Calibri"/>
          <w:snapToGrid/>
          <w:szCs w:val="24"/>
          <w:lang w:eastAsia="en-AU"/>
        </w:rPr>
        <w:t xml:space="preserve"> </w:t>
      </w:r>
      <w:r w:rsidR="00F344EA" w:rsidRPr="008A2917">
        <w:rPr>
          <w:rFonts w:cs="Calibri"/>
          <w:snapToGrid/>
          <w:szCs w:val="24"/>
          <w:lang w:eastAsia="en-AU"/>
        </w:rPr>
        <w:t>wa</w:t>
      </w:r>
      <w:r w:rsidRPr="008A2917">
        <w:rPr>
          <w:rFonts w:cs="Calibri"/>
          <w:snapToGrid/>
          <w:szCs w:val="24"/>
          <w:lang w:eastAsia="en-AU"/>
        </w:rPr>
        <w:t>s an observational study comparing cell-cultured QIV</w:t>
      </w:r>
      <w:r w:rsidR="000E05B0" w:rsidRPr="008A2917">
        <w:rPr>
          <w:rFonts w:cs="Calibri"/>
          <w:snapToGrid/>
          <w:szCs w:val="24"/>
          <w:lang w:eastAsia="en-AU"/>
        </w:rPr>
        <w:t xml:space="preserve"> and</w:t>
      </w:r>
      <w:r w:rsidRPr="008A2917">
        <w:rPr>
          <w:rFonts w:cs="Calibri"/>
          <w:snapToGrid/>
          <w:szCs w:val="24"/>
          <w:lang w:eastAsia="en-AU"/>
        </w:rPr>
        <w:t xml:space="preserve"> egg-based QIV</w:t>
      </w:r>
      <w:r w:rsidR="000E05B0" w:rsidRPr="008A2917">
        <w:rPr>
          <w:rFonts w:cs="Calibri"/>
          <w:snapToGrid/>
          <w:szCs w:val="24"/>
          <w:lang w:eastAsia="en-AU"/>
        </w:rPr>
        <w:t>-SD,</w:t>
      </w:r>
      <w:r w:rsidRPr="008A2917">
        <w:rPr>
          <w:rFonts w:cs="Calibri"/>
          <w:snapToGrid/>
          <w:szCs w:val="24"/>
          <w:lang w:eastAsia="en-AU"/>
        </w:rPr>
        <w:t xml:space="preserve"> TIV-HD, </w:t>
      </w:r>
      <w:proofErr w:type="spellStart"/>
      <w:r w:rsidR="004922B5" w:rsidRPr="008A2917">
        <w:rPr>
          <w:rFonts w:cs="Calibri"/>
          <w:snapToGrid/>
          <w:szCs w:val="24"/>
          <w:lang w:eastAsia="en-AU"/>
        </w:rPr>
        <w:t>aTIV</w:t>
      </w:r>
      <w:proofErr w:type="spellEnd"/>
      <w:r w:rsidRPr="008A2917">
        <w:rPr>
          <w:rFonts w:cs="Calibri"/>
          <w:snapToGrid/>
          <w:szCs w:val="24"/>
          <w:lang w:eastAsia="en-AU"/>
        </w:rPr>
        <w:t xml:space="preserve"> and TIV-SD in approximately 13 million adults aged ≥65 years in the US within the 2017-18 influenza season. </w:t>
      </w:r>
    </w:p>
    <w:p w:rsidR="00EA1E4E" w:rsidRPr="008A2917" w:rsidRDefault="00EA1E4E" w:rsidP="00D76698">
      <w:pPr>
        <w:widowControl/>
        <w:numPr>
          <w:ilvl w:val="1"/>
          <w:numId w:val="1"/>
        </w:numPr>
        <w:spacing w:after="160"/>
        <w:rPr>
          <w:rFonts w:cs="Calibri"/>
          <w:snapToGrid/>
          <w:szCs w:val="24"/>
          <w:lang w:eastAsia="en-AU"/>
        </w:rPr>
      </w:pPr>
      <w:r w:rsidRPr="008A2917">
        <w:rPr>
          <w:rFonts w:cs="Calibri"/>
          <w:snapToGrid/>
          <w:szCs w:val="24"/>
          <w:lang w:eastAsia="en-AU"/>
        </w:rPr>
        <w:t xml:space="preserve">An additional relevant study which compares the vaccine effectiveness of </w:t>
      </w:r>
      <w:proofErr w:type="spellStart"/>
      <w:r w:rsidRPr="008A2917">
        <w:rPr>
          <w:rFonts w:cs="Calibri"/>
          <w:snapToGrid/>
          <w:szCs w:val="24"/>
          <w:lang w:eastAsia="en-AU"/>
        </w:rPr>
        <w:t>aTIV</w:t>
      </w:r>
      <w:proofErr w:type="spellEnd"/>
      <w:r w:rsidRPr="008A2917">
        <w:rPr>
          <w:rFonts w:cs="Calibri"/>
          <w:snapToGrid/>
          <w:szCs w:val="24"/>
          <w:lang w:eastAsia="en-AU"/>
        </w:rPr>
        <w:t xml:space="preserve"> with TIV-SD, </w:t>
      </w:r>
      <w:proofErr w:type="spellStart"/>
      <w:r w:rsidRPr="008A2917">
        <w:rPr>
          <w:rFonts w:cs="Calibri"/>
          <w:snapToGrid/>
          <w:szCs w:val="24"/>
          <w:lang w:eastAsia="en-AU"/>
        </w:rPr>
        <w:t>Mannino</w:t>
      </w:r>
      <w:proofErr w:type="spellEnd"/>
      <w:r w:rsidRPr="008A2917">
        <w:rPr>
          <w:rFonts w:cs="Calibri"/>
          <w:snapToGrid/>
          <w:szCs w:val="24"/>
          <w:lang w:eastAsia="en-AU"/>
        </w:rPr>
        <w:t xml:space="preserve"> </w:t>
      </w:r>
      <w:r w:rsidR="00C80D28" w:rsidRPr="008A2917">
        <w:rPr>
          <w:rFonts w:cs="Calibri"/>
          <w:snapToGrid/>
          <w:szCs w:val="24"/>
          <w:lang w:eastAsia="en-AU"/>
        </w:rPr>
        <w:t xml:space="preserve">et al. </w:t>
      </w:r>
      <w:r w:rsidRPr="008A2917">
        <w:rPr>
          <w:rFonts w:cs="Calibri"/>
          <w:snapToGrid/>
          <w:szCs w:val="24"/>
          <w:lang w:eastAsia="en-AU"/>
        </w:rPr>
        <w:t>(</w:t>
      </w:r>
      <w:r w:rsidR="00C80D28" w:rsidRPr="008A2917">
        <w:rPr>
          <w:rFonts w:cs="Calibri"/>
          <w:snapToGrid/>
          <w:szCs w:val="24"/>
          <w:lang w:eastAsia="en-AU"/>
        </w:rPr>
        <w:t>2012)</w:t>
      </w:r>
      <w:r w:rsidRPr="008A2917">
        <w:rPr>
          <w:rFonts w:cs="Calibri"/>
          <w:snapToGrid/>
          <w:szCs w:val="24"/>
          <w:vertAlign w:val="superscript"/>
          <w:lang w:eastAsia="en-AU"/>
        </w:rPr>
        <w:footnoteReference w:id="2"/>
      </w:r>
      <w:r w:rsidRPr="008A2917">
        <w:rPr>
          <w:rFonts w:cs="Calibri"/>
          <w:snapToGrid/>
          <w:szCs w:val="24"/>
          <w:lang w:eastAsia="en-AU"/>
        </w:rPr>
        <w:t xml:space="preserve"> was identified during the evaluation. This study was not included in the resubmission because it fell outside the inclusion criteria for the literature search, namely </w:t>
      </w:r>
      <w:r w:rsidR="00396D2A" w:rsidRPr="008A2917">
        <w:rPr>
          <w:rFonts w:cs="Calibri"/>
          <w:snapToGrid/>
          <w:szCs w:val="24"/>
          <w:lang w:eastAsia="en-AU"/>
        </w:rPr>
        <w:t xml:space="preserve">a comparison of </w:t>
      </w:r>
      <w:r w:rsidRPr="008A2917">
        <w:rPr>
          <w:rFonts w:cs="Calibri"/>
          <w:snapToGrid/>
          <w:szCs w:val="24"/>
          <w:lang w:eastAsia="en-AU"/>
        </w:rPr>
        <w:t xml:space="preserve">TIV-HD with </w:t>
      </w:r>
      <w:proofErr w:type="spellStart"/>
      <w:r w:rsidRPr="008A2917">
        <w:rPr>
          <w:rFonts w:cs="Calibri"/>
          <w:snapToGrid/>
          <w:szCs w:val="24"/>
          <w:lang w:eastAsia="en-AU"/>
        </w:rPr>
        <w:t>aTIV</w:t>
      </w:r>
      <w:proofErr w:type="spellEnd"/>
      <w:r w:rsidRPr="008A2917">
        <w:rPr>
          <w:rFonts w:cs="Calibri"/>
          <w:snapToGrid/>
          <w:szCs w:val="24"/>
          <w:lang w:eastAsia="en-AU"/>
        </w:rPr>
        <w:t xml:space="preserve"> or </w:t>
      </w:r>
      <w:proofErr w:type="spellStart"/>
      <w:r w:rsidRPr="008A2917">
        <w:rPr>
          <w:rFonts w:cs="Calibri"/>
          <w:snapToGrid/>
          <w:szCs w:val="24"/>
          <w:lang w:eastAsia="en-AU"/>
        </w:rPr>
        <w:t>aQIV</w:t>
      </w:r>
      <w:proofErr w:type="spellEnd"/>
      <w:r w:rsidRPr="008A2917">
        <w:rPr>
          <w:rFonts w:cs="Calibri"/>
          <w:snapToGrid/>
          <w:szCs w:val="24"/>
          <w:lang w:eastAsia="en-AU"/>
        </w:rPr>
        <w:t>. However, the submission use</w:t>
      </w:r>
      <w:r w:rsidR="002C217A" w:rsidRPr="008A2917">
        <w:rPr>
          <w:rFonts w:cs="Calibri"/>
          <w:snapToGrid/>
          <w:szCs w:val="24"/>
          <w:lang w:eastAsia="en-AU"/>
        </w:rPr>
        <w:t>d</w:t>
      </w:r>
      <w:r w:rsidRPr="008A2917">
        <w:rPr>
          <w:rFonts w:cs="Calibri"/>
          <w:snapToGrid/>
          <w:szCs w:val="24"/>
          <w:lang w:eastAsia="en-AU"/>
        </w:rPr>
        <w:t xml:space="preserve"> the relative effectiveness of </w:t>
      </w:r>
      <w:proofErr w:type="spellStart"/>
      <w:r w:rsidRPr="008A2917">
        <w:rPr>
          <w:rFonts w:cs="Calibri"/>
          <w:snapToGrid/>
          <w:szCs w:val="24"/>
          <w:lang w:eastAsia="en-AU"/>
        </w:rPr>
        <w:t>aTIV</w:t>
      </w:r>
      <w:proofErr w:type="spellEnd"/>
      <w:r w:rsidRPr="008A2917">
        <w:rPr>
          <w:rFonts w:cs="Calibri"/>
          <w:snapToGrid/>
          <w:szCs w:val="24"/>
          <w:lang w:eastAsia="en-AU"/>
        </w:rPr>
        <w:t xml:space="preserve"> to TIV-SD from </w:t>
      </w:r>
      <w:proofErr w:type="spellStart"/>
      <w:r w:rsidR="00240F35" w:rsidRPr="008A2917">
        <w:rPr>
          <w:rFonts w:cs="Calibri"/>
          <w:snapToGrid/>
          <w:szCs w:val="24"/>
          <w:lang w:eastAsia="en-AU"/>
        </w:rPr>
        <w:t>Izurieta</w:t>
      </w:r>
      <w:proofErr w:type="spellEnd"/>
      <w:r w:rsidRPr="008A2917">
        <w:rPr>
          <w:rFonts w:cs="Calibri"/>
          <w:snapToGrid/>
          <w:szCs w:val="24"/>
          <w:lang w:eastAsia="en-AU"/>
        </w:rPr>
        <w:t xml:space="preserve">, and data for this comparison is also available from </w:t>
      </w:r>
      <w:proofErr w:type="spellStart"/>
      <w:r w:rsidRPr="008A2917">
        <w:rPr>
          <w:rFonts w:cs="Calibri"/>
          <w:snapToGrid/>
          <w:szCs w:val="24"/>
          <w:lang w:eastAsia="en-AU"/>
        </w:rPr>
        <w:t>Mannino</w:t>
      </w:r>
      <w:proofErr w:type="spellEnd"/>
      <w:r w:rsidRPr="008A2917">
        <w:rPr>
          <w:rFonts w:cs="Calibri"/>
          <w:snapToGrid/>
          <w:szCs w:val="24"/>
          <w:lang w:eastAsia="en-AU"/>
        </w:rPr>
        <w:t>.</w:t>
      </w:r>
      <w:r w:rsidR="00776CAE" w:rsidRPr="008A2917">
        <w:rPr>
          <w:rFonts w:cs="Calibri"/>
          <w:snapToGrid/>
          <w:szCs w:val="24"/>
          <w:lang w:eastAsia="en-AU"/>
        </w:rPr>
        <w:t xml:space="preserve"> The ESC noted exclusion of the </w:t>
      </w:r>
      <w:proofErr w:type="spellStart"/>
      <w:r w:rsidR="00776CAE" w:rsidRPr="008A2917">
        <w:rPr>
          <w:rFonts w:cs="Calibri"/>
          <w:snapToGrid/>
          <w:szCs w:val="24"/>
          <w:lang w:eastAsia="en-AU"/>
        </w:rPr>
        <w:t>Mannino</w:t>
      </w:r>
      <w:proofErr w:type="spellEnd"/>
      <w:r w:rsidR="00776CAE" w:rsidRPr="008A2917">
        <w:rPr>
          <w:rFonts w:cs="Calibri"/>
          <w:snapToGrid/>
          <w:szCs w:val="24"/>
          <w:lang w:eastAsia="en-AU"/>
        </w:rPr>
        <w:t xml:space="preserve"> trial may not be appropriate an</w:t>
      </w:r>
      <w:r w:rsidR="00911051" w:rsidRPr="008A2917">
        <w:rPr>
          <w:rFonts w:cs="Calibri"/>
          <w:snapToGrid/>
          <w:szCs w:val="24"/>
          <w:lang w:eastAsia="en-AU"/>
        </w:rPr>
        <w:t xml:space="preserve">d </w:t>
      </w:r>
      <w:r w:rsidR="00776CAE" w:rsidRPr="008A2917">
        <w:rPr>
          <w:rFonts w:cs="Calibri"/>
          <w:snapToGrid/>
          <w:szCs w:val="24"/>
          <w:lang w:eastAsia="en-AU"/>
        </w:rPr>
        <w:t xml:space="preserve">that the results </w:t>
      </w:r>
      <w:r w:rsidR="00911051" w:rsidRPr="008A2917">
        <w:rPr>
          <w:rFonts w:cs="Calibri"/>
          <w:snapToGrid/>
          <w:szCs w:val="24"/>
          <w:lang w:eastAsia="en-AU"/>
        </w:rPr>
        <w:t xml:space="preserve">suggested a greater </w:t>
      </w:r>
      <w:proofErr w:type="spellStart"/>
      <w:r w:rsidR="00911051" w:rsidRPr="008A2917">
        <w:rPr>
          <w:rFonts w:cs="Calibri"/>
          <w:snapToGrid/>
          <w:szCs w:val="24"/>
          <w:lang w:eastAsia="en-AU"/>
        </w:rPr>
        <w:t>rVE</w:t>
      </w:r>
      <w:proofErr w:type="spellEnd"/>
      <w:r w:rsidR="00911051" w:rsidRPr="008A2917">
        <w:rPr>
          <w:rFonts w:cs="Calibri"/>
          <w:snapToGrid/>
          <w:szCs w:val="24"/>
          <w:lang w:eastAsia="en-AU"/>
        </w:rPr>
        <w:t xml:space="preserve"> for </w:t>
      </w:r>
      <w:proofErr w:type="spellStart"/>
      <w:r w:rsidR="00911051" w:rsidRPr="008A2917">
        <w:rPr>
          <w:rFonts w:cs="Calibri"/>
          <w:snapToGrid/>
          <w:szCs w:val="24"/>
          <w:lang w:eastAsia="en-AU"/>
        </w:rPr>
        <w:t>aTIV</w:t>
      </w:r>
      <w:proofErr w:type="spellEnd"/>
      <w:r w:rsidR="00911051" w:rsidRPr="008A2917">
        <w:rPr>
          <w:rFonts w:cs="Calibri"/>
          <w:snapToGrid/>
          <w:szCs w:val="24"/>
          <w:lang w:eastAsia="en-AU"/>
        </w:rPr>
        <w:t xml:space="preserve"> vs TIV-SD, and hence a reduced benefit for TIV-HD vs </w:t>
      </w:r>
      <w:proofErr w:type="spellStart"/>
      <w:r w:rsidR="00911051" w:rsidRPr="008A2917">
        <w:rPr>
          <w:rFonts w:cs="Calibri"/>
          <w:snapToGrid/>
          <w:szCs w:val="24"/>
          <w:lang w:eastAsia="en-AU"/>
        </w:rPr>
        <w:t>aTIV</w:t>
      </w:r>
      <w:proofErr w:type="spellEnd"/>
      <w:r w:rsidR="00911051" w:rsidRPr="008A2917">
        <w:rPr>
          <w:rFonts w:cs="Calibri"/>
          <w:snapToGrid/>
          <w:szCs w:val="24"/>
          <w:lang w:eastAsia="en-AU"/>
        </w:rPr>
        <w:t xml:space="preserve"> and </w:t>
      </w:r>
      <w:proofErr w:type="spellStart"/>
      <w:r w:rsidR="00911051" w:rsidRPr="008A2917">
        <w:rPr>
          <w:rFonts w:cs="Calibri"/>
          <w:snapToGrid/>
          <w:szCs w:val="24"/>
          <w:lang w:eastAsia="en-AU"/>
        </w:rPr>
        <w:t>aQIV</w:t>
      </w:r>
      <w:proofErr w:type="spellEnd"/>
      <w:r w:rsidR="00911051" w:rsidRPr="008A2917">
        <w:rPr>
          <w:rFonts w:cs="Calibri"/>
          <w:snapToGrid/>
          <w:szCs w:val="24"/>
          <w:lang w:eastAsia="en-AU"/>
        </w:rPr>
        <w:t>.</w:t>
      </w:r>
    </w:p>
    <w:p w:rsidR="00203A18" w:rsidRPr="008A2917" w:rsidRDefault="00203A18" w:rsidP="00387896">
      <w:pPr>
        <w:widowControl/>
        <w:numPr>
          <w:ilvl w:val="1"/>
          <w:numId w:val="1"/>
        </w:numPr>
        <w:spacing w:after="160"/>
      </w:pPr>
      <w:r w:rsidRPr="008A2917">
        <w:rPr>
          <w:rFonts w:cs="Calibri"/>
          <w:snapToGrid/>
          <w:szCs w:val="24"/>
          <w:lang w:eastAsia="en-AU"/>
        </w:rPr>
        <w:t xml:space="preserve">Details of the trials presented in the previous submission and in the resubmission are provided in Table </w:t>
      </w:r>
      <w:r w:rsidR="001C1195" w:rsidRPr="008A2917">
        <w:rPr>
          <w:rFonts w:cs="Calibri"/>
          <w:snapToGrid/>
          <w:szCs w:val="24"/>
          <w:lang w:eastAsia="en-AU"/>
        </w:rPr>
        <w:t>4</w:t>
      </w:r>
      <w:r w:rsidRPr="008A2917">
        <w:rPr>
          <w:rFonts w:cs="Calibri"/>
          <w:snapToGrid/>
          <w:szCs w:val="24"/>
          <w:lang w:eastAsia="en-AU"/>
        </w:rPr>
        <w:t>.</w:t>
      </w:r>
    </w:p>
    <w:p w:rsidR="00203A18" w:rsidRPr="008A2917" w:rsidRDefault="00203A18" w:rsidP="00387896">
      <w:pPr>
        <w:pStyle w:val="TableHeading0"/>
      </w:pPr>
      <w:r w:rsidRPr="008A2917">
        <w:lastRenderedPageBreak/>
        <w:t xml:space="preserve">Table </w:t>
      </w:r>
      <w:r w:rsidR="001C1195" w:rsidRPr="008A2917">
        <w:t>4</w:t>
      </w:r>
      <w:r w:rsidRPr="008A2917">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4678"/>
        <w:gridCol w:w="3210"/>
      </w:tblGrid>
      <w:tr w:rsidR="00203A18" w:rsidRPr="008A2917" w:rsidTr="00077402">
        <w:tc>
          <w:tcPr>
            <w:tcW w:w="626" w:type="pct"/>
            <w:vAlign w:val="center"/>
          </w:tcPr>
          <w:p w:rsidR="00203A18" w:rsidRPr="008A2917" w:rsidRDefault="00203A18" w:rsidP="00387896">
            <w:pPr>
              <w:keepNext/>
              <w:widowControl/>
              <w:spacing w:before="40" w:after="40"/>
              <w:jc w:val="left"/>
              <w:rPr>
                <w:rFonts w:ascii="Arial Narrow" w:hAnsi="Arial Narrow" w:cs="Arial Narrow"/>
                <w:b/>
                <w:bCs/>
                <w:snapToGrid/>
                <w:sz w:val="20"/>
                <w:szCs w:val="20"/>
              </w:rPr>
            </w:pPr>
            <w:r w:rsidRPr="008A2917">
              <w:rPr>
                <w:rFonts w:ascii="Arial Narrow" w:hAnsi="Arial Narrow" w:cs="Arial Narrow"/>
                <w:b/>
                <w:bCs/>
                <w:snapToGrid/>
                <w:sz w:val="20"/>
                <w:szCs w:val="20"/>
              </w:rPr>
              <w:t>Trial ID</w:t>
            </w:r>
          </w:p>
        </w:tc>
        <w:tc>
          <w:tcPr>
            <w:tcW w:w="2594" w:type="pct"/>
            <w:vAlign w:val="center"/>
          </w:tcPr>
          <w:p w:rsidR="00203A18" w:rsidRPr="008A2917" w:rsidRDefault="00203A18" w:rsidP="00387896">
            <w:pPr>
              <w:keepNext/>
              <w:widowControl/>
              <w:spacing w:before="40" w:after="40"/>
              <w:jc w:val="left"/>
              <w:rPr>
                <w:rFonts w:ascii="Arial Narrow" w:hAnsi="Arial Narrow" w:cs="Arial Narrow"/>
                <w:b/>
                <w:bCs/>
                <w:snapToGrid/>
                <w:sz w:val="20"/>
                <w:szCs w:val="20"/>
              </w:rPr>
            </w:pPr>
            <w:r w:rsidRPr="008A2917">
              <w:rPr>
                <w:rFonts w:ascii="Arial Narrow" w:hAnsi="Arial Narrow" w:cs="Arial Narrow"/>
                <w:b/>
                <w:bCs/>
                <w:snapToGrid/>
                <w:sz w:val="20"/>
                <w:szCs w:val="20"/>
              </w:rPr>
              <w:t>Protocol title/ Publication title</w:t>
            </w:r>
          </w:p>
        </w:tc>
        <w:tc>
          <w:tcPr>
            <w:tcW w:w="1780" w:type="pct"/>
            <w:vAlign w:val="center"/>
          </w:tcPr>
          <w:p w:rsidR="00203A18" w:rsidRPr="008A2917" w:rsidRDefault="00203A18" w:rsidP="00387896">
            <w:pPr>
              <w:keepNext/>
              <w:widowControl/>
              <w:spacing w:before="40" w:after="40"/>
              <w:jc w:val="left"/>
              <w:rPr>
                <w:rFonts w:ascii="Arial Narrow" w:hAnsi="Arial Narrow" w:cs="Arial Narrow"/>
                <w:b/>
                <w:bCs/>
                <w:snapToGrid/>
                <w:sz w:val="20"/>
                <w:szCs w:val="20"/>
              </w:rPr>
            </w:pPr>
            <w:r w:rsidRPr="008A2917">
              <w:rPr>
                <w:rFonts w:ascii="Arial Narrow" w:hAnsi="Arial Narrow" w:cs="Arial Narrow"/>
                <w:b/>
                <w:bCs/>
                <w:snapToGrid/>
                <w:sz w:val="20"/>
                <w:szCs w:val="20"/>
              </w:rPr>
              <w:t>Publication citation</w:t>
            </w:r>
          </w:p>
        </w:tc>
      </w:tr>
      <w:tr w:rsidR="00203A18" w:rsidRPr="008A2917" w:rsidTr="00077402">
        <w:trPr>
          <w:cantSplit/>
        </w:trPr>
        <w:tc>
          <w:tcPr>
            <w:tcW w:w="626" w:type="pct"/>
            <w:vMerge w:val="restart"/>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FIM12</w:t>
            </w:r>
          </w:p>
        </w:tc>
        <w:tc>
          <w:tcPr>
            <w:tcW w:w="2594" w:type="pct"/>
          </w:tcPr>
          <w:p w:rsidR="00203A18" w:rsidRPr="008A2917" w:rsidRDefault="00203A18"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snapToGrid/>
                <w:sz w:val="20"/>
                <w:szCs w:val="20"/>
              </w:rPr>
              <w:t>DiazGranados</w:t>
            </w:r>
            <w:proofErr w:type="spellEnd"/>
            <w:r w:rsidRPr="008A2917">
              <w:rPr>
                <w:rFonts w:ascii="Arial Narrow" w:eastAsiaTheme="minorHAnsi" w:hAnsi="Arial Narrow" w:cstheme="minorBidi"/>
                <w:snapToGrid/>
                <w:sz w:val="20"/>
                <w:szCs w:val="20"/>
              </w:rPr>
              <w:t xml:space="preserve"> CA et al. Efficacy of high-dose versus standard-dose influenza vaccine in older adults</w:t>
            </w:r>
          </w:p>
        </w:tc>
        <w:tc>
          <w:tcPr>
            <w:tcW w:w="1780" w:type="pct"/>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iCs/>
                <w:snapToGrid/>
                <w:sz w:val="20"/>
                <w:szCs w:val="20"/>
              </w:rPr>
              <w:t xml:space="preserve">N </w:t>
            </w:r>
            <w:proofErr w:type="spellStart"/>
            <w:r w:rsidRPr="008A2917">
              <w:rPr>
                <w:rFonts w:ascii="Arial Narrow" w:eastAsiaTheme="minorHAnsi" w:hAnsi="Arial Narrow" w:cstheme="minorBidi"/>
                <w:iCs/>
                <w:snapToGrid/>
                <w:sz w:val="20"/>
                <w:szCs w:val="20"/>
              </w:rPr>
              <w:t>Engl</w:t>
            </w:r>
            <w:proofErr w:type="spellEnd"/>
            <w:r w:rsidRPr="008A2917">
              <w:rPr>
                <w:rFonts w:ascii="Arial Narrow" w:eastAsiaTheme="minorHAnsi" w:hAnsi="Arial Narrow" w:cstheme="minorBidi"/>
                <w:iCs/>
                <w:snapToGrid/>
                <w:sz w:val="20"/>
                <w:szCs w:val="20"/>
              </w:rPr>
              <w:t xml:space="preserve"> J Med.</w:t>
            </w:r>
            <w:r w:rsidRPr="008A2917">
              <w:rPr>
                <w:rFonts w:ascii="Arial Narrow" w:eastAsiaTheme="minorHAnsi" w:hAnsi="Arial Narrow" w:cstheme="minorBidi"/>
                <w:snapToGrid/>
                <w:sz w:val="20"/>
                <w:szCs w:val="20"/>
              </w:rPr>
              <w:t xml:space="preserve"> 2014 Aug 14</w:t>
            </w:r>
            <w:proofErr w:type="gramStart"/>
            <w:r w:rsidRPr="008A2917">
              <w:rPr>
                <w:rFonts w:ascii="Arial Narrow" w:eastAsiaTheme="minorHAnsi" w:hAnsi="Arial Narrow" w:cstheme="minorBidi"/>
                <w:snapToGrid/>
                <w:sz w:val="20"/>
                <w:szCs w:val="20"/>
              </w:rPr>
              <w:t>;371</w:t>
            </w:r>
            <w:proofErr w:type="gramEnd"/>
            <w:r w:rsidRPr="008A2917">
              <w:rPr>
                <w:rFonts w:ascii="Arial Narrow" w:eastAsiaTheme="minorHAnsi" w:hAnsi="Arial Narrow" w:cstheme="minorBidi"/>
                <w:snapToGrid/>
                <w:sz w:val="20"/>
                <w:szCs w:val="20"/>
              </w:rPr>
              <w:t xml:space="preserve">(7):635-45. </w:t>
            </w:r>
          </w:p>
        </w:tc>
      </w:tr>
      <w:tr w:rsidR="00203A18" w:rsidRPr="008A2917" w:rsidTr="00077402">
        <w:trPr>
          <w:cantSplit/>
        </w:trPr>
        <w:tc>
          <w:tcPr>
            <w:tcW w:w="626" w:type="pct"/>
            <w:vMerge/>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p>
        </w:tc>
        <w:tc>
          <w:tcPr>
            <w:tcW w:w="2594" w:type="pct"/>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CSR: Efficacy Study of </w:t>
            </w:r>
            <w:proofErr w:type="spellStart"/>
            <w:r w:rsidRPr="008A2917">
              <w:rPr>
                <w:rFonts w:ascii="Arial Narrow" w:eastAsiaTheme="minorHAnsi" w:hAnsi="Arial Narrow" w:cstheme="minorBidi"/>
                <w:snapToGrid/>
                <w:sz w:val="20"/>
                <w:szCs w:val="20"/>
              </w:rPr>
              <w:t>Fluzone</w:t>
            </w:r>
            <w:proofErr w:type="spellEnd"/>
            <w:r w:rsidRPr="008A2917">
              <w:rPr>
                <w:rFonts w:ascii="Arial Narrow" w:eastAsiaTheme="minorHAnsi" w:hAnsi="Arial Narrow" w:cstheme="minorBidi"/>
                <w:snapToGrid/>
                <w:sz w:val="20"/>
                <w:szCs w:val="20"/>
              </w:rPr>
              <w:t xml:space="preserve"> High-Dose Vaccine Compared With </w:t>
            </w:r>
            <w:proofErr w:type="spellStart"/>
            <w:r w:rsidRPr="008A2917">
              <w:rPr>
                <w:rFonts w:ascii="Arial Narrow" w:eastAsiaTheme="minorHAnsi" w:hAnsi="Arial Narrow" w:cstheme="minorBidi"/>
                <w:snapToGrid/>
                <w:sz w:val="20"/>
                <w:szCs w:val="20"/>
              </w:rPr>
              <w:t>Fluzone</w:t>
            </w:r>
            <w:proofErr w:type="spellEnd"/>
            <w:r w:rsidRPr="008A2917">
              <w:rPr>
                <w:rFonts w:ascii="Arial Narrow" w:eastAsiaTheme="minorHAnsi" w:hAnsi="Arial Narrow" w:cstheme="minorBidi"/>
                <w:snapToGrid/>
                <w:sz w:val="20"/>
                <w:szCs w:val="20"/>
              </w:rPr>
              <w:t xml:space="preserve"> Vaccine In Elderly Adults </w:t>
            </w:r>
          </w:p>
        </w:tc>
        <w:tc>
          <w:tcPr>
            <w:tcW w:w="1780" w:type="pct"/>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21 November 2013</w:t>
            </w:r>
          </w:p>
        </w:tc>
      </w:tr>
      <w:tr w:rsidR="00203A18" w:rsidRPr="008A2917" w:rsidTr="00077402">
        <w:trPr>
          <w:cantSplit/>
        </w:trPr>
        <w:tc>
          <w:tcPr>
            <w:tcW w:w="626" w:type="pct"/>
            <w:vMerge/>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p>
        </w:tc>
        <w:tc>
          <w:tcPr>
            <w:tcW w:w="2594" w:type="pct"/>
          </w:tcPr>
          <w:p w:rsidR="00203A18" w:rsidRPr="008A2917" w:rsidRDefault="00203A18"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snapToGrid/>
                <w:sz w:val="20"/>
                <w:szCs w:val="20"/>
              </w:rPr>
              <w:t>DiazGranados</w:t>
            </w:r>
            <w:proofErr w:type="spellEnd"/>
            <w:r w:rsidRPr="008A2917">
              <w:rPr>
                <w:rFonts w:ascii="Arial Narrow" w:eastAsiaTheme="minorHAnsi" w:hAnsi="Arial Narrow" w:cstheme="minorBidi"/>
                <w:snapToGrid/>
                <w:sz w:val="20"/>
                <w:szCs w:val="20"/>
              </w:rPr>
              <w:t xml:space="preserve"> CA et al. Efficacy and immunogenicity of high-dose influenza vaccine in older adults by age, comorbidities, and frailty</w:t>
            </w:r>
          </w:p>
        </w:tc>
        <w:tc>
          <w:tcPr>
            <w:tcW w:w="1780" w:type="pct"/>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iCs/>
                <w:snapToGrid/>
                <w:sz w:val="20"/>
                <w:szCs w:val="20"/>
              </w:rPr>
              <w:t>Vaccine</w:t>
            </w:r>
            <w:r w:rsidRPr="008A2917">
              <w:rPr>
                <w:rFonts w:ascii="Arial Narrow" w:eastAsiaTheme="minorHAnsi" w:hAnsi="Arial Narrow" w:cstheme="minorBidi"/>
                <w:snapToGrid/>
                <w:sz w:val="20"/>
                <w:szCs w:val="20"/>
              </w:rPr>
              <w:t>. 2015 Aug 26</w:t>
            </w:r>
            <w:proofErr w:type="gramStart"/>
            <w:r w:rsidRPr="008A2917">
              <w:rPr>
                <w:rFonts w:ascii="Arial Narrow" w:eastAsiaTheme="minorHAnsi" w:hAnsi="Arial Narrow" w:cstheme="minorBidi"/>
                <w:snapToGrid/>
                <w:sz w:val="20"/>
                <w:szCs w:val="20"/>
              </w:rPr>
              <w:t>;33</w:t>
            </w:r>
            <w:proofErr w:type="gramEnd"/>
            <w:r w:rsidRPr="008A2917">
              <w:rPr>
                <w:rFonts w:ascii="Arial Narrow" w:eastAsiaTheme="minorHAnsi" w:hAnsi="Arial Narrow" w:cstheme="minorBidi"/>
                <w:snapToGrid/>
                <w:sz w:val="20"/>
                <w:szCs w:val="20"/>
              </w:rPr>
              <w:t>(36):4565-71.</w:t>
            </w:r>
          </w:p>
        </w:tc>
      </w:tr>
      <w:tr w:rsidR="00203A18" w:rsidRPr="008A2917" w:rsidTr="00077402">
        <w:trPr>
          <w:cantSplit/>
        </w:trPr>
        <w:tc>
          <w:tcPr>
            <w:tcW w:w="626" w:type="pct"/>
            <w:vMerge/>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p>
        </w:tc>
        <w:tc>
          <w:tcPr>
            <w:tcW w:w="2594" w:type="pct"/>
          </w:tcPr>
          <w:p w:rsidR="00203A18" w:rsidRPr="008A2917" w:rsidRDefault="00203A18"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snapToGrid/>
                <w:sz w:val="20"/>
                <w:szCs w:val="20"/>
              </w:rPr>
              <w:t>DiazGranados</w:t>
            </w:r>
            <w:proofErr w:type="spellEnd"/>
            <w:r w:rsidRPr="008A2917">
              <w:rPr>
                <w:rFonts w:ascii="Arial Narrow" w:eastAsiaTheme="minorHAnsi" w:hAnsi="Arial Narrow" w:cstheme="minorBidi"/>
                <w:snapToGrid/>
                <w:sz w:val="20"/>
                <w:szCs w:val="20"/>
              </w:rPr>
              <w:t xml:space="preserve"> CA et al. Effect of Previous-Year Vaccination on the Efficacy, Immunogenicity, and Safety of High-Dose Inactivated Influenza Vaccine in Older Adults</w:t>
            </w:r>
          </w:p>
        </w:tc>
        <w:tc>
          <w:tcPr>
            <w:tcW w:w="1780" w:type="pct"/>
          </w:tcPr>
          <w:p w:rsidR="00203A18" w:rsidRPr="008A2917" w:rsidRDefault="00203A18"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iCs/>
                <w:snapToGrid/>
                <w:sz w:val="20"/>
                <w:szCs w:val="20"/>
              </w:rPr>
              <w:t>Clin</w:t>
            </w:r>
            <w:proofErr w:type="spellEnd"/>
            <w:r w:rsidRPr="008A2917">
              <w:rPr>
                <w:rFonts w:ascii="Arial Narrow" w:eastAsiaTheme="minorHAnsi" w:hAnsi="Arial Narrow" w:cstheme="minorBidi"/>
                <w:iCs/>
                <w:snapToGrid/>
                <w:sz w:val="20"/>
                <w:szCs w:val="20"/>
              </w:rPr>
              <w:t xml:space="preserve"> Infect Dis.</w:t>
            </w:r>
            <w:r w:rsidRPr="008A2917">
              <w:rPr>
                <w:rFonts w:ascii="Arial Narrow" w:eastAsiaTheme="minorHAnsi" w:hAnsi="Arial Narrow" w:cstheme="minorBidi"/>
                <w:snapToGrid/>
                <w:sz w:val="20"/>
                <w:szCs w:val="20"/>
              </w:rPr>
              <w:t xml:space="preserve"> 2016 May 1</w:t>
            </w:r>
            <w:proofErr w:type="gramStart"/>
            <w:r w:rsidRPr="008A2917">
              <w:rPr>
                <w:rFonts w:ascii="Arial Narrow" w:eastAsiaTheme="minorHAnsi" w:hAnsi="Arial Narrow" w:cstheme="minorBidi"/>
                <w:snapToGrid/>
                <w:sz w:val="20"/>
                <w:szCs w:val="20"/>
              </w:rPr>
              <w:t>;62</w:t>
            </w:r>
            <w:proofErr w:type="gramEnd"/>
            <w:r w:rsidRPr="008A2917">
              <w:rPr>
                <w:rFonts w:ascii="Arial Narrow" w:eastAsiaTheme="minorHAnsi" w:hAnsi="Arial Narrow" w:cstheme="minorBidi"/>
                <w:snapToGrid/>
                <w:sz w:val="20"/>
                <w:szCs w:val="20"/>
              </w:rPr>
              <w:t>(9):1092-1099.</w:t>
            </w:r>
          </w:p>
        </w:tc>
      </w:tr>
      <w:tr w:rsidR="00203A18" w:rsidRPr="008A2917" w:rsidTr="00077402">
        <w:trPr>
          <w:cantSplit/>
        </w:trPr>
        <w:tc>
          <w:tcPr>
            <w:tcW w:w="626" w:type="pct"/>
            <w:vMerge/>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p>
        </w:tc>
        <w:tc>
          <w:tcPr>
            <w:tcW w:w="2594" w:type="pct"/>
          </w:tcPr>
          <w:p w:rsidR="00203A18" w:rsidRPr="008A2917" w:rsidRDefault="00203A18"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snapToGrid/>
                <w:sz w:val="20"/>
                <w:szCs w:val="20"/>
              </w:rPr>
              <w:t>DiazGranados</w:t>
            </w:r>
            <w:proofErr w:type="spellEnd"/>
            <w:r w:rsidRPr="008A2917">
              <w:rPr>
                <w:rFonts w:ascii="Arial Narrow" w:eastAsiaTheme="minorHAnsi" w:hAnsi="Arial Narrow" w:cstheme="minorBidi"/>
                <w:snapToGrid/>
                <w:sz w:val="20"/>
                <w:szCs w:val="20"/>
              </w:rPr>
              <w:t xml:space="preserve"> CA et al. Prevention of serious events in adults 65 years of age or older: A comparison between high-dose and standard-dose inactivated influenza vaccines.</w:t>
            </w:r>
          </w:p>
        </w:tc>
        <w:tc>
          <w:tcPr>
            <w:tcW w:w="1780" w:type="pct"/>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iCs/>
                <w:snapToGrid/>
                <w:sz w:val="20"/>
                <w:szCs w:val="20"/>
              </w:rPr>
              <w:t>Vaccine</w:t>
            </w:r>
            <w:r w:rsidRPr="008A2917">
              <w:rPr>
                <w:rFonts w:ascii="Arial Narrow" w:eastAsiaTheme="minorHAnsi" w:hAnsi="Arial Narrow" w:cstheme="minorBidi"/>
                <w:snapToGrid/>
                <w:sz w:val="20"/>
                <w:szCs w:val="20"/>
              </w:rPr>
              <w:t>. 2015 Sep 11;33(38):4988-93</w:t>
            </w:r>
          </w:p>
          <w:p w:rsidR="00203A18" w:rsidRPr="008A2917" w:rsidRDefault="00203A18" w:rsidP="00387896">
            <w:pPr>
              <w:keepNext/>
              <w:widowControl/>
              <w:jc w:val="left"/>
              <w:rPr>
                <w:rFonts w:ascii="Arial Narrow" w:eastAsiaTheme="minorHAnsi" w:hAnsi="Arial Narrow" w:cstheme="minorBidi"/>
                <w:iCs/>
                <w:snapToGrid/>
                <w:sz w:val="20"/>
                <w:szCs w:val="20"/>
              </w:rPr>
            </w:pPr>
          </w:p>
        </w:tc>
      </w:tr>
      <w:tr w:rsidR="00203A18" w:rsidRPr="008A2917" w:rsidTr="00077402">
        <w:trPr>
          <w:cantSplit/>
        </w:trPr>
        <w:tc>
          <w:tcPr>
            <w:tcW w:w="626" w:type="pct"/>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snapToGrid/>
                <w:sz w:val="20"/>
                <w:szCs w:val="20"/>
              </w:rPr>
              <w:t>Gravenstein</w:t>
            </w:r>
            <w:r w:rsidR="0091509F" w:rsidRPr="008A2917">
              <w:rPr>
                <w:rFonts w:ascii="Arial Narrow" w:eastAsiaTheme="minorHAnsi" w:hAnsi="Arial Narrow" w:cstheme="minorBidi"/>
                <w:snapToGrid/>
                <w:sz w:val="20"/>
                <w:szCs w:val="20"/>
                <w:vertAlign w:val="superscript"/>
              </w:rPr>
              <w:t>a</w:t>
            </w:r>
            <w:proofErr w:type="spellEnd"/>
          </w:p>
        </w:tc>
        <w:tc>
          <w:tcPr>
            <w:tcW w:w="2594" w:type="pct"/>
          </w:tcPr>
          <w:p w:rsidR="00203A18" w:rsidRPr="008A2917" w:rsidRDefault="00203A18"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snapToGrid/>
                <w:sz w:val="20"/>
                <w:szCs w:val="20"/>
              </w:rPr>
              <w:t>Gravenstein</w:t>
            </w:r>
            <w:proofErr w:type="spellEnd"/>
            <w:r w:rsidRPr="008A2917">
              <w:rPr>
                <w:rFonts w:ascii="Arial Narrow" w:eastAsiaTheme="minorHAnsi" w:hAnsi="Arial Narrow" w:cstheme="minorBidi"/>
                <w:snapToGrid/>
                <w:sz w:val="20"/>
                <w:szCs w:val="20"/>
              </w:rPr>
              <w:t xml:space="preserve"> et al. Comparative effectiveness of high-dose versus standard-dose influenza vaccination on numbers of US nursing home residents admitted to hospital: a cluster-randomised trial</w:t>
            </w:r>
          </w:p>
        </w:tc>
        <w:tc>
          <w:tcPr>
            <w:tcW w:w="1780" w:type="pct"/>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Lancet </w:t>
            </w:r>
            <w:proofErr w:type="spellStart"/>
            <w:r w:rsidRPr="008A2917">
              <w:rPr>
                <w:rFonts w:ascii="Arial Narrow" w:eastAsiaTheme="minorHAnsi" w:hAnsi="Arial Narrow" w:cstheme="minorBidi"/>
                <w:snapToGrid/>
                <w:sz w:val="20"/>
                <w:szCs w:val="20"/>
              </w:rPr>
              <w:t>Respir</w:t>
            </w:r>
            <w:proofErr w:type="spellEnd"/>
            <w:r w:rsidRPr="008A2917">
              <w:rPr>
                <w:rFonts w:ascii="Arial Narrow" w:eastAsiaTheme="minorHAnsi" w:hAnsi="Arial Narrow" w:cstheme="minorBidi"/>
                <w:snapToGrid/>
                <w:sz w:val="20"/>
                <w:szCs w:val="20"/>
              </w:rPr>
              <w:t xml:space="preserve"> Med 5 (9): 738-746, (2017).</w:t>
            </w:r>
          </w:p>
        </w:tc>
      </w:tr>
      <w:tr w:rsidR="00203A18" w:rsidRPr="008A2917" w:rsidTr="00077402">
        <w:trPr>
          <w:cantSplit/>
        </w:trPr>
        <w:tc>
          <w:tcPr>
            <w:tcW w:w="626" w:type="pct"/>
            <w:tcBorders>
              <w:top w:val="nil"/>
              <w:bottom w:val="nil"/>
            </w:tcBorders>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snapToGrid/>
                <w:sz w:val="20"/>
                <w:szCs w:val="20"/>
              </w:rPr>
              <w:t>Izurieta</w:t>
            </w:r>
            <w:proofErr w:type="spellEnd"/>
          </w:p>
        </w:tc>
        <w:tc>
          <w:tcPr>
            <w:tcW w:w="2594" w:type="pct"/>
            <w:tcBorders>
              <w:top w:val="nil"/>
              <w:bottom w:val="nil"/>
            </w:tcBorders>
            <w:vAlign w:val="center"/>
          </w:tcPr>
          <w:p w:rsidR="00203A18" w:rsidRPr="008A2917" w:rsidRDefault="00240F35" w:rsidP="00387896">
            <w:pPr>
              <w:keepNext/>
              <w:widowControl/>
              <w:jc w:val="left"/>
              <w:rPr>
                <w:rFonts w:ascii="Arial Narrow" w:eastAsiaTheme="minorHAnsi" w:hAnsi="Arial Narrow" w:cstheme="minorBidi"/>
                <w:snapToGrid/>
                <w:sz w:val="20"/>
                <w:szCs w:val="20"/>
              </w:rPr>
            </w:pPr>
            <w:proofErr w:type="spellStart"/>
            <w:r w:rsidRPr="008A2917">
              <w:rPr>
                <w:rFonts w:ascii="Arial Narrow" w:eastAsiaTheme="minorHAnsi" w:hAnsi="Arial Narrow" w:cstheme="minorBidi"/>
                <w:snapToGrid/>
                <w:sz w:val="20"/>
                <w:szCs w:val="20"/>
              </w:rPr>
              <w:t>Izurieta</w:t>
            </w:r>
            <w:proofErr w:type="spellEnd"/>
            <w:r w:rsidRPr="008A2917">
              <w:rPr>
                <w:rFonts w:ascii="Arial Narrow" w:eastAsiaTheme="minorHAnsi" w:hAnsi="Arial Narrow" w:cstheme="minorBidi"/>
                <w:snapToGrid/>
                <w:sz w:val="20"/>
                <w:szCs w:val="20"/>
              </w:rPr>
              <w:t xml:space="preserve"> et </w:t>
            </w:r>
            <w:proofErr w:type="spellStart"/>
            <w:r w:rsidRPr="008A2917">
              <w:rPr>
                <w:rFonts w:ascii="Arial Narrow" w:eastAsiaTheme="minorHAnsi" w:hAnsi="Arial Narrow" w:cstheme="minorBidi"/>
                <w:snapToGrid/>
                <w:sz w:val="20"/>
                <w:szCs w:val="20"/>
              </w:rPr>
              <w:t>al.</w:t>
            </w:r>
            <w:r w:rsidR="00203A18" w:rsidRPr="008A2917">
              <w:rPr>
                <w:rFonts w:ascii="Arial Narrow" w:eastAsiaTheme="minorHAnsi" w:hAnsi="Arial Narrow" w:cstheme="minorBidi"/>
                <w:snapToGrid/>
                <w:sz w:val="20"/>
                <w:szCs w:val="20"/>
              </w:rPr>
              <w:t>HS</w:t>
            </w:r>
            <w:proofErr w:type="spellEnd"/>
            <w:r w:rsidR="00203A18" w:rsidRPr="008A2917">
              <w:rPr>
                <w:rFonts w:ascii="Arial Narrow" w:eastAsiaTheme="minorHAnsi" w:hAnsi="Arial Narrow" w:cstheme="minorBidi"/>
                <w:snapToGrid/>
                <w:sz w:val="20"/>
                <w:szCs w:val="20"/>
              </w:rPr>
              <w:t xml:space="preserve">, </w:t>
            </w:r>
            <w:proofErr w:type="spellStart"/>
            <w:r w:rsidR="00203A18" w:rsidRPr="008A2917">
              <w:rPr>
                <w:rFonts w:ascii="Arial Narrow" w:eastAsiaTheme="minorHAnsi" w:hAnsi="Arial Narrow" w:cstheme="minorBidi"/>
                <w:snapToGrid/>
                <w:sz w:val="20"/>
                <w:szCs w:val="20"/>
              </w:rPr>
              <w:t>Chillarige</w:t>
            </w:r>
            <w:proofErr w:type="spellEnd"/>
            <w:r w:rsidR="00203A18" w:rsidRPr="008A2917">
              <w:rPr>
                <w:rFonts w:ascii="Arial Narrow" w:eastAsiaTheme="minorHAnsi" w:hAnsi="Arial Narrow" w:cstheme="minorBidi"/>
                <w:snapToGrid/>
                <w:sz w:val="20"/>
                <w:szCs w:val="20"/>
              </w:rPr>
              <w:t xml:space="preserve"> Y, </w:t>
            </w:r>
            <w:proofErr w:type="spellStart"/>
            <w:r w:rsidR="00203A18" w:rsidRPr="008A2917">
              <w:rPr>
                <w:rFonts w:ascii="Arial Narrow" w:eastAsiaTheme="minorHAnsi" w:hAnsi="Arial Narrow" w:cstheme="minorBidi"/>
                <w:snapToGrid/>
                <w:sz w:val="20"/>
                <w:szCs w:val="20"/>
              </w:rPr>
              <w:t>Kelman</w:t>
            </w:r>
            <w:proofErr w:type="spellEnd"/>
            <w:r w:rsidR="00203A18" w:rsidRPr="008A2917">
              <w:rPr>
                <w:rFonts w:ascii="Arial Narrow" w:eastAsiaTheme="minorHAnsi" w:hAnsi="Arial Narrow" w:cstheme="minorBidi"/>
                <w:snapToGrid/>
                <w:sz w:val="20"/>
                <w:szCs w:val="20"/>
              </w:rPr>
              <w:t xml:space="preserve"> J et al. Relative Effectiveness of Cell-Cultured and Egg-Based Influenza Vaccines Among Elderly Persons in the United States, 2017–2018.</w:t>
            </w:r>
          </w:p>
        </w:tc>
        <w:tc>
          <w:tcPr>
            <w:tcW w:w="1780" w:type="pct"/>
            <w:tcBorders>
              <w:top w:val="nil"/>
              <w:bottom w:val="nil"/>
            </w:tcBorders>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iCs/>
                <w:snapToGrid/>
                <w:sz w:val="20"/>
                <w:szCs w:val="20"/>
                <w:lang w:eastAsia="en-AU"/>
              </w:rPr>
              <w:t>J Infect Dis.</w:t>
            </w:r>
            <w:r w:rsidRPr="008A2917">
              <w:rPr>
                <w:rFonts w:ascii="Arial Narrow" w:eastAsiaTheme="minorHAnsi" w:hAnsi="Arial Narrow" w:cstheme="minorBidi"/>
                <w:snapToGrid/>
                <w:sz w:val="20"/>
                <w:szCs w:val="20"/>
                <w:lang w:eastAsia="en-AU"/>
              </w:rPr>
              <w:t xml:space="preserve"> 2018 Dec 18. </w:t>
            </w:r>
            <w:proofErr w:type="spellStart"/>
            <w:proofErr w:type="gramStart"/>
            <w:r w:rsidRPr="008A2917">
              <w:rPr>
                <w:rFonts w:ascii="Arial Narrow" w:eastAsiaTheme="minorHAnsi" w:hAnsi="Arial Narrow" w:cstheme="minorBidi"/>
                <w:snapToGrid/>
                <w:sz w:val="20"/>
                <w:szCs w:val="20"/>
                <w:lang w:eastAsia="en-AU"/>
              </w:rPr>
              <w:t>doi</w:t>
            </w:r>
            <w:proofErr w:type="spellEnd"/>
            <w:proofErr w:type="gramEnd"/>
            <w:r w:rsidRPr="008A2917">
              <w:rPr>
                <w:rFonts w:ascii="Arial Narrow" w:eastAsiaTheme="minorHAnsi" w:hAnsi="Arial Narrow" w:cstheme="minorBidi"/>
                <w:snapToGrid/>
                <w:sz w:val="20"/>
                <w:szCs w:val="20"/>
                <w:lang w:eastAsia="en-AU"/>
              </w:rPr>
              <w:t>: 10.1093/</w:t>
            </w:r>
            <w:proofErr w:type="spellStart"/>
            <w:r w:rsidRPr="008A2917">
              <w:rPr>
                <w:rFonts w:ascii="Arial Narrow" w:eastAsiaTheme="minorHAnsi" w:hAnsi="Arial Narrow" w:cstheme="minorBidi"/>
                <w:snapToGrid/>
                <w:sz w:val="20"/>
                <w:szCs w:val="20"/>
                <w:lang w:eastAsia="en-AU"/>
              </w:rPr>
              <w:t>infdis</w:t>
            </w:r>
            <w:proofErr w:type="spellEnd"/>
            <w:r w:rsidRPr="008A2917">
              <w:rPr>
                <w:rFonts w:ascii="Arial Narrow" w:eastAsiaTheme="minorHAnsi" w:hAnsi="Arial Narrow" w:cstheme="minorBidi"/>
                <w:snapToGrid/>
                <w:sz w:val="20"/>
                <w:szCs w:val="20"/>
                <w:lang w:eastAsia="en-AU"/>
              </w:rPr>
              <w:t>/jiy716. [</w:t>
            </w:r>
            <w:proofErr w:type="spellStart"/>
            <w:r w:rsidRPr="008A2917">
              <w:rPr>
                <w:rFonts w:ascii="Arial Narrow" w:eastAsiaTheme="minorHAnsi" w:hAnsi="Arial Narrow" w:cstheme="minorBidi"/>
                <w:snapToGrid/>
                <w:sz w:val="20"/>
                <w:szCs w:val="20"/>
                <w:lang w:eastAsia="en-AU"/>
              </w:rPr>
              <w:t>Epub</w:t>
            </w:r>
            <w:proofErr w:type="spellEnd"/>
            <w:r w:rsidRPr="008A2917">
              <w:rPr>
                <w:rFonts w:ascii="Arial Narrow" w:eastAsiaTheme="minorHAnsi" w:hAnsi="Arial Narrow" w:cstheme="minorBidi"/>
                <w:snapToGrid/>
                <w:sz w:val="20"/>
                <w:szCs w:val="20"/>
                <w:lang w:eastAsia="en-AU"/>
              </w:rPr>
              <w:t xml:space="preserve"> ahead of print]</w:t>
            </w:r>
          </w:p>
        </w:tc>
      </w:tr>
      <w:tr w:rsidR="00203A18" w:rsidRPr="008A2917" w:rsidTr="00077402">
        <w:trPr>
          <w:cantSplit/>
        </w:trPr>
        <w:tc>
          <w:tcPr>
            <w:tcW w:w="626" w:type="pct"/>
            <w:tcBorders>
              <w:top w:val="nil"/>
              <w:bottom w:val="single" w:sz="4" w:space="0" w:color="auto"/>
            </w:tcBorders>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p>
        </w:tc>
        <w:tc>
          <w:tcPr>
            <w:tcW w:w="2594" w:type="pct"/>
            <w:tcBorders>
              <w:top w:val="nil"/>
              <w:bottom w:val="single" w:sz="4" w:space="0" w:color="auto"/>
            </w:tcBorders>
            <w:vAlign w:val="center"/>
          </w:tcPr>
          <w:p w:rsidR="00203A18" w:rsidRPr="008A2917" w:rsidRDefault="00203A18"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Lu Y. on behalf of the FDA, CMS, and Acumen Team. Relative effectiveness of cell-cultured versus egg-based influenza vaccines, 2017-18</w:t>
            </w:r>
            <w:r w:rsidRPr="008A2917">
              <w:rPr>
                <w:rFonts w:ascii="Arial Narrow" w:eastAsiaTheme="minorHAnsi" w:hAnsi="Arial Narrow" w:cstheme="minorBidi"/>
                <w:snapToGrid/>
                <w:sz w:val="20"/>
                <w:szCs w:val="20"/>
              </w:rPr>
              <w:cr/>
              <w:t>.</w:t>
            </w:r>
          </w:p>
        </w:tc>
        <w:tc>
          <w:tcPr>
            <w:tcW w:w="1780" w:type="pct"/>
            <w:tcBorders>
              <w:top w:val="nil"/>
              <w:bottom w:val="single" w:sz="4" w:space="0" w:color="auto"/>
            </w:tcBorders>
          </w:tcPr>
          <w:p w:rsidR="00203A18" w:rsidRPr="008A2917" w:rsidRDefault="00203A18" w:rsidP="00387896">
            <w:pPr>
              <w:keepNext/>
              <w:widowControl/>
              <w:jc w:val="left"/>
              <w:rPr>
                <w:rFonts w:ascii="Times" w:eastAsiaTheme="minorHAnsi" w:hAnsi="Times" w:cstheme="minorBidi"/>
                <w:snapToGrid/>
                <w:sz w:val="20"/>
                <w:szCs w:val="20"/>
              </w:rPr>
            </w:pPr>
            <w:r w:rsidRPr="008A2917">
              <w:rPr>
                <w:rFonts w:ascii="Arial Narrow" w:eastAsiaTheme="minorHAnsi" w:hAnsi="Arial Narrow" w:cstheme="minorBidi"/>
                <w:snapToGrid/>
                <w:sz w:val="20"/>
                <w:szCs w:val="20"/>
                <w:lang w:eastAsia="en-AU"/>
              </w:rPr>
              <w:t>FDA presentation. https://www.cdc.gov/vaccines/acip/meetings/downloads/slides-2018-06/flu-03-Lu-508.pdf (Accessed 6 June 2019).</w:t>
            </w:r>
          </w:p>
        </w:tc>
      </w:tr>
    </w:tbl>
    <w:p w:rsidR="00203A18" w:rsidRPr="008A2917" w:rsidRDefault="00203A18" w:rsidP="00387896">
      <w:pPr>
        <w:widowControl/>
        <w:rPr>
          <w:rFonts w:ascii="Arial Narrow" w:hAnsi="Arial Narrow"/>
          <w:sz w:val="18"/>
        </w:rPr>
      </w:pPr>
      <w:r w:rsidRPr="008A2917">
        <w:rPr>
          <w:rFonts w:ascii="Arial Narrow" w:hAnsi="Arial Narrow"/>
          <w:sz w:val="18"/>
        </w:rPr>
        <w:t xml:space="preserve">CMS: </w:t>
      </w:r>
      <w:proofErr w:type="spellStart"/>
      <w:r w:rsidRPr="008A2917">
        <w:rPr>
          <w:rFonts w:ascii="Arial Narrow" w:hAnsi="Arial Narrow"/>
          <w:sz w:val="18"/>
        </w:rPr>
        <w:t>Centers</w:t>
      </w:r>
      <w:proofErr w:type="spellEnd"/>
      <w:r w:rsidRPr="008A2917">
        <w:rPr>
          <w:rFonts w:ascii="Arial Narrow" w:hAnsi="Arial Narrow"/>
          <w:sz w:val="18"/>
        </w:rPr>
        <w:t xml:space="preserve"> for Medicare and Medicaid Services; CSR: Clinical Study Report; FDA: US Food and Drug Administration; US: United States</w:t>
      </w:r>
    </w:p>
    <w:p w:rsidR="0091509F" w:rsidRPr="008A2917" w:rsidRDefault="0091509F" w:rsidP="00387896">
      <w:pPr>
        <w:widowControl/>
        <w:rPr>
          <w:rFonts w:ascii="Arial Narrow" w:hAnsi="Arial Narrow"/>
          <w:sz w:val="18"/>
        </w:rPr>
      </w:pPr>
      <w:r w:rsidRPr="008A2917">
        <w:rPr>
          <w:rFonts w:ascii="Arial Narrow" w:hAnsi="Arial Narrow"/>
          <w:sz w:val="18"/>
          <w:vertAlign w:val="superscript"/>
        </w:rPr>
        <w:t>a</w:t>
      </w:r>
      <w:r w:rsidRPr="008A2917">
        <w:rPr>
          <w:rFonts w:ascii="Arial Narrow" w:hAnsi="Arial Narrow"/>
          <w:sz w:val="18"/>
        </w:rPr>
        <w:t xml:space="preserve"> The resubmission also reported identifying </w:t>
      </w:r>
      <w:proofErr w:type="spellStart"/>
      <w:r w:rsidRPr="008A2917">
        <w:rPr>
          <w:rFonts w:ascii="Arial Narrow" w:hAnsi="Arial Narrow"/>
          <w:sz w:val="18"/>
        </w:rPr>
        <w:t>Gravenstein</w:t>
      </w:r>
      <w:proofErr w:type="spellEnd"/>
      <w:r w:rsidRPr="008A2917">
        <w:rPr>
          <w:rFonts w:ascii="Arial Narrow" w:hAnsi="Arial Narrow"/>
          <w:sz w:val="18"/>
        </w:rPr>
        <w:t xml:space="preserve"> (2018), a randomised controlled study comparing the effectiveness of </w:t>
      </w:r>
      <w:proofErr w:type="spellStart"/>
      <w:r w:rsidRPr="008A2917">
        <w:rPr>
          <w:rFonts w:ascii="Arial Narrow" w:hAnsi="Arial Narrow"/>
          <w:sz w:val="18"/>
        </w:rPr>
        <w:t>aTIV</w:t>
      </w:r>
      <w:proofErr w:type="spellEnd"/>
      <w:r w:rsidRPr="008A2917">
        <w:rPr>
          <w:rFonts w:ascii="Arial Narrow" w:hAnsi="Arial Narrow"/>
          <w:sz w:val="18"/>
        </w:rPr>
        <w:t xml:space="preserve"> versus TIV-SD in the care home setting for which “limited information” are currently available in the public domain (p37 of the resubmission). The resubmission reported that while </w:t>
      </w:r>
      <w:proofErr w:type="spellStart"/>
      <w:r w:rsidRPr="008A2917">
        <w:rPr>
          <w:rFonts w:ascii="Arial Narrow" w:hAnsi="Arial Narrow"/>
          <w:sz w:val="18"/>
        </w:rPr>
        <w:t>Gravenstein</w:t>
      </w:r>
      <w:proofErr w:type="spellEnd"/>
      <w:r w:rsidRPr="008A2917">
        <w:rPr>
          <w:rFonts w:ascii="Arial Narrow" w:hAnsi="Arial Narrow"/>
          <w:sz w:val="18"/>
        </w:rPr>
        <w:t xml:space="preserve"> (2017) and </w:t>
      </w:r>
      <w:proofErr w:type="spellStart"/>
      <w:r w:rsidRPr="008A2917">
        <w:rPr>
          <w:rFonts w:ascii="Arial Narrow" w:hAnsi="Arial Narrow"/>
          <w:sz w:val="18"/>
        </w:rPr>
        <w:t>Gravenstein</w:t>
      </w:r>
      <w:proofErr w:type="spellEnd"/>
      <w:r w:rsidRPr="008A2917">
        <w:rPr>
          <w:rFonts w:ascii="Arial Narrow" w:hAnsi="Arial Narrow"/>
          <w:sz w:val="18"/>
        </w:rPr>
        <w:t xml:space="preserve"> (2018) were very similar in design, the two studies differed in such an extent that “neither a quantitative nor qualitative indirect comparison of the reported outcomes would be informative” to the comparison of TIV-HD versus </w:t>
      </w:r>
      <w:proofErr w:type="spellStart"/>
      <w:r w:rsidRPr="008A2917">
        <w:rPr>
          <w:rFonts w:ascii="Arial Narrow" w:hAnsi="Arial Narrow"/>
          <w:sz w:val="18"/>
        </w:rPr>
        <w:t>aTIV</w:t>
      </w:r>
      <w:proofErr w:type="spellEnd"/>
      <w:r w:rsidRPr="008A2917">
        <w:rPr>
          <w:rFonts w:ascii="Arial Narrow" w:hAnsi="Arial Narrow"/>
          <w:sz w:val="18"/>
        </w:rPr>
        <w:t xml:space="preserve"> (p37 of the resubmission). </w:t>
      </w:r>
      <w:proofErr w:type="spellStart"/>
      <w:r w:rsidRPr="008A2917">
        <w:rPr>
          <w:rFonts w:ascii="Arial Narrow" w:hAnsi="Arial Narrow"/>
          <w:sz w:val="18"/>
        </w:rPr>
        <w:t>Gravenstein</w:t>
      </w:r>
      <w:proofErr w:type="spellEnd"/>
      <w:r w:rsidRPr="008A2917">
        <w:rPr>
          <w:rFonts w:ascii="Arial Narrow" w:hAnsi="Arial Narrow"/>
          <w:sz w:val="18"/>
        </w:rPr>
        <w:t xml:space="preserve"> (2018) was not used in the resubmission. A qualitative comparison of the two studies was included in Attachment D-3 of the resubmission.</w:t>
      </w:r>
    </w:p>
    <w:p w:rsidR="00203A18" w:rsidRPr="008A2917" w:rsidRDefault="00203A18" w:rsidP="00387896">
      <w:pPr>
        <w:widowControl/>
        <w:rPr>
          <w:rFonts w:ascii="Arial Narrow" w:hAnsi="Arial Narrow"/>
          <w:sz w:val="20"/>
        </w:rPr>
      </w:pPr>
      <w:r w:rsidRPr="008A2917">
        <w:rPr>
          <w:rFonts w:ascii="Arial Narrow" w:hAnsi="Arial Narrow"/>
          <w:sz w:val="18"/>
        </w:rPr>
        <w:t xml:space="preserve">Source: Table 2.3, p45 of the resubmission and Table 2, para. 6.6 </w:t>
      </w:r>
      <w:proofErr w:type="gramStart"/>
      <w:r w:rsidRPr="008A2917">
        <w:rPr>
          <w:rFonts w:ascii="Arial Narrow" w:hAnsi="Arial Narrow"/>
          <w:sz w:val="18"/>
        </w:rPr>
        <w:t>of</w:t>
      </w:r>
      <w:proofErr w:type="gramEnd"/>
      <w:r w:rsidRPr="008A2917">
        <w:rPr>
          <w:rFonts w:ascii="Arial Narrow" w:hAnsi="Arial Narrow"/>
          <w:sz w:val="18"/>
        </w:rPr>
        <w:t xml:space="preserve"> the TIV-HD PSD, July 2018.</w:t>
      </w:r>
    </w:p>
    <w:p w:rsidR="00203A18" w:rsidRPr="008A2917" w:rsidRDefault="00203A18" w:rsidP="00387896">
      <w:pPr>
        <w:widowControl/>
      </w:pPr>
    </w:p>
    <w:p w:rsidR="00203A18" w:rsidRPr="008A2917" w:rsidRDefault="00203A18" w:rsidP="00387896">
      <w:pPr>
        <w:widowControl/>
        <w:numPr>
          <w:ilvl w:val="1"/>
          <w:numId w:val="1"/>
        </w:numPr>
        <w:spacing w:after="160"/>
      </w:pPr>
      <w:r w:rsidRPr="008A2917">
        <w:t xml:space="preserve">The key features of trials are summarised in Table </w:t>
      </w:r>
      <w:r w:rsidR="001C1195" w:rsidRPr="008A2917">
        <w:t>5</w:t>
      </w:r>
      <w:r w:rsidRPr="008A2917">
        <w:t xml:space="preserve">. </w:t>
      </w:r>
    </w:p>
    <w:p w:rsidR="00203A18" w:rsidRPr="008A2917" w:rsidRDefault="00203A18" w:rsidP="00387896">
      <w:pPr>
        <w:pStyle w:val="TableHeading0"/>
      </w:pPr>
      <w:r w:rsidRPr="008A2917">
        <w:lastRenderedPageBreak/>
        <w:t xml:space="preserve">Table </w:t>
      </w:r>
      <w:r w:rsidR="001C1195" w:rsidRPr="008A2917">
        <w:t>5</w:t>
      </w:r>
      <w:r w:rsidRPr="008A2917">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7"/>
        <w:gridCol w:w="1841"/>
        <w:gridCol w:w="853"/>
        <w:gridCol w:w="851"/>
        <w:gridCol w:w="992"/>
        <w:gridCol w:w="2579"/>
        <w:gridCol w:w="914"/>
      </w:tblGrid>
      <w:tr w:rsidR="00203A18" w:rsidRPr="008A2917" w:rsidTr="00D80F02">
        <w:trPr>
          <w:tblHeader/>
        </w:trPr>
        <w:tc>
          <w:tcPr>
            <w:tcW w:w="547" w:type="pct"/>
            <w:shd w:val="clear" w:color="auto" w:fill="auto"/>
            <w:vAlign w:val="center"/>
          </w:tcPr>
          <w:p w:rsidR="00203A18" w:rsidRPr="008A2917" w:rsidRDefault="00203A18" w:rsidP="00387896">
            <w:pPr>
              <w:keepNext/>
              <w:widowControl/>
              <w:jc w:val="left"/>
              <w:rPr>
                <w:rFonts w:ascii="Arial Narrow" w:hAnsi="Arial Narrow" w:cs="Times New Roman"/>
                <w:b/>
                <w:snapToGrid/>
                <w:sz w:val="20"/>
              </w:rPr>
            </w:pPr>
            <w:r w:rsidRPr="008A2917">
              <w:rPr>
                <w:rFonts w:ascii="Arial Narrow" w:hAnsi="Arial Narrow" w:cs="Times New Roman"/>
                <w:b/>
                <w:snapToGrid/>
                <w:sz w:val="20"/>
              </w:rPr>
              <w:t>Trial</w:t>
            </w:r>
          </w:p>
        </w:tc>
        <w:tc>
          <w:tcPr>
            <w:tcW w:w="1021" w:type="pct"/>
            <w:shd w:val="clear" w:color="auto" w:fill="auto"/>
            <w:vAlign w:val="center"/>
          </w:tcPr>
          <w:p w:rsidR="00203A18" w:rsidRPr="008A2917" w:rsidRDefault="00203A18" w:rsidP="00387896">
            <w:pPr>
              <w:keepNext/>
              <w:widowControl/>
              <w:jc w:val="center"/>
              <w:rPr>
                <w:rFonts w:ascii="Arial Narrow" w:hAnsi="Arial Narrow" w:cs="Times New Roman"/>
                <w:b/>
                <w:snapToGrid/>
                <w:sz w:val="20"/>
              </w:rPr>
            </w:pPr>
            <w:r w:rsidRPr="008A2917">
              <w:rPr>
                <w:rFonts w:ascii="Arial Narrow" w:hAnsi="Arial Narrow" w:cs="Times New Roman"/>
                <w:b/>
                <w:snapToGrid/>
                <w:sz w:val="20"/>
              </w:rPr>
              <w:t>Number of participants</w:t>
            </w:r>
          </w:p>
        </w:tc>
        <w:tc>
          <w:tcPr>
            <w:tcW w:w="473" w:type="pct"/>
            <w:shd w:val="clear" w:color="auto" w:fill="auto"/>
            <w:vAlign w:val="center"/>
          </w:tcPr>
          <w:p w:rsidR="00203A18" w:rsidRPr="008A2917" w:rsidRDefault="00203A18" w:rsidP="00387896">
            <w:pPr>
              <w:keepNext/>
              <w:widowControl/>
              <w:jc w:val="center"/>
              <w:rPr>
                <w:rFonts w:ascii="Arial Narrow" w:hAnsi="Arial Narrow" w:cs="Times New Roman"/>
                <w:b/>
                <w:snapToGrid/>
                <w:sz w:val="20"/>
              </w:rPr>
            </w:pPr>
            <w:r w:rsidRPr="008A2917">
              <w:rPr>
                <w:rFonts w:ascii="Arial Narrow" w:hAnsi="Arial Narrow" w:cs="Times New Roman"/>
                <w:b/>
                <w:snapToGrid/>
                <w:sz w:val="20"/>
              </w:rPr>
              <w:t>Design/ duration</w:t>
            </w:r>
          </w:p>
        </w:tc>
        <w:tc>
          <w:tcPr>
            <w:tcW w:w="472" w:type="pct"/>
            <w:shd w:val="clear" w:color="auto" w:fill="auto"/>
            <w:vAlign w:val="center"/>
          </w:tcPr>
          <w:p w:rsidR="00203A18" w:rsidRPr="008A2917" w:rsidRDefault="00203A18" w:rsidP="00387896">
            <w:pPr>
              <w:keepNext/>
              <w:widowControl/>
              <w:jc w:val="center"/>
              <w:rPr>
                <w:rFonts w:ascii="Arial Narrow" w:hAnsi="Arial Narrow" w:cs="Times New Roman"/>
                <w:b/>
                <w:snapToGrid/>
                <w:sz w:val="20"/>
              </w:rPr>
            </w:pPr>
            <w:r w:rsidRPr="008A2917">
              <w:rPr>
                <w:rFonts w:ascii="Arial Narrow" w:hAnsi="Arial Narrow" w:cs="Times New Roman"/>
                <w:b/>
                <w:snapToGrid/>
                <w:sz w:val="20"/>
              </w:rPr>
              <w:t>Risk of bias</w:t>
            </w:r>
          </w:p>
        </w:tc>
        <w:tc>
          <w:tcPr>
            <w:tcW w:w="550" w:type="pct"/>
            <w:shd w:val="clear" w:color="auto" w:fill="auto"/>
            <w:vAlign w:val="center"/>
          </w:tcPr>
          <w:p w:rsidR="00203A18" w:rsidRPr="008A2917" w:rsidRDefault="00203A18" w:rsidP="00387896">
            <w:pPr>
              <w:keepNext/>
              <w:widowControl/>
              <w:jc w:val="center"/>
              <w:rPr>
                <w:rFonts w:ascii="Arial Narrow" w:hAnsi="Arial Narrow" w:cs="Times New Roman"/>
                <w:b/>
                <w:snapToGrid/>
                <w:sz w:val="20"/>
              </w:rPr>
            </w:pPr>
            <w:r w:rsidRPr="008A2917">
              <w:rPr>
                <w:rFonts w:ascii="Arial Narrow" w:hAnsi="Arial Narrow" w:cs="Times New Roman"/>
                <w:b/>
                <w:snapToGrid/>
                <w:sz w:val="20"/>
              </w:rPr>
              <w:t>Patient population</w:t>
            </w:r>
          </w:p>
        </w:tc>
        <w:tc>
          <w:tcPr>
            <w:tcW w:w="1430" w:type="pct"/>
            <w:shd w:val="clear" w:color="auto" w:fill="auto"/>
            <w:vAlign w:val="center"/>
          </w:tcPr>
          <w:p w:rsidR="00203A18" w:rsidRPr="008A2917" w:rsidRDefault="00203A18" w:rsidP="00387896">
            <w:pPr>
              <w:keepNext/>
              <w:widowControl/>
              <w:jc w:val="center"/>
              <w:rPr>
                <w:rFonts w:ascii="Arial Narrow" w:hAnsi="Arial Narrow" w:cs="Times New Roman"/>
                <w:b/>
                <w:snapToGrid/>
                <w:sz w:val="20"/>
              </w:rPr>
            </w:pPr>
            <w:r w:rsidRPr="008A2917">
              <w:rPr>
                <w:rFonts w:ascii="Arial Narrow" w:hAnsi="Arial Narrow" w:cs="Times New Roman"/>
                <w:b/>
                <w:snapToGrid/>
                <w:sz w:val="20"/>
              </w:rPr>
              <w:t>Outcome(s)</w:t>
            </w:r>
          </w:p>
        </w:tc>
        <w:tc>
          <w:tcPr>
            <w:tcW w:w="507" w:type="pct"/>
            <w:shd w:val="clear" w:color="auto" w:fill="auto"/>
            <w:vAlign w:val="center"/>
          </w:tcPr>
          <w:p w:rsidR="00203A18" w:rsidRPr="008A2917" w:rsidRDefault="00203A18" w:rsidP="00387896">
            <w:pPr>
              <w:keepNext/>
              <w:widowControl/>
              <w:jc w:val="center"/>
              <w:rPr>
                <w:rFonts w:ascii="Arial Narrow" w:hAnsi="Arial Narrow" w:cs="Times New Roman"/>
                <w:b/>
                <w:snapToGrid/>
                <w:sz w:val="20"/>
              </w:rPr>
            </w:pPr>
            <w:r w:rsidRPr="008A2917">
              <w:rPr>
                <w:rFonts w:ascii="Arial Narrow" w:hAnsi="Arial Narrow" w:cs="Times New Roman"/>
                <w:b/>
                <w:snapToGrid/>
                <w:sz w:val="20"/>
              </w:rPr>
              <w:t>Use in modelled evaluation</w:t>
            </w:r>
          </w:p>
        </w:tc>
      </w:tr>
      <w:tr w:rsidR="00203A18" w:rsidRPr="008A2917" w:rsidTr="00D80F02">
        <w:tc>
          <w:tcPr>
            <w:tcW w:w="5000" w:type="pct"/>
            <w:gridSpan w:val="7"/>
            <w:shd w:val="clear" w:color="auto" w:fill="auto"/>
          </w:tcPr>
          <w:p w:rsidR="00203A18" w:rsidRPr="008A2917" w:rsidRDefault="00203A18" w:rsidP="00387896">
            <w:pPr>
              <w:keepNext/>
              <w:widowControl/>
              <w:jc w:val="left"/>
              <w:rPr>
                <w:rFonts w:ascii="Arial Narrow" w:hAnsi="Arial Narrow" w:cs="Times New Roman"/>
                <w:b/>
                <w:snapToGrid/>
                <w:sz w:val="20"/>
              </w:rPr>
            </w:pPr>
            <w:r w:rsidRPr="008A2917">
              <w:rPr>
                <w:rFonts w:ascii="Arial Narrow" w:hAnsi="Arial Narrow" w:cs="Times New Roman"/>
                <w:b/>
                <w:snapToGrid/>
                <w:sz w:val="20"/>
              </w:rPr>
              <w:t xml:space="preserve">TIV-HD </w:t>
            </w:r>
            <w:r w:rsidR="00A634C5" w:rsidRPr="008A2917">
              <w:rPr>
                <w:rFonts w:ascii="Arial Narrow" w:hAnsi="Arial Narrow" w:cs="Times New Roman"/>
                <w:b/>
                <w:snapToGrid/>
                <w:sz w:val="20"/>
              </w:rPr>
              <w:t>vs</w:t>
            </w:r>
            <w:r w:rsidRPr="008A2917">
              <w:rPr>
                <w:rFonts w:ascii="Arial Narrow" w:hAnsi="Arial Narrow" w:cs="Times New Roman"/>
                <w:b/>
                <w:snapToGrid/>
                <w:sz w:val="20"/>
              </w:rPr>
              <w:t xml:space="preserve"> TIV-SD</w:t>
            </w:r>
          </w:p>
        </w:tc>
      </w:tr>
      <w:tr w:rsidR="00203A18" w:rsidRPr="008A2917" w:rsidTr="00D80F02">
        <w:tc>
          <w:tcPr>
            <w:tcW w:w="547"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FIM12</w:t>
            </w:r>
          </w:p>
        </w:tc>
        <w:tc>
          <w:tcPr>
            <w:tcW w:w="1021"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TIV-HD (year 1): 7,254</w:t>
            </w:r>
          </w:p>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TIV-SD (year 1): 7,243</w:t>
            </w:r>
          </w:p>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TIV-HD (year 2): 8,738</w:t>
            </w:r>
          </w:p>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TIV-SD (year 2): 8,748</w:t>
            </w:r>
          </w:p>
        </w:tc>
        <w:tc>
          <w:tcPr>
            <w:tcW w:w="473"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Two years</w:t>
            </w:r>
          </w:p>
        </w:tc>
        <w:tc>
          <w:tcPr>
            <w:tcW w:w="472"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Low</w:t>
            </w:r>
          </w:p>
        </w:tc>
        <w:tc>
          <w:tcPr>
            <w:tcW w:w="550"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Healthy adults aged ≥65 years</w:t>
            </w:r>
          </w:p>
        </w:tc>
        <w:tc>
          <w:tcPr>
            <w:tcW w:w="1430"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Occurrences of culture- or PCR confirmed influenza;</w:t>
            </w:r>
          </w:p>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 xml:space="preserve">Rates of all-cause hospitalisations and selected cardiorespiratory events reported by </w:t>
            </w:r>
            <w:proofErr w:type="spellStart"/>
            <w:r w:rsidRPr="008A2917">
              <w:rPr>
                <w:rFonts w:ascii="Arial Narrow" w:hAnsi="Arial Narrow" w:cs="Times New Roman"/>
                <w:snapToGrid/>
                <w:sz w:val="20"/>
              </w:rPr>
              <w:t>DiazGranados</w:t>
            </w:r>
            <w:proofErr w:type="spellEnd"/>
          </w:p>
        </w:tc>
        <w:tc>
          <w:tcPr>
            <w:tcW w:w="507"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Used</w:t>
            </w:r>
          </w:p>
        </w:tc>
      </w:tr>
      <w:tr w:rsidR="00203A18" w:rsidRPr="008A2917" w:rsidTr="00D80F02">
        <w:tc>
          <w:tcPr>
            <w:tcW w:w="547" w:type="pct"/>
            <w:tcBorders>
              <w:bottom w:val="single" w:sz="4" w:space="0" w:color="auto"/>
            </w:tcBorders>
            <w:shd w:val="clear" w:color="auto" w:fill="auto"/>
          </w:tcPr>
          <w:p w:rsidR="00203A18" w:rsidRPr="008A2917" w:rsidRDefault="00203A18" w:rsidP="00387896">
            <w:pPr>
              <w:keepNext/>
              <w:widowControl/>
              <w:jc w:val="left"/>
              <w:rPr>
                <w:rFonts w:ascii="Arial Narrow" w:hAnsi="Arial Narrow" w:cs="Times New Roman"/>
                <w:snapToGrid/>
                <w:sz w:val="20"/>
              </w:rPr>
            </w:pPr>
            <w:proofErr w:type="spellStart"/>
            <w:r w:rsidRPr="008A2917">
              <w:rPr>
                <w:rFonts w:ascii="Arial Narrow" w:hAnsi="Arial Narrow" w:cs="Times New Roman"/>
                <w:snapToGrid/>
                <w:sz w:val="20"/>
              </w:rPr>
              <w:t>Gravenstein</w:t>
            </w:r>
            <w:proofErr w:type="spellEnd"/>
          </w:p>
        </w:tc>
        <w:tc>
          <w:tcPr>
            <w:tcW w:w="1021" w:type="pct"/>
            <w:tcBorders>
              <w:bottom w:val="single" w:sz="4" w:space="0" w:color="auto"/>
            </w:tcBorders>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TIV-HD: 26,639</w:t>
            </w:r>
          </w:p>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TIV-SD: 26,369</w:t>
            </w:r>
          </w:p>
        </w:tc>
        <w:tc>
          <w:tcPr>
            <w:tcW w:w="473" w:type="pct"/>
            <w:tcBorders>
              <w:bottom w:val="single" w:sz="4" w:space="0" w:color="auto"/>
            </w:tcBorders>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1 year</w:t>
            </w:r>
          </w:p>
        </w:tc>
        <w:tc>
          <w:tcPr>
            <w:tcW w:w="472" w:type="pct"/>
            <w:tcBorders>
              <w:bottom w:val="single" w:sz="4" w:space="0" w:color="auto"/>
            </w:tcBorders>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Moderate</w:t>
            </w:r>
          </w:p>
        </w:tc>
        <w:tc>
          <w:tcPr>
            <w:tcW w:w="550" w:type="pct"/>
            <w:tcBorders>
              <w:bottom w:val="single" w:sz="4" w:space="0" w:color="auto"/>
            </w:tcBorders>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Nursing home residents</w:t>
            </w:r>
          </w:p>
        </w:tc>
        <w:tc>
          <w:tcPr>
            <w:tcW w:w="1430" w:type="pct"/>
            <w:tcBorders>
              <w:bottom w:val="single" w:sz="4" w:space="0" w:color="auto"/>
            </w:tcBorders>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Hospital admissions related to pulmonary and influenza-like illness</w:t>
            </w:r>
          </w:p>
        </w:tc>
        <w:tc>
          <w:tcPr>
            <w:tcW w:w="507" w:type="pct"/>
            <w:tcBorders>
              <w:bottom w:val="single" w:sz="4" w:space="0" w:color="auto"/>
            </w:tcBorders>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Not used</w:t>
            </w:r>
          </w:p>
        </w:tc>
      </w:tr>
      <w:tr w:rsidR="00203A18" w:rsidRPr="008A2917" w:rsidTr="00D80F02">
        <w:tc>
          <w:tcPr>
            <w:tcW w:w="1568" w:type="pct"/>
            <w:gridSpan w:val="2"/>
            <w:tcBorders>
              <w:right w:val="nil"/>
            </w:tcBorders>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b/>
                <w:snapToGrid/>
                <w:sz w:val="20"/>
              </w:rPr>
              <w:t xml:space="preserve">TIV-HD </w:t>
            </w:r>
            <w:r w:rsidR="00A634C5" w:rsidRPr="008A2917">
              <w:rPr>
                <w:rFonts w:ascii="Arial Narrow" w:hAnsi="Arial Narrow" w:cs="Times New Roman"/>
                <w:b/>
                <w:snapToGrid/>
                <w:sz w:val="20"/>
              </w:rPr>
              <w:t>vs</w:t>
            </w:r>
            <w:r w:rsidRPr="008A2917">
              <w:rPr>
                <w:rFonts w:ascii="Arial Narrow" w:hAnsi="Arial Narrow" w:cs="Times New Roman"/>
                <w:b/>
                <w:snapToGrid/>
                <w:sz w:val="20"/>
              </w:rPr>
              <w:t xml:space="preserve"> </w:t>
            </w:r>
            <w:r w:rsidR="00154745" w:rsidRPr="008A2917">
              <w:rPr>
                <w:rFonts w:ascii="Arial Narrow" w:hAnsi="Arial Narrow" w:cs="Times New Roman"/>
                <w:b/>
                <w:snapToGrid/>
                <w:sz w:val="20"/>
              </w:rPr>
              <w:t xml:space="preserve">QIV-SD and </w:t>
            </w:r>
            <w:proofErr w:type="spellStart"/>
            <w:r w:rsidR="004922B5" w:rsidRPr="008A2917">
              <w:rPr>
                <w:rFonts w:ascii="Arial Narrow" w:hAnsi="Arial Narrow" w:cs="Times New Roman"/>
                <w:b/>
                <w:snapToGrid/>
                <w:sz w:val="20"/>
              </w:rPr>
              <w:t>aTIV</w:t>
            </w:r>
            <w:proofErr w:type="spellEnd"/>
            <w:r w:rsidRPr="008A2917">
              <w:rPr>
                <w:rFonts w:ascii="Arial Narrow" w:hAnsi="Arial Narrow" w:cs="Times New Roman"/>
                <w:b/>
                <w:snapToGrid/>
                <w:sz w:val="20"/>
              </w:rPr>
              <w:t xml:space="preserve"> </w:t>
            </w:r>
          </w:p>
        </w:tc>
        <w:tc>
          <w:tcPr>
            <w:tcW w:w="473" w:type="pct"/>
            <w:tcBorders>
              <w:left w:val="nil"/>
              <w:right w:val="nil"/>
            </w:tcBorders>
            <w:shd w:val="clear" w:color="auto" w:fill="auto"/>
          </w:tcPr>
          <w:p w:rsidR="00203A18" w:rsidRPr="008A2917" w:rsidRDefault="00203A18" w:rsidP="00387896">
            <w:pPr>
              <w:keepNext/>
              <w:widowControl/>
              <w:jc w:val="left"/>
              <w:rPr>
                <w:rFonts w:ascii="Arial Narrow" w:hAnsi="Arial Narrow" w:cs="Times New Roman"/>
                <w:snapToGrid/>
                <w:sz w:val="20"/>
              </w:rPr>
            </w:pPr>
          </w:p>
        </w:tc>
        <w:tc>
          <w:tcPr>
            <w:tcW w:w="472" w:type="pct"/>
            <w:tcBorders>
              <w:left w:val="nil"/>
              <w:right w:val="nil"/>
            </w:tcBorders>
            <w:shd w:val="clear" w:color="auto" w:fill="auto"/>
          </w:tcPr>
          <w:p w:rsidR="00203A18" w:rsidRPr="008A2917" w:rsidRDefault="00203A18" w:rsidP="00387896">
            <w:pPr>
              <w:keepNext/>
              <w:widowControl/>
              <w:jc w:val="left"/>
              <w:rPr>
                <w:rFonts w:ascii="Arial Narrow" w:hAnsi="Arial Narrow" w:cs="Times New Roman"/>
                <w:snapToGrid/>
                <w:sz w:val="20"/>
              </w:rPr>
            </w:pPr>
          </w:p>
        </w:tc>
        <w:tc>
          <w:tcPr>
            <w:tcW w:w="550" w:type="pct"/>
            <w:tcBorders>
              <w:left w:val="nil"/>
              <w:right w:val="nil"/>
            </w:tcBorders>
            <w:shd w:val="clear" w:color="auto" w:fill="auto"/>
          </w:tcPr>
          <w:p w:rsidR="00203A18" w:rsidRPr="008A2917" w:rsidRDefault="00203A18" w:rsidP="00387896">
            <w:pPr>
              <w:keepNext/>
              <w:widowControl/>
              <w:jc w:val="left"/>
              <w:rPr>
                <w:rFonts w:ascii="Arial Narrow" w:hAnsi="Arial Narrow" w:cs="Times New Roman"/>
                <w:snapToGrid/>
                <w:sz w:val="20"/>
              </w:rPr>
            </w:pPr>
          </w:p>
        </w:tc>
        <w:tc>
          <w:tcPr>
            <w:tcW w:w="1430" w:type="pct"/>
            <w:tcBorders>
              <w:left w:val="nil"/>
              <w:right w:val="nil"/>
            </w:tcBorders>
            <w:shd w:val="clear" w:color="auto" w:fill="auto"/>
          </w:tcPr>
          <w:p w:rsidR="00203A18" w:rsidRPr="008A2917" w:rsidRDefault="00203A18" w:rsidP="00387896">
            <w:pPr>
              <w:keepNext/>
              <w:widowControl/>
              <w:jc w:val="left"/>
              <w:rPr>
                <w:rFonts w:ascii="Arial Narrow" w:hAnsi="Arial Narrow" w:cs="Times New Roman"/>
                <w:snapToGrid/>
                <w:sz w:val="20"/>
              </w:rPr>
            </w:pPr>
          </w:p>
        </w:tc>
        <w:tc>
          <w:tcPr>
            <w:tcW w:w="507" w:type="pct"/>
            <w:tcBorders>
              <w:left w:val="nil"/>
            </w:tcBorders>
            <w:shd w:val="clear" w:color="auto" w:fill="auto"/>
          </w:tcPr>
          <w:p w:rsidR="00203A18" w:rsidRPr="008A2917" w:rsidRDefault="00203A18" w:rsidP="00387896">
            <w:pPr>
              <w:keepNext/>
              <w:widowControl/>
              <w:jc w:val="left"/>
              <w:rPr>
                <w:rFonts w:ascii="Arial Narrow" w:hAnsi="Arial Narrow" w:cs="Times New Roman"/>
                <w:snapToGrid/>
                <w:sz w:val="20"/>
              </w:rPr>
            </w:pPr>
          </w:p>
        </w:tc>
      </w:tr>
      <w:tr w:rsidR="00203A18" w:rsidRPr="008A2917" w:rsidTr="00D80F02">
        <w:tc>
          <w:tcPr>
            <w:tcW w:w="547" w:type="pct"/>
            <w:shd w:val="clear" w:color="auto" w:fill="auto"/>
          </w:tcPr>
          <w:p w:rsidR="00203A18" w:rsidRPr="008A2917" w:rsidRDefault="00203A18" w:rsidP="00387896">
            <w:pPr>
              <w:keepNext/>
              <w:widowControl/>
              <w:jc w:val="left"/>
              <w:rPr>
                <w:rFonts w:ascii="Arial Narrow" w:hAnsi="Arial Narrow" w:cs="Times New Roman"/>
                <w:snapToGrid/>
                <w:sz w:val="20"/>
              </w:rPr>
            </w:pPr>
            <w:proofErr w:type="spellStart"/>
            <w:r w:rsidRPr="008A2917">
              <w:rPr>
                <w:rFonts w:ascii="Arial Narrow" w:hAnsi="Arial Narrow" w:cs="Times New Roman"/>
                <w:snapToGrid/>
                <w:sz w:val="20"/>
              </w:rPr>
              <w:t>Izurieta</w:t>
            </w:r>
            <w:proofErr w:type="spellEnd"/>
          </w:p>
        </w:tc>
        <w:tc>
          <w:tcPr>
            <w:tcW w:w="1021"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~13 million</w:t>
            </w:r>
          </w:p>
        </w:tc>
        <w:tc>
          <w:tcPr>
            <w:tcW w:w="473"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1 year</w:t>
            </w:r>
          </w:p>
        </w:tc>
        <w:tc>
          <w:tcPr>
            <w:tcW w:w="472"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Moderate to high risk</w:t>
            </w:r>
          </w:p>
        </w:tc>
        <w:tc>
          <w:tcPr>
            <w:tcW w:w="550"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Medicare beneficiaries aged ≥65 years in the USA</w:t>
            </w:r>
          </w:p>
        </w:tc>
        <w:tc>
          <w:tcPr>
            <w:tcW w:w="1430"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Influenza-related hospital encounters</w:t>
            </w:r>
          </w:p>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Influenza-related office visits (pre-specified)</w:t>
            </w:r>
          </w:p>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Inpatient stays (post hoc)</w:t>
            </w:r>
          </w:p>
        </w:tc>
        <w:tc>
          <w:tcPr>
            <w:tcW w:w="507" w:type="pct"/>
            <w:shd w:val="clear" w:color="auto" w:fill="auto"/>
          </w:tcPr>
          <w:p w:rsidR="00203A18" w:rsidRPr="008A2917" w:rsidRDefault="00203A18"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Used</w:t>
            </w:r>
          </w:p>
        </w:tc>
      </w:tr>
    </w:tbl>
    <w:p w:rsidR="00203A18" w:rsidRPr="008A2917" w:rsidRDefault="00203A18" w:rsidP="00387896">
      <w:pPr>
        <w:pStyle w:val="TableFooter"/>
        <w:widowControl/>
      </w:pPr>
      <w:r w:rsidRPr="008A2917">
        <w:t>PCR: Polymerase Chain Reaction; TIV-HD: Trivalent Influenza Vaccine – High Dose; TIV-SD: Trivalent Influenza Vaccine – High Dose.</w:t>
      </w:r>
    </w:p>
    <w:p w:rsidR="00203A18" w:rsidRPr="008A2917" w:rsidRDefault="00203A18" w:rsidP="00387896">
      <w:pPr>
        <w:pStyle w:val="TableFooter"/>
        <w:widowControl/>
        <w:rPr>
          <w:sz w:val="20"/>
        </w:rPr>
      </w:pPr>
      <w:r w:rsidRPr="008A2917">
        <w:t>Source: Table 3, p7, of the TIV-HD PSD, July 2018 and Table 2.4, p48 of the resubmission.</w:t>
      </w:r>
    </w:p>
    <w:p w:rsidR="00203A18" w:rsidRPr="008A2917" w:rsidRDefault="00203A18" w:rsidP="00387896">
      <w:pPr>
        <w:widowControl/>
      </w:pPr>
    </w:p>
    <w:p w:rsidR="006634D7" w:rsidRPr="008A2917" w:rsidRDefault="006634D7" w:rsidP="00387896">
      <w:pPr>
        <w:widowControl/>
        <w:numPr>
          <w:ilvl w:val="1"/>
          <w:numId w:val="1"/>
        </w:numPr>
        <w:spacing w:after="160"/>
      </w:pPr>
      <w:r w:rsidRPr="008A2917">
        <w:t xml:space="preserve">The resubmission noted that </w:t>
      </w:r>
      <w:proofErr w:type="spellStart"/>
      <w:r w:rsidRPr="008A2917">
        <w:t>Izurieta</w:t>
      </w:r>
      <w:proofErr w:type="spellEnd"/>
      <w:r w:rsidRPr="008A2917">
        <w:t xml:space="preserve"> is subject to bias due to confounding factors. </w:t>
      </w:r>
      <w:proofErr w:type="spellStart"/>
      <w:r w:rsidRPr="008A2917">
        <w:t>Izurieta</w:t>
      </w:r>
      <w:proofErr w:type="spellEnd"/>
      <w:r w:rsidRPr="008A2917">
        <w:t xml:space="preserve"> used inverse probability of treatment weighting (IPTW) to adjust for imbalances between cohorts on all covariates to mitigate the impact of confounders. </w:t>
      </w:r>
      <w:r w:rsidRPr="008A2917">
        <w:rPr>
          <w:iCs/>
        </w:rPr>
        <w:t xml:space="preserve">This approach </w:t>
      </w:r>
      <w:r w:rsidR="00F344EA" w:rsidRPr="008A2917">
        <w:rPr>
          <w:iCs/>
        </w:rPr>
        <w:t>wa</w:t>
      </w:r>
      <w:r w:rsidRPr="008A2917">
        <w:rPr>
          <w:iCs/>
        </w:rPr>
        <w:t>s appropriate although confounding resulting from unmeasured covariates would remain</w:t>
      </w:r>
      <w:r w:rsidR="00F344EA" w:rsidRPr="008A2917">
        <w:rPr>
          <w:iCs/>
        </w:rPr>
        <w:t>, and t</w:t>
      </w:r>
      <w:r w:rsidRPr="008A2917">
        <w:rPr>
          <w:iCs/>
        </w:rPr>
        <w:t xml:space="preserve">he impact </w:t>
      </w:r>
      <w:r w:rsidR="009E21B9" w:rsidRPr="008A2917">
        <w:rPr>
          <w:iCs/>
        </w:rPr>
        <w:t xml:space="preserve">of this </w:t>
      </w:r>
      <w:r w:rsidRPr="008A2917">
        <w:rPr>
          <w:iCs/>
        </w:rPr>
        <w:t xml:space="preserve">on </w:t>
      </w:r>
      <w:r w:rsidR="00461050" w:rsidRPr="008A2917">
        <w:rPr>
          <w:iCs/>
        </w:rPr>
        <w:t xml:space="preserve">the </w:t>
      </w:r>
      <w:r w:rsidRPr="008A2917">
        <w:rPr>
          <w:iCs/>
        </w:rPr>
        <w:t xml:space="preserve">results is </w:t>
      </w:r>
      <w:r w:rsidR="00461050" w:rsidRPr="008A2917">
        <w:rPr>
          <w:iCs/>
        </w:rPr>
        <w:t>unknown</w:t>
      </w:r>
      <w:r w:rsidRPr="008A2917">
        <w:rPr>
          <w:iCs/>
        </w:rPr>
        <w:t xml:space="preserve">. </w:t>
      </w:r>
    </w:p>
    <w:p w:rsidR="006634D7" w:rsidRPr="008A2917" w:rsidRDefault="006634D7" w:rsidP="00387896">
      <w:pPr>
        <w:widowControl/>
        <w:numPr>
          <w:ilvl w:val="1"/>
          <w:numId w:val="1"/>
        </w:numPr>
        <w:spacing w:after="160"/>
      </w:pPr>
      <w:proofErr w:type="spellStart"/>
      <w:r w:rsidRPr="008A2917">
        <w:t>Izurieta</w:t>
      </w:r>
      <w:proofErr w:type="spellEnd"/>
      <w:r w:rsidRPr="008A2917">
        <w:t xml:space="preserve"> was conducted during </w:t>
      </w:r>
      <w:r w:rsidR="0020209E" w:rsidRPr="008A2917">
        <w:t>one (</w:t>
      </w:r>
      <w:r w:rsidRPr="008A2917">
        <w:t>2017-18</w:t>
      </w:r>
      <w:r w:rsidR="0020209E" w:rsidRPr="008A2917">
        <w:t>)</w:t>
      </w:r>
      <w:r w:rsidRPr="008A2917">
        <w:t xml:space="preserve"> influenza season in the US and potential egg-adaptation may have affected the efficacy of all egg-based vaccines</w:t>
      </w:r>
      <w:r w:rsidR="00C770A0" w:rsidRPr="008A2917">
        <w:t xml:space="preserve">: QIV-SD, TIV-HD, </w:t>
      </w:r>
      <w:proofErr w:type="spellStart"/>
      <w:r w:rsidR="00C770A0" w:rsidRPr="008A2917">
        <w:t>aTIV</w:t>
      </w:r>
      <w:proofErr w:type="spellEnd"/>
      <w:r w:rsidR="00C770A0" w:rsidRPr="008A2917">
        <w:t xml:space="preserve"> and TIV-SD</w:t>
      </w:r>
      <w:r w:rsidRPr="008A2917">
        <w:t xml:space="preserve">. </w:t>
      </w:r>
      <w:r w:rsidRPr="008A2917">
        <w:rPr>
          <w:iCs/>
        </w:rPr>
        <w:t xml:space="preserve">This </w:t>
      </w:r>
      <w:r w:rsidR="0020209E" w:rsidRPr="008A2917">
        <w:rPr>
          <w:iCs/>
        </w:rPr>
        <w:t xml:space="preserve">potentially impacts on the applicability of </w:t>
      </w:r>
      <w:r w:rsidRPr="008A2917">
        <w:rPr>
          <w:iCs/>
        </w:rPr>
        <w:t>the vaccine effectiveness estimates</w:t>
      </w:r>
      <w:r w:rsidR="00F344EA" w:rsidRPr="008A2917">
        <w:rPr>
          <w:iCs/>
        </w:rPr>
        <w:t xml:space="preserve"> from this study</w:t>
      </w:r>
      <w:r w:rsidRPr="008A2917">
        <w:rPr>
          <w:iCs/>
        </w:rPr>
        <w:t xml:space="preserve"> </w:t>
      </w:r>
      <w:r w:rsidR="0020209E" w:rsidRPr="008A2917">
        <w:rPr>
          <w:iCs/>
        </w:rPr>
        <w:t xml:space="preserve">given </w:t>
      </w:r>
      <w:r w:rsidRPr="008A2917">
        <w:rPr>
          <w:iCs/>
        </w:rPr>
        <w:t xml:space="preserve">seasonal variations of influenza strains. </w:t>
      </w:r>
    </w:p>
    <w:p w:rsidR="006634D7" w:rsidRPr="008A2917" w:rsidRDefault="006634D7" w:rsidP="00387896">
      <w:pPr>
        <w:widowControl/>
        <w:numPr>
          <w:ilvl w:val="1"/>
          <w:numId w:val="1"/>
        </w:numPr>
        <w:spacing w:after="160"/>
        <w:rPr>
          <w:iCs/>
        </w:rPr>
      </w:pPr>
      <w:r w:rsidRPr="008A2917">
        <w:rPr>
          <w:iCs/>
        </w:rPr>
        <w:t xml:space="preserve">Overall, </w:t>
      </w:r>
      <w:proofErr w:type="spellStart"/>
      <w:r w:rsidRPr="008A2917">
        <w:rPr>
          <w:iCs/>
        </w:rPr>
        <w:t>Izurieta</w:t>
      </w:r>
      <w:proofErr w:type="spellEnd"/>
      <w:r w:rsidRPr="008A2917">
        <w:rPr>
          <w:iCs/>
        </w:rPr>
        <w:t xml:space="preserve"> has a </w:t>
      </w:r>
      <w:r w:rsidR="00C770A0" w:rsidRPr="008A2917">
        <w:rPr>
          <w:iCs/>
        </w:rPr>
        <w:t xml:space="preserve">moderate to </w:t>
      </w:r>
      <w:r w:rsidRPr="008A2917">
        <w:rPr>
          <w:iCs/>
        </w:rPr>
        <w:t xml:space="preserve">high risk of bias mainly due to non-randomisation of participants. </w:t>
      </w:r>
      <w:r w:rsidR="00CD79CA" w:rsidRPr="008A2917">
        <w:rPr>
          <w:iCs/>
        </w:rPr>
        <w:t>Aged care facility</w:t>
      </w:r>
      <w:r w:rsidRPr="008A2917">
        <w:rPr>
          <w:iCs/>
        </w:rPr>
        <w:t xml:space="preserve"> residents were excluded from the study cohort because their medical encounters may not have been reliably captured. People were also excluded if their residence was not located within defined Department of Health and Human Services regions. It was unclear if vaccination timing may have impacted immunity as participants were vaccinated at different points in time.</w:t>
      </w:r>
    </w:p>
    <w:p w:rsidR="00B87C2B" w:rsidRPr="008A2917" w:rsidRDefault="00486C4A" w:rsidP="004745F8">
      <w:pPr>
        <w:widowControl/>
        <w:numPr>
          <w:ilvl w:val="1"/>
          <w:numId w:val="1"/>
        </w:numPr>
        <w:spacing w:after="160"/>
        <w:rPr>
          <w:iCs/>
        </w:rPr>
      </w:pPr>
      <w:r w:rsidRPr="008A2917">
        <w:rPr>
          <w:iCs/>
        </w:rPr>
        <w:t>The P</w:t>
      </w:r>
      <w:r w:rsidR="004745F8" w:rsidRPr="008A2917">
        <w:rPr>
          <w:iCs/>
        </w:rPr>
        <w:t>re-Sub-Committee Response (P</w:t>
      </w:r>
      <w:r w:rsidRPr="008A2917">
        <w:rPr>
          <w:iCs/>
        </w:rPr>
        <w:t>SCR) argued</w:t>
      </w:r>
      <w:r w:rsidR="00E96BD7" w:rsidRPr="008A2917">
        <w:rPr>
          <w:iCs/>
        </w:rPr>
        <w:t xml:space="preserve"> that </w:t>
      </w:r>
      <w:proofErr w:type="spellStart"/>
      <w:r w:rsidR="00E96BD7" w:rsidRPr="008A2917">
        <w:rPr>
          <w:iCs/>
        </w:rPr>
        <w:t>Izurieta</w:t>
      </w:r>
      <w:proofErr w:type="spellEnd"/>
      <w:r w:rsidR="00E96BD7" w:rsidRPr="008A2917">
        <w:rPr>
          <w:iCs/>
        </w:rPr>
        <w:t xml:space="preserve"> wa</w:t>
      </w:r>
      <w:r w:rsidR="005F65F7" w:rsidRPr="008A2917">
        <w:rPr>
          <w:iCs/>
        </w:rPr>
        <w:t>s the best available evidence to support comparison</w:t>
      </w:r>
      <w:r w:rsidR="00911051" w:rsidRPr="008A2917">
        <w:rPr>
          <w:iCs/>
        </w:rPr>
        <w:t>s</w:t>
      </w:r>
      <w:r w:rsidR="005F65F7" w:rsidRPr="008A2917">
        <w:rPr>
          <w:iCs/>
        </w:rPr>
        <w:t xml:space="preserve"> </w:t>
      </w:r>
      <w:r w:rsidR="0020209E" w:rsidRPr="008A2917">
        <w:rPr>
          <w:iCs/>
        </w:rPr>
        <w:t xml:space="preserve">with </w:t>
      </w:r>
      <w:r w:rsidR="005F65F7" w:rsidRPr="008A2917">
        <w:rPr>
          <w:iCs/>
        </w:rPr>
        <w:t xml:space="preserve">QIV-SD and </w:t>
      </w:r>
      <w:proofErr w:type="spellStart"/>
      <w:r w:rsidR="005F65F7" w:rsidRPr="008A2917">
        <w:rPr>
          <w:iCs/>
        </w:rPr>
        <w:t>aTIV</w:t>
      </w:r>
      <w:proofErr w:type="spellEnd"/>
      <w:r w:rsidR="005F65F7" w:rsidRPr="008A2917">
        <w:rPr>
          <w:iCs/>
        </w:rPr>
        <w:t>, that the study analysis was robust due to the size of the study and adjustment of confounders using a</w:t>
      </w:r>
      <w:r w:rsidR="00560D12" w:rsidRPr="008A2917">
        <w:rPr>
          <w:iCs/>
        </w:rPr>
        <w:t>n</w:t>
      </w:r>
      <w:r w:rsidR="005F65F7" w:rsidRPr="008A2917">
        <w:rPr>
          <w:iCs/>
        </w:rPr>
        <w:t xml:space="preserve"> IPTW, and because the comparison was undertaken during the same season, removing seasonal strain variation across </w:t>
      </w:r>
      <w:r w:rsidR="00911051" w:rsidRPr="008A2917">
        <w:rPr>
          <w:iCs/>
        </w:rPr>
        <w:t xml:space="preserve">the </w:t>
      </w:r>
      <w:r w:rsidR="005F65F7" w:rsidRPr="008A2917">
        <w:rPr>
          <w:iCs/>
        </w:rPr>
        <w:t>study season</w:t>
      </w:r>
      <w:r w:rsidR="008A2917">
        <w:rPr>
          <w:iCs/>
        </w:rPr>
        <w:t xml:space="preserve">. </w:t>
      </w:r>
      <w:r w:rsidR="005F65F7" w:rsidRPr="008A2917">
        <w:rPr>
          <w:iCs/>
        </w:rPr>
        <w:t xml:space="preserve">The PSCR reiterated that the results of </w:t>
      </w:r>
      <w:proofErr w:type="spellStart"/>
      <w:r w:rsidR="005F65F7" w:rsidRPr="008A2917">
        <w:rPr>
          <w:iCs/>
        </w:rPr>
        <w:t>Izurieta</w:t>
      </w:r>
      <w:proofErr w:type="spellEnd"/>
      <w:r w:rsidR="005F65F7" w:rsidRPr="008A2917">
        <w:rPr>
          <w:iCs/>
        </w:rPr>
        <w:t xml:space="preserve"> favoured the use of TIV-HD over TIV</w:t>
      </w:r>
      <w:r w:rsidR="00911051" w:rsidRPr="008A2917">
        <w:rPr>
          <w:iCs/>
        </w:rPr>
        <w:t>-SD</w:t>
      </w:r>
      <w:r w:rsidR="005F65F7" w:rsidRPr="008A2917">
        <w:rPr>
          <w:iCs/>
        </w:rPr>
        <w:t xml:space="preserve">, QIV-SD and </w:t>
      </w:r>
      <w:proofErr w:type="spellStart"/>
      <w:r w:rsidR="005F65F7" w:rsidRPr="008A2917">
        <w:rPr>
          <w:iCs/>
        </w:rPr>
        <w:t>aTIV</w:t>
      </w:r>
      <w:proofErr w:type="spellEnd"/>
      <w:r w:rsidR="005F65F7" w:rsidRPr="008A2917">
        <w:rPr>
          <w:iCs/>
        </w:rPr>
        <w:t>.</w:t>
      </w:r>
      <w:r w:rsidR="004745F8" w:rsidRPr="008A2917">
        <w:rPr>
          <w:iCs/>
        </w:rPr>
        <w:t xml:space="preserve"> </w:t>
      </w:r>
    </w:p>
    <w:p w:rsidR="00CB0A5B" w:rsidRPr="008A2917" w:rsidRDefault="00CB0A5B" w:rsidP="00387896">
      <w:pPr>
        <w:pStyle w:val="Heading2"/>
        <w:keepNext/>
      </w:pPr>
      <w:bookmarkStart w:id="14" w:name="_Toc371170706"/>
      <w:bookmarkStart w:id="15" w:name="_Toc18942063"/>
      <w:r w:rsidRPr="008A2917">
        <w:lastRenderedPageBreak/>
        <w:t>Comparative effectiveness</w:t>
      </w:r>
      <w:bookmarkEnd w:id="14"/>
      <w:bookmarkEnd w:id="15"/>
    </w:p>
    <w:p w:rsidR="00280D55" w:rsidRPr="008A2917" w:rsidRDefault="00280D55" w:rsidP="00387896">
      <w:pPr>
        <w:keepNext/>
        <w:widowControl/>
        <w:spacing w:after="160"/>
        <w:rPr>
          <w:u w:val="single"/>
        </w:rPr>
      </w:pPr>
      <w:r w:rsidRPr="008A2917">
        <w:rPr>
          <w:u w:val="single"/>
        </w:rPr>
        <w:t>TIV-HD vs TIV-SD</w:t>
      </w:r>
    </w:p>
    <w:p w:rsidR="00D80F02" w:rsidRPr="008A2917" w:rsidRDefault="00D80F02" w:rsidP="003D4AF3">
      <w:pPr>
        <w:widowControl/>
        <w:numPr>
          <w:ilvl w:val="1"/>
          <w:numId w:val="1"/>
        </w:numPr>
        <w:spacing w:after="160"/>
      </w:pPr>
      <w:r w:rsidRPr="008A2917">
        <w:t xml:space="preserve">Table </w:t>
      </w:r>
      <w:r w:rsidR="001C1195" w:rsidRPr="008A2917">
        <w:t>6</w:t>
      </w:r>
      <w:r w:rsidRPr="008A2917">
        <w:t xml:space="preserve"> summarises</w:t>
      </w:r>
      <w:r w:rsidR="0020209E" w:rsidRPr="008A2917">
        <w:t xml:space="preserve"> the</w:t>
      </w:r>
      <w:r w:rsidRPr="008A2917">
        <w:t xml:space="preserve"> outcomes from FIM12.Vaccine efficacy of TIV-HD vs TIV-SD against lab-confirmed influenza caused by any viral types/subtypes was 24.24% (95% CI 9.71; 36.50). The lower bound of the 95% CI exceeded 9.1%, the pre-defined superiority threshold for TIV-HD compared to TIV-SD.</w:t>
      </w:r>
    </w:p>
    <w:p w:rsidR="00C770A0" w:rsidRPr="008A2917" w:rsidRDefault="0020209E" w:rsidP="00387896">
      <w:pPr>
        <w:widowControl/>
        <w:numPr>
          <w:ilvl w:val="1"/>
          <w:numId w:val="1"/>
        </w:numPr>
        <w:spacing w:after="160"/>
      </w:pPr>
      <w:bookmarkStart w:id="16" w:name="_Hlk18938061"/>
      <w:r w:rsidRPr="008A2917">
        <w:rPr>
          <w:iCs/>
        </w:rPr>
        <w:t>The</w:t>
      </w:r>
      <w:r w:rsidR="00D80F02" w:rsidRPr="008A2917">
        <w:rPr>
          <w:iCs/>
        </w:rPr>
        <w:t xml:space="preserve"> reduction in influenza events for H1N1 </w:t>
      </w:r>
      <w:r w:rsidRPr="008A2917">
        <w:rPr>
          <w:iCs/>
        </w:rPr>
        <w:t>was not statistically significant</w:t>
      </w:r>
      <w:r w:rsidR="00D80F02" w:rsidRPr="008A2917">
        <w:rPr>
          <w:iCs/>
        </w:rPr>
        <w:t xml:space="preserve">. This was previously noted by ESC, </w:t>
      </w:r>
      <w:r w:rsidR="00A74509" w:rsidRPr="008A2917">
        <w:rPr>
          <w:iCs/>
        </w:rPr>
        <w:t xml:space="preserve">and </w:t>
      </w:r>
      <w:r w:rsidR="00D80F02" w:rsidRPr="008A2917">
        <w:rPr>
          <w:iCs/>
        </w:rPr>
        <w:t>suggest</w:t>
      </w:r>
      <w:r w:rsidR="00A74509" w:rsidRPr="008A2917">
        <w:rPr>
          <w:iCs/>
        </w:rPr>
        <w:t>s</w:t>
      </w:r>
      <w:r w:rsidR="00D80F02" w:rsidRPr="008A2917">
        <w:rPr>
          <w:iCs/>
        </w:rPr>
        <w:t xml:space="preserve"> </w:t>
      </w:r>
      <w:r w:rsidR="00154745" w:rsidRPr="008A2917">
        <w:rPr>
          <w:iCs/>
        </w:rPr>
        <w:t>vaccine efficacy</w:t>
      </w:r>
      <w:r w:rsidR="00D80F02" w:rsidRPr="008A2917">
        <w:rPr>
          <w:iCs/>
        </w:rPr>
        <w:t xml:space="preserve"> may be impacted by </w:t>
      </w:r>
      <w:r w:rsidRPr="008A2917">
        <w:rPr>
          <w:iCs/>
        </w:rPr>
        <w:t>the extent of</w:t>
      </w:r>
      <w:r w:rsidR="00D80F02" w:rsidRPr="008A2917">
        <w:rPr>
          <w:iCs/>
        </w:rPr>
        <w:t xml:space="preserve"> H1N1 circulating </w:t>
      </w:r>
      <w:r w:rsidRPr="008A2917">
        <w:rPr>
          <w:iCs/>
        </w:rPr>
        <w:t>in any one</w:t>
      </w:r>
      <w:r w:rsidR="00D80F02" w:rsidRPr="008A2917">
        <w:rPr>
          <w:iCs/>
        </w:rPr>
        <w:t xml:space="preserve"> year (para 6.13, p9, TIV-HD, July 2018). </w:t>
      </w:r>
    </w:p>
    <w:bookmarkEnd w:id="16"/>
    <w:p w:rsidR="00D80F02" w:rsidRPr="008A2917" w:rsidRDefault="00D80F02" w:rsidP="00387896">
      <w:pPr>
        <w:pStyle w:val="TableHeading0"/>
        <w:rPr>
          <w:bCs/>
        </w:rPr>
      </w:pPr>
      <w:r w:rsidRPr="008A2917">
        <w:t xml:space="preserve">Table </w:t>
      </w:r>
      <w:r w:rsidR="001C1195" w:rsidRPr="008A2917">
        <w:t>6</w:t>
      </w:r>
      <w:r w:rsidRPr="008A2917">
        <w:t>: Efficacy of TIV-HD relative to TIV-SD against serious events possibly related to influenza (intent-to-treat analysis, Year 1 and Year 2 combined) in the FIM12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908"/>
        <w:gridCol w:w="1910"/>
        <w:gridCol w:w="1910"/>
      </w:tblGrid>
      <w:tr w:rsidR="00D80F02" w:rsidRPr="008A2917" w:rsidTr="00D03D21">
        <w:trPr>
          <w:trHeight w:val="161"/>
        </w:trPr>
        <w:tc>
          <w:tcPr>
            <w:tcW w:w="1824"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Serious event category</w:t>
            </w:r>
          </w:p>
        </w:tc>
        <w:tc>
          <w:tcPr>
            <w:tcW w:w="1058"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TIV-HD (N = 15,990),</w:t>
            </w:r>
          </w:p>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n (rate)</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TIV-SD (N = 15,993),</w:t>
            </w:r>
          </w:p>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n (rate)</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 xml:space="preserve">Combined, </w:t>
            </w:r>
            <w:proofErr w:type="spellStart"/>
            <w:r w:rsidRPr="008A2917">
              <w:rPr>
                <w:rFonts w:ascii="Arial Narrow" w:eastAsiaTheme="minorHAnsi" w:hAnsi="Arial Narrow" w:cstheme="minorBidi"/>
                <w:b/>
                <w:snapToGrid/>
                <w:sz w:val="20"/>
                <w:szCs w:val="20"/>
              </w:rPr>
              <w:t>rVE</w:t>
            </w:r>
            <w:proofErr w:type="spellEnd"/>
            <w:r w:rsidRPr="008A2917">
              <w:rPr>
                <w:rFonts w:ascii="Arial Narrow" w:eastAsiaTheme="minorHAnsi" w:hAnsi="Arial Narrow" w:cstheme="minorBidi"/>
                <w:b/>
                <w:snapToGrid/>
                <w:sz w:val="20"/>
                <w:szCs w:val="20"/>
              </w:rPr>
              <w:t xml:space="preserve"> (95%CI)</w:t>
            </w:r>
          </w:p>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N=31,983</w:t>
            </w:r>
          </w:p>
        </w:tc>
      </w:tr>
      <w:tr w:rsidR="00D80F02" w:rsidRPr="008A2917" w:rsidTr="00D03D21">
        <w:trPr>
          <w:trHeight w:val="161"/>
        </w:trPr>
        <w:tc>
          <w:tcPr>
            <w:tcW w:w="1824"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Associated with PD-ILI</w:t>
            </w:r>
          </w:p>
        </w:tc>
        <w:tc>
          <w:tcPr>
            <w:tcW w:w="1058"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228 (1.43)</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301 (1.88)</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24.24 (9.71; 36.50)</w:t>
            </w:r>
          </w:p>
        </w:tc>
      </w:tr>
      <w:tr w:rsidR="00D80F02" w:rsidRPr="008A2917" w:rsidTr="00D03D21">
        <w:trPr>
          <w:trHeight w:val="161"/>
        </w:trPr>
        <w:tc>
          <w:tcPr>
            <w:tcW w:w="1824"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 xml:space="preserve">Influenza A </w:t>
            </w:r>
          </w:p>
        </w:tc>
        <w:tc>
          <w:tcPr>
            <w:tcW w:w="1058"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190 (1.19)</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250 (1.56)</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23.99 (7.84; 37.39)</w:t>
            </w:r>
          </w:p>
        </w:tc>
      </w:tr>
      <w:tr w:rsidR="00D80F02" w:rsidRPr="008A2917" w:rsidTr="00D03D21">
        <w:trPr>
          <w:trHeight w:val="161"/>
        </w:trPr>
        <w:tc>
          <w:tcPr>
            <w:tcW w:w="1824"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A/H1N1 </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8 (0.05)</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9 (0.06)</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11.09 (-159.6; 70.15)</w:t>
            </w:r>
          </w:p>
        </w:tc>
      </w:tr>
      <w:tr w:rsidR="00D80F02" w:rsidRPr="008A2917" w:rsidTr="00D03D21">
        <w:trPr>
          <w:trHeight w:val="161"/>
        </w:trPr>
        <w:tc>
          <w:tcPr>
            <w:tcW w:w="1824"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 xml:space="preserve">A/H3N2 </w:t>
            </w:r>
          </w:p>
        </w:tc>
        <w:tc>
          <w:tcPr>
            <w:tcW w:w="1058"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171 (1.07)</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223 (1.39)</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23.30 (5.97; 37.53)</w:t>
            </w:r>
          </w:p>
        </w:tc>
      </w:tr>
      <w:tr w:rsidR="00D80F02" w:rsidRPr="008A2917" w:rsidTr="00D03D21">
        <w:trPr>
          <w:trHeight w:val="161"/>
        </w:trPr>
        <w:tc>
          <w:tcPr>
            <w:tcW w:w="1824"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Influenza B </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38 (0.24)</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51 (0.32)</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25.48 (-15.68; 52.36)</w:t>
            </w:r>
          </w:p>
        </w:tc>
      </w:tr>
      <w:tr w:rsidR="00D80F02" w:rsidRPr="008A2917" w:rsidTr="00D03D21">
        <w:trPr>
          <w:trHeight w:val="161"/>
        </w:trPr>
        <w:tc>
          <w:tcPr>
            <w:tcW w:w="1824"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Victoria lineage </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9 (0.06)</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11 (0.07)</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18.17 (-117.2; 70.03)</w:t>
            </w:r>
          </w:p>
        </w:tc>
      </w:tr>
      <w:tr w:rsidR="00D80F02" w:rsidRPr="008A2917" w:rsidTr="00D03D21">
        <w:trPr>
          <w:trHeight w:val="161"/>
        </w:trPr>
        <w:tc>
          <w:tcPr>
            <w:tcW w:w="1824"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Yamagata lineage</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24 (0.15)</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36 (0.23)</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33.32 (-14.89; 61.94)</w:t>
            </w:r>
          </w:p>
        </w:tc>
      </w:tr>
      <w:tr w:rsidR="00D80F02" w:rsidRPr="008A2917" w:rsidTr="00D03D21">
        <w:trPr>
          <w:trHeight w:val="58"/>
        </w:trPr>
        <w:tc>
          <w:tcPr>
            <w:tcW w:w="1824"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All-cause hospitalisation</w:t>
            </w:r>
          </w:p>
        </w:tc>
        <w:tc>
          <w:tcPr>
            <w:tcW w:w="1058"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1530 (95.68)</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1643 (102.73)</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6.9% (0.5 to 12.8)</w:t>
            </w:r>
          </w:p>
        </w:tc>
      </w:tr>
      <w:tr w:rsidR="00D80F02" w:rsidRPr="008A2917" w:rsidTr="00D03D21">
        <w:trPr>
          <w:trHeight w:val="58"/>
        </w:trPr>
        <w:tc>
          <w:tcPr>
            <w:tcW w:w="1824"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Serious cardiorespiratory events</w:t>
            </w:r>
          </w:p>
        </w:tc>
        <w:tc>
          <w:tcPr>
            <w:tcW w:w="1058"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428 (26.77)</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520 (32.51)</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17.7% (6.6 to 27.4)</w:t>
            </w:r>
          </w:p>
        </w:tc>
      </w:tr>
      <w:tr w:rsidR="00D80F02" w:rsidRPr="008A2917" w:rsidTr="00D03D21">
        <w:trPr>
          <w:trHeight w:val="231"/>
        </w:trPr>
        <w:tc>
          <w:tcPr>
            <w:tcW w:w="1824" w:type="pct"/>
          </w:tcPr>
          <w:p w:rsidR="00D80F02" w:rsidRPr="008A2917" w:rsidRDefault="00D80F02" w:rsidP="00387896">
            <w:pPr>
              <w:keepNext/>
              <w:widowControl/>
              <w:ind w:left="284"/>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Pneumonia events</w:t>
            </w:r>
          </w:p>
        </w:tc>
        <w:tc>
          <w:tcPr>
            <w:tcW w:w="1058"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71 (4.44)</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118 (7.38)</w:t>
            </w:r>
          </w:p>
        </w:tc>
        <w:tc>
          <w:tcPr>
            <w:tcW w:w="10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39.8% (19.3 to 55.1)</w:t>
            </w:r>
          </w:p>
        </w:tc>
      </w:tr>
      <w:tr w:rsidR="00D80F02" w:rsidRPr="008A2917" w:rsidTr="00D03D21">
        <w:trPr>
          <w:trHeight w:val="58"/>
        </w:trPr>
        <w:tc>
          <w:tcPr>
            <w:tcW w:w="1824" w:type="pct"/>
          </w:tcPr>
          <w:p w:rsidR="00D80F02" w:rsidRPr="008A2917" w:rsidRDefault="00D80F02" w:rsidP="00387896">
            <w:pPr>
              <w:keepNext/>
              <w:widowControl/>
              <w:ind w:left="284"/>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Asthma/COPD/bronchial events</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74 (4.63)</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75 (4.69)</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1.3% (-36.0 to 28.4)</w:t>
            </w:r>
          </w:p>
        </w:tc>
      </w:tr>
      <w:tr w:rsidR="00D80F02" w:rsidRPr="008A2917" w:rsidTr="00D03D21">
        <w:trPr>
          <w:trHeight w:val="58"/>
        </w:trPr>
        <w:tc>
          <w:tcPr>
            <w:tcW w:w="1824" w:type="pct"/>
          </w:tcPr>
          <w:p w:rsidR="00D80F02" w:rsidRPr="008A2917" w:rsidRDefault="00D80F02" w:rsidP="00387896">
            <w:pPr>
              <w:keepNext/>
              <w:widowControl/>
              <w:ind w:left="284"/>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Influenza events</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4 (0.25)</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6 (0.38)</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33.3% (-136.2 to 81.2)</w:t>
            </w:r>
          </w:p>
        </w:tc>
      </w:tr>
      <w:tr w:rsidR="00D80F02" w:rsidRPr="008A2917" w:rsidTr="00D03D21">
        <w:trPr>
          <w:trHeight w:val="58"/>
        </w:trPr>
        <w:tc>
          <w:tcPr>
            <w:tcW w:w="1824" w:type="pct"/>
          </w:tcPr>
          <w:p w:rsidR="00D80F02" w:rsidRPr="008A2917" w:rsidRDefault="00D80F02" w:rsidP="00387896">
            <w:pPr>
              <w:keepNext/>
              <w:widowControl/>
              <w:ind w:left="284"/>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Coronary artery events</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121 (7.57)</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124 (7.75)</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2.4% (-25.3 to 24.0)</w:t>
            </w:r>
          </w:p>
        </w:tc>
      </w:tr>
      <w:tr w:rsidR="00D80F02" w:rsidRPr="008A2917" w:rsidTr="00D03D21">
        <w:trPr>
          <w:trHeight w:val="58"/>
        </w:trPr>
        <w:tc>
          <w:tcPr>
            <w:tcW w:w="1824" w:type="pct"/>
          </w:tcPr>
          <w:p w:rsidR="00D80F02" w:rsidRPr="008A2917" w:rsidRDefault="00D80F02" w:rsidP="00387896">
            <w:pPr>
              <w:keepNext/>
              <w:widowControl/>
              <w:ind w:left="284"/>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Congestive heart failure</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57 (3.56)</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75 (4.69)</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24.0% (-7.2 to 46.1)</w:t>
            </w:r>
          </w:p>
        </w:tc>
      </w:tr>
      <w:tr w:rsidR="00D80F02" w:rsidRPr="008A2917" w:rsidTr="00D03D21">
        <w:trPr>
          <w:trHeight w:val="58"/>
        </w:trPr>
        <w:tc>
          <w:tcPr>
            <w:tcW w:w="1824" w:type="pct"/>
          </w:tcPr>
          <w:p w:rsidR="00D80F02" w:rsidRPr="008A2917" w:rsidRDefault="00D80F02" w:rsidP="00387896">
            <w:pPr>
              <w:keepNext/>
              <w:widowControl/>
              <w:ind w:left="284"/>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Cerebrovascular events</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72 (4.50)</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77 (4.81)</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6.5% (-28.9 to 32.1)</w:t>
            </w:r>
          </w:p>
        </w:tc>
      </w:tr>
      <w:tr w:rsidR="00D80F02" w:rsidRPr="008A2917" w:rsidTr="00D03D21">
        <w:trPr>
          <w:trHeight w:val="58"/>
        </w:trPr>
        <w:tc>
          <w:tcPr>
            <w:tcW w:w="1824" w:type="pct"/>
          </w:tcPr>
          <w:p w:rsidR="00D80F02" w:rsidRPr="008A2917" w:rsidRDefault="00D80F02" w:rsidP="00387896">
            <w:pPr>
              <w:keepNext/>
              <w:widowControl/>
              <w:ind w:left="284"/>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Other respiratory events</w:t>
            </w:r>
          </w:p>
        </w:tc>
        <w:tc>
          <w:tcPr>
            <w:tcW w:w="1058"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31 (1.94)</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47 (2.94)</w:t>
            </w:r>
          </w:p>
        </w:tc>
        <w:tc>
          <w:tcPr>
            <w:tcW w:w="1059"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34.0% (-3.8 to 58.1)</w:t>
            </w:r>
          </w:p>
        </w:tc>
      </w:tr>
    </w:tbl>
    <w:p w:rsidR="00D80F02" w:rsidRPr="008A2917" w:rsidRDefault="00D80F02" w:rsidP="00387896">
      <w:pPr>
        <w:pStyle w:val="TableFooter"/>
        <w:widowControl/>
      </w:pPr>
      <w:r w:rsidRPr="008A2917">
        <w:t>Notes: rate = events per 1000 participant-seasons;</w:t>
      </w:r>
    </w:p>
    <w:p w:rsidR="00D80F02" w:rsidRPr="008A2917" w:rsidRDefault="00D80F02" w:rsidP="00387896">
      <w:pPr>
        <w:pStyle w:val="TableFooter"/>
        <w:widowControl/>
      </w:pPr>
      <w:r w:rsidRPr="008A2917">
        <w:t>Events in bold denotes that the vaccine efficacy in that category was statistically significant.</w:t>
      </w:r>
    </w:p>
    <w:p w:rsidR="00D80F02" w:rsidRPr="008A2917" w:rsidRDefault="00D80F02" w:rsidP="00387896">
      <w:pPr>
        <w:pStyle w:val="TableFooter"/>
        <w:widowControl/>
        <w:rPr>
          <w:rFonts w:eastAsiaTheme="minorHAnsi"/>
          <w:snapToGrid/>
        </w:rPr>
      </w:pPr>
      <w:r w:rsidRPr="008A2917">
        <w:rPr>
          <w:rFonts w:eastAsiaTheme="minorHAnsi"/>
          <w:snapToGrid/>
        </w:rPr>
        <w:t xml:space="preserve">PD-ILI: Protocol-defined influenza like illness; CI: confidence interval; COPD: chronic obstructive pulmonary disease; TIV-HD: high-dose inactivated influenza vaccine; TIV-SD: standard-dose inactivated influenza vaccine; </w:t>
      </w:r>
      <w:proofErr w:type="spellStart"/>
      <w:r w:rsidRPr="008A2917">
        <w:rPr>
          <w:rFonts w:eastAsiaTheme="minorHAnsi"/>
          <w:snapToGrid/>
        </w:rPr>
        <w:t>rVE</w:t>
      </w:r>
      <w:proofErr w:type="spellEnd"/>
      <w:r w:rsidRPr="008A2917">
        <w:rPr>
          <w:rFonts w:eastAsiaTheme="minorHAnsi"/>
          <w:snapToGrid/>
        </w:rPr>
        <w:t>: relative vaccine efficacy.</w:t>
      </w:r>
    </w:p>
    <w:p w:rsidR="00D80F02" w:rsidRPr="008A2917" w:rsidRDefault="00D80F02" w:rsidP="00387896">
      <w:pPr>
        <w:pStyle w:val="TableFooter"/>
        <w:widowControl/>
      </w:pPr>
      <w:r w:rsidRPr="008A2917">
        <w:t>Source: Table 2.5.1, p43-44 of the previous submission; Table 2.5.3, p45 of the previous submission.</w:t>
      </w:r>
    </w:p>
    <w:p w:rsidR="00D80F02" w:rsidRPr="008A2917" w:rsidRDefault="00D80F02" w:rsidP="00387896">
      <w:pPr>
        <w:widowControl/>
        <w:ind w:hanging="11"/>
        <w:jc w:val="left"/>
        <w:rPr>
          <w:rFonts w:ascii="Arial Narrow" w:hAnsi="Arial Narrow"/>
          <w:bCs/>
          <w:sz w:val="18"/>
          <w:szCs w:val="18"/>
        </w:rPr>
      </w:pPr>
    </w:p>
    <w:p w:rsidR="00D80F02" w:rsidRPr="008A2917" w:rsidRDefault="00D80F02" w:rsidP="00387896">
      <w:pPr>
        <w:widowControl/>
        <w:numPr>
          <w:ilvl w:val="1"/>
          <w:numId w:val="1"/>
        </w:numPr>
        <w:spacing w:after="160"/>
      </w:pPr>
      <w:r w:rsidRPr="008A2917">
        <w:rPr>
          <w:rFonts w:cs="Calibri"/>
          <w:snapToGrid/>
          <w:szCs w:val="24"/>
          <w:lang w:eastAsia="en-AU"/>
        </w:rPr>
        <w:t xml:space="preserve">A 6.9% (95%CI: 0.5%-12.8%) reduction in all-cause hospitalisations, and </w:t>
      </w:r>
      <w:r w:rsidRPr="008A2917">
        <w:t xml:space="preserve">a </w:t>
      </w:r>
      <w:r w:rsidRPr="008A2917">
        <w:rPr>
          <w:rFonts w:cs="Calibri"/>
          <w:snapToGrid/>
          <w:szCs w:val="24"/>
          <w:lang w:eastAsia="en-AU"/>
        </w:rPr>
        <w:t xml:space="preserve">17.7% (95%CI: 6.6%-27.4%) </w:t>
      </w:r>
      <w:r w:rsidR="0020209E" w:rsidRPr="008A2917">
        <w:rPr>
          <w:rFonts w:cs="Calibri"/>
          <w:snapToGrid/>
          <w:szCs w:val="24"/>
          <w:lang w:eastAsia="en-AU"/>
        </w:rPr>
        <w:t>reduction in</w:t>
      </w:r>
      <w:r w:rsidRPr="008A2917">
        <w:rPr>
          <w:rFonts w:cs="Calibri"/>
          <w:snapToGrid/>
          <w:szCs w:val="24"/>
          <w:lang w:eastAsia="en-AU"/>
        </w:rPr>
        <w:t xml:space="preserve"> the </w:t>
      </w:r>
      <w:r w:rsidR="00107348" w:rsidRPr="008A2917">
        <w:rPr>
          <w:rFonts w:cs="Calibri"/>
          <w:snapToGrid/>
          <w:szCs w:val="24"/>
          <w:lang w:eastAsia="en-AU"/>
        </w:rPr>
        <w:t xml:space="preserve">composite outcome of </w:t>
      </w:r>
      <w:r w:rsidRPr="008A2917">
        <w:rPr>
          <w:rFonts w:cs="Calibri"/>
          <w:snapToGrid/>
          <w:szCs w:val="24"/>
          <w:lang w:eastAsia="en-AU"/>
        </w:rPr>
        <w:t xml:space="preserve">serious cardiorespiratory events </w:t>
      </w:r>
      <w:r w:rsidR="00E20463" w:rsidRPr="008A2917">
        <w:rPr>
          <w:rFonts w:cs="Calibri"/>
          <w:snapToGrid/>
          <w:szCs w:val="24"/>
          <w:lang w:eastAsia="en-AU"/>
        </w:rPr>
        <w:t xml:space="preserve">was observed </w:t>
      </w:r>
      <w:r w:rsidRPr="008A2917">
        <w:rPr>
          <w:rFonts w:cs="Calibri"/>
          <w:snapToGrid/>
          <w:szCs w:val="24"/>
          <w:lang w:eastAsia="en-AU"/>
        </w:rPr>
        <w:t xml:space="preserve">in FIM12. </w:t>
      </w:r>
      <w:r w:rsidRPr="008A2917">
        <w:t xml:space="preserve">The reduction in all-cause hospitalisations did not reach the minimally clinically important relative reduction </w:t>
      </w:r>
      <w:r w:rsidR="00E20463" w:rsidRPr="008A2917">
        <w:t>as defined in</w:t>
      </w:r>
      <w:r w:rsidRPr="008A2917">
        <w:t xml:space="preserve"> the </w:t>
      </w:r>
      <w:proofErr w:type="spellStart"/>
      <w:r w:rsidRPr="008A2917">
        <w:t>Gravenstein</w:t>
      </w:r>
      <w:proofErr w:type="spellEnd"/>
      <w:r w:rsidRPr="008A2917">
        <w:t xml:space="preserve"> trial (15%).</w:t>
      </w:r>
    </w:p>
    <w:p w:rsidR="007A7130" w:rsidRPr="008A2917" w:rsidRDefault="007A7130" w:rsidP="00387896">
      <w:pPr>
        <w:widowControl/>
        <w:numPr>
          <w:ilvl w:val="1"/>
          <w:numId w:val="1"/>
        </w:numPr>
        <w:spacing w:after="160"/>
      </w:pPr>
      <w:r w:rsidRPr="008A2917">
        <w:t xml:space="preserve">The ESC </w:t>
      </w:r>
      <w:r w:rsidR="00F625D3" w:rsidRPr="008A2917">
        <w:t xml:space="preserve">noted the results </w:t>
      </w:r>
      <w:r w:rsidR="009011B3" w:rsidRPr="008A2917">
        <w:t>from</w:t>
      </w:r>
      <w:r w:rsidR="00F625D3" w:rsidRPr="008A2917">
        <w:t xml:space="preserve"> FIM12 and recalled its previous advice that</w:t>
      </w:r>
      <w:r w:rsidRPr="008A2917">
        <w:t xml:space="preserve"> it was reasonable to claim that TIV-HD was superior to TIV-SD in terms of reducing cases of clinically diagnosed and laboratory confirmed influenza. However, </w:t>
      </w:r>
      <w:r w:rsidR="009011B3" w:rsidRPr="008A2917">
        <w:t>the trial</w:t>
      </w:r>
      <w:r w:rsidRPr="008A2917">
        <w:t xml:space="preserve"> did not support the claim that TIV-HD is superior to TIV-SD in terms of reducing </w:t>
      </w:r>
      <w:r w:rsidRPr="008A2917">
        <w:lastRenderedPageBreak/>
        <w:t xml:space="preserve">cardiorespiratory hospitalisations given </w:t>
      </w:r>
      <w:r w:rsidR="009011B3" w:rsidRPr="008A2917">
        <w:t>a</w:t>
      </w:r>
      <w:r w:rsidRPr="008A2917">
        <w:t xml:space="preserve"> significant </w:t>
      </w:r>
      <w:r w:rsidR="009011B3" w:rsidRPr="008A2917">
        <w:t xml:space="preserve">reduction </w:t>
      </w:r>
      <w:r w:rsidRPr="008A2917">
        <w:t xml:space="preserve">in pneumonia </w:t>
      </w:r>
      <w:r w:rsidR="009011B3" w:rsidRPr="008A2917">
        <w:t xml:space="preserve">events only and </w:t>
      </w:r>
      <w:proofErr w:type="spellStart"/>
      <w:r w:rsidRPr="008A2917">
        <w:t>not</w:t>
      </w:r>
      <w:proofErr w:type="spellEnd"/>
      <w:r w:rsidRPr="008A2917">
        <w:t xml:space="preserve"> other cardiorespiratory events (para 6.3, p13, TIV-HD PSD, July 2018).</w:t>
      </w:r>
      <w:r w:rsidR="00A16C6F" w:rsidRPr="008A2917">
        <w:t xml:space="preserve"> </w:t>
      </w:r>
    </w:p>
    <w:p w:rsidR="004F5409" w:rsidRPr="008A2917" w:rsidRDefault="00D80F02" w:rsidP="00387896">
      <w:pPr>
        <w:widowControl/>
        <w:numPr>
          <w:ilvl w:val="1"/>
          <w:numId w:val="1"/>
        </w:numPr>
        <w:spacing w:after="160"/>
        <w:rPr>
          <w:rFonts w:cs="Calibri"/>
          <w:snapToGrid/>
          <w:szCs w:val="24"/>
          <w:lang w:eastAsia="en-AU"/>
        </w:rPr>
      </w:pPr>
      <w:r w:rsidRPr="008A2917">
        <w:rPr>
          <w:rFonts w:cs="Calibri"/>
          <w:snapToGrid/>
          <w:szCs w:val="24"/>
          <w:lang w:eastAsia="en-AU"/>
        </w:rPr>
        <w:t xml:space="preserve">Table </w:t>
      </w:r>
      <w:r w:rsidR="001C1195" w:rsidRPr="008A2917">
        <w:rPr>
          <w:rFonts w:cs="Calibri"/>
          <w:snapToGrid/>
          <w:szCs w:val="24"/>
          <w:lang w:eastAsia="en-AU"/>
        </w:rPr>
        <w:t>7</w:t>
      </w:r>
      <w:r w:rsidRPr="008A2917">
        <w:rPr>
          <w:rFonts w:cs="Calibri"/>
          <w:snapToGrid/>
          <w:szCs w:val="24"/>
          <w:lang w:eastAsia="en-AU"/>
        </w:rPr>
        <w:t xml:space="preserve"> summarises key outcomes from </w:t>
      </w:r>
      <w:proofErr w:type="spellStart"/>
      <w:r w:rsidRPr="008A2917">
        <w:rPr>
          <w:rFonts w:cs="Calibri"/>
          <w:snapToGrid/>
          <w:szCs w:val="24"/>
          <w:lang w:eastAsia="en-AU"/>
        </w:rPr>
        <w:t>Gravenstein</w:t>
      </w:r>
      <w:proofErr w:type="spellEnd"/>
      <w:r w:rsidR="00F90CFE" w:rsidRPr="008A2917">
        <w:rPr>
          <w:rFonts w:cs="Calibri"/>
          <w:snapToGrid/>
          <w:szCs w:val="24"/>
          <w:lang w:eastAsia="en-AU"/>
        </w:rPr>
        <w:t xml:space="preserve"> (2017)</w:t>
      </w:r>
      <w:r w:rsidRPr="008A2917">
        <w:rPr>
          <w:rFonts w:cs="Calibri"/>
          <w:snapToGrid/>
          <w:szCs w:val="24"/>
          <w:lang w:eastAsia="en-AU"/>
        </w:rPr>
        <w:t>.</w:t>
      </w:r>
    </w:p>
    <w:p w:rsidR="00D80F02" w:rsidRPr="008A2917" w:rsidRDefault="00D80F02" w:rsidP="00387896">
      <w:pPr>
        <w:pStyle w:val="TableHeading0"/>
      </w:pPr>
      <w:r w:rsidRPr="008A2917">
        <w:t xml:space="preserve">Table </w:t>
      </w:r>
      <w:r w:rsidR="001C1195" w:rsidRPr="008A2917">
        <w:t>7</w:t>
      </w:r>
      <w:r w:rsidRPr="008A2917">
        <w:t xml:space="preserve">: Adjusted regression analysis results of primary outcome accounting for clustering by 817 nursing homes (intent-to-treat analysis) in the </w:t>
      </w:r>
      <w:proofErr w:type="spellStart"/>
      <w:r w:rsidRPr="008A2917">
        <w:t>Gravenstein</w:t>
      </w:r>
      <w:proofErr w:type="spellEnd"/>
      <w:r w:rsidRPr="008A2917">
        <w:t xml:space="preserve"> study</w:t>
      </w:r>
      <w:r w:rsidR="00F90CFE" w:rsidRPr="008A2917">
        <w:t xml:space="preserve">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812"/>
        <w:gridCol w:w="965"/>
      </w:tblGrid>
      <w:tr w:rsidR="00D80F02" w:rsidRPr="008A2917" w:rsidTr="00D03D21">
        <w:trPr>
          <w:trHeight w:val="76"/>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p>
        </w:tc>
        <w:tc>
          <w:tcPr>
            <w:tcW w:w="1559"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Adjusted relative risk (95% CI)</w:t>
            </w:r>
          </w:p>
        </w:tc>
        <w:tc>
          <w:tcPr>
            <w:tcW w:w="535" w:type="pct"/>
          </w:tcPr>
          <w:p w:rsidR="00D80F02" w:rsidRPr="008A2917" w:rsidRDefault="00D80F02" w:rsidP="00387896">
            <w:pPr>
              <w:keepNext/>
              <w:widowControl/>
              <w:jc w:val="left"/>
              <w:rPr>
                <w:rFonts w:ascii="Arial Narrow" w:eastAsiaTheme="minorHAnsi" w:hAnsi="Arial Narrow" w:cstheme="minorBidi"/>
                <w:b/>
                <w:snapToGrid/>
                <w:sz w:val="20"/>
                <w:szCs w:val="20"/>
              </w:rPr>
            </w:pPr>
            <w:r w:rsidRPr="008A2917">
              <w:rPr>
                <w:rFonts w:ascii="Arial Narrow" w:eastAsiaTheme="minorHAnsi" w:hAnsi="Arial Narrow" w:cstheme="minorBidi"/>
                <w:b/>
                <w:snapToGrid/>
                <w:sz w:val="20"/>
                <w:szCs w:val="20"/>
              </w:rPr>
              <w:t>p value</w:t>
            </w:r>
          </w:p>
        </w:tc>
      </w:tr>
      <w:tr w:rsidR="00D80F02" w:rsidRPr="008A2917" w:rsidTr="00D03D21">
        <w:trPr>
          <w:trHeight w:val="58"/>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FFS group analysis (the primary endpoint)</w:t>
            </w:r>
          </w:p>
        </w:tc>
        <w:tc>
          <w:tcPr>
            <w:tcW w:w="1559"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p>
        </w:tc>
        <w:tc>
          <w:tcPr>
            <w:tcW w:w="535"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p>
        </w:tc>
      </w:tr>
      <w:tr w:rsidR="00D80F02" w:rsidRPr="008A2917" w:rsidTr="00D03D21">
        <w:trPr>
          <w:trHeight w:val="58"/>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       Hospital admissions for respiratory illness </w:t>
            </w:r>
          </w:p>
        </w:tc>
        <w:tc>
          <w:tcPr>
            <w:tcW w:w="1559"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0.873 (0.776–0.982)</w:t>
            </w:r>
          </w:p>
        </w:tc>
        <w:tc>
          <w:tcPr>
            <w:tcW w:w="535"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0.023</w:t>
            </w:r>
          </w:p>
        </w:tc>
      </w:tr>
      <w:tr w:rsidR="00D80F02" w:rsidRPr="008A2917" w:rsidTr="00D03D21">
        <w:trPr>
          <w:trHeight w:val="58"/>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FFS group analysis (the secondary outcomes)</w:t>
            </w:r>
          </w:p>
        </w:tc>
        <w:tc>
          <w:tcPr>
            <w:tcW w:w="1559"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p>
        </w:tc>
        <w:tc>
          <w:tcPr>
            <w:tcW w:w="535"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p>
        </w:tc>
      </w:tr>
      <w:tr w:rsidR="00D80F02" w:rsidRPr="008A2917" w:rsidTr="00D03D21">
        <w:trPr>
          <w:trHeight w:val="58"/>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       </w:t>
            </w:r>
            <w:r w:rsidRPr="008A2917">
              <w:rPr>
                <w:rFonts w:ascii="Arial Narrow" w:eastAsiaTheme="minorHAnsi" w:hAnsi="Arial Narrow" w:cstheme="minorBidi"/>
                <w:snapToGrid/>
                <w:sz w:val="20"/>
              </w:rPr>
              <w:t xml:space="preserve">All-cause hospital admissions </w:t>
            </w:r>
          </w:p>
        </w:tc>
        <w:tc>
          <w:tcPr>
            <w:tcW w:w="1559"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0.915 (0.863–0.970)</w:t>
            </w:r>
          </w:p>
        </w:tc>
        <w:tc>
          <w:tcPr>
            <w:tcW w:w="535"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0.0028</w:t>
            </w:r>
          </w:p>
        </w:tc>
      </w:tr>
      <w:tr w:rsidR="00D80F02" w:rsidRPr="008A2917" w:rsidTr="00D03D21">
        <w:trPr>
          <w:trHeight w:val="58"/>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MDS group analysis (the secondary outcomes)</w:t>
            </w:r>
          </w:p>
        </w:tc>
        <w:tc>
          <w:tcPr>
            <w:tcW w:w="1559"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p>
        </w:tc>
        <w:tc>
          <w:tcPr>
            <w:tcW w:w="535"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p>
        </w:tc>
      </w:tr>
      <w:tr w:rsidR="00D80F02" w:rsidRPr="008A2917" w:rsidTr="00D03D21">
        <w:trPr>
          <w:trHeight w:val="58"/>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       </w:t>
            </w:r>
            <w:r w:rsidRPr="008A2917">
              <w:rPr>
                <w:rFonts w:ascii="Arial Narrow" w:eastAsiaTheme="minorHAnsi" w:hAnsi="Arial Narrow" w:cstheme="minorBidi"/>
                <w:snapToGrid/>
                <w:sz w:val="20"/>
              </w:rPr>
              <w:t xml:space="preserve">All-cause mortality </w:t>
            </w:r>
          </w:p>
        </w:tc>
        <w:tc>
          <w:tcPr>
            <w:tcW w:w="1559"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0.985 (0.931–1.038)</w:t>
            </w:r>
          </w:p>
        </w:tc>
        <w:tc>
          <w:tcPr>
            <w:tcW w:w="535"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0.57</w:t>
            </w:r>
          </w:p>
        </w:tc>
      </w:tr>
      <w:tr w:rsidR="00D80F02" w:rsidRPr="008A2917" w:rsidTr="00D03D21">
        <w:trPr>
          <w:trHeight w:val="58"/>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       </w:t>
            </w:r>
            <w:r w:rsidRPr="008A2917">
              <w:rPr>
                <w:rFonts w:ascii="Arial Narrow" w:eastAsiaTheme="minorHAnsi" w:hAnsi="Arial Narrow" w:cstheme="minorBidi"/>
                <w:snapToGrid/>
                <w:sz w:val="20"/>
              </w:rPr>
              <w:t xml:space="preserve">All-cause hospital admissions </w:t>
            </w:r>
          </w:p>
        </w:tc>
        <w:tc>
          <w:tcPr>
            <w:tcW w:w="1559"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0.933 (0.884–0.985)</w:t>
            </w:r>
          </w:p>
        </w:tc>
        <w:tc>
          <w:tcPr>
            <w:tcW w:w="535"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0.012</w:t>
            </w:r>
          </w:p>
        </w:tc>
      </w:tr>
      <w:tr w:rsidR="00D80F02" w:rsidRPr="008A2917" w:rsidTr="00D03D21">
        <w:trPr>
          <w:trHeight w:val="58"/>
        </w:trPr>
        <w:tc>
          <w:tcPr>
            <w:tcW w:w="2906" w:type="pct"/>
          </w:tcPr>
          <w:p w:rsidR="00D80F02" w:rsidRPr="008A2917" w:rsidRDefault="00D80F02" w:rsidP="00387896">
            <w:pPr>
              <w:keepNext/>
              <w:widowControl/>
              <w:jc w:val="left"/>
              <w:rPr>
                <w:rFonts w:ascii="Arial Narrow" w:eastAsiaTheme="minorHAnsi" w:hAnsi="Arial Narrow" w:cstheme="minorBidi"/>
                <w:snapToGrid/>
                <w:sz w:val="20"/>
                <w:szCs w:val="20"/>
              </w:rPr>
            </w:pPr>
            <w:r w:rsidRPr="008A2917">
              <w:rPr>
                <w:rFonts w:ascii="Arial Narrow" w:eastAsiaTheme="minorHAnsi" w:hAnsi="Arial Narrow" w:cstheme="minorBidi"/>
                <w:snapToGrid/>
                <w:sz w:val="20"/>
                <w:szCs w:val="20"/>
              </w:rPr>
              <w:t xml:space="preserve">       </w:t>
            </w:r>
            <w:r w:rsidRPr="008A2917">
              <w:rPr>
                <w:rFonts w:ascii="Arial Narrow" w:eastAsiaTheme="minorHAnsi" w:hAnsi="Arial Narrow" w:cstheme="minorBidi"/>
                <w:snapToGrid/>
                <w:sz w:val="20"/>
              </w:rPr>
              <w:t xml:space="preserve">Functional decline (change in ADL score of at least four points) </w:t>
            </w:r>
          </w:p>
        </w:tc>
        <w:tc>
          <w:tcPr>
            <w:tcW w:w="1559"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0.996 (0.956–1.038)</w:t>
            </w:r>
          </w:p>
        </w:tc>
        <w:tc>
          <w:tcPr>
            <w:tcW w:w="535" w:type="pct"/>
            <w:vAlign w:val="center"/>
          </w:tcPr>
          <w:p w:rsidR="00D80F02" w:rsidRPr="008A2917" w:rsidRDefault="00D80F02" w:rsidP="00387896">
            <w:pPr>
              <w:keepNext/>
              <w:widowControl/>
              <w:jc w:val="center"/>
              <w:rPr>
                <w:rFonts w:ascii="Arial Narrow" w:eastAsiaTheme="minorHAnsi" w:hAnsi="Arial Narrow" w:cstheme="minorBidi"/>
                <w:snapToGrid/>
                <w:sz w:val="20"/>
                <w:szCs w:val="20"/>
              </w:rPr>
            </w:pPr>
            <w:r w:rsidRPr="008A2917">
              <w:rPr>
                <w:rFonts w:ascii="Arial Narrow" w:eastAsiaTheme="minorHAnsi" w:hAnsi="Arial Narrow" w:cstheme="minorBidi"/>
                <w:snapToGrid/>
                <w:sz w:val="20"/>
              </w:rPr>
              <w:t>0.86</w:t>
            </w:r>
          </w:p>
        </w:tc>
      </w:tr>
    </w:tbl>
    <w:p w:rsidR="00D80F02" w:rsidRPr="008A2917" w:rsidRDefault="00D80F02" w:rsidP="00387896">
      <w:pPr>
        <w:pStyle w:val="TableFooter"/>
        <w:widowControl/>
        <w:rPr>
          <w:rFonts w:eastAsiaTheme="minorHAnsi"/>
          <w:snapToGrid/>
        </w:rPr>
      </w:pPr>
      <w:r w:rsidRPr="008A2917">
        <w:rPr>
          <w:rFonts w:eastAsiaTheme="minorHAnsi"/>
          <w:snapToGrid/>
        </w:rPr>
        <w:t>ADL: activities of daily living; FFS: fee-for-service; MDS: minimum dataset</w:t>
      </w:r>
    </w:p>
    <w:p w:rsidR="00D80F02" w:rsidRPr="008A2917" w:rsidRDefault="00D80F02" w:rsidP="00387896">
      <w:pPr>
        <w:pStyle w:val="TableFooter"/>
        <w:widowControl/>
      </w:pPr>
      <w:r w:rsidRPr="008A2917">
        <w:t>Source: Table 2.5.4, p47 of the previous submission; Table 2.5.5, p47 of the previous submission.</w:t>
      </w:r>
    </w:p>
    <w:p w:rsidR="00D80F02" w:rsidRPr="008A2917" w:rsidRDefault="00D80F02" w:rsidP="00387896">
      <w:pPr>
        <w:widowControl/>
        <w:rPr>
          <w:rFonts w:cs="Calibri"/>
          <w:snapToGrid/>
          <w:szCs w:val="24"/>
          <w:lang w:eastAsia="en-AU"/>
        </w:rPr>
      </w:pPr>
    </w:p>
    <w:p w:rsidR="00D80F02" w:rsidRPr="008A2917" w:rsidRDefault="00D80F02" w:rsidP="00387896">
      <w:pPr>
        <w:widowControl/>
        <w:numPr>
          <w:ilvl w:val="1"/>
          <w:numId w:val="1"/>
        </w:numPr>
        <w:spacing w:after="160"/>
      </w:pPr>
      <w:r w:rsidRPr="008A2917">
        <w:t>The risk of hospitalisation related to pulmonary and influenza-like conditions was significantly lower in facilities where residents received TIV-HD than in those that received TIV-SD [0.873 (95%CI: 0.776-0.982)]. T</w:t>
      </w:r>
      <w:r w:rsidR="00A16C6F" w:rsidRPr="008A2917">
        <w:t>he Evaluation and ESC noted that t</w:t>
      </w:r>
      <w:r w:rsidRPr="008A2917">
        <w:t>h</w:t>
      </w:r>
      <w:r w:rsidR="006D2093" w:rsidRPr="008A2917">
        <w:t>is</w:t>
      </w:r>
      <w:r w:rsidRPr="008A2917">
        <w:t xml:space="preserve"> reduction did not </w:t>
      </w:r>
      <w:r w:rsidR="006D2093" w:rsidRPr="008A2917">
        <w:t xml:space="preserve">however, </w:t>
      </w:r>
      <w:r w:rsidRPr="008A2917">
        <w:t>reach the minimally clinically important relative reduction (15%).</w:t>
      </w:r>
    </w:p>
    <w:p w:rsidR="00C22557" w:rsidRPr="008A2917" w:rsidRDefault="00BC701A" w:rsidP="00387896">
      <w:pPr>
        <w:widowControl/>
        <w:rPr>
          <w:rFonts w:cs="Calibri"/>
          <w:snapToGrid/>
          <w:szCs w:val="24"/>
          <w:u w:val="single"/>
          <w:lang w:eastAsia="en-AU"/>
        </w:rPr>
      </w:pPr>
      <w:r w:rsidRPr="008A2917">
        <w:rPr>
          <w:rFonts w:cs="Calibri"/>
          <w:snapToGrid/>
          <w:szCs w:val="24"/>
          <w:u w:val="single"/>
          <w:lang w:eastAsia="en-AU"/>
        </w:rPr>
        <w:t xml:space="preserve">TIV-HD vs QIV-SD and </w:t>
      </w:r>
      <w:proofErr w:type="spellStart"/>
      <w:r w:rsidRPr="008A2917">
        <w:rPr>
          <w:rFonts w:cs="Calibri"/>
          <w:snapToGrid/>
          <w:szCs w:val="24"/>
          <w:u w:val="single"/>
          <w:lang w:eastAsia="en-AU"/>
        </w:rPr>
        <w:t>aTIV</w:t>
      </w:r>
      <w:proofErr w:type="spellEnd"/>
    </w:p>
    <w:p w:rsidR="00D80F02" w:rsidRPr="008A2917" w:rsidRDefault="00D80F02" w:rsidP="00387896">
      <w:pPr>
        <w:widowControl/>
        <w:numPr>
          <w:ilvl w:val="1"/>
          <w:numId w:val="1"/>
        </w:numPr>
        <w:spacing w:after="160"/>
      </w:pPr>
      <w:r w:rsidRPr="008A2917">
        <w:t xml:space="preserve">The resubmission </w:t>
      </w:r>
      <w:r w:rsidR="000A1AA7" w:rsidRPr="008A2917">
        <w:t xml:space="preserve">presented </w:t>
      </w:r>
      <w:proofErr w:type="spellStart"/>
      <w:r w:rsidR="00306A19" w:rsidRPr="008A2917">
        <w:t>rVE</w:t>
      </w:r>
      <w:proofErr w:type="spellEnd"/>
      <w:r w:rsidR="00306A19" w:rsidRPr="008A2917">
        <w:t xml:space="preserve"> </w:t>
      </w:r>
      <w:r w:rsidRPr="008A2917">
        <w:t>estimates for influenza hospital encounters as the primary outcome</w:t>
      </w:r>
      <w:r w:rsidR="00C22557" w:rsidRPr="008A2917">
        <w:rPr>
          <w:rFonts w:cs="Calibri"/>
          <w:snapToGrid/>
          <w:szCs w:val="24"/>
          <w:lang w:eastAsia="en-AU"/>
        </w:rPr>
        <w:t xml:space="preserve"> based on </w:t>
      </w:r>
      <w:proofErr w:type="spellStart"/>
      <w:r w:rsidR="00C22557" w:rsidRPr="008A2917">
        <w:rPr>
          <w:rFonts w:cs="Calibri"/>
          <w:snapToGrid/>
          <w:szCs w:val="24"/>
          <w:lang w:eastAsia="en-AU"/>
        </w:rPr>
        <w:t>Izurieta</w:t>
      </w:r>
      <w:proofErr w:type="spellEnd"/>
      <w:r w:rsidR="00C22557" w:rsidRPr="008A2917">
        <w:t>.</w:t>
      </w:r>
      <w:r w:rsidR="00B02DBC" w:rsidRPr="008A2917">
        <w:t xml:space="preserve"> </w:t>
      </w:r>
      <w:r w:rsidR="001B4C55" w:rsidRPr="008A2917">
        <w:t xml:space="preserve">The primary comparison for this study </w:t>
      </w:r>
      <w:r w:rsidR="001B4C55" w:rsidRPr="008A2917">
        <w:rPr>
          <w:iCs/>
        </w:rPr>
        <w:t>was</w:t>
      </w:r>
      <w:r w:rsidRPr="008A2917">
        <w:rPr>
          <w:iCs/>
        </w:rPr>
        <w:t xml:space="preserve"> cell cultured </w:t>
      </w:r>
      <w:r w:rsidR="00A634C5" w:rsidRPr="008A2917">
        <w:rPr>
          <w:iCs/>
        </w:rPr>
        <w:t>vs</w:t>
      </w:r>
      <w:r w:rsidR="001B4C55" w:rsidRPr="008A2917">
        <w:rPr>
          <w:iCs/>
        </w:rPr>
        <w:t xml:space="preserve"> </w:t>
      </w:r>
      <w:r w:rsidRPr="008A2917">
        <w:rPr>
          <w:iCs/>
        </w:rPr>
        <w:t xml:space="preserve">egg based </w:t>
      </w:r>
      <w:r w:rsidR="00154745" w:rsidRPr="008A2917">
        <w:rPr>
          <w:iCs/>
        </w:rPr>
        <w:t>influenza vaccines</w:t>
      </w:r>
      <w:r w:rsidRPr="008A2917">
        <w:rPr>
          <w:iCs/>
        </w:rPr>
        <w:t>. A secondary</w:t>
      </w:r>
      <w:r w:rsidR="001B4C55" w:rsidRPr="008A2917">
        <w:rPr>
          <w:iCs/>
        </w:rPr>
        <w:t xml:space="preserve"> five way </w:t>
      </w:r>
      <w:r w:rsidRPr="008A2917">
        <w:rPr>
          <w:iCs/>
        </w:rPr>
        <w:t xml:space="preserve">comparison was used to compare </w:t>
      </w:r>
      <w:r w:rsidR="00D4121F" w:rsidRPr="008A2917">
        <w:rPr>
          <w:iCs/>
        </w:rPr>
        <w:t xml:space="preserve">the </w:t>
      </w:r>
      <w:r w:rsidRPr="008A2917">
        <w:rPr>
          <w:iCs/>
        </w:rPr>
        <w:t>effectiveness</w:t>
      </w:r>
      <w:r w:rsidR="001B4C55" w:rsidRPr="008A2917">
        <w:rPr>
          <w:iCs/>
        </w:rPr>
        <w:t xml:space="preserve"> of cell cultured QIV-SD and 4 egg-based vaccine type</w:t>
      </w:r>
      <w:r w:rsidR="000E5E81" w:rsidRPr="008A2917">
        <w:rPr>
          <w:iCs/>
        </w:rPr>
        <w:t>s</w:t>
      </w:r>
      <w:r w:rsidR="001B4C55" w:rsidRPr="008A2917">
        <w:rPr>
          <w:iCs/>
        </w:rPr>
        <w:t xml:space="preserve">: QIV-SD, TIV-HD, </w:t>
      </w:r>
      <w:proofErr w:type="spellStart"/>
      <w:r w:rsidR="001B4C55" w:rsidRPr="008A2917">
        <w:rPr>
          <w:iCs/>
        </w:rPr>
        <w:t>aTIV</w:t>
      </w:r>
      <w:proofErr w:type="spellEnd"/>
      <w:r w:rsidR="001B4C55" w:rsidRPr="008A2917">
        <w:rPr>
          <w:iCs/>
        </w:rPr>
        <w:t xml:space="preserve"> and TIV-SD</w:t>
      </w:r>
      <w:r w:rsidRPr="008A2917">
        <w:rPr>
          <w:iCs/>
        </w:rPr>
        <w:t>.</w:t>
      </w:r>
    </w:p>
    <w:p w:rsidR="00D80F02" w:rsidRPr="008A2917" w:rsidRDefault="00D80F02" w:rsidP="00387896">
      <w:pPr>
        <w:widowControl/>
        <w:numPr>
          <w:ilvl w:val="1"/>
          <w:numId w:val="1"/>
        </w:numPr>
        <w:spacing w:after="160"/>
      </w:pPr>
      <w:r w:rsidRPr="008A2917">
        <w:t xml:space="preserve">Figure 3 presents the </w:t>
      </w:r>
      <w:proofErr w:type="spellStart"/>
      <w:r w:rsidR="00306A19" w:rsidRPr="008A2917">
        <w:t>rVE</w:t>
      </w:r>
      <w:proofErr w:type="spellEnd"/>
      <w:r w:rsidR="00306A19" w:rsidRPr="008A2917">
        <w:t xml:space="preserve"> </w:t>
      </w:r>
      <w:r w:rsidRPr="008A2917">
        <w:t>estimates for influenza hospital encounters, using egg-based QIV-SD as the reference</w:t>
      </w:r>
      <w:r w:rsidR="008A2917">
        <w:t xml:space="preserve">. </w:t>
      </w:r>
      <w:bookmarkStart w:id="17" w:name="_GoBack"/>
      <w:bookmarkEnd w:id="17"/>
    </w:p>
    <w:p w:rsidR="00D80F02" w:rsidRPr="008A2917" w:rsidRDefault="00D80F02" w:rsidP="00387896">
      <w:pPr>
        <w:pStyle w:val="TableHeading0"/>
      </w:pPr>
      <w:r w:rsidRPr="008A2917">
        <w:lastRenderedPageBreak/>
        <w:t xml:space="preserve">Figure 3: IPTW adjusted </w:t>
      </w:r>
      <w:proofErr w:type="spellStart"/>
      <w:r w:rsidR="00306A19" w:rsidRPr="008A2917">
        <w:t>r</w:t>
      </w:r>
      <w:r w:rsidRPr="008A2917">
        <w:t>VE</w:t>
      </w:r>
      <w:proofErr w:type="spellEnd"/>
      <w:r w:rsidRPr="008A2917">
        <w:t xml:space="preserve"> estimates for influenza hospital encounters using egg-based QIV</w:t>
      </w:r>
      <w:r w:rsidR="000B07A9" w:rsidRPr="008A2917">
        <w:t>-SD</w:t>
      </w:r>
      <w:r w:rsidRPr="008A2917">
        <w:t xml:space="preserve"> cohort as reference (</w:t>
      </w:r>
      <w:proofErr w:type="spellStart"/>
      <w:r w:rsidRPr="008A2917">
        <w:t>prespecified</w:t>
      </w:r>
      <w:proofErr w:type="spellEnd"/>
      <w:r w:rsidRPr="008A2917">
        <w:t xml:space="preserve"> primary outcome)</w:t>
      </w:r>
    </w:p>
    <w:p w:rsidR="00D80F02" w:rsidRPr="008A2917" w:rsidRDefault="00D80F02" w:rsidP="00387896">
      <w:pPr>
        <w:widowControl/>
        <w:rPr>
          <w:iCs/>
        </w:rPr>
      </w:pPr>
      <w:r w:rsidRPr="008A2917">
        <w:rPr>
          <w:noProof/>
          <w:lang w:eastAsia="en-AU"/>
        </w:rPr>
        <w:drawing>
          <wp:inline distT="0" distB="0" distL="0" distR="0" wp14:anchorId="711A0E3F" wp14:editId="0FA1849F">
            <wp:extent cx="5760000" cy="4057200"/>
            <wp:effectExtent l="19050" t="19050" r="12700" b="19685"/>
            <wp:docPr id="24" name="Picture 24" title="Figure 3: IPTW adjusted rVE estimates for influenza hospital encounters using egg-based QIV-SD cohort as reference (prespecified primary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00" cy="4057200"/>
                    </a:xfrm>
                    <a:prstGeom prst="rect">
                      <a:avLst/>
                    </a:prstGeom>
                    <a:ln w="3175">
                      <a:solidFill>
                        <a:sysClr val="windowText" lastClr="000000"/>
                      </a:solidFill>
                    </a:ln>
                  </pic:spPr>
                </pic:pic>
              </a:graphicData>
            </a:graphic>
          </wp:inline>
        </w:drawing>
      </w:r>
    </w:p>
    <w:p w:rsidR="00D80F02" w:rsidRPr="008A2917" w:rsidRDefault="00D80F02" w:rsidP="00387896">
      <w:pPr>
        <w:pStyle w:val="TableFooter"/>
        <w:widowControl/>
      </w:pPr>
      <w:r w:rsidRPr="008A2917">
        <w:t xml:space="preserve">IPTW: Inverse Probability of Treatment Weighting; QIV: </w:t>
      </w:r>
      <w:proofErr w:type="spellStart"/>
      <w:r w:rsidRPr="008A2917">
        <w:t>Quadrivalent</w:t>
      </w:r>
      <w:proofErr w:type="spellEnd"/>
      <w:r w:rsidRPr="008A2917">
        <w:t xml:space="preserve"> Influenza Vaccine; RVE: Relative Vaccine Effectiveness.</w:t>
      </w:r>
    </w:p>
    <w:p w:rsidR="00D80F02" w:rsidRPr="008A2917" w:rsidRDefault="00D80F02" w:rsidP="00387896">
      <w:pPr>
        <w:pStyle w:val="TableFooter"/>
        <w:widowControl/>
      </w:pPr>
      <w:r w:rsidRPr="008A2917">
        <w:t>Source: Figure 14, p61 of the resubmission.</w:t>
      </w:r>
    </w:p>
    <w:p w:rsidR="00D80F02" w:rsidRPr="008A2917" w:rsidRDefault="00D80F02" w:rsidP="00387896">
      <w:pPr>
        <w:widowControl/>
        <w:rPr>
          <w:iCs/>
        </w:rPr>
      </w:pPr>
    </w:p>
    <w:p w:rsidR="00D80F02" w:rsidRPr="008A2917" w:rsidRDefault="00D80F02" w:rsidP="00387896">
      <w:pPr>
        <w:widowControl/>
        <w:numPr>
          <w:ilvl w:val="1"/>
          <w:numId w:val="1"/>
        </w:numPr>
        <w:spacing w:after="160"/>
      </w:pPr>
      <w:r w:rsidRPr="008A2917">
        <w:t>The resubmission noted that cell cultured QIV-SD (</w:t>
      </w:r>
      <w:proofErr w:type="spellStart"/>
      <w:r w:rsidRPr="008A2917">
        <w:t>QIVc</w:t>
      </w:r>
      <w:proofErr w:type="spellEnd"/>
      <w:r w:rsidRPr="008A2917">
        <w:t>) and TIV-HD were both more effective in preventing influenza-related hospital encounters than the egg-based QIV-SD</w:t>
      </w:r>
      <w:r w:rsidR="00E14789" w:rsidRPr="008A2917">
        <w:t>,</w:t>
      </w:r>
      <w:r w:rsidRPr="008A2917">
        <w:t xml:space="preserve"> and both </w:t>
      </w:r>
      <w:proofErr w:type="spellStart"/>
      <w:r w:rsidR="004922B5" w:rsidRPr="008A2917">
        <w:t>aTIV</w:t>
      </w:r>
      <w:proofErr w:type="spellEnd"/>
      <w:r w:rsidRPr="008A2917">
        <w:t xml:space="preserve"> and TIV-SD.</w:t>
      </w:r>
      <w:r w:rsidR="004C64F3" w:rsidRPr="008A2917">
        <w:t xml:space="preserve"> The PSCR stated egg adaption is a rare </w:t>
      </w:r>
      <w:proofErr w:type="spellStart"/>
      <w:r w:rsidR="004C64F3" w:rsidRPr="008A2917">
        <w:t>phenomena</w:t>
      </w:r>
      <w:proofErr w:type="spellEnd"/>
      <w:r w:rsidR="004C64F3" w:rsidRPr="008A2917">
        <w:t xml:space="preserve"> and the results from </w:t>
      </w:r>
      <w:proofErr w:type="spellStart"/>
      <w:r w:rsidR="00240F35" w:rsidRPr="008A2917">
        <w:t>Izurieta</w:t>
      </w:r>
      <w:proofErr w:type="spellEnd"/>
      <w:r w:rsidR="00240F35" w:rsidRPr="008A2917">
        <w:t xml:space="preserve"> </w:t>
      </w:r>
      <w:r w:rsidR="004C64F3" w:rsidRPr="008A2917">
        <w:t>with respect to the cell-based vaccine would not be expected to be representative of most seasons.</w:t>
      </w:r>
      <w:r w:rsidRPr="008A2917">
        <w:t xml:space="preserve"> </w:t>
      </w:r>
    </w:p>
    <w:p w:rsidR="00D80F02" w:rsidRPr="008A2917" w:rsidRDefault="00240F35" w:rsidP="00387896">
      <w:pPr>
        <w:widowControl/>
        <w:numPr>
          <w:ilvl w:val="1"/>
          <w:numId w:val="1"/>
        </w:numPr>
        <w:spacing w:after="160"/>
      </w:pPr>
      <w:proofErr w:type="spellStart"/>
      <w:proofErr w:type="gramStart"/>
      <w:r w:rsidRPr="008A2917">
        <w:t>Izurieta</w:t>
      </w:r>
      <w:proofErr w:type="spellEnd"/>
      <w:r w:rsidRPr="008A2917">
        <w:t xml:space="preserve"> </w:t>
      </w:r>
      <w:r w:rsidR="00D80F02" w:rsidRPr="008A2917">
        <w:t xml:space="preserve"> adjusted</w:t>
      </w:r>
      <w:proofErr w:type="gramEnd"/>
      <w:r w:rsidR="00D80F02" w:rsidRPr="008A2917">
        <w:t xml:space="preserve"> </w:t>
      </w:r>
      <w:proofErr w:type="spellStart"/>
      <w:r w:rsidR="00306A19" w:rsidRPr="008A2917">
        <w:t>r</w:t>
      </w:r>
      <w:r w:rsidR="00D80F02" w:rsidRPr="008A2917">
        <w:t>VE</w:t>
      </w:r>
      <w:proofErr w:type="spellEnd"/>
      <w:r w:rsidR="00D80F02" w:rsidRPr="008A2917">
        <w:t xml:space="preserve"> estimates using IPTW. This increased the </w:t>
      </w:r>
      <w:proofErr w:type="spellStart"/>
      <w:r w:rsidR="00306A19" w:rsidRPr="008A2917">
        <w:t>r</w:t>
      </w:r>
      <w:r w:rsidR="00D80F02" w:rsidRPr="008A2917">
        <w:t>VE</w:t>
      </w:r>
      <w:proofErr w:type="spellEnd"/>
      <w:r w:rsidR="00D80F02" w:rsidRPr="008A2917">
        <w:t xml:space="preserve"> of TIV-HD vs QIV-SD from 0.4% (95% CI: −1.8, 2.6) before IPTW to 9.0% (95% CI: 7.2, 10.6) after IPTW. </w:t>
      </w:r>
    </w:p>
    <w:p w:rsidR="00D80F02" w:rsidRPr="008A2917" w:rsidRDefault="00D80F02" w:rsidP="00387896">
      <w:pPr>
        <w:widowControl/>
        <w:numPr>
          <w:ilvl w:val="1"/>
          <w:numId w:val="1"/>
        </w:numPr>
        <w:spacing w:after="160"/>
      </w:pPr>
      <w:r w:rsidRPr="008A2917">
        <w:rPr>
          <w:rFonts w:cs="Calibri"/>
          <w:snapToGrid/>
          <w:szCs w:val="24"/>
          <w:lang w:eastAsia="en-AU"/>
        </w:rPr>
        <w:t xml:space="preserve">Table </w:t>
      </w:r>
      <w:r w:rsidR="001C1195" w:rsidRPr="008A2917">
        <w:rPr>
          <w:rFonts w:cs="Calibri"/>
          <w:snapToGrid/>
          <w:szCs w:val="24"/>
          <w:lang w:eastAsia="en-AU"/>
        </w:rPr>
        <w:t>8</w:t>
      </w:r>
      <w:r w:rsidRPr="008A2917">
        <w:rPr>
          <w:rFonts w:cs="Calibri"/>
          <w:snapToGrid/>
          <w:szCs w:val="24"/>
          <w:lang w:eastAsia="en-AU"/>
        </w:rPr>
        <w:t xml:space="preserve"> </w:t>
      </w:r>
      <w:r w:rsidR="00D4121F" w:rsidRPr="008A2917">
        <w:rPr>
          <w:rFonts w:cs="Calibri"/>
          <w:snapToGrid/>
          <w:szCs w:val="24"/>
          <w:lang w:eastAsia="en-AU"/>
        </w:rPr>
        <w:t xml:space="preserve">provides </w:t>
      </w:r>
      <w:r w:rsidRPr="008A2917">
        <w:rPr>
          <w:rFonts w:cs="Calibri"/>
          <w:snapToGrid/>
          <w:szCs w:val="24"/>
          <w:lang w:eastAsia="en-AU"/>
        </w:rPr>
        <w:t xml:space="preserve">the key results from </w:t>
      </w:r>
      <w:proofErr w:type="spellStart"/>
      <w:r w:rsidR="00240F35" w:rsidRPr="008A2917">
        <w:rPr>
          <w:rFonts w:cs="Calibri"/>
          <w:snapToGrid/>
          <w:szCs w:val="24"/>
          <w:lang w:eastAsia="en-AU"/>
        </w:rPr>
        <w:t>Izurieta</w:t>
      </w:r>
      <w:proofErr w:type="spellEnd"/>
      <w:r w:rsidR="00D4121F" w:rsidRPr="008A2917">
        <w:rPr>
          <w:rFonts w:cs="Calibri"/>
          <w:snapToGrid/>
          <w:szCs w:val="24"/>
          <w:lang w:eastAsia="en-AU"/>
        </w:rPr>
        <w:t xml:space="preserve"> as</w:t>
      </w:r>
      <w:r w:rsidR="00240F35" w:rsidRPr="008A2917">
        <w:rPr>
          <w:rFonts w:cs="Calibri"/>
          <w:snapToGrid/>
          <w:szCs w:val="24"/>
          <w:lang w:eastAsia="en-AU"/>
        </w:rPr>
        <w:t xml:space="preserve"> </w:t>
      </w:r>
      <w:r w:rsidRPr="008A2917">
        <w:rPr>
          <w:rFonts w:cs="Calibri"/>
          <w:snapToGrid/>
          <w:szCs w:val="24"/>
          <w:lang w:eastAsia="en-AU"/>
        </w:rPr>
        <w:t>presented in the resubmission.</w:t>
      </w:r>
    </w:p>
    <w:p w:rsidR="00D80F02" w:rsidRPr="008A2917" w:rsidRDefault="00D80F02" w:rsidP="00387896">
      <w:pPr>
        <w:pStyle w:val="TableHeading0"/>
      </w:pPr>
      <w:r w:rsidRPr="008A2917">
        <w:lastRenderedPageBreak/>
        <w:t xml:space="preserve">Table </w:t>
      </w:r>
      <w:r w:rsidR="001C1195" w:rsidRPr="008A2917">
        <w:t>8</w:t>
      </w:r>
      <w:r w:rsidRPr="008A2917">
        <w:t xml:space="preserve">: IPTW-adjusted pairwise </w:t>
      </w:r>
      <w:proofErr w:type="spellStart"/>
      <w:r w:rsidR="00306A19" w:rsidRPr="008A2917">
        <w:t>r</w:t>
      </w:r>
      <w:r w:rsidRPr="008A2917">
        <w:t>VE</w:t>
      </w:r>
      <w:proofErr w:type="spellEnd"/>
      <w:r w:rsidRPr="008A2917">
        <w:t xml:space="preserve"> estimates for influenza-related outcomes: hospital encounters; office visits and; inpatien</w:t>
      </w:r>
      <w:r w:rsidR="00D03D21" w:rsidRPr="008A2917">
        <w:t>t stays in the 2017–2018 season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5"/>
        <w:gridCol w:w="2501"/>
      </w:tblGrid>
      <w:tr w:rsidR="00D80F02" w:rsidRPr="008A2917" w:rsidTr="004E5F3B">
        <w:trPr>
          <w:cantSplit/>
          <w:tblHeader/>
        </w:trPr>
        <w:tc>
          <w:tcPr>
            <w:tcW w:w="2041" w:type="pct"/>
            <w:vMerge w:val="restart"/>
            <w:vAlign w:val="center"/>
          </w:tcPr>
          <w:p w:rsidR="00D80F02" w:rsidRPr="008A2917" w:rsidRDefault="00D80F02" w:rsidP="00387896">
            <w:pPr>
              <w:keepNext/>
              <w:keepLines/>
              <w:widowControl/>
              <w:jc w:val="left"/>
              <w:rPr>
                <w:rFonts w:ascii="Arial Narrow" w:hAnsi="Arial Narrow" w:cs="Times New Roman"/>
                <w:b/>
                <w:snapToGrid/>
                <w:sz w:val="20"/>
              </w:rPr>
            </w:pPr>
            <w:r w:rsidRPr="008A2917">
              <w:rPr>
                <w:rFonts w:ascii="Arial Narrow" w:hAnsi="Arial Narrow" w:cs="Times New Roman"/>
                <w:b/>
                <w:snapToGrid/>
                <w:sz w:val="20"/>
              </w:rPr>
              <w:t>Vaccine cohort</w:t>
            </w:r>
          </w:p>
        </w:tc>
        <w:tc>
          <w:tcPr>
            <w:tcW w:w="2959" w:type="pct"/>
            <w:gridSpan w:val="2"/>
            <w:vAlign w:val="center"/>
          </w:tcPr>
          <w:p w:rsidR="00D80F02" w:rsidRPr="008A2917" w:rsidRDefault="00306A19" w:rsidP="00387896">
            <w:pPr>
              <w:widowControl/>
              <w:jc w:val="center"/>
              <w:rPr>
                <w:rFonts w:ascii="Arial Narrow" w:hAnsi="Arial Narrow" w:cs="Times New Roman"/>
                <w:b/>
                <w:snapToGrid/>
                <w:sz w:val="20"/>
              </w:rPr>
            </w:pPr>
            <w:proofErr w:type="spellStart"/>
            <w:r w:rsidRPr="008A2917">
              <w:rPr>
                <w:rFonts w:ascii="Arial Narrow" w:hAnsi="Arial Narrow" w:cs="Times New Roman"/>
                <w:b/>
                <w:snapToGrid/>
                <w:sz w:val="20"/>
              </w:rPr>
              <w:t>r</w:t>
            </w:r>
            <w:r w:rsidR="00D80F02" w:rsidRPr="008A2917">
              <w:rPr>
                <w:rFonts w:ascii="Arial Narrow" w:hAnsi="Arial Narrow" w:cs="Times New Roman"/>
                <w:b/>
                <w:snapToGrid/>
                <w:sz w:val="20"/>
              </w:rPr>
              <w:t>VE</w:t>
            </w:r>
            <w:proofErr w:type="spellEnd"/>
            <w:r w:rsidR="00D80F02" w:rsidRPr="008A2917">
              <w:rPr>
                <w:rFonts w:ascii="Arial Narrow" w:hAnsi="Arial Narrow" w:cs="Times New Roman"/>
                <w:b/>
                <w:snapToGrid/>
                <w:sz w:val="20"/>
              </w:rPr>
              <w:t xml:space="preserve"> by Reference Group (95% CI), %</w:t>
            </w:r>
          </w:p>
        </w:tc>
      </w:tr>
      <w:tr w:rsidR="00D80F02" w:rsidRPr="008A2917" w:rsidTr="004E5F3B">
        <w:trPr>
          <w:cantSplit/>
          <w:tblHeader/>
        </w:trPr>
        <w:tc>
          <w:tcPr>
            <w:tcW w:w="2041" w:type="pct"/>
            <w:vMerge/>
            <w:vAlign w:val="center"/>
          </w:tcPr>
          <w:p w:rsidR="00D80F02" w:rsidRPr="008A2917" w:rsidRDefault="00D80F02" w:rsidP="00387896">
            <w:pPr>
              <w:keepNext/>
              <w:keepLines/>
              <w:widowControl/>
              <w:jc w:val="left"/>
              <w:rPr>
                <w:rFonts w:ascii="Arial Narrow" w:hAnsi="Arial Narrow" w:cs="Times New Roman"/>
                <w:b/>
                <w:snapToGrid/>
                <w:sz w:val="20"/>
              </w:rPr>
            </w:pPr>
          </w:p>
        </w:tc>
        <w:tc>
          <w:tcPr>
            <w:tcW w:w="1572" w:type="pct"/>
            <w:vAlign w:val="center"/>
          </w:tcPr>
          <w:p w:rsidR="00D80F02" w:rsidRPr="008A2917" w:rsidRDefault="00D80F02" w:rsidP="00387896">
            <w:pPr>
              <w:widowControl/>
              <w:jc w:val="center"/>
              <w:rPr>
                <w:rFonts w:ascii="Arial Narrow" w:hAnsi="Arial Narrow" w:cs="Times New Roman"/>
                <w:b/>
                <w:snapToGrid/>
                <w:sz w:val="20"/>
              </w:rPr>
            </w:pPr>
            <w:r w:rsidRPr="008A2917">
              <w:rPr>
                <w:rFonts w:ascii="Arial Narrow" w:hAnsi="Arial Narrow" w:cs="Times New Roman"/>
                <w:b/>
                <w:snapToGrid/>
                <w:sz w:val="20"/>
              </w:rPr>
              <w:t>Egg-based QIV-SD</w:t>
            </w:r>
          </w:p>
        </w:tc>
        <w:tc>
          <w:tcPr>
            <w:tcW w:w="1387" w:type="pct"/>
            <w:vAlign w:val="center"/>
          </w:tcPr>
          <w:p w:rsidR="00D80F02" w:rsidRPr="008A2917" w:rsidRDefault="00D80F02" w:rsidP="00387896">
            <w:pPr>
              <w:widowControl/>
              <w:jc w:val="center"/>
              <w:rPr>
                <w:rFonts w:ascii="Arial Narrow" w:hAnsi="Arial Narrow" w:cs="Times New Roman"/>
                <w:b/>
                <w:snapToGrid/>
                <w:sz w:val="20"/>
              </w:rPr>
            </w:pPr>
            <w:r w:rsidRPr="008A2917">
              <w:rPr>
                <w:rFonts w:ascii="Arial Narrow" w:hAnsi="Arial Narrow" w:cs="Times New Roman"/>
                <w:b/>
                <w:snapToGrid/>
                <w:sz w:val="20"/>
              </w:rPr>
              <w:t xml:space="preserve">Egg-based </w:t>
            </w:r>
            <w:proofErr w:type="spellStart"/>
            <w:r w:rsidR="004922B5" w:rsidRPr="008A2917">
              <w:rPr>
                <w:rFonts w:ascii="Arial Narrow" w:hAnsi="Arial Narrow" w:cs="Times New Roman"/>
                <w:b/>
                <w:snapToGrid/>
                <w:sz w:val="20"/>
              </w:rPr>
              <w:t>aTIV</w:t>
            </w:r>
            <w:proofErr w:type="spellEnd"/>
          </w:p>
        </w:tc>
      </w:tr>
      <w:tr w:rsidR="00D80F02" w:rsidRPr="008A2917" w:rsidTr="004E5F3B">
        <w:trPr>
          <w:cantSplit/>
        </w:trPr>
        <w:tc>
          <w:tcPr>
            <w:tcW w:w="5000" w:type="pct"/>
            <w:gridSpan w:val="3"/>
            <w:vAlign w:val="center"/>
          </w:tcPr>
          <w:p w:rsidR="00D80F02" w:rsidRPr="008A2917" w:rsidRDefault="00D80F02" w:rsidP="00387896">
            <w:pPr>
              <w:keepNext/>
              <w:keepLines/>
              <w:widowControl/>
              <w:jc w:val="left"/>
              <w:rPr>
                <w:rFonts w:ascii="Arial Narrow" w:hAnsi="Arial Narrow" w:cs="Times New Roman"/>
                <w:snapToGrid/>
                <w:sz w:val="20"/>
              </w:rPr>
            </w:pPr>
            <w:r w:rsidRPr="008A2917">
              <w:rPr>
                <w:rFonts w:ascii="Arial Narrow" w:hAnsi="Arial Narrow" w:cs="Times New Roman"/>
                <w:snapToGrid/>
                <w:sz w:val="20"/>
              </w:rPr>
              <w:t>Influenza-related hospital encounters</w:t>
            </w:r>
          </w:p>
        </w:tc>
      </w:tr>
      <w:tr w:rsidR="00D80F02" w:rsidRPr="008A2917" w:rsidTr="004E5F3B">
        <w:trPr>
          <w:cantSplit/>
        </w:trPr>
        <w:tc>
          <w:tcPr>
            <w:tcW w:w="2041" w:type="pct"/>
            <w:vAlign w:val="center"/>
          </w:tcPr>
          <w:p w:rsidR="00D80F02" w:rsidRPr="008A2917" w:rsidRDefault="00D80F02" w:rsidP="00387896">
            <w:pPr>
              <w:keepNext/>
              <w:keepLines/>
              <w:widowControl/>
              <w:jc w:val="left"/>
              <w:rPr>
                <w:rFonts w:ascii="Arial Narrow" w:hAnsi="Arial Narrow" w:cs="Times New Roman"/>
                <w:snapToGrid/>
                <w:sz w:val="20"/>
              </w:rPr>
            </w:pPr>
            <w:r w:rsidRPr="008A2917">
              <w:rPr>
                <w:rFonts w:ascii="Arial Narrow" w:hAnsi="Arial Narrow" w:cs="Times New Roman"/>
                <w:snapToGrid/>
                <w:sz w:val="20"/>
              </w:rPr>
              <w:t>Egg-based TIV-HD</w:t>
            </w:r>
          </w:p>
        </w:tc>
        <w:tc>
          <w:tcPr>
            <w:tcW w:w="1572" w:type="pct"/>
            <w:vAlign w:val="center"/>
          </w:tcPr>
          <w:p w:rsidR="00D80F02" w:rsidRPr="008A2917" w:rsidRDefault="00D80F02" w:rsidP="00387896">
            <w:pPr>
              <w:widowControl/>
              <w:jc w:val="center"/>
              <w:rPr>
                <w:rFonts w:ascii="Arial Narrow" w:hAnsi="Arial Narrow" w:cs="Times New Roman"/>
                <w:b/>
                <w:bCs/>
                <w:snapToGrid/>
                <w:sz w:val="20"/>
              </w:rPr>
            </w:pPr>
            <w:r w:rsidRPr="008A2917">
              <w:rPr>
                <w:rFonts w:ascii="Arial Narrow" w:hAnsi="Arial Narrow" w:cs="Times New Roman"/>
                <w:b/>
                <w:bCs/>
                <w:snapToGrid/>
                <w:sz w:val="20"/>
              </w:rPr>
              <w:t>9.0 (7.2, 10.6)</w:t>
            </w:r>
          </w:p>
        </w:tc>
        <w:tc>
          <w:tcPr>
            <w:tcW w:w="1387" w:type="pct"/>
            <w:vAlign w:val="center"/>
          </w:tcPr>
          <w:p w:rsidR="00D80F02" w:rsidRPr="008A2917" w:rsidRDefault="00D80F02" w:rsidP="00387896">
            <w:pPr>
              <w:widowControl/>
              <w:jc w:val="center"/>
              <w:rPr>
                <w:rFonts w:ascii="Arial Narrow" w:hAnsi="Arial Narrow" w:cs="Times New Roman"/>
                <w:b/>
                <w:bCs/>
                <w:snapToGrid/>
                <w:sz w:val="20"/>
              </w:rPr>
            </w:pPr>
            <w:r w:rsidRPr="008A2917">
              <w:rPr>
                <w:rFonts w:ascii="Arial Narrow" w:hAnsi="Arial Narrow" w:cs="Times New Roman"/>
                <w:b/>
                <w:bCs/>
                <w:snapToGrid/>
                <w:sz w:val="20"/>
              </w:rPr>
              <w:t>5.3 (3.3, 7.3)</w:t>
            </w:r>
          </w:p>
        </w:tc>
      </w:tr>
      <w:tr w:rsidR="00D80F02" w:rsidRPr="008A2917" w:rsidTr="004E5F3B">
        <w:trPr>
          <w:cantSplit/>
        </w:trPr>
        <w:tc>
          <w:tcPr>
            <w:tcW w:w="5000" w:type="pct"/>
            <w:gridSpan w:val="3"/>
            <w:vAlign w:val="center"/>
          </w:tcPr>
          <w:p w:rsidR="00D80F02" w:rsidRPr="008A2917" w:rsidRDefault="00D80F02" w:rsidP="00387896">
            <w:pPr>
              <w:keepNext/>
              <w:keepLines/>
              <w:widowControl/>
              <w:jc w:val="left"/>
              <w:rPr>
                <w:rFonts w:ascii="Arial Narrow" w:hAnsi="Arial Narrow" w:cs="Times New Roman"/>
                <w:snapToGrid/>
                <w:sz w:val="20"/>
              </w:rPr>
            </w:pPr>
            <w:r w:rsidRPr="008A2917">
              <w:rPr>
                <w:rFonts w:ascii="Arial Narrow" w:hAnsi="Arial Narrow" w:cs="Times New Roman"/>
                <w:snapToGrid/>
                <w:sz w:val="20"/>
              </w:rPr>
              <w:t>Influenza-related Office Visits</w:t>
            </w:r>
          </w:p>
        </w:tc>
      </w:tr>
      <w:tr w:rsidR="00D80F02" w:rsidRPr="008A2917" w:rsidTr="004E5F3B">
        <w:trPr>
          <w:cantSplit/>
        </w:trPr>
        <w:tc>
          <w:tcPr>
            <w:tcW w:w="2041" w:type="pct"/>
            <w:vAlign w:val="center"/>
          </w:tcPr>
          <w:p w:rsidR="00D80F02" w:rsidRPr="008A2917" w:rsidRDefault="00D80F02" w:rsidP="00387896">
            <w:pPr>
              <w:keepNext/>
              <w:keepLines/>
              <w:widowControl/>
              <w:jc w:val="left"/>
              <w:rPr>
                <w:rFonts w:ascii="Arial Narrow" w:hAnsi="Arial Narrow" w:cs="Times New Roman"/>
                <w:snapToGrid/>
                <w:sz w:val="20"/>
              </w:rPr>
            </w:pPr>
            <w:r w:rsidRPr="008A2917">
              <w:rPr>
                <w:rFonts w:ascii="Arial Narrow" w:hAnsi="Arial Narrow" w:cs="Times New Roman"/>
                <w:snapToGrid/>
                <w:sz w:val="20"/>
              </w:rPr>
              <w:t>Egg-based TIV-HD</w:t>
            </w:r>
          </w:p>
        </w:tc>
        <w:tc>
          <w:tcPr>
            <w:tcW w:w="1572" w:type="pct"/>
            <w:vAlign w:val="center"/>
          </w:tcPr>
          <w:p w:rsidR="00D80F02" w:rsidRPr="008A2917" w:rsidRDefault="00D80F02" w:rsidP="00387896">
            <w:pPr>
              <w:widowControl/>
              <w:jc w:val="center"/>
              <w:rPr>
                <w:rFonts w:ascii="Arial Narrow" w:hAnsi="Arial Narrow" w:cs="Times New Roman"/>
                <w:snapToGrid/>
                <w:sz w:val="20"/>
              </w:rPr>
            </w:pPr>
            <w:r w:rsidRPr="008A2917">
              <w:rPr>
                <w:rFonts w:ascii="Arial Narrow" w:hAnsi="Arial Narrow" w:cs="Times New Roman"/>
                <w:snapToGrid/>
                <w:sz w:val="20"/>
              </w:rPr>
              <w:t>0.7 (−1.5, 2.9)</w:t>
            </w:r>
          </w:p>
        </w:tc>
        <w:tc>
          <w:tcPr>
            <w:tcW w:w="1387" w:type="pct"/>
            <w:vAlign w:val="center"/>
          </w:tcPr>
          <w:p w:rsidR="00D80F02" w:rsidRPr="008A2917" w:rsidRDefault="00D80F02" w:rsidP="00387896">
            <w:pPr>
              <w:widowControl/>
              <w:jc w:val="center"/>
              <w:rPr>
                <w:rFonts w:ascii="Arial Narrow" w:hAnsi="Arial Narrow" w:cs="Times New Roman"/>
                <w:b/>
                <w:bCs/>
                <w:snapToGrid/>
                <w:sz w:val="20"/>
              </w:rPr>
            </w:pPr>
            <w:r w:rsidRPr="008A2917">
              <w:rPr>
                <w:rFonts w:ascii="Arial Narrow" w:hAnsi="Arial Narrow" w:cs="Times New Roman"/>
                <w:b/>
                <w:bCs/>
                <w:snapToGrid/>
                <w:sz w:val="20"/>
              </w:rPr>
              <w:t>6.8 (4.6, 8.9)</w:t>
            </w:r>
          </w:p>
        </w:tc>
      </w:tr>
      <w:tr w:rsidR="00D80F02" w:rsidRPr="008A2917" w:rsidTr="004E5F3B">
        <w:trPr>
          <w:cantSplit/>
        </w:trPr>
        <w:tc>
          <w:tcPr>
            <w:tcW w:w="5000" w:type="pct"/>
            <w:gridSpan w:val="3"/>
            <w:vAlign w:val="center"/>
          </w:tcPr>
          <w:p w:rsidR="00D80F02" w:rsidRPr="008A2917" w:rsidRDefault="00D80F02" w:rsidP="00387896">
            <w:pPr>
              <w:keepNext/>
              <w:keepLines/>
              <w:widowControl/>
              <w:jc w:val="left"/>
              <w:rPr>
                <w:rFonts w:ascii="Arial Narrow" w:hAnsi="Arial Narrow" w:cs="Times New Roman"/>
                <w:snapToGrid/>
                <w:sz w:val="20"/>
              </w:rPr>
            </w:pPr>
            <w:r w:rsidRPr="008A2917">
              <w:rPr>
                <w:rFonts w:ascii="Arial Narrow" w:hAnsi="Arial Narrow" w:cs="Times New Roman"/>
                <w:snapToGrid/>
                <w:sz w:val="20"/>
              </w:rPr>
              <w:t>Influenza-related inpatient stays</w:t>
            </w:r>
          </w:p>
        </w:tc>
      </w:tr>
      <w:tr w:rsidR="00D80F02" w:rsidRPr="008A2917" w:rsidTr="004E5F3B">
        <w:trPr>
          <w:cantSplit/>
        </w:trPr>
        <w:tc>
          <w:tcPr>
            <w:tcW w:w="2041" w:type="pct"/>
            <w:vAlign w:val="center"/>
          </w:tcPr>
          <w:p w:rsidR="00D80F02" w:rsidRPr="008A2917" w:rsidRDefault="00D80F02" w:rsidP="00387896">
            <w:pPr>
              <w:keepNext/>
              <w:keepLines/>
              <w:widowControl/>
              <w:jc w:val="left"/>
              <w:rPr>
                <w:rFonts w:ascii="Arial Narrow" w:hAnsi="Arial Narrow" w:cs="Times New Roman"/>
                <w:snapToGrid/>
                <w:sz w:val="20"/>
              </w:rPr>
            </w:pPr>
            <w:r w:rsidRPr="008A2917">
              <w:rPr>
                <w:rFonts w:ascii="Arial Narrow" w:hAnsi="Arial Narrow" w:cs="Times New Roman"/>
                <w:snapToGrid/>
                <w:sz w:val="20"/>
              </w:rPr>
              <w:t>Egg-based TIV-HD</w:t>
            </w:r>
          </w:p>
        </w:tc>
        <w:tc>
          <w:tcPr>
            <w:tcW w:w="1572" w:type="pct"/>
            <w:vAlign w:val="center"/>
          </w:tcPr>
          <w:p w:rsidR="00D80F02" w:rsidRPr="008A2917" w:rsidRDefault="00D80F02" w:rsidP="00387896">
            <w:pPr>
              <w:widowControl/>
              <w:jc w:val="center"/>
              <w:rPr>
                <w:rFonts w:ascii="Arial Narrow" w:hAnsi="Arial Narrow" w:cs="Times New Roman"/>
                <w:b/>
                <w:bCs/>
                <w:snapToGrid/>
                <w:sz w:val="20"/>
              </w:rPr>
            </w:pPr>
            <w:r w:rsidRPr="008A2917">
              <w:rPr>
                <w:rFonts w:ascii="Arial Narrow" w:hAnsi="Arial Narrow" w:cs="Times New Roman"/>
                <w:b/>
                <w:bCs/>
                <w:snapToGrid/>
                <w:sz w:val="20"/>
              </w:rPr>
              <w:t>10.0 (7.8–12.3)</w:t>
            </w:r>
          </w:p>
        </w:tc>
        <w:tc>
          <w:tcPr>
            <w:tcW w:w="1387" w:type="pct"/>
            <w:vAlign w:val="center"/>
          </w:tcPr>
          <w:p w:rsidR="00D80F02" w:rsidRPr="008A2917" w:rsidRDefault="00D80F02" w:rsidP="00387896">
            <w:pPr>
              <w:widowControl/>
              <w:jc w:val="center"/>
              <w:rPr>
                <w:rFonts w:ascii="Arial Narrow" w:hAnsi="Arial Narrow" w:cs="Times New Roman"/>
                <w:b/>
                <w:bCs/>
                <w:snapToGrid/>
                <w:sz w:val="20"/>
              </w:rPr>
            </w:pPr>
            <w:r w:rsidRPr="008A2917">
              <w:rPr>
                <w:rFonts w:ascii="Arial Narrow" w:hAnsi="Arial Narrow" w:cs="Times New Roman"/>
                <w:b/>
                <w:bCs/>
                <w:snapToGrid/>
                <w:sz w:val="20"/>
              </w:rPr>
              <w:t>7.7 (5.1, 10.2)</w:t>
            </w:r>
          </w:p>
        </w:tc>
      </w:tr>
    </w:tbl>
    <w:p w:rsidR="00D80F02" w:rsidRPr="008A2917" w:rsidRDefault="004922B5" w:rsidP="00387896">
      <w:pPr>
        <w:pStyle w:val="TableFooter"/>
        <w:widowControl/>
      </w:pPr>
      <w:proofErr w:type="spellStart"/>
      <w:proofErr w:type="gramStart"/>
      <w:r w:rsidRPr="008A2917">
        <w:t>aTIV</w:t>
      </w:r>
      <w:proofErr w:type="spellEnd"/>
      <w:proofErr w:type="gramEnd"/>
      <w:r w:rsidR="00D80F02" w:rsidRPr="008A2917">
        <w:t xml:space="preserve">: </w:t>
      </w:r>
      <w:proofErr w:type="spellStart"/>
      <w:r w:rsidR="00D80F02" w:rsidRPr="008A2917">
        <w:t>adjuvanted</w:t>
      </w:r>
      <w:proofErr w:type="spellEnd"/>
      <w:r w:rsidR="00D80F02" w:rsidRPr="008A2917">
        <w:t xml:space="preserve"> trivalent Influenza Vaccine standard dose; CI: Confidence Interval; IPTW: Inverse Probability of Treatment Weighting; QIV-SD: </w:t>
      </w:r>
      <w:proofErr w:type="spellStart"/>
      <w:r w:rsidR="00D80F02" w:rsidRPr="008A2917">
        <w:t>Quadrivalent</w:t>
      </w:r>
      <w:proofErr w:type="spellEnd"/>
      <w:r w:rsidR="00D80F02" w:rsidRPr="008A2917">
        <w:t xml:space="preserve"> Influenza Vaccine - Standard Dose; </w:t>
      </w:r>
      <w:proofErr w:type="spellStart"/>
      <w:r w:rsidR="00CA3DEA" w:rsidRPr="008A2917">
        <w:t>r</w:t>
      </w:r>
      <w:r w:rsidR="00D80F02" w:rsidRPr="008A2917">
        <w:t>VE</w:t>
      </w:r>
      <w:proofErr w:type="spellEnd"/>
      <w:r w:rsidR="00D80F02" w:rsidRPr="008A2917">
        <w:t xml:space="preserve">: Relative Vaccine Effectiveness; TIV-HD: Trivalent Influenza Vaccine – High Dose. </w:t>
      </w:r>
    </w:p>
    <w:p w:rsidR="00D80F02" w:rsidRPr="008A2917" w:rsidRDefault="00D80F02" w:rsidP="00387896">
      <w:pPr>
        <w:pStyle w:val="TableFooter"/>
        <w:widowControl/>
      </w:pPr>
      <w:r w:rsidRPr="008A2917">
        <w:t>Data in bold denote results significant at the P ≤.05 level.</w:t>
      </w:r>
    </w:p>
    <w:p w:rsidR="00D80F02" w:rsidRPr="008A2917" w:rsidRDefault="00D80F02" w:rsidP="00387896">
      <w:pPr>
        <w:pStyle w:val="TableFooter"/>
        <w:widowControl/>
        <w:rPr>
          <w:sz w:val="20"/>
        </w:rPr>
      </w:pPr>
      <w:r w:rsidRPr="008A2917">
        <w:t>Source: Table 2.11, p63 of the resubmission.</w:t>
      </w:r>
    </w:p>
    <w:p w:rsidR="00D80F02" w:rsidRPr="008A2917" w:rsidRDefault="00D80F02" w:rsidP="00387896">
      <w:pPr>
        <w:widowControl/>
      </w:pPr>
    </w:p>
    <w:p w:rsidR="00D114CA" w:rsidRPr="00D114CA" w:rsidRDefault="00D80F02" w:rsidP="00387896">
      <w:pPr>
        <w:widowControl/>
        <w:numPr>
          <w:ilvl w:val="1"/>
          <w:numId w:val="1"/>
        </w:numPr>
        <w:spacing w:after="160"/>
      </w:pPr>
      <w:r w:rsidRPr="008A2917">
        <w:rPr>
          <w:rFonts w:cs="Calibri"/>
          <w:iCs/>
          <w:snapToGrid/>
          <w:szCs w:val="24"/>
          <w:lang w:eastAsia="en-AU"/>
        </w:rPr>
        <w:t xml:space="preserve">Results from </w:t>
      </w:r>
      <w:proofErr w:type="spellStart"/>
      <w:r w:rsidR="00240F35" w:rsidRPr="008A2917">
        <w:rPr>
          <w:rFonts w:cs="Calibri"/>
          <w:iCs/>
          <w:snapToGrid/>
          <w:szCs w:val="24"/>
          <w:lang w:eastAsia="en-AU"/>
        </w:rPr>
        <w:t>Izurieta</w:t>
      </w:r>
      <w:proofErr w:type="spellEnd"/>
      <w:r w:rsidRPr="008A2917">
        <w:rPr>
          <w:rFonts w:cs="Calibri"/>
          <w:iCs/>
          <w:snapToGrid/>
          <w:szCs w:val="24"/>
          <w:lang w:eastAsia="en-AU"/>
        </w:rPr>
        <w:t xml:space="preserve"> </w:t>
      </w:r>
      <w:r w:rsidR="00176B0A" w:rsidRPr="008A2917">
        <w:rPr>
          <w:rFonts w:cs="Calibri"/>
          <w:iCs/>
          <w:snapToGrid/>
          <w:szCs w:val="24"/>
          <w:lang w:eastAsia="en-AU"/>
        </w:rPr>
        <w:t>we</w:t>
      </w:r>
      <w:r w:rsidRPr="008A2917">
        <w:rPr>
          <w:rFonts w:cs="Calibri"/>
          <w:iCs/>
          <w:snapToGrid/>
          <w:szCs w:val="24"/>
          <w:lang w:eastAsia="en-AU"/>
        </w:rPr>
        <w:t xml:space="preserve">re not directly applied in the economic model. Instead, </w:t>
      </w:r>
      <w:proofErr w:type="spellStart"/>
      <w:r w:rsidR="000B07A9" w:rsidRPr="008A2917">
        <w:rPr>
          <w:rFonts w:cs="Calibri"/>
          <w:iCs/>
          <w:snapToGrid/>
          <w:szCs w:val="24"/>
          <w:lang w:eastAsia="en-AU"/>
        </w:rPr>
        <w:t>r</w:t>
      </w:r>
      <w:r w:rsidRPr="008A2917">
        <w:rPr>
          <w:rFonts w:cs="Calibri"/>
          <w:iCs/>
          <w:snapToGrid/>
          <w:szCs w:val="24"/>
          <w:lang w:eastAsia="en-AU"/>
        </w:rPr>
        <w:t>VE</w:t>
      </w:r>
      <w:proofErr w:type="spellEnd"/>
      <w:r w:rsidRPr="008A2917">
        <w:rPr>
          <w:rFonts w:cs="Calibri"/>
          <w:iCs/>
          <w:snapToGrid/>
          <w:szCs w:val="24"/>
          <w:lang w:eastAsia="en-AU"/>
        </w:rPr>
        <w:t xml:space="preserve"> of </w:t>
      </w:r>
      <w:proofErr w:type="spellStart"/>
      <w:r w:rsidRPr="008A2917">
        <w:rPr>
          <w:rFonts w:cs="Calibri"/>
          <w:iCs/>
          <w:snapToGrid/>
          <w:szCs w:val="24"/>
          <w:lang w:eastAsia="en-AU"/>
        </w:rPr>
        <w:t>aTIV</w:t>
      </w:r>
      <w:proofErr w:type="spellEnd"/>
      <w:r w:rsidRPr="008A2917">
        <w:rPr>
          <w:rFonts w:cs="Calibri"/>
          <w:iCs/>
          <w:snapToGrid/>
          <w:szCs w:val="24"/>
          <w:lang w:eastAsia="en-AU"/>
        </w:rPr>
        <w:t xml:space="preserve"> vs TIV-SD</w:t>
      </w:r>
      <w:r w:rsidR="008B1B04" w:rsidRPr="008A2917">
        <w:rPr>
          <w:rFonts w:cs="Calibri"/>
          <w:iCs/>
          <w:snapToGrid/>
          <w:szCs w:val="24"/>
          <w:lang w:eastAsia="en-AU"/>
        </w:rPr>
        <w:t xml:space="preserve"> (10%)</w:t>
      </w:r>
      <w:r w:rsidRPr="008A2917">
        <w:rPr>
          <w:rFonts w:cs="Calibri"/>
          <w:iCs/>
          <w:snapToGrid/>
          <w:szCs w:val="24"/>
          <w:lang w:eastAsia="en-AU"/>
        </w:rPr>
        <w:t xml:space="preserve"> was calculated as the </w:t>
      </w:r>
      <w:proofErr w:type="spellStart"/>
      <w:r w:rsidR="000B07A9" w:rsidRPr="008A2917">
        <w:rPr>
          <w:rFonts w:cs="Calibri"/>
          <w:iCs/>
          <w:snapToGrid/>
          <w:szCs w:val="24"/>
          <w:lang w:eastAsia="en-AU"/>
        </w:rPr>
        <w:t>r</w:t>
      </w:r>
      <w:r w:rsidRPr="008A2917">
        <w:rPr>
          <w:rFonts w:cs="Calibri"/>
          <w:iCs/>
          <w:snapToGrid/>
          <w:szCs w:val="24"/>
          <w:lang w:eastAsia="en-AU"/>
        </w:rPr>
        <w:t>VE</w:t>
      </w:r>
      <w:proofErr w:type="spellEnd"/>
      <w:r w:rsidRPr="008A2917">
        <w:rPr>
          <w:rFonts w:cs="Calibri"/>
          <w:iCs/>
          <w:snapToGrid/>
          <w:szCs w:val="24"/>
          <w:lang w:eastAsia="en-AU"/>
        </w:rPr>
        <w:t xml:space="preserve"> of </w:t>
      </w:r>
      <w:proofErr w:type="spellStart"/>
      <w:r w:rsidRPr="008A2917">
        <w:rPr>
          <w:rFonts w:cs="Calibri"/>
          <w:iCs/>
          <w:snapToGrid/>
          <w:szCs w:val="24"/>
          <w:lang w:eastAsia="en-AU"/>
        </w:rPr>
        <w:t>aTIV</w:t>
      </w:r>
      <w:proofErr w:type="spellEnd"/>
      <w:r w:rsidRPr="008A2917">
        <w:rPr>
          <w:rFonts w:cs="Calibri"/>
          <w:iCs/>
          <w:snapToGrid/>
          <w:szCs w:val="24"/>
          <w:lang w:eastAsia="en-AU"/>
        </w:rPr>
        <w:t xml:space="preserve"> vs TIV-SD from </w:t>
      </w:r>
      <w:proofErr w:type="spellStart"/>
      <w:r w:rsidR="00240F35" w:rsidRPr="008A2917">
        <w:rPr>
          <w:rFonts w:cs="Calibri"/>
          <w:iCs/>
          <w:snapToGrid/>
          <w:szCs w:val="24"/>
          <w:lang w:eastAsia="en-AU"/>
        </w:rPr>
        <w:t>Izurieta</w:t>
      </w:r>
      <w:proofErr w:type="spellEnd"/>
      <w:r w:rsidR="00240F35" w:rsidRPr="008A2917">
        <w:rPr>
          <w:rFonts w:cs="Calibri"/>
          <w:iCs/>
          <w:snapToGrid/>
          <w:szCs w:val="24"/>
          <w:lang w:eastAsia="en-AU"/>
        </w:rPr>
        <w:t xml:space="preserve"> </w:t>
      </w:r>
      <w:r w:rsidR="008B1B04" w:rsidRPr="008A2917">
        <w:rPr>
          <w:rFonts w:cs="Calibri"/>
          <w:iCs/>
          <w:snapToGrid/>
          <w:szCs w:val="24"/>
          <w:lang w:eastAsia="en-AU"/>
        </w:rPr>
        <w:t>(3.6%)</w:t>
      </w:r>
      <w:r w:rsidRPr="008A2917">
        <w:rPr>
          <w:rFonts w:cs="Calibri"/>
          <w:iCs/>
          <w:snapToGrid/>
          <w:szCs w:val="24"/>
          <w:lang w:eastAsia="en-AU"/>
        </w:rPr>
        <w:t xml:space="preserve"> multiplied by the ratio of the </w:t>
      </w:r>
      <w:proofErr w:type="spellStart"/>
      <w:r w:rsidR="000B07A9" w:rsidRPr="008A2917">
        <w:rPr>
          <w:rFonts w:cs="Calibri"/>
          <w:iCs/>
          <w:snapToGrid/>
          <w:szCs w:val="24"/>
          <w:lang w:eastAsia="en-AU"/>
        </w:rPr>
        <w:t>r</w:t>
      </w:r>
      <w:r w:rsidRPr="008A2917">
        <w:rPr>
          <w:rFonts w:cs="Calibri"/>
          <w:iCs/>
          <w:snapToGrid/>
          <w:szCs w:val="24"/>
          <w:lang w:eastAsia="en-AU"/>
        </w:rPr>
        <w:t>VE</w:t>
      </w:r>
      <w:proofErr w:type="spellEnd"/>
      <w:r w:rsidRPr="008A2917">
        <w:rPr>
          <w:rFonts w:cs="Calibri"/>
          <w:iCs/>
          <w:snapToGrid/>
          <w:szCs w:val="24"/>
          <w:lang w:eastAsia="en-AU"/>
        </w:rPr>
        <w:t xml:space="preserve"> of TIV-HD vs TIV-SD from FIM12</w:t>
      </w:r>
      <w:r w:rsidR="008B1B04" w:rsidRPr="008A2917">
        <w:rPr>
          <w:rFonts w:cs="Calibri"/>
          <w:iCs/>
          <w:snapToGrid/>
          <w:szCs w:val="24"/>
          <w:lang w:eastAsia="en-AU"/>
        </w:rPr>
        <w:t xml:space="preserve"> (24.2%)</w:t>
      </w:r>
      <w:r w:rsidRPr="008A2917">
        <w:rPr>
          <w:rFonts w:cs="Calibri"/>
          <w:iCs/>
          <w:snapToGrid/>
          <w:szCs w:val="24"/>
          <w:lang w:eastAsia="en-AU"/>
        </w:rPr>
        <w:t xml:space="preserve"> to the </w:t>
      </w:r>
      <w:proofErr w:type="spellStart"/>
      <w:r w:rsidR="00CA3DEA" w:rsidRPr="008A2917">
        <w:rPr>
          <w:rFonts w:cs="Calibri"/>
          <w:iCs/>
          <w:snapToGrid/>
          <w:szCs w:val="24"/>
          <w:lang w:eastAsia="en-AU"/>
        </w:rPr>
        <w:t>rVE</w:t>
      </w:r>
      <w:proofErr w:type="spellEnd"/>
      <w:r w:rsidRPr="008A2917">
        <w:rPr>
          <w:rFonts w:cs="Calibri"/>
          <w:iCs/>
          <w:snapToGrid/>
          <w:szCs w:val="24"/>
          <w:lang w:eastAsia="en-AU"/>
        </w:rPr>
        <w:t xml:space="preserve"> of TIV-HD vs TIV-SD from </w:t>
      </w:r>
      <w:proofErr w:type="spellStart"/>
      <w:r w:rsidR="00240F35" w:rsidRPr="008A2917">
        <w:rPr>
          <w:rFonts w:cs="Calibri"/>
          <w:iCs/>
          <w:snapToGrid/>
          <w:szCs w:val="24"/>
          <w:lang w:eastAsia="en-AU"/>
        </w:rPr>
        <w:t>Izurieta</w:t>
      </w:r>
      <w:proofErr w:type="spellEnd"/>
      <w:r w:rsidR="00240F35" w:rsidRPr="008A2917">
        <w:rPr>
          <w:rFonts w:cs="Calibri"/>
          <w:iCs/>
          <w:snapToGrid/>
          <w:szCs w:val="24"/>
          <w:lang w:eastAsia="en-AU"/>
        </w:rPr>
        <w:t xml:space="preserve"> </w:t>
      </w:r>
      <w:r w:rsidR="008B1B04" w:rsidRPr="008A2917">
        <w:rPr>
          <w:rFonts w:cs="Calibri"/>
          <w:iCs/>
          <w:snapToGrid/>
          <w:szCs w:val="24"/>
          <w:lang w:eastAsia="en-AU"/>
        </w:rPr>
        <w:t>(8.7%)</w:t>
      </w:r>
      <w:r w:rsidRPr="008A2917">
        <w:rPr>
          <w:rFonts w:cs="Calibri"/>
          <w:iCs/>
          <w:snapToGrid/>
          <w:szCs w:val="24"/>
          <w:lang w:eastAsia="en-AU"/>
        </w:rPr>
        <w:t xml:space="preserve">. </w:t>
      </w:r>
      <w:r w:rsidR="00CB59EF" w:rsidRPr="008A2917">
        <w:rPr>
          <w:rFonts w:cs="Calibri"/>
          <w:iCs/>
          <w:snapToGrid/>
          <w:szCs w:val="24"/>
          <w:lang w:eastAsia="en-AU"/>
        </w:rPr>
        <w:t>A</w:t>
      </w:r>
      <w:r w:rsidR="00D90AED" w:rsidRPr="008A2917">
        <w:rPr>
          <w:rFonts w:cs="Calibri"/>
          <w:iCs/>
          <w:snapToGrid/>
          <w:szCs w:val="24"/>
          <w:lang w:eastAsia="en-AU"/>
        </w:rPr>
        <w:t xml:space="preserve"> sensitivity analysis using the </w:t>
      </w:r>
      <w:r w:rsidRPr="008A2917">
        <w:rPr>
          <w:rFonts w:cs="Calibri"/>
          <w:iCs/>
          <w:snapToGrid/>
          <w:szCs w:val="24"/>
          <w:lang w:eastAsia="en-AU"/>
        </w:rPr>
        <w:t>direct estimate</w:t>
      </w:r>
      <w:r w:rsidR="008B1B04" w:rsidRPr="008A2917">
        <w:rPr>
          <w:rFonts w:cs="Calibri"/>
          <w:iCs/>
          <w:snapToGrid/>
          <w:szCs w:val="24"/>
          <w:lang w:eastAsia="en-AU"/>
        </w:rPr>
        <w:t xml:space="preserve"> of 3.6% from </w:t>
      </w:r>
      <w:proofErr w:type="spellStart"/>
      <w:r w:rsidR="00240F35" w:rsidRPr="008A2917">
        <w:rPr>
          <w:rFonts w:cs="Calibri"/>
          <w:iCs/>
          <w:snapToGrid/>
          <w:szCs w:val="24"/>
          <w:lang w:eastAsia="en-AU"/>
        </w:rPr>
        <w:t>Izurieta</w:t>
      </w:r>
      <w:proofErr w:type="spellEnd"/>
      <w:r w:rsidR="00240F35" w:rsidRPr="008A2917">
        <w:rPr>
          <w:rFonts w:cs="Calibri"/>
          <w:iCs/>
          <w:snapToGrid/>
          <w:szCs w:val="24"/>
          <w:lang w:eastAsia="en-AU"/>
        </w:rPr>
        <w:t xml:space="preserve"> </w:t>
      </w:r>
      <w:r w:rsidR="00D90AED" w:rsidRPr="008A2917">
        <w:rPr>
          <w:rFonts w:cs="Calibri"/>
          <w:iCs/>
          <w:snapToGrid/>
          <w:szCs w:val="24"/>
          <w:lang w:eastAsia="en-AU"/>
        </w:rPr>
        <w:t>undertaken during the evaluation</w:t>
      </w:r>
      <w:r w:rsidR="00CB59EF" w:rsidRPr="008A2917">
        <w:rPr>
          <w:rFonts w:cs="Calibri"/>
          <w:iCs/>
          <w:snapToGrid/>
          <w:szCs w:val="24"/>
          <w:lang w:eastAsia="en-AU"/>
        </w:rPr>
        <w:t xml:space="preserve"> resulted in</w:t>
      </w:r>
      <w:r w:rsidRPr="008A2917">
        <w:rPr>
          <w:rFonts w:cs="Calibri"/>
          <w:iCs/>
          <w:snapToGrid/>
          <w:szCs w:val="24"/>
          <w:lang w:eastAsia="en-AU"/>
        </w:rPr>
        <w:t xml:space="preserve"> </w:t>
      </w:r>
      <w:r w:rsidR="00CB59EF" w:rsidRPr="008A2917">
        <w:rPr>
          <w:rFonts w:cs="Calibri"/>
          <w:iCs/>
          <w:snapToGrid/>
          <w:szCs w:val="24"/>
          <w:lang w:eastAsia="en-AU"/>
        </w:rPr>
        <w:t>the</w:t>
      </w:r>
      <w:r w:rsidR="008B1B04" w:rsidRPr="008A2917">
        <w:rPr>
          <w:rFonts w:cs="Calibri"/>
          <w:iCs/>
          <w:snapToGrid/>
          <w:szCs w:val="24"/>
          <w:lang w:eastAsia="en-AU"/>
        </w:rPr>
        <w:t xml:space="preserve"> ICER</w:t>
      </w:r>
      <w:r w:rsidR="00CB59EF" w:rsidRPr="008A2917">
        <w:rPr>
          <w:rFonts w:cs="Calibri"/>
          <w:iCs/>
          <w:snapToGrid/>
          <w:szCs w:val="24"/>
          <w:lang w:eastAsia="en-AU"/>
        </w:rPr>
        <w:t xml:space="preserve"> </w:t>
      </w:r>
      <w:r w:rsidR="008B1B04" w:rsidRPr="008A2917">
        <w:rPr>
          <w:rFonts w:cs="Calibri"/>
          <w:iCs/>
          <w:snapToGrid/>
          <w:szCs w:val="24"/>
          <w:lang w:eastAsia="en-AU"/>
        </w:rPr>
        <w:t xml:space="preserve">for TIV-HD vs </w:t>
      </w:r>
      <w:proofErr w:type="spellStart"/>
      <w:r w:rsidR="008B1B04" w:rsidRPr="008A2917">
        <w:rPr>
          <w:rFonts w:cs="Calibri"/>
          <w:iCs/>
          <w:snapToGrid/>
          <w:szCs w:val="24"/>
          <w:lang w:eastAsia="en-AU"/>
        </w:rPr>
        <w:t>aTIV</w:t>
      </w:r>
      <w:proofErr w:type="spellEnd"/>
      <w:r w:rsidR="008B1B04" w:rsidRPr="008A2917">
        <w:rPr>
          <w:rFonts w:cs="Calibri"/>
          <w:iCs/>
          <w:snapToGrid/>
          <w:szCs w:val="24"/>
          <w:lang w:eastAsia="en-AU"/>
        </w:rPr>
        <w:t xml:space="preserve"> </w:t>
      </w:r>
      <w:r w:rsidR="00CB59EF" w:rsidRPr="008A2917">
        <w:rPr>
          <w:rFonts w:cs="Calibri"/>
          <w:iCs/>
          <w:snapToGrid/>
          <w:szCs w:val="24"/>
          <w:lang w:eastAsia="en-AU"/>
        </w:rPr>
        <w:t xml:space="preserve">using the Supplementary model </w:t>
      </w:r>
      <w:r w:rsidR="008B1B04" w:rsidRPr="008A2917">
        <w:rPr>
          <w:rFonts w:cs="Calibri"/>
          <w:iCs/>
          <w:snapToGrid/>
          <w:szCs w:val="24"/>
          <w:lang w:eastAsia="en-AU"/>
        </w:rPr>
        <w:t>improv</w:t>
      </w:r>
      <w:r w:rsidR="00CB59EF" w:rsidRPr="008A2917">
        <w:rPr>
          <w:rFonts w:cs="Calibri"/>
          <w:iCs/>
          <w:snapToGrid/>
          <w:szCs w:val="24"/>
          <w:lang w:eastAsia="en-AU"/>
        </w:rPr>
        <w:t>ing</w:t>
      </w:r>
      <w:r w:rsidR="008B1B04" w:rsidRPr="008A2917">
        <w:rPr>
          <w:rFonts w:cs="Calibri"/>
          <w:iCs/>
          <w:snapToGrid/>
          <w:szCs w:val="24"/>
          <w:lang w:eastAsia="en-AU"/>
        </w:rPr>
        <w:t xml:space="preserve"> from </w:t>
      </w:r>
      <w:r w:rsidR="006E5E1E">
        <w:rPr>
          <w:rFonts w:cs="Calibri"/>
          <w:iCs/>
          <w:snapToGrid/>
          <w:szCs w:val="24"/>
          <w:lang w:eastAsia="en-AU"/>
        </w:rPr>
        <w:t xml:space="preserve">less than </w:t>
      </w:r>
      <w:r w:rsidR="008B1B04" w:rsidRPr="008A2917">
        <w:rPr>
          <w:rFonts w:cs="Calibri"/>
          <w:iCs/>
          <w:snapToGrid/>
          <w:szCs w:val="24"/>
          <w:lang w:eastAsia="en-AU"/>
        </w:rPr>
        <w:t>$</w:t>
      </w:r>
      <w:r w:rsidR="006E5E1E">
        <w:rPr>
          <w:rFonts w:cs="Calibri"/>
          <w:iCs/>
          <w:snapToGrid/>
          <w:szCs w:val="24"/>
          <w:lang w:eastAsia="en-AU"/>
        </w:rPr>
        <w:t xml:space="preserve">15,000 </w:t>
      </w:r>
      <w:r w:rsidR="008B1B04" w:rsidRPr="008A2917">
        <w:rPr>
          <w:rFonts w:cs="Calibri"/>
          <w:iCs/>
          <w:snapToGrid/>
          <w:szCs w:val="24"/>
          <w:lang w:eastAsia="en-AU"/>
        </w:rPr>
        <w:t xml:space="preserve">per QALY to TIV-HD dominating </w:t>
      </w:r>
      <w:proofErr w:type="spellStart"/>
      <w:r w:rsidR="008B1B04" w:rsidRPr="008A2917">
        <w:rPr>
          <w:rFonts w:cs="Calibri"/>
          <w:iCs/>
          <w:snapToGrid/>
          <w:szCs w:val="24"/>
          <w:lang w:eastAsia="en-AU"/>
        </w:rPr>
        <w:t>aTIV</w:t>
      </w:r>
      <w:proofErr w:type="spellEnd"/>
      <w:r w:rsidR="008A2917">
        <w:rPr>
          <w:rFonts w:cs="Calibri"/>
          <w:iCs/>
          <w:snapToGrid/>
          <w:szCs w:val="24"/>
          <w:lang w:eastAsia="en-AU"/>
        </w:rPr>
        <w:t>.</w:t>
      </w:r>
    </w:p>
    <w:p w:rsidR="00A16C6F" w:rsidRPr="008A2917" w:rsidRDefault="00A16C6F" w:rsidP="00387896">
      <w:pPr>
        <w:widowControl/>
        <w:numPr>
          <w:ilvl w:val="1"/>
          <w:numId w:val="1"/>
        </w:numPr>
        <w:spacing w:after="160"/>
      </w:pPr>
      <w:r w:rsidRPr="008A2917">
        <w:rPr>
          <w:rFonts w:cs="Calibri"/>
          <w:iCs/>
          <w:snapToGrid/>
          <w:szCs w:val="24"/>
          <w:lang w:eastAsia="en-AU"/>
        </w:rPr>
        <w:t xml:space="preserve">The ESC considered that although </w:t>
      </w:r>
      <w:proofErr w:type="spellStart"/>
      <w:r w:rsidR="00240F35" w:rsidRPr="008A2917">
        <w:rPr>
          <w:rFonts w:cs="Calibri"/>
          <w:iCs/>
          <w:snapToGrid/>
          <w:szCs w:val="24"/>
          <w:lang w:eastAsia="en-AU"/>
        </w:rPr>
        <w:t>Izurieta</w:t>
      </w:r>
      <w:proofErr w:type="spellEnd"/>
      <w:r w:rsidR="00240F35" w:rsidRPr="008A2917">
        <w:rPr>
          <w:rFonts w:cs="Calibri"/>
          <w:iCs/>
          <w:snapToGrid/>
          <w:szCs w:val="24"/>
          <w:lang w:eastAsia="en-AU"/>
        </w:rPr>
        <w:t xml:space="preserve"> </w:t>
      </w:r>
      <w:r w:rsidRPr="008A2917">
        <w:rPr>
          <w:rFonts w:cs="Calibri"/>
          <w:iCs/>
          <w:snapToGrid/>
          <w:szCs w:val="24"/>
          <w:lang w:eastAsia="en-AU"/>
        </w:rPr>
        <w:t xml:space="preserve">presented real world data, </w:t>
      </w:r>
      <w:r w:rsidR="00232909" w:rsidRPr="008A2917">
        <w:rPr>
          <w:rFonts w:cs="Calibri"/>
          <w:iCs/>
          <w:snapToGrid/>
          <w:szCs w:val="24"/>
          <w:lang w:eastAsia="en-AU"/>
        </w:rPr>
        <w:t xml:space="preserve">the extent of benefit as reported in this study was uncertain </w:t>
      </w:r>
      <w:r w:rsidR="00FE7A4F" w:rsidRPr="008A2917">
        <w:rPr>
          <w:rFonts w:cs="Calibri"/>
          <w:iCs/>
          <w:snapToGrid/>
          <w:szCs w:val="24"/>
          <w:lang w:eastAsia="en-AU"/>
        </w:rPr>
        <w:t>due to</w:t>
      </w:r>
      <w:r w:rsidRPr="008A2917">
        <w:rPr>
          <w:rFonts w:cs="Calibri"/>
          <w:iCs/>
          <w:snapToGrid/>
          <w:szCs w:val="24"/>
          <w:lang w:eastAsia="en-AU"/>
        </w:rPr>
        <w:t>:</w:t>
      </w:r>
    </w:p>
    <w:p w:rsidR="00A16C6F" w:rsidRPr="008A2917" w:rsidRDefault="00A16C6F" w:rsidP="00387896">
      <w:pPr>
        <w:pStyle w:val="Intextbulletpoints"/>
        <w:widowControl/>
        <w:rPr>
          <w:lang w:val="en-AU"/>
        </w:rPr>
      </w:pPr>
      <w:r w:rsidRPr="008A2917">
        <w:rPr>
          <w:lang w:val="en-AU"/>
        </w:rPr>
        <w:t xml:space="preserve"> </w:t>
      </w:r>
      <w:r w:rsidR="00FE7A4F" w:rsidRPr="008A2917">
        <w:rPr>
          <w:lang w:val="en-AU"/>
        </w:rPr>
        <w:t>T</w:t>
      </w:r>
      <w:r w:rsidRPr="008A2917">
        <w:rPr>
          <w:lang w:val="en-AU"/>
        </w:rPr>
        <w:t>h</w:t>
      </w:r>
      <w:r w:rsidR="00D73BDD" w:rsidRPr="008A2917">
        <w:rPr>
          <w:lang w:val="en-AU"/>
        </w:rPr>
        <w:t>e</w:t>
      </w:r>
      <w:r w:rsidRPr="008A2917">
        <w:rPr>
          <w:lang w:val="en-AU"/>
        </w:rPr>
        <w:t xml:space="preserve"> moderate to high </w:t>
      </w:r>
      <w:r w:rsidR="00D94AEC" w:rsidRPr="008A2917">
        <w:rPr>
          <w:lang w:val="en-AU"/>
        </w:rPr>
        <w:t xml:space="preserve">risk of </w:t>
      </w:r>
      <w:r w:rsidRPr="008A2917">
        <w:rPr>
          <w:lang w:val="en-AU"/>
        </w:rPr>
        <w:t>bias associated with the study;</w:t>
      </w:r>
    </w:p>
    <w:p w:rsidR="004F5409" w:rsidRPr="008A2917" w:rsidRDefault="004F5409" w:rsidP="00387896">
      <w:pPr>
        <w:pStyle w:val="Intextbulletpoints"/>
        <w:widowControl/>
        <w:rPr>
          <w:lang w:val="en-AU"/>
        </w:rPr>
      </w:pPr>
      <w:r w:rsidRPr="008A2917">
        <w:rPr>
          <w:lang w:val="en-AU"/>
        </w:rPr>
        <w:t>The IPTW</w:t>
      </w:r>
      <w:r w:rsidR="00E14789" w:rsidRPr="008A2917">
        <w:rPr>
          <w:lang w:val="en-AU"/>
        </w:rPr>
        <w:t xml:space="preserve"> analysis</w:t>
      </w:r>
      <w:r w:rsidRPr="008A2917">
        <w:rPr>
          <w:lang w:val="en-AU"/>
        </w:rPr>
        <w:t xml:space="preserve"> resulted in a large</w:t>
      </w:r>
      <w:r w:rsidR="00E14789" w:rsidRPr="008A2917">
        <w:rPr>
          <w:lang w:val="en-AU"/>
        </w:rPr>
        <w:t xml:space="preserve"> change</w:t>
      </w:r>
      <w:r w:rsidRPr="008A2917">
        <w:rPr>
          <w:lang w:val="en-AU"/>
        </w:rPr>
        <w:t xml:space="preserve"> in the estimated </w:t>
      </w:r>
      <w:proofErr w:type="spellStart"/>
      <w:r w:rsidRPr="008A2917">
        <w:rPr>
          <w:lang w:val="en-AU"/>
        </w:rPr>
        <w:t>rVE</w:t>
      </w:r>
      <w:proofErr w:type="spellEnd"/>
      <w:r w:rsidRPr="008A2917">
        <w:rPr>
          <w:lang w:val="en-AU"/>
        </w:rPr>
        <w:t xml:space="preserve"> (from 0.4% (95% CI: −1.8, 2.6) before IPTW to 9.0% (95% CI: 7.2, 10.6) after IPTW</w:t>
      </w:r>
      <w:r w:rsidR="00E14789" w:rsidRPr="008A2917">
        <w:rPr>
          <w:lang w:val="en-AU"/>
        </w:rPr>
        <w:t xml:space="preserve"> for TIV-HD vs QIV-SD</w:t>
      </w:r>
      <w:r w:rsidRPr="008A2917">
        <w:rPr>
          <w:lang w:val="en-AU"/>
        </w:rPr>
        <w:t>)</w:t>
      </w:r>
      <w:r w:rsidR="00D94AEC" w:rsidRPr="008A2917">
        <w:rPr>
          <w:lang w:val="en-AU"/>
        </w:rPr>
        <w:t>;</w:t>
      </w:r>
    </w:p>
    <w:p w:rsidR="004F5409" w:rsidRPr="008A2917" w:rsidRDefault="004F5409" w:rsidP="00387896">
      <w:pPr>
        <w:pStyle w:val="Intextbulletpoints"/>
        <w:widowControl/>
        <w:rPr>
          <w:lang w:val="en-AU"/>
        </w:rPr>
      </w:pPr>
      <w:r w:rsidRPr="008A2917">
        <w:rPr>
          <w:lang w:val="en-AU"/>
        </w:rPr>
        <w:t>There may</w:t>
      </w:r>
      <w:r w:rsidR="00D94AEC" w:rsidRPr="008A2917">
        <w:rPr>
          <w:lang w:val="en-AU"/>
        </w:rPr>
        <w:t xml:space="preserve"> be</w:t>
      </w:r>
      <w:r w:rsidRPr="008A2917">
        <w:rPr>
          <w:lang w:val="en-AU"/>
        </w:rPr>
        <w:t xml:space="preserve"> additional confounders not accounted for in the analysis;</w:t>
      </w:r>
    </w:p>
    <w:p w:rsidR="00E14789" w:rsidRPr="008A2917" w:rsidRDefault="00E14789" w:rsidP="00387896">
      <w:pPr>
        <w:pStyle w:val="Intextbulletpoints"/>
        <w:widowControl/>
        <w:rPr>
          <w:lang w:val="en-AU"/>
        </w:rPr>
      </w:pPr>
      <w:r w:rsidRPr="008A2917">
        <w:rPr>
          <w:lang w:val="en-AU"/>
        </w:rPr>
        <w:t>Results for office visit are generally considered to be unreliable;</w:t>
      </w:r>
    </w:p>
    <w:p w:rsidR="00E14789" w:rsidRPr="008A2917" w:rsidRDefault="00E14789" w:rsidP="00387896">
      <w:pPr>
        <w:pStyle w:val="Intextbulletpoints"/>
        <w:widowControl/>
        <w:rPr>
          <w:lang w:val="en-AU"/>
        </w:rPr>
      </w:pPr>
      <w:r w:rsidRPr="008A2917">
        <w:rPr>
          <w:lang w:val="en-AU"/>
        </w:rPr>
        <w:t xml:space="preserve">The study only covered one influenza season, and egg-adaption potentially affected the results; </w:t>
      </w:r>
      <w:r w:rsidR="00232909" w:rsidRPr="008A2917">
        <w:rPr>
          <w:lang w:val="en-AU"/>
        </w:rPr>
        <w:t>and</w:t>
      </w:r>
    </w:p>
    <w:p w:rsidR="00A16C6F" w:rsidRPr="008A2917" w:rsidRDefault="00A16C6F" w:rsidP="00387896">
      <w:pPr>
        <w:pStyle w:val="Intextbulletpoints"/>
        <w:widowControl/>
        <w:rPr>
          <w:lang w:val="en-AU"/>
        </w:rPr>
      </w:pPr>
      <w:r w:rsidRPr="008A2917">
        <w:rPr>
          <w:lang w:val="en-AU"/>
        </w:rPr>
        <w:t xml:space="preserve">The exclusion of </w:t>
      </w:r>
      <w:r w:rsidR="00232909" w:rsidRPr="008A2917">
        <w:rPr>
          <w:lang w:val="en-AU"/>
        </w:rPr>
        <w:t xml:space="preserve">the </w:t>
      </w:r>
      <w:r w:rsidR="00CD79CA" w:rsidRPr="008A2917">
        <w:rPr>
          <w:lang w:val="en-AU"/>
        </w:rPr>
        <w:t>aged care facility</w:t>
      </w:r>
      <w:r w:rsidRPr="008A2917">
        <w:rPr>
          <w:lang w:val="en-AU"/>
        </w:rPr>
        <w:t xml:space="preserve"> </w:t>
      </w:r>
      <w:r w:rsidR="005D1CC6" w:rsidRPr="008A2917">
        <w:rPr>
          <w:lang w:val="en-AU"/>
        </w:rPr>
        <w:t xml:space="preserve">resident </w:t>
      </w:r>
      <w:r w:rsidRPr="008A2917">
        <w:rPr>
          <w:lang w:val="en-AU"/>
        </w:rPr>
        <w:t xml:space="preserve">population for which the </w:t>
      </w:r>
      <w:r w:rsidR="00FE7A4F" w:rsidRPr="008A2917">
        <w:rPr>
          <w:lang w:val="en-AU"/>
        </w:rPr>
        <w:t>resubmission</w:t>
      </w:r>
      <w:r w:rsidRPr="008A2917">
        <w:rPr>
          <w:lang w:val="en-AU"/>
        </w:rPr>
        <w:t xml:space="preserve"> indicated is the hi</w:t>
      </w:r>
      <w:r w:rsidR="00E14789" w:rsidRPr="008A2917">
        <w:rPr>
          <w:lang w:val="en-AU"/>
        </w:rPr>
        <w:t>ghest need sub-group population.</w:t>
      </w:r>
    </w:p>
    <w:p w:rsidR="00911051" w:rsidRPr="008A2917" w:rsidRDefault="00B764C9" w:rsidP="00387896">
      <w:pPr>
        <w:pStyle w:val="ListParagraph"/>
        <w:widowControl/>
        <w:numPr>
          <w:ilvl w:val="1"/>
          <w:numId w:val="1"/>
        </w:numPr>
      </w:pPr>
      <w:r w:rsidRPr="008A2917">
        <w:rPr>
          <w:iCs/>
        </w:rPr>
        <w:t xml:space="preserve">The Pre-Sub-Committee Response (PSCR) argued that </w:t>
      </w:r>
      <w:proofErr w:type="spellStart"/>
      <w:r w:rsidRPr="008A2917">
        <w:rPr>
          <w:iCs/>
        </w:rPr>
        <w:t>Gravenstein</w:t>
      </w:r>
      <w:proofErr w:type="spellEnd"/>
      <w:r w:rsidRPr="008A2917">
        <w:rPr>
          <w:iCs/>
        </w:rPr>
        <w:t xml:space="preserve"> (2017) concluded that TIV-HD reduced hospitalisations for nursing home residents, and that a similar study conducted by </w:t>
      </w:r>
      <w:proofErr w:type="spellStart"/>
      <w:r w:rsidRPr="008A2917">
        <w:rPr>
          <w:iCs/>
        </w:rPr>
        <w:t>Gravenstein</w:t>
      </w:r>
      <w:proofErr w:type="spellEnd"/>
      <w:r w:rsidRPr="008A2917">
        <w:rPr>
          <w:iCs/>
        </w:rPr>
        <w:t xml:space="preserve"> (2018) using </w:t>
      </w:r>
      <w:proofErr w:type="spellStart"/>
      <w:r w:rsidRPr="008A2917">
        <w:rPr>
          <w:iCs/>
        </w:rPr>
        <w:t>aTIV</w:t>
      </w:r>
      <w:proofErr w:type="spellEnd"/>
      <w:r w:rsidRPr="008A2917">
        <w:rPr>
          <w:iCs/>
        </w:rPr>
        <w:t xml:space="preserve"> did not result in a statistically significant reduction in hospital admissions compared with QIV-SD. The PSCR asserted that given the high use of </w:t>
      </w:r>
      <w:proofErr w:type="spellStart"/>
      <w:r w:rsidRPr="008A2917">
        <w:rPr>
          <w:iCs/>
        </w:rPr>
        <w:t>aTIV</w:t>
      </w:r>
      <w:proofErr w:type="spellEnd"/>
      <w:r w:rsidRPr="008A2917">
        <w:rPr>
          <w:iCs/>
        </w:rPr>
        <w:t xml:space="preserve"> during 2019 and the high influenza incidence in </w:t>
      </w:r>
      <w:r w:rsidR="00CD79CA" w:rsidRPr="008A2917">
        <w:rPr>
          <w:iCs/>
        </w:rPr>
        <w:t>aged care facility</w:t>
      </w:r>
      <w:r w:rsidRPr="008A2917">
        <w:rPr>
          <w:iCs/>
        </w:rPr>
        <w:t xml:space="preserve"> residents in 2019, </w:t>
      </w:r>
      <w:proofErr w:type="spellStart"/>
      <w:r w:rsidRPr="008A2917">
        <w:rPr>
          <w:iCs/>
        </w:rPr>
        <w:t>aTIV</w:t>
      </w:r>
      <w:proofErr w:type="spellEnd"/>
      <w:r w:rsidRPr="008A2917">
        <w:rPr>
          <w:iCs/>
        </w:rPr>
        <w:t xml:space="preserve"> was insufficient in this population whereas TIV-HD </w:t>
      </w:r>
      <w:r w:rsidRPr="008A2917">
        <w:rPr>
          <w:iCs/>
        </w:rPr>
        <w:lastRenderedPageBreak/>
        <w:t xml:space="preserve">has demonstrated </w:t>
      </w:r>
      <w:r w:rsidR="00E35D6F" w:rsidRPr="008A2917">
        <w:rPr>
          <w:iCs/>
        </w:rPr>
        <w:t>effectiveness</w:t>
      </w:r>
      <w:r w:rsidRPr="008A2917">
        <w:rPr>
          <w:iCs/>
        </w:rPr>
        <w:t xml:space="preserve"> for this vulnerable cohort</w:t>
      </w:r>
      <w:r w:rsidR="008A2917">
        <w:rPr>
          <w:iCs/>
        </w:rPr>
        <w:t xml:space="preserve">. </w:t>
      </w:r>
      <w:r w:rsidRPr="008A2917">
        <w:rPr>
          <w:iCs/>
        </w:rPr>
        <w:t xml:space="preserve">The PSCR added that the stepped approach </w:t>
      </w:r>
      <w:r w:rsidR="00CB59EF" w:rsidRPr="008A2917">
        <w:rPr>
          <w:iCs/>
        </w:rPr>
        <w:t>with initial access to</w:t>
      </w:r>
      <w:r w:rsidRPr="008A2917">
        <w:rPr>
          <w:iCs/>
        </w:rPr>
        <w:t xml:space="preserve"> </w:t>
      </w:r>
      <w:r w:rsidR="00CD79CA" w:rsidRPr="008A2917">
        <w:rPr>
          <w:iCs/>
        </w:rPr>
        <w:t>aged care facility</w:t>
      </w:r>
      <w:r w:rsidRPr="008A2917">
        <w:rPr>
          <w:iCs/>
        </w:rPr>
        <w:t xml:space="preserve"> residents was in response to</w:t>
      </w:r>
      <w:r w:rsidR="00CB59EF" w:rsidRPr="008A2917">
        <w:rPr>
          <w:iCs/>
        </w:rPr>
        <w:t xml:space="preserve"> the</w:t>
      </w:r>
      <w:r w:rsidRPr="008A2917">
        <w:rPr>
          <w:iCs/>
        </w:rPr>
        <w:t xml:space="preserve"> PBAC concerns of the budgetary impact of TIV-HD and to commence access to the cohort with the highest unmet need first. </w:t>
      </w:r>
    </w:p>
    <w:p w:rsidR="00B764C9" w:rsidRPr="008A2917" w:rsidRDefault="00B764C9" w:rsidP="00387896">
      <w:pPr>
        <w:pStyle w:val="ListParagraph"/>
        <w:widowControl/>
        <w:numPr>
          <w:ilvl w:val="1"/>
          <w:numId w:val="1"/>
        </w:numPr>
      </w:pPr>
      <w:r w:rsidRPr="008A2917">
        <w:rPr>
          <w:iCs/>
        </w:rPr>
        <w:t xml:space="preserve">The ESC considered there was insufficient clinical evidence presented in the resubmission to support increased efficacy of the vaccine in </w:t>
      </w:r>
      <w:r w:rsidR="00CD79CA" w:rsidRPr="008A2917">
        <w:rPr>
          <w:iCs/>
        </w:rPr>
        <w:t>an aged care facility</w:t>
      </w:r>
      <w:r w:rsidRPr="008A2917">
        <w:rPr>
          <w:iCs/>
        </w:rPr>
        <w:t xml:space="preserve"> </w:t>
      </w:r>
      <w:r w:rsidR="005D1CC6" w:rsidRPr="008A2917">
        <w:rPr>
          <w:iCs/>
        </w:rPr>
        <w:t xml:space="preserve">resident </w:t>
      </w:r>
      <w:r w:rsidRPr="008A2917">
        <w:rPr>
          <w:iCs/>
        </w:rPr>
        <w:t xml:space="preserve">cohort, noting that the two </w:t>
      </w:r>
      <w:proofErr w:type="spellStart"/>
      <w:r w:rsidRPr="008A2917">
        <w:rPr>
          <w:iCs/>
        </w:rPr>
        <w:t>Gravenstein</w:t>
      </w:r>
      <w:proofErr w:type="spellEnd"/>
      <w:r w:rsidRPr="008A2917">
        <w:rPr>
          <w:iCs/>
        </w:rPr>
        <w:t xml:space="preserve"> studies were not conducted in the same influenza season</w:t>
      </w:r>
      <w:r w:rsidR="008A2917">
        <w:rPr>
          <w:iCs/>
        </w:rPr>
        <w:t xml:space="preserve">. </w:t>
      </w:r>
      <w:r w:rsidRPr="008A2917">
        <w:rPr>
          <w:iCs/>
        </w:rPr>
        <w:t xml:space="preserve">The resubmission stated that it did not present an indirect comparison of the two </w:t>
      </w:r>
      <w:proofErr w:type="spellStart"/>
      <w:r w:rsidRPr="008A2917">
        <w:rPr>
          <w:iCs/>
        </w:rPr>
        <w:t>Gravenstein</w:t>
      </w:r>
      <w:proofErr w:type="spellEnd"/>
      <w:r w:rsidRPr="008A2917">
        <w:rPr>
          <w:iCs/>
        </w:rPr>
        <w:t xml:space="preserve"> trials as the two studies differed in such an extent that “neither a quantitative nor qualitative indirect comparison of the reported outcomes would be informative to the comparison of TIV-HD </w:t>
      </w:r>
      <w:r w:rsidR="00A634C5" w:rsidRPr="008A2917">
        <w:rPr>
          <w:iCs/>
        </w:rPr>
        <w:t>vs</w:t>
      </w:r>
      <w:r w:rsidRPr="008A2917">
        <w:rPr>
          <w:iCs/>
        </w:rPr>
        <w:t xml:space="preserve"> </w:t>
      </w:r>
      <w:proofErr w:type="spellStart"/>
      <w:r w:rsidRPr="008A2917">
        <w:rPr>
          <w:iCs/>
        </w:rPr>
        <w:t>aTIV</w:t>
      </w:r>
      <w:proofErr w:type="spellEnd"/>
      <w:r w:rsidRPr="008A2917">
        <w:rPr>
          <w:iCs/>
        </w:rPr>
        <w:t>” and as there was only “limited information” available for the 2018 study at the time of submission.</w:t>
      </w:r>
    </w:p>
    <w:p w:rsidR="00CE0D00" w:rsidRPr="008A2917" w:rsidRDefault="00CE0D00" w:rsidP="00387896">
      <w:pPr>
        <w:widowControl/>
        <w:spacing w:after="160"/>
        <w:rPr>
          <w:u w:val="single"/>
        </w:rPr>
      </w:pPr>
      <w:r w:rsidRPr="008A2917">
        <w:rPr>
          <w:u w:val="single"/>
        </w:rPr>
        <w:t xml:space="preserve">TIV-HD vs </w:t>
      </w:r>
      <w:proofErr w:type="spellStart"/>
      <w:r w:rsidRPr="008A2917">
        <w:rPr>
          <w:u w:val="single"/>
        </w:rPr>
        <w:t>aQIV</w:t>
      </w:r>
      <w:proofErr w:type="spellEnd"/>
    </w:p>
    <w:p w:rsidR="004745F8" w:rsidRPr="008A2917" w:rsidRDefault="00CE0D00" w:rsidP="004745F8">
      <w:pPr>
        <w:widowControl/>
        <w:numPr>
          <w:ilvl w:val="1"/>
          <w:numId w:val="1"/>
        </w:numPr>
        <w:spacing w:after="160"/>
      </w:pPr>
      <w:r w:rsidRPr="008A2917">
        <w:t xml:space="preserve">The ESC noted that no </w:t>
      </w:r>
      <w:r w:rsidR="00862D80" w:rsidRPr="008A2917">
        <w:t>studies</w:t>
      </w:r>
      <w:r w:rsidR="00CB59EF" w:rsidRPr="008A2917">
        <w:t xml:space="preserve"> were</w:t>
      </w:r>
      <w:r w:rsidRPr="008A2917">
        <w:t xml:space="preserve"> identified that compared TIV-HD to </w:t>
      </w:r>
      <w:proofErr w:type="spellStart"/>
      <w:r w:rsidRPr="008A2917">
        <w:t>aQIV</w:t>
      </w:r>
      <w:proofErr w:type="spellEnd"/>
      <w:r w:rsidRPr="008A2917">
        <w:t>.</w:t>
      </w:r>
      <w:r w:rsidR="004745F8" w:rsidRPr="008A2917">
        <w:t xml:space="preserve"> </w:t>
      </w:r>
    </w:p>
    <w:p w:rsidR="00CB0A5B" w:rsidRPr="008A2917" w:rsidRDefault="00CB0A5B" w:rsidP="00387896">
      <w:pPr>
        <w:pStyle w:val="Heading2"/>
      </w:pPr>
      <w:bookmarkStart w:id="18" w:name="_Toc371170707"/>
      <w:bookmarkStart w:id="19" w:name="_Toc18942064"/>
      <w:r w:rsidRPr="008A2917">
        <w:t>Comparative harms</w:t>
      </w:r>
      <w:bookmarkEnd w:id="18"/>
      <w:bookmarkEnd w:id="19"/>
    </w:p>
    <w:p w:rsidR="00791EC2" w:rsidRPr="008A2917" w:rsidRDefault="00791EC2" w:rsidP="00387896">
      <w:pPr>
        <w:widowControl/>
        <w:numPr>
          <w:ilvl w:val="1"/>
          <w:numId w:val="1"/>
        </w:numPr>
        <w:spacing w:after="160"/>
      </w:pPr>
      <w:r w:rsidRPr="008A2917">
        <w:t>The PBAC ha</w:t>
      </w:r>
      <w:r w:rsidR="00E973CA" w:rsidRPr="008A2917">
        <w:t>s</w:t>
      </w:r>
      <w:r w:rsidRPr="008A2917">
        <w:t xml:space="preserve"> previously considered the claim of “acceptable comparative safety” of TIV-HD </w:t>
      </w:r>
      <w:r w:rsidR="00A634C5" w:rsidRPr="008A2917">
        <w:t>vs</w:t>
      </w:r>
      <w:r w:rsidRPr="008A2917">
        <w:t xml:space="preserve"> QIV-SD “reasonable” (para. 7.7, p26, TIV-HD PSD, July 2018).</w:t>
      </w:r>
    </w:p>
    <w:p w:rsidR="00791EC2" w:rsidRPr="008A2917" w:rsidRDefault="00B465C1" w:rsidP="00387896">
      <w:pPr>
        <w:widowControl/>
        <w:numPr>
          <w:ilvl w:val="1"/>
          <w:numId w:val="1"/>
        </w:numPr>
        <w:spacing w:after="160"/>
      </w:pPr>
      <w:r w:rsidRPr="008A2917">
        <w:t>Except for</w:t>
      </w:r>
      <w:r w:rsidR="00791EC2" w:rsidRPr="008A2917">
        <w:t xml:space="preserve"> a qualitative comparison of the adverse events reported in the Product Information of TIV-HD (</w:t>
      </w:r>
      <w:proofErr w:type="spellStart"/>
      <w:r w:rsidR="00791EC2" w:rsidRPr="008A2917">
        <w:t>Fluzone</w:t>
      </w:r>
      <w:proofErr w:type="spellEnd"/>
      <w:r w:rsidR="00791EC2" w:rsidRPr="008A2917">
        <w:t xml:space="preserve"> High-Dose) and </w:t>
      </w:r>
      <w:proofErr w:type="spellStart"/>
      <w:r w:rsidR="00791EC2" w:rsidRPr="008A2917">
        <w:t>aTIV</w:t>
      </w:r>
      <w:proofErr w:type="spellEnd"/>
      <w:r w:rsidR="00791EC2" w:rsidRPr="008A2917">
        <w:t xml:space="preserve"> (</w:t>
      </w:r>
      <w:proofErr w:type="spellStart"/>
      <w:r w:rsidR="00791EC2" w:rsidRPr="008A2917">
        <w:t>Fluad</w:t>
      </w:r>
      <w:proofErr w:type="spellEnd"/>
      <w:r w:rsidR="00791EC2" w:rsidRPr="008A2917">
        <w:t>)</w:t>
      </w:r>
      <w:r w:rsidRPr="008A2917">
        <w:t xml:space="preserve">, the resubmission reported no new information regarding the comparative harms of TIV-HD </w:t>
      </w:r>
      <w:r w:rsidR="00A634C5" w:rsidRPr="008A2917">
        <w:t>vs</w:t>
      </w:r>
      <w:r w:rsidRPr="008A2917">
        <w:t xml:space="preserve"> TIV-SD or </w:t>
      </w:r>
      <w:proofErr w:type="spellStart"/>
      <w:r w:rsidRPr="008A2917">
        <w:t>aTIV</w:t>
      </w:r>
      <w:proofErr w:type="spellEnd"/>
      <w:r w:rsidR="00791EC2" w:rsidRPr="008A2917">
        <w:t>.</w:t>
      </w:r>
    </w:p>
    <w:p w:rsidR="00B36164" w:rsidRPr="008A2917" w:rsidRDefault="00791EC2" w:rsidP="00387896">
      <w:pPr>
        <w:widowControl/>
        <w:numPr>
          <w:ilvl w:val="1"/>
          <w:numId w:val="1"/>
        </w:numPr>
        <w:spacing w:after="160"/>
      </w:pPr>
      <w:r w:rsidRPr="008A2917">
        <w:t>The adverse events presented in the Product Information for TIV-HD (</w:t>
      </w:r>
      <w:proofErr w:type="spellStart"/>
      <w:r w:rsidRPr="008A2917">
        <w:t>Fluzone</w:t>
      </w:r>
      <w:proofErr w:type="spellEnd"/>
      <w:r w:rsidRPr="008A2917">
        <w:t xml:space="preserve"> High-Dose) </w:t>
      </w:r>
      <w:r w:rsidR="00862D80" w:rsidRPr="008A2917">
        <w:t xml:space="preserve">were </w:t>
      </w:r>
      <w:r w:rsidRPr="008A2917">
        <w:t xml:space="preserve">based on </w:t>
      </w:r>
      <w:r w:rsidR="00B465C1" w:rsidRPr="008A2917">
        <w:t>those reported</w:t>
      </w:r>
      <w:r w:rsidRPr="008A2917">
        <w:t xml:space="preserve"> in the FIM05 safety trial which compared TIV-HD with TIV-SD. The adverse events presented in the Product Information for </w:t>
      </w:r>
      <w:proofErr w:type="spellStart"/>
      <w:r w:rsidRPr="008A2917">
        <w:t>aTIV</w:t>
      </w:r>
      <w:proofErr w:type="spellEnd"/>
      <w:r w:rsidRPr="008A2917">
        <w:t xml:space="preserve"> (</w:t>
      </w:r>
      <w:proofErr w:type="spellStart"/>
      <w:r w:rsidRPr="008A2917">
        <w:t>Fluad</w:t>
      </w:r>
      <w:proofErr w:type="spellEnd"/>
      <w:r w:rsidRPr="008A2917">
        <w:t xml:space="preserve">) </w:t>
      </w:r>
      <w:r w:rsidR="00862D80" w:rsidRPr="008A2917">
        <w:t xml:space="preserve">were </w:t>
      </w:r>
      <w:r w:rsidRPr="008A2917">
        <w:t xml:space="preserve">based on </w:t>
      </w:r>
      <w:r w:rsidR="00757590" w:rsidRPr="008A2917">
        <w:t xml:space="preserve">those reported in </w:t>
      </w:r>
      <w:r w:rsidRPr="008A2917">
        <w:t xml:space="preserve">Phase II/III studies that compared </w:t>
      </w:r>
      <w:proofErr w:type="spellStart"/>
      <w:r w:rsidRPr="008A2917">
        <w:t>aTIV</w:t>
      </w:r>
      <w:proofErr w:type="spellEnd"/>
      <w:r w:rsidRPr="008A2917">
        <w:t xml:space="preserve"> with a non-</w:t>
      </w:r>
      <w:proofErr w:type="spellStart"/>
      <w:r w:rsidRPr="008A2917">
        <w:t>adjuvanted</w:t>
      </w:r>
      <w:proofErr w:type="spellEnd"/>
      <w:r w:rsidRPr="008A2917">
        <w:t xml:space="preserve"> comparator vaccine. </w:t>
      </w:r>
    </w:p>
    <w:p w:rsidR="00CC270D" w:rsidRPr="008A2917" w:rsidRDefault="00D80F02" w:rsidP="00B36164">
      <w:pPr>
        <w:widowControl/>
        <w:numPr>
          <w:ilvl w:val="1"/>
          <w:numId w:val="1"/>
        </w:numPr>
        <w:spacing w:after="160"/>
        <w:rPr>
          <w:rFonts w:ascii="Arial Narrow" w:eastAsiaTheme="minorHAnsi" w:hAnsi="Arial Narrow" w:cstheme="minorBidi"/>
          <w:b/>
          <w:snapToGrid/>
          <w:sz w:val="20"/>
        </w:rPr>
      </w:pPr>
      <w:r w:rsidRPr="008A2917">
        <w:t xml:space="preserve">Table </w:t>
      </w:r>
      <w:r w:rsidR="001C1195" w:rsidRPr="008A2917">
        <w:t>9</w:t>
      </w:r>
      <w:r w:rsidRPr="008A2917">
        <w:t xml:space="preserve"> </w:t>
      </w:r>
      <w:r w:rsidR="00791EC2" w:rsidRPr="008A2917">
        <w:t xml:space="preserve">presents a qualitative comparison of the adverse events of TIV-HD </w:t>
      </w:r>
      <w:r w:rsidR="00A634C5" w:rsidRPr="008A2917">
        <w:t>vs</w:t>
      </w:r>
      <w:r w:rsidR="00791EC2" w:rsidRPr="008A2917">
        <w:t xml:space="preserve"> </w:t>
      </w:r>
      <w:proofErr w:type="spellStart"/>
      <w:r w:rsidR="00791EC2" w:rsidRPr="008A2917">
        <w:t>aTIV</w:t>
      </w:r>
      <w:proofErr w:type="spellEnd"/>
      <w:r w:rsidR="00791EC2" w:rsidRPr="008A2917">
        <w:t xml:space="preserve"> as reported in the resubmission.</w:t>
      </w:r>
      <w:r w:rsidR="00CC270D" w:rsidRPr="008A2917">
        <w:br w:type="page"/>
      </w:r>
    </w:p>
    <w:p w:rsidR="00D80F02" w:rsidRPr="008A2917" w:rsidRDefault="00D80F02" w:rsidP="00387896">
      <w:pPr>
        <w:pStyle w:val="TableHeading0"/>
      </w:pPr>
      <w:r w:rsidRPr="008A2917">
        <w:lastRenderedPageBreak/>
        <w:t xml:space="preserve">Table </w:t>
      </w:r>
      <w:r w:rsidR="001C1195" w:rsidRPr="008A2917">
        <w:t>9</w:t>
      </w:r>
      <w:r w:rsidRPr="008A2917">
        <w:t>:  Frequency of Solicited Injection-Site Reactions and Systemic Adverse Events (</w:t>
      </w:r>
      <w:r w:rsidR="00D21B8D" w:rsidRPr="008A2917">
        <w:t>a</w:t>
      </w:r>
      <w:r w:rsidRPr="008A2917">
        <w:t>ny severity) after vaccination with TIV-HD (</w:t>
      </w:r>
      <w:proofErr w:type="spellStart"/>
      <w:r w:rsidRPr="008A2917">
        <w:t>Fluzone</w:t>
      </w:r>
      <w:proofErr w:type="spellEnd"/>
      <w:r w:rsidRPr="008A2917">
        <w:t xml:space="preserve"> High-Dose) or </w:t>
      </w:r>
      <w:proofErr w:type="spellStart"/>
      <w:r w:rsidR="004922B5" w:rsidRPr="008A2917">
        <w:t>aTIV</w:t>
      </w:r>
      <w:proofErr w:type="spellEnd"/>
      <w:r w:rsidRPr="008A2917">
        <w:t xml:space="preserve"> (</w:t>
      </w:r>
      <w:proofErr w:type="spellStart"/>
      <w:r w:rsidRPr="008A2917">
        <w:t>Fluad</w:t>
      </w:r>
      <w:proofErr w:type="spellEnd"/>
      <w:r w:rsidRPr="008A2917">
        <w:t xml:space="preserve">), Adults 65 Years of </w:t>
      </w:r>
      <w:r w:rsidR="00D03D21" w:rsidRPr="008A2917">
        <w:t xml:space="preserve">Age and </w:t>
      </w:r>
      <w:proofErr w:type="spellStart"/>
      <w:r w:rsidR="00D03D21" w:rsidRPr="008A2917">
        <w:t>Older</w:t>
      </w:r>
      <w:r w:rsidRPr="008A2917">
        <w:rPr>
          <w:vertAlign w:val="superscript"/>
        </w:rPr>
        <w:t>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558"/>
        <w:gridCol w:w="1419"/>
        <w:gridCol w:w="992"/>
        <w:gridCol w:w="1509"/>
      </w:tblGrid>
      <w:tr w:rsidR="00D80F02" w:rsidRPr="008A2917" w:rsidTr="00D80F02">
        <w:trPr>
          <w:tblHeader/>
        </w:trPr>
        <w:tc>
          <w:tcPr>
            <w:tcW w:w="1962" w:type="pct"/>
            <w:gridSpan w:val="2"/>
            <w:vAlign w:val="center"/>
          </w:tcPr>
          <w:p w:rsidR="00D80F02" w:rsidRPr="008A2917" w:rsidRDefault="00D80F02" w:rsidP="00387896">
            <w:pPr>
              <w:widowControl/>
              <w:jc w:val="left"/>
              <w:rPr>
                <w:rFonts w:ascii="Arial Narrow" w:hAnsi="Arial Narrow" w:cs="Times New Roman"/>
                <w:b/>
                <w:bCs/>
                <w:snapToGrid/>
                <w:sz w:val="20"/>
                <w:szCs w:val="20"/>
              </w:rPr>
            </w:pPr>
          </w:p>
        </w:tc>
        <w:tc>
          <w:tcPr>
            <w:tcW w:w="1651" w:type="pct"/>
            <w:gridSpan w:val="2"/>
          </w:tcPr>
          <w:p w:rsidR="00D80F02" w:rsidRPr="008A2917" w:rsidRDefault="00D80F02" w:rsidP="00387896">
            <w:pPr>
              <w:widowControl/>
              <w:jc w:val="center"/>
              <w:rPr>
                <w:rFonts w:ascii="Arial Narrow" w:hAnsi="Arial Narrow" w:cs="Times New Roman"/>
                <w:b/>
                <w:bCs/>
                <w:snapToGrid/>
                <w:sz w:val="20"/>
                <w:szCs w:val="20"/>
              </w:rPr>
            </w:pPr>
            <w:proofErr w:type="spellStart"/>
            <w:r w:rsidRPr="008A2917">
              <w:rPr>
                <w:rFonts w:ascii="Arial Narrow" w:hAnsi="Arial Narrow" w:cs="Times New Roman"/>
                <w:b/>
                <w:bCs/>
                <w:snapToGrid/>
                <w:sz w:val="20"/>
                <w:szCs w:val="20"/>
              </w:rPr>
              <w:t>Fluzone</w:t>
            </w:r>
            <w:proofErr w:type="spellEnd"/>
            <w:r w:rsidRPr="008A2917">
              <w:rPr>
                <w:rFonts w:ascii="Arial Narrow" w:hAnsi="Arial Narrow" w:cs="Times New Roman"/>
                <w:b/>
                <w:bCs/>
                <w:snapToGrid/>
                <w:sz w:val="20"/>
                <w:szCs w:val="20"/>
              </w:rPr>
              <w:t xml:space="preserve"> High Dose</w:t>
            </w:r>
            <w:r w:rsidR="00791EC2" w:rsidRPr="008A2917">
              <w:rPr>
                <w:rFonts w:ascii="Arial Narrow" w:hAnsi="Arial Narrow" w:cs="Times New Roman"/>
                <w:b/>
                <w:bCs/>
                <w:snapToGrid/>
                <w:sz w:val="20"/>
                <w:szCs w:val="20"/>
              </w:rPr>
              <w:t xml:space="preserve"> PI</w:t>
            </w:r>
          </w:p>
        </w:tc>
        <w:tc>
          <w:tcPr>
            <w:tcW w:w="1387" w:type="pct"/>
            <w:gridSpan w:val="2"/>
          </w:tcPr>
          <w:p w:rsidR="00D80F02" w:rsidRPr="008A2917" w:rsidRDefault="00D80F02" w:rsidP="00387896">
            <w:pPr>
              <w:widowControl/>
              <w:jc w:val="center"/>
              <w:rPr>
                <w:rFonts w:ascii="Arial Narrow" w:hAnsi="Arial Narrow" w:cs="Times New Roman"/>
                <w:b/>
                <w:bCs/>
                <w:snapToGrid/>
                <w:sz w:val="20"/>
                <w:szCs w:val="20"/>
              </w:rPr>
            </w:pPr>
            <w:proofErr w:type="spellStart"/>
            <w:r w:rsidRPr="008A2917">
              <w:rPr>
                <w:rFonts w:ascii="Arial Narrow" w:hAnsi="Arial Narrow" w:cs="Times New Roman"/>
                <w:b/>
                <w:bCs/>
                <w:snapToGrid/>
                <w:sz w:val="20"/>
                <w:szCs w:val="20"/>
              </w:rPr>
              <w:t>Fluad</w:t>
            </w:r>
            <w:proofErr w:type="spellEnd"/>
            <w:r w:rsidR="00791EC2" w:rsidRPr="008A2917">
              <w:rPr>
                <w:rFonts w:ascii="Arial Narrow" w:hAnsi="Arial Narrow" w:cs="Times New Roman"/>
                <w:b/>
                <w:bCs/>
                <w:snapToGrid/>
                <w:sz w:val="20"/>
                <w:szCs w:val="20"/>
              </w:rPr>
              <w:t xml:space="preserve"> PI</w:t>
            </w:r>
          </w:p>
        </w:tc>
      </w:tr>
      <w:tr w:rsidR="00D80F02" w:rsidRPr="008A2917" w:rsidTr="00D80F02">
        <w:trPr>
          <w:tblHeader/>
        </w:trPr>
        <w:tc>
          <w:tcPr>
            <w:tcW w:w="1962" w:type="pct"/>
            <w:gridSpan w:val="2"/>
            <w:vAlign w:val="center"/>
          </w:tcPr>
          <w:p w:rsidR="00D80F02" w:rsidRPr="008A2917" w:rsidRDefault="00D80F02" w:rsidP="00387896">
            <w:pPr>
              <w:widowControl/>
              <w:jc w:val="left"/>
              <w:rPr>
                <w:rFonts w:ascii="Arial Narrow" w:hAnsi="Arial Narrow" w:cs="Times New Roman"/>
                <w:b/>
                <w:bCs/>
                <w:snapToGrid/>
                <w:sz w:val="20"/>
                <w:szCs w:val="20"/>
              </w:rPr>
            </w:pPr>
            <w:r w:rsidRPr="008A2917">
              <w:rPr>
                <w:rFonts w:ascii="Arial Narrow" w:hAnsi="Arial Narrow" w:cs="Times New Roman"/>
                <w:b/>
                <w:bCs/>
                <w:snapToGrid/>
                <w:sz w:val="20"/>
                <w:szCs w:val="20"/>
              </w:rPr>
              <w:t xml:space="preserve">Data source </w:t>
            </w:r>
          </w:p>
        </w:tc>
        <w:tc>
          <w:tcPr>
            <w:tcW w:w="1651" w:type="pct"/>
            <w:gridSpan w:val="2"/>
          </w:tcPr>
          <w:p w:rsidR="00D80F02" w:rsidRPr="008A2917" w:rsidRDefault="00D80F02" w:rsidP="00387896">
            <w:pPr>
              <w:widowControl/>
              <w:jc w:val="center"/>
              <w:rPr>
                <w:rFonts w:ascii="Arial Narrow" w:hAnsi="Arial Narrow" w:cs="Times New Roman"/>
                <w:b/>
                <w:bCs/>
                <w:snapToGrid/>
                <w:sz w:val="20"/>
                <w:szCs w:val="20"/>
              </w:rPr>
            </w:pPr>
            <w:r w:rsidRPr="008A2917">
              <w:rPr>
                <w:rFonts w:ascii="Arial Narrow" w:hAnsi="Arial Narrow" w:cs="Times New Roman"/>
                <w:b/>
                <w:bCs/>
                <w:snapToGrid/>
                <w:sz w:val="20"/>
                <w:szCs w:val="20"/>
              </w:rPr>
              <w:t>FIM05 Safety trial</w:t>
            </w:r>
          </w:p>
        </w:tc>
        <w:tc>
          <w:tcPr>
            <w:tcW w:w="1387" w:type="pct"/>
            <w:gridSpan w:val="2"/>
          </w:tcPr>
          <w:p w:rsidR="00D80F02" w:rsidRPr="008A2917" w:rsidRDefault="00D80F02" w:rsidP="00387896">
            <w:pPr>
              <w:widowControl/>
              <w:jc w:val="center"/>
              <w:rPr>
                <w:rFonts w:ascii="Arial Narrow" w:hAnsi="Arial Narrow" w:cs="Times New Roman"/>
                <w:b/>
                <w:bCs/>
                <w:snapToGrid/>
                <w:sz w:val="20"/>
                <w:szCs w:val="20"/>
              </w:rPr>
            </w:pPr>
            <w:r w:rsidRPr="008A2917">
              <w:rPr>
                <w:rFonts w:ascii="Arial Narrow" w:hAnsi="Arial Narrow" w:cs="Times New Roman"/>
                <w:b/>
                <w:bCs/>
                <w:snapToGrid/>
                <w:sz w:val="20"/>
                <w:szCs w:val="20"/>
              </w:rPr>
              <w:t>Phase II/III studies</w:t>
            </w:r>
          </w:p>
        </w:tc>
      </w:tr>
      <w:tr w:rsidR="00D80F02" w:rsidRPr="008A2917" w:rsidTr="00D80F02">
        <w:trPr>
          <w:tblHeader/>
        </w:trPr>
        <w:tc>
          <w:tcPr>
            <w:tcW w:w="1962" w:type="pct"/>
            <w:gridSpan w:val="2"/>
            <w:vAlign w:val="center"/>
          </w:tcPr>
          <w:p w:rsidR="00D80F02" w:rsidRPr="008A2917" w:rsidRDefault="00D80F02" w:rsidP="00387896">
            <w:pPr>
              <w:widowControl/>
              <w:jc w:val="left"/>
              <w:rPr>
                <w:rFonts w:ascii="Arial Narrow" w:hAnsi="Arial Narrow" w:cs="Times New Roman"/>
                <w:snapToGrid/>
                <w:sz w:val="20"/>
                <w:szCs w:val="20"/>
              </w:rPr>
            </w:pPr>
            <w:r w:rsidRPr="008A2917">
              <w:rPr>
                <w:rFonts w:ascii="Arial Narrow" w:hAnsi="Arial Narrow" w:cs="Times New Roman"/>
                <w:snapToGrid/>
                <w:sz w:val="20"/>
                <w:szCs w:val="20"/>
              </w:rPr>
              <w:t>Vaccine</w:t>
            </w:r>
          </w:p>
        </w:tc>
        <w:tc>
          <w:tcPr>
            <w:tcW w:w="864" w:type="pct"/>
          </w:tcPr>
          <w:p w:rsidR="00D80F02" w:rsidRPr="008A2917" w:rsidRDefault="00665C24"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TIV-HD</w:t>
            </w:r>
          </w:p>
          <w:p w:rsidR="00D80F02" w:rsidRPr="008A2917" w:rsidRDefault="00D80F02" w:rsidP="00387896">
            <w:pPr>
              <w:widowControl/>
              <w:jc w:val="center"/>
              <w:rPr>
                <w:rFonts w:ascii="Arial Narrow" w:hAnsi="Arial Narrow" w:cs="Times New Roman"/>
                <w:b/>
                <w:bCs/>
                <w:snapToGrid/>
                <w:sz w:val="20"/>
                <w:szCs w:val="20"/>
              </w:rPr>
            </w:pPr>
            <w:r w:rsidRPr="008A2917">
              <w:rPr>
                <w:rFonts w:ascii="Arial Narrow" w:hAnsi="Arial Narrow" w:cs="Times New Roman"/>
                <w:bCs/>
                <w:snapToGrid/>
                <w:sz w:val="20"/>
                <w:szCs w:val="20"/>
              </w:rPr>
              <w:t>(N=2569-2572)</w:t>
            </w:r>
          </w:p>
        </w:tc>
        <w:tc>
          <w:tcPr>
            <w:tcW w:w="787" w:type="pct"/>
          </w:tcPr>
          <w:p w:rsidR="00D80F02" w:rsidRPr="008A2917" w:rsidRDefault="00665C24"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TIV-SD</w:t>
            </w:r>
          </w:p>
          <w:p w:rsidR="00D80F02" w:rsidRPr="008A2917" w:rsidRDefault="00D80F02" w:rsidP="00387896">
            <w:pPr>
              <w:widowControl/>
              <w:jc w:val="center"/>
              <w:rPr>
                <w:rFonts w:ascii="Arial Narrow" w:hAnsi="Arial Narrow" w:cs="Times New Roman"/>
                <w:b/>
                <w:bCs/>
                <w:snapToGrid/>
                <w:sz w:val="20"/>
                <w:szCs w:val="20"/>
              </w:rPr>
            </w:pPr>
            <w:r w:rsidRPr="008A2917">
              <w:rPr>
                <w:rFonts w:ascii="Arial Narrow" w:hAnsi="Arial Narrow" w:cs="Times New Roman"/>
                <w:bCs/>
                <w:snapToGrid/>
                <w:sz w:val="20"/>
                <w:szCs w:val="20"/>
              </w:rPr>
              <w:t>(N=1258-1260)</w:t>
            </w:r>
          </w:p>
        </w:tc>
        <w:tc>
          <w:tcPr>
            <w:tcW w:w="550" w:type="pct"/>
          </w:tcPr>
          <w:p w:rsidR="00D80F02" w:rsidRPr="008A2917" w:rsidRDefault="00665C24" w:rsidP="00387896">
            <w:pPr>
              <w:widowControl/>
              <w:jc w:val="center"/>
              <w:rPr>
                <w:rFonts w:ascii="Arial Narrow" w:hAnsi="Arial Narrow" w:cs="Times New Roman"/>
                <w:bCs/>
                <w:snapToGrid/>
                <w:sz w:val="20"/>
                <w:szCs w:val="20"/>
              </w:rPr>
            </w:pPr>
            <w:proofErr w:type="spellStart"/>
            <w:r w:rsidRPr="008A2917">
              <w:rPr>
                <w:rFonts w:ascii="Arial Narrow" w:hAnsi="Arial Narrow" w:cs="Times New Roman"/>
                <w:bCs/>
                <w:snapToGrid/>
                <w:sz w:val="20"/>
                <w:szCs w:val="20"/>
              </w:rPr>
              <w:t>aTIV</w:t>
            </w:r>
            <w:proofErr w:type="spellEnd"/>
          </w:p>
          <w:p w:rsidR="00D80F02" w:rsidRPr="008A2917" w:rsidRDefault="00D80F02" w:rsidP="00387896">
            <w:pPr>
              <w:widowControl/>
              <w:jc w:val="center"/>
              <w:rPr>
                <w:rFonts w:ascii="Arial Narrow" w:hAnsi="Arial Narrow" w:cs="Times New Roman"/>
                <w:b/>
                <w:bCs/>
                <w:snapToGrid/>
                <w:sz w:val="20"/>
                <w:szCs w:val="20"/>
              </w:rPr>
            </w:pPr>
            <w:r w:rsidRPr="008A2917">
              <w:rPr>
                <w:rFonts w:ascii="Arial Narrow" w:hAnsi="Arial Narrow" w:cs="Times New Roman"/>
                <w:bCs/>
                <w:snapToGrid/>
                <w:sz w:val="20"/>
                <w:szCs w:val="20"/>
              </w:rPr>
              <w:t>(N=1982)</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Non-</w:t>
            </w:r>
            <w:proofErr w:type="spellStart"/>
            <w:r w:rsidRPr="008A2917">
              <w:rPr>
                <w:rFonts w:ascii="Arial Narrow" w:hAnsi="Arial Narrow" w:cs="Times New Roman"/>
                <w:bCs/>
                <w:snapToGrid/>
                <w:sz w:val="20"/>
                <w:szCs w:val="20"/>
              </w:rPr>
              <w:t>adjuvanted</w:t>
            </w:r>
            <w:proofErr w:type="spellEnd"/>
            <w:r w:rsidRPr="008A2917">
              <w:rPr>
                <w:rFonts w:ascii="Arial Narrow" w:hAnsi="Arial Narrow" w:cs="Times New Roman"/>
                <w:bCs/>
                <w:snapToGrid/>
                <w:sz w:val="20"/>
                <w:szCs w:val="20"/>
              </w:rPr>
              <w:t xml:space="preserve"> comparator</w:t>
            </w:r>
          </w:p>
          <w:p w:rsidR="00D80F02" w:rsidRPr="008A2917" w:rsidRDefault="00D80F02" w:rsidP="00387896">
            <w:pPr>
              <w:widowControl/>
              <w:jc w:val="center"/>
              <w:rPr>
                <w:rFonts w:ascii="Arial Narrow" w:hAnsi="Arial Narrow" w:cs="Times New Roman"/>
                <w:b/>
                <w:bCs/>
                <w:snapToGrid/>
                <w:sz w:val="20"/>
                <w:szCs w:val="20"/>
              </w:rPr>
            </w:pPr>
            <w:r w:rsidRPr="008A2917">
              <w:rPr>
                <w:rFonts w:ascii="Arial Narrow" w:hAnsi="Arial Narrow" w:cs="Times New Roman"/>
                <w:bCs/>
                <w:snapToGrid/>
                <w:sz w:val="20"/>
                <w:szCs w:val="20"/>
              </w:rPr>
              <w:t>(N=1438)</w:t>
            </w:r>
          </w:p>
        </w:tc>
      </w:tr>
      <w:tr w:rsidR="00D80F02" w:rsidRPr="008A2917" w:rsidTr="00D80F02">
        <w:tc>
          <w:tcPr>
            <w:tcW w:w="862" w:type="pct"/>
            <w:tcBorders>
              <w:bottom w:val="nil"/>
            </w:tcBorders>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Injection site reactions</w:t>
            </w: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Injection-Site Pain</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35.6%</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24.3%</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40%</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13.5%</w:t>
            </w:r>
          </w:p>
        </w:tc>
      </w:tr>
      <w:tr w:rsidR="00D80F02" w:rsidRPr="008A2917" w:rsidTr="00D80F02">
        <w:tc>
          <w:tcPr>
            <w:tcW w:w="862" w:type="pct"/>
            <w:tcBorders>
              <w:top w:val="nil"/>
              <w:bottom w:val="nil"/>
            </w:tcBorders>
          </w:tcPr>
          <w:p w:rsidR="00D80F02" w:rsidRPr="008A2917" w:rsidRDefault="00D80F02" w:rsidP="00387896">
            <w:pPr>
              <w:widowControl/>
              <w:jc w:val="left"/>
              <w:rPr>
                <w:rFonts w:ascii="Arial Narrow" w:hAnsi="Arial Narrow" w:cs="Times New Roman"/>
                <w:bCs/>
                <w:snapToGrid/>
                <w:sz w:val="20"/>
                <w:szCs w:val="20"/>
              </w:rPr>
            </w:pP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Injection-Site Erythema</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14.9%</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10.8%</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18%</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13.5%</w:t>
            </w:r>
          </w:p>
        </w:tc>
      </w:tr>
      <w:tr w:rsidR="00D80F02" w:rsidRPr="008A2917" w:rsidTr="00644823">
        <w:tc>
          <w:tcPr>
            <w:tcW w:w="862" w:type="pct"/>
            <w:tcBorders>
              <w:top w:val="nil"/>
              <w:bottom w:val="nil"/>
            </w:tcBorders>
          </w:tcPr>
          <w:p w:rsidR="00D80F02" w:rsidRPr="008A2917" w:rsidRDefault="00D80F02" w:rsidP="00387896">
            <w:pPr>
              <w:widowControl/>
              <w:jc w:val="left"/>
              <w:rPr>
                <w:rFonts w:ascii="Arial Narrow" w:hAnsi="Arial Narrow" w:cs="Times New Roman"/>
                <w:bCs/>
                <w:snapToGrid/>
                <w:sz w:val="20"/>
                <w:szCs w:val="20"/>
              </w:rPr>
            </w:pP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Injection-Site Swelling</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8.9%</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5.8%</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837" w:type="pct"/>
          </w:tcPr>
          <w:p w:rsidR="00D80F02" w:rsidRPr="008A2917" w:rsidRDefault="00D80F02" w:rsidP="00387896">
            <w:pPr>
              <w:widowControl/>
              <w:jc w:val="center"/>
              <w:rPr>
                <w:rFonts w:ascii="Arial Narrow" w:hAnsi="Arial Narrow" w:cs="Times New Roman"/>
                <w:bCs/>
                <w:snapToGrid/>
                <w:sz w:val="20"/>
                <w:szCs w:val="20"/>
              </w:rPr>
            </w:pPr>
          </w:p>
        </w:tc>
      </w:tr>
      <w:tr w:rsidR="00D80F02" w:rsidRPr="008A2917" w:rsidTr="00644823">
        <w:tc>
          <w:tcPr>
            <w:tcW w:w="862" w:type="pct"/>
            <w:tcBorders>
              <w:top w:val="nil"/>
              <w:bottom w:val="single" w:sz="4" w:space="0" w:color="auto"/>
            </w:tcBorders>
          </w:tcPr>
          <w:p w:rsidR="00D80F02" w:rsidRPr="008A2917" w:rsidRDefault="00D80F02" w:rsidP="00387896">
            <w:pPr>
              <w:widowControl/>
              <w:jc w:val="left"/>
              <w:rPr>
                <w:rFonts w:ascii="Arial Narrow" w:hAnsi="Arial Narrow" w:cs="Times New Roman"/>
                <w:bCs/>
                <w:snapToGrid/>
                <w:sz w:val="20"/>
                <w:szCs w:val="20"/>
              </w:rPr>
            </w:pP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Induration</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14.9%</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9.8%</w:t>
            </w:r>
          </w:p>
        </w:tc>
      </w:tr>
      <w:tr w:rsidR="00D80F02" w:rsidRPr="008A2917" w:rsidTr="00644823">
        <w:tc>
          <w:tcPr>
            <w:tcW w:w="862" w:type="pct"/>
            <w:tcBorders>
              <w:top w:val="single" w:sz="4" w:space="0" w:color="auto"/>
              <w:bottom w:val="single" w:sz="4" w:space="0" w:color="auto"/>
            </w:tcBorders>
          </w:tcPr>
          <w:p w:rsidR="00D80F02" w:rsidRPr="008A2917" w:rsidRDefault="00D80F02" w:rsidP="00387896">
            <w:pPr>
              <w:widowControl/>
              <w:jc w:val="left"/>
              <w:rPr>
                <w:rFonts w:ascii="Arial Narrow" w:hAnsi="Arial Narrow" w:cs="Times New Roman"/>
                <w:bCs/>
                <w:snapToGrid/>
                <w:sz w:val="20"/>
                <w:szCs w:val="20"/>
              </w:rPr>
            </w:pP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Warmth</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18,8%</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11.1%</w:t>
            </w:r>
          </w:p>
        </w:tc>
      </w:tr>
      <w:tr w:rsidR="00D80F02" w:rsidRPr="008A2917" w:rsidTr="00D80F02">
        <w:tc>
          <w:tcPr>
            <w:tcW w:w="862" w:type="pct"/>
            <w:tcBorders>
              <w:bottom w:val="nil"/>
            </w:tcBorders>
          </w:tcPr>
          <w:p w:rsidR="00D80F02" w:rsidRPr="008A2917" w:rsidRDefault="00D80F02" w:rsidP="00387896">
            <w:pPr>
              <w:widowControl/>
              <w:jc w:val="left"/>
              <w:rPr>
                <w:rFonts w:ascii="Arial Narrow" w:hAnsi="Arial Narrow" w:cs="Times New Roman"/>
                <w:bCs/>
                <w:snapToGrid/>
                <w:sz w:val="20"/>
                <w:szCs w:val="20"/>
              </w:rPr>
            </w:pPr>
            <w:proofErr w:type="spellStart"/>
            <w:r w:rsidRPr="008A2917">
              <w:rPr>
                <w:rFonts w:ascii="Arial Narrow" w:hAnsi="Arial Narrow" w:cs="Times New Roman"/>
                <w:bCs/>
                <w:snapToGrid/>
                <w:sz w:val="20"/>
                <w:szCs w:val="20"/>
              </w:rPr>
              <w:t>Musculo</w:t>
            </w:r>
            <w:proofErr w:type="spellEnd"/>
            <w:r w:rsidRPr="008A2917">
              <w:rPr>
                <w:rFonts w:ascii="Arial Narrow" w:hAnsi="Arial Narrow" w:cs="Times New Roman"/>
                <w:bCs/>
                <w:snapToGrid/>
                <w:sz w:val="20"/>
                <w:szCs w:val="20"/>
              </w:rPr>
              <w:t>/Skeletal</w:t>
            </w: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Myalgia</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21.4%</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18.3%</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8.7%</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2.8%</w:t>
            </w:r>
          </w:p>
        </w:tc>
      </w:tr>
      <w:tr w:rsidR="00D80F02" w:rsidRPr="008A2917" w:rsidTr="00D80F02">
        <w:tc>
          <w:tcPr>
            <w:tcW w:w="862" w:type="pct"/>
            <w:tcBorders>
              <w:top w:val="nil"/>
              <w:bottom w:val="single" w:sz="4" w:space="0" w:color="auto"/>
            </w:tcBorders>
          </w:tcPr>
          <w:p w:rsidR="00D80F02" w:rsidRPr="008A2917" w:rsidRDefault="00D80F02" w:rsidP="00387896">
            <w:pPr>
              <w:widowControl/>
              <w:jc w:val="left"/>
              <w:rPr>
                <w:rFonts w:ascii="Arial Narrow" w:hAnsi="Arial Narrow" w:cs="Times New Roman"/>
                <w:bCs/>
                <w:snapToGrid/>
                <w:sz w:val="20"/>
                <w:szCs w:val="20"/>
              </w:rPr>
            </w:pP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Arthralgia</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3.2%</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1.9%</w:t>
            </w:r>
          </w:p>
        </w:tc>
      </w:tr>
      <w:tr w:rsidR="00D80F02" w:rsidRPr="008A2917" w:rsidTr="00D80F02">
        <w:tc>
          <w:tcPr>
            <w:tcW w:w="862" w:type="pct"/>
            <w:tcBorders>
              <w:bottom w:val="nil"/>
            </w:tcBorders>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Body as a whole</w:t>
            </w: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Chills</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3.4%</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1.7%</w:t>
            </w:r>
          </w:p>
        </w:tc>
      </w:tr>
      <w:tr w:rsidR="00D80F02" w:rsidRPr="008A2917" w:rsidTr="00D80F02">
        <w:tc>
          <w:tcPr>
            <w:tcW w:w="862" w:type="pct"/>
            <w:tcBorders>
              <w:top w:val="nil"/>
              <w:bottom w:val="nil"/>
            </w:tcBorders>
          </w:tcPr>
          <w:p w:rsidR="00D80F02" w:rsidRPr="008A2917" w:rsidRDefault="00D80F02" w:rsidP="00387896">
            <w:pPr>
              <w:widowControl/>
              <w:jc w:val="left"/>
              <w:rPr>
                <w:rFonts w:ascii="Arial Narrow" w:hAnsi="Arial Narrow" w:cs="Times New Roman"/>
                <w:bCs/>
                <w:snapToGrid/>
                <w:sz w:val="20"/>
                <w:szCs w:val="20"/>
              </w:rPr>
            </w:pP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Malaise</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18.0%</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14.0%</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7.0%</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4.5%</w:t>
            </w:r>
          </w:p>
        </w:tc>
      </w:tr>
      <w:tr w:rsidR="00D80F02" w:rsidRPr="008A2917" w:rsidTr="00D80F02">
        <w:tc>
          <w:tcPr>
            <w:tcW w:w="862" w:type="pct"/>
            <w:tcBorders>
              <w:top w:val="nil"/>
            </w:tcBorders>
          </w:tcPr>
          <w:p w:rsidR="00D80F02" w:rsidRPr="008A2917" w:rsidRDefault="00D80F02" w:rsidP="00387896">
            <w:pPr>
              <w:widowControl/>
              <w:jc w:val="left"/>
              <w:rPr>
                <w:rFonts w:ascii="Arial Narrow" w:hAnsi="Arial Narrow" w:cs="Times New Roman"/>
                <w:bCs/>
                <w:snapToGrid/>
                <w:sz w:val="20"/>
                <w:szCs w:val="20"/>
              </w:rPr>
            </w:pP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Fever (≥ 37.5ºC)</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3.6%</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2.3%</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0.7%</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0.6%</w:t>
            </w:r>
          </w:p>
        </w:tc>
      </w:tr>
      <w:tr w:rsidR="00D80F02" w:rsidRPr="008A2917" w:rsidTr="00D80F02">
        <w:tc>
          <w:tcPr>
            <w:tcW w:w="862"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Neurological</w:t>
            </w: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Headache</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16.8%</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14.4%</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7.1%</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4.9%</w:t>
            </w:r>
          </w:p>
        </w:tc>
      </w:tr>
      <w:tr w:rsidR="00D80F02" w:rsidRPr="008A2917" w:rsidTr="00D80F02">
        <w:tc>
          <w:tcPr>
            <w:tcW w:w="862"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Gastrointestinal</w:t>
            </w: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Nausea</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2.4%</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2.3%</w:t>
            </w:r>
          </w:p>
        </w:tc>
      </w:tr>
      <w:tr w:rsidR="00D80F02" w:rsidRPr="008A2917" w:rsidTr="00D80F02">
        <w:tc>
          <w:tcPr>
            <w:tcW w:w="862"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Skin</w:t>
            </w:r>
          </w:p>
        </w:tc>
        <w:tc>
          <w:tcPr>
            <w:tcW w:w="1100" w:type="pct"/>
          </w:tcPr>
          <w:p w:rsidR="00D80F02" w:rsidRPr="008A2917" w:rsidRDefault="00D80F02" w:rsidP="00387896">
            <w:pPr>
              <w:widowControl/>
              <w:jc w:val="left"/>
              <w:rPr>
                <w:rFonts w:ascii="Arial Narrow" w:hAnsi="Arial Narrow" w:cs="Times New Roman"/>
                <w:bCs/>
                <w:snapToGrid/>
                <w:sz w:val="20"/>
                <w:szCs w:val="20"/>
              </w:rPr>
            </w:pPr>
            <w:r w:rsidRPr="008A2917">
              <w:rPr>
                <w:rFonts w:ascii="Arial Narrow" w:hAnsi="Arial Narrow" w:cs="Times New Roman"/>
                <w:bCs/>
                <w:snapToGrid/>
                <w:sz w:val="20"/>
                <w:szCs w:val="20"/>
              </w:rPr>
              <w:t>Rash</w:t>
            </w:r>
          </w:p>
        </w:tc>
        <w:tc>
          <w:tcPr>
            <w:tcW w:w="864"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78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w:t>
            </w:r>
          </w:p>
        </w:tc>
        <w:tc>
          <w:tcPr>
            <w:tcW w:w="550"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0.5%</w:t>
            </w:r>
          </w:p>
        </w:tc>
        <w:tc>
          <w:tcPr>
            <w:tcW w:w="837" w:type="pct"/>
          </w:tcPr>
          <w:p w:rsidR="00D80F02" w:rsidRPr="008A2917" w:rsidRDefault="00D80F02" w:rsidP="00387896">
            <w:pPr>
              <w:widowControl/>
              <w:jc w:val="center"/>
              <w:rPr>
                <w:rFonts w:ascii="Arial Narrow" w:hAnsi="Arial Narrow" w:cs="Times New Roman"/>
                <w:bCs/>
                <w:snapToGrid/>
                <w:sz w:val="20"/>
                <w:szCs w:val="20"/>
              </w:rPr>
            </w:pPr>
            <w:r w:rsidRPr="008A2917">
              <w:rPr>
                <w:rFonts w:ascii="Arial Narrow" w:hAnsi="Arial Narrow" w:cs="Times New Roman"/>
                <w:bCs/>
                <w:snapToGrid/>
                <w:sz w:val="20"/>
                <w:szCs w:val="20"/>
              </w:rPr>
              <w:t>0.4%</w:t>
            </w:r>
          </w:p>
        </w:tc>
      </w:tr>
    </w:tbl>
    <w:p w:rsidR="00D80F02" w:rsidRPr="008A2917" w:rsidRDefault="004922B5" w:rsidP="00387896">
      <w:pPr>
        <w:pStyle w:val="TableFooter"/>
        <w:widowControl/>
      </w:pPr>
      <w:proofErr w:type="spellStart"/>
      <w:proofErr w:type="gramStart"/>
      <w:r w:rsidRPr="008A2917">
        <w:t>aTIV</w:t>
      </w:r>
      <w:proofErr w:type="spellEnd"/>
      <w:proofErr w:type="gramEnd"/>
      <w:r w:rsidR="00D80F02" w:rsidRPr="008A2917">
        <w:t xml:space="preserve">: </w:t>
      </w:r>
      <w:proofErr w:type="spellStart"/>
      <w:r w:rsidR="00D80F02" w:rsidRPr="008A2917">
        <w:t>adjuvanted</w:t>
      </w:r>
      <w:proofErr w:type="spellEnd"/>
      <w:r w:rsidR="00D80F02" w:rsidRPr="008A2917">
        <w:t xml:space="preserve"> trivalent Influenza Vaccine standard dose; </w:t>
      </w:r>
      <w:r w:rsidR="00791EC2" w:rsidRPr="008A2917">
        <w:t xml:space="preserve">PI: Product Information; </w:t>
      </w:r>
      <w:r w:rsidR="00D80F02" w:rsidRPr="008A2917">
        <w:t xml:space="preserve">TIV-HD: Trivalent Influenza Vaccine – High Dose. </w:t>
      </w:r>
    </w:p>
    <w:p w:rsidR="00D80F02" w:rsidRPr="008A2917" w:rsidRDefault="00D80F02" w:rsidP="00387896">
      <w:pPr>
        <w:pStyle w:val="TableFooter"/>
        <w:widowControl/>
      </w:pPr>
      <w:proofErr w:type="spellStart"/>
      <w:proofErr w:type="gramStart"/>
      <w:r w:rsidRPr="008A2917">
        <w:rPr>
          <w:vertAlign w:val="superscript"/>
        </w:rPr>
        <w:t>a</w:t>
      </w:r>
      <w:proofErr w:type="spellEnd"/>
      <w:proofErr w:type="gramEnd"/>
      <w:r w:rsidRPr="008A2917">
        <w:t xml:space="preserve"> In the FIM05 study, adverse events were those reported within 7 days post-vaccination via diary cards; In the </w:t>
      </w:r>
      <w:proofErr w:type="spellStart"/>
      <w:r w:rsidRPr="008A2917">
        <w:t>Fluad</w:t>
      </w:r>
      <w:proofErr w:type="spellEnd"/>
      <w:r w:rsidRPr="008A2917">
        <w:t xml:space="preserve"> Phase II/III studies, adverse events were those reported with onset between 0-6 days post vaccination</w:t>
      </w:r>
    </w:p>
    <w:p w:rsidR="00D80F02" w:rsidRPr="008A2917" w:rsidRDefault="00D80F02" w:rsidP="00387896">
      <w:pPr>
        <w:pStyle w:val="TableFooter"/>
        <w:widowControl/>
      </w:pPr>
      <w:r w:rsidRPr="008A2917">
        <w:t xml:space="preserve">Source: </w:t>
      </w:r>
      <w:r w:rsidR="00791EC2" w:rsidRPr="008A2917">
        <w:t>Reproduced from Table 2.13, p65 of the resubmission. The resubmission compiled the table using the adverse events reported in the Product Information for TIV-HD (</w:t>
      </w:r>
      <w:proofErr w:type="spellStart"/>
      <w:r w:rsidR="00791EC2" w:rsidRPr="008A2917">
        <w:t>Fluzone</w:t>
      </w:r>
      <w:proofErr w:type="spellEnd"/>
      <w:r w:rsidR="00791EC2" w:rsidRPr="008A2917">
        <w:t xml:space="preserve"> High-Dose) (January 2018) and the </w:t>
      </w:r>
      <w:r w:rsidR="00791EC2" w:rsidRPr="008A2917">
        <w:rPr>
          <w:iCs/>
        </w:rPr>
        <w:t>Product Information</w:t>
      </w:r>
      <w:r w:rsidR="00791EC2" w:rsidRPr="008A2917">
        <w:t xml:space="preserve"> for </w:t>
      </w:r>
      <w:proofErr w:type="spellStart"/>
      <w:r w:rsidR="00791EC2" w:rsidRPr="008A2917">
        <w:t>aTIV</w:t>
      </w:r>
      <w:proofErr w:type="spellEnd"/>
      <w:r w:rsidR="00791EC2" w:rsidRPr="008A2917">
        <w:t xml:space="preserve"> (</w:t>
      </w:r>
      <w:proofErr w:type="spellStart"/>
      <w:r w:rsidR="00791EC2" w:rsidRPr="008A2917">
        <w:t>Fluad</w:t>
      </w:r>
      <w:proofErr w:type="spellEnd"/>
      <w:r w:rsidR="00791EC2" w:rsidRPr="008A2917">
        <w:t>) (November 2018)</w:t>
      </w:r>
      <w:r w:rsidRPr="008A2917">
        <w:t>.</w:t>
      </w:r>
    </w:p>
    <w:p w:rsidR="00D80F02" w:rsidRPr="008A2917" w:rsidRDefault="00D80F02" w:rsidP="00387896">
      <w:pPr>
        <w:keepNext/>
        <w:widowControl/>
        <w:rPr>
          <w:rFonts w:ascii="Arial Narrow" w:hAnsi="Arial Narrow"/>
          <w:b/>
          <w:sz w:val="20"/>
          <w:szCs w:val="16"/>
        </w:rPr>
      </w:pPr>
    </w:p>
    <w:p w:rsidR="0004551E" w:rsidRPr="008A2917" w:rsidRDefault="0004551E" w:rsidP="00387896">
      <w:pPr>
        <w:widowControl/>
        <w:numPr>
          <w:ilvl w:val="1"/>
          <w:numId w:val="1"/>
        </w:numPr>
        <w:spacing w:after="160"/>
      </w:pPr>
      <w:r w:rsidRPr="008A2917">
        <w:t xml:space="preserve">The resubmission claimed that </w:t>
      </w:r>
      <w:r w:rsidR="00D21B8D" w:rsidRPr="008A2917">
        <w:t xml:space="preserve">the </w:t>
      </w:r>
      <w:r w:rsidRPr="008A2917">
        <w:t>most</w:t>
      </w:r>
      <w:r w:rsidR="00D21B8D" w:rsidRPr="008A2917">
        <w:t xml:space="preserve"> frequently reported</w:t>
      </w:r>
      <w:r w:rsidRPr="008A2917">
        <w:t xml:space="preserve"> adverse events in the FIM05 study </w:t>
      </w:r>
      <w:r w:rsidR="00D21B8D" w:rsidRPr="008A2917">
        <w:t xml:space="preserve">were </w:t>
      </w:r>
      <w:r w:rsidRPr="008A2917">
        <w:t>redness, swelling and pain at the injection site; and systemic reactions including malaise, fever, headache and myalgia, but these were mild and resolved in three days</w:t>
      </w:r>
      <w:r w:rsidR="00E973CA" w:rsidRPr="008A2917">
        <w:t>.</w:t>
      </w:r>
      <w:r w:rsidRPr="008A2917">
        <w:t xml:space="preserve"> </w:t>
      </w:r>
      <w:r w:rsidR="00757590" w:rsidRPr="008A2917">
        <w:rPr>
          <w:iCs/>
        </w:rPr>
        <w:t>M</w:t>
      </w:r>
      <w:r w:rsidRPr="008A2917">
        <w:rPr>
          <w:iCs/>
        </w:rPr>
        <w:t>issing information in the FIM05 trial for some injection site reactions makes</w:t>
      </w:r>
      <w:r w:rsidR="00757590" w:rsidRPr="008A2917">
        <w:rPr>
          <w:iCs/>
        </w:rPr>
        <w:t xml:space="preserve"> the assessment of</w:t>
      </w:r>
      <w:r w:rsidRPr="008A2917">
        <w:rPr>
          <w:iCs/>
        </w:rPr>
        <w:t xml:space="preserve"> comparative harms uncertain.</w:t>
      </w:r>
    </w:p>
    <w:p w:rsidR="00D80F02" w:rsidRPr="008A2917" w:rsidRDefault="00D80F02" w:rsidP="00387896">
      <w:pPr>
        <w:widowControl/>
        <w:numPr>
          <w:ilvl w:val="1"/>
          <w:numId w:val="1"/>
        </w:numPr>
        <w:spacing w:after="160"/>
      </w:pPr>
      <w:r w:rsidRPr="008A2917">
        <w:t>Table</w:t>
      </w:r>
      <w:r w:rsidR="001C1195" w:rsidRPr="008A2917">
        <w:t xml:space="preserve"> 10</w:t>
      </w:r>
      <w:r w:rsidRPr="008A2917">
        <w:t xml:space="preserve"> reports serious adverse events (SAEs) and deaths after vaccination with TIV-HD</w:t>
      </w:r>
      <w:r w:rsidR="00665C24" w:rsidRPr="008A2917">
        <w:t xml:space="preserve"> and TIV-SD</w:t>
      </w:r>
      <w:r w:rsidRPr="008A2917">
        <w:t xml:space="preserve"> based on FIM05 and FIM12</w:t>
      </w:r>
      <w:r w:rsidR="00665C24" w:rsidRPr="008A2917">
        <w:t>,</w:t>
      </w:r>
      <w:r w:rsidRPr="008A2917">
        <w:t xml:space="preserve"> and</w:t>
      </w:r>
      <w:r w:rsidR="00DF6328" w:rsidRPr="008A2917">
        <w:t xml:space="preserve"> with</w:t>
      </w:r>
      <w:r w:rsidRPr="008A2917">
        <w:t xml:space="preserve"> </w:t>
      </w:r>
      <w:proofErr w:type="spellStart"/>
      <w:r w:rsidR="004922B5" w:rsidRPr="008A2917">
        <w:t>aTIV</w:t>
      </w:r>
      <w:proofErr w:type="spellEnd"/>
      <w:r w:rsidRPr="008A2917">
        <w:t xml:space="preserve"> based on a post market</w:t>
      </w:r>
      <w:r w:rsidR="00757590" w:rsidRPr="008A2917">
        <w:t>ing</w:t>
      </w:r>
      <w:r w:rsidRPr="008A2917">
        <w:t xml:space="preserve"> surveillance study.</w:t>
      </w:r>
    </w:p>
    <w:p w:rsidR="00D80F02" w:rsidRPr="008A2917" w:rsidRDefault="00D80F02" w:rsidP="00387896">
      <w:pPr>
        <w:pStyle w:val="TableHeading0"/>
      </w:pPr>
      <w:r w:rsidRPr="008A2917">
        <w:lastRenderedPageBreak/>
        <w:t xml:space="preserve">Table </w:t>
      </w:r>
      <w:r w:rsidR="001C1195" w:rsidRPr="008A2917">
        <w:t>10</w:t>
      </w:r>
      <w:r w:rsidRPr="008A2917">
        <w:t xml:space="preserve">: Frequency of serious adverse events and death after vaccination with TIV-HD or </w:t>
      </w:r>
      <w:proofErr w:type="spellStart"/>
      <w:r w:rsidR="004922B5" w:rsidRPr="008A2917">
        <w:t>aTIV</w:t>
      </w:r>
      <w:proofErr w:type="spellEnd"/>
      <w:r w:rsidRPr="008A2917">
        <w:t xml:space="preserve"> in Adults ≥65 years of age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992"/>
        <w:gridCol w:w="993"/>
        <w:gridCol w:w="992"/>
        <w:gridCol w:w="992"/>
        <w:gridCol w:w="1559"/>
      </w:tblGrid>
      <w:tr w:rsidR="00B93911" w:rsidRPr="008A2917" w:rsidTr="001E38D1">
        <w:trPr>
          <w:trHeight w:val="20"/>
          <w:tblHeader/>
        </w:trPr>
        <w:tc>
          <w:tcPr>
            <w:tcW w:w="2547" w:type="dxa"/>
            <w:tcBorders>
              <w:bottom w:val="nil"/>
            </w:tcBorders>
          </w:tcPr>
          <w:p w:rsidR="00B93911" w:rsidRPr="008A2917" w:rsidRDefault="00B93911" w:rsidP="00387896">
            <w:pPr>
              <w:keepNext/>
              <w:widowControl/>
              <w:jc w:val="left"/>
              <w:rPr>
                <w:rFonts w:ascii="Arial Narrow" w:hAnsi="Arial Narrow" w:cs="Times New Roman"/>
                <w:snapToGrid/>
                <w:sz w:val="20"/>
              </w:rPr>
            </w:pPr>
          </w:p>
        </w:tc>
        <w:tc>
          <w:tcPr>
            <w:tcW w:w="3969" w:type="dxa"/>
            <w:gridSpan w:val="4"/>
            <w:tcBorders>
              <w:bottom w:val="single" w:sz="4" w:space="0" w:color="auto"/>
            </w:tcBorders>
            <w:vAlign w:val="center"/>
          </w:tcPr>
          <w:p w:rsidR="00B93911" w:rsidRPr="008A2917" w:rsidRDefault="00B93911"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TIV-HD (</w:t>
            </w:r>
            <w:proofErr w:type="spellStart"/>
            <w:r w:rsidRPr="008A2917">
              <w:rPr>
                <w:rFonts w:ascii="Arial Narrow" w:hAnsi="Arial Narrow" w:cs="Times New Roman"/>
                <w:b/>
                <w:bCs/>
                <w:snapToGrid/>
                <w:sz w:val="20"/>
              </w:rPr>
              <w:t>Fluzone</w:t>
            </w:r>
            <w:proofErr w:type="spellEnd"/>
            <w:r w:rsidRPr="008A2917">
              <w:rPr>
                <w:rFonts w:ascii="Arial Narrow" w:hAnsi="Arial Narrow" w:cs="Times New Roman"/>
                <w:b/>
                <w:bCs/>
                <w:snapToGrid/>
                <w:sz w:val="20"/>
              </w:rPr>
              <w:t xml:space="preserve"> High-Dose) PI</w:t>
            </w:r>
          </w:p>
        </w:tc>
        <w:tc>
          <w:tcPr>
            <w:tcW w:w="2551" w:type="dxa"/>
            <w:gridSpan w:val="2"/>
            <w:tcBorders>
              <w:bottom w:val="single" w:sz="4" w:space="0" w:color="auto"/>
            </w:tcBorders>
            <w:vAlign w:val="center"/>
          </w:tcPr>
          <w:p w:rsidR="00B93911" w:rsidRPr="008A2917" w:rsidRDefault="00B93911" w:rsidP="00387896">
            <w:pPr>
              <w:keepNext/>
              <w:widowControl/>
              <w:jc w:val="center"/>
              <w:rPr>
                <w:rFonts w:ascii="Arial Narrow" w:hAnsi="Arial Narrow" w:cs="Times New Roman"/>
                <w:b/>
                <w:bCs/>
                <w:snapToGrid/>
                <w:sz w:val="20"/>
              </w:rPr>
            </w:pPr>
            <w:proofErr w:type="spellStart"/>
            <w:r w:rsidRPr="008A2917">
              <w:rPr>
                <w:rFonts w:ascii="Arial Narrow" w:hAnsi="Arial Narrow" w:cs="Times New Roman"/>
                <w:b/>
                <w:bCs/>
                <w:snapToGrid/>
                <w:sz w:val="20"/>
              </w:rPr>
              <w:t>aTIV</w:t>
            </w:r>
            <w:proofErr w:type="spellEnd"/>
            <w:r w:rsidRPr="008A2917">
              <w:rPr>
                <w:rFonts w:ascii="Arial Narrow" w:hAnsi="Arial Narrow" w:cs="Times New Roman"/>
                <w:b/>
                <w:bCs/>
                <w:snapToGrid/>
                <w:sz w:val="20"/>
              </w:rPr>
              <w:t xml:space="preserve"> (</w:t>
            </w:r>
            <w:proofErr w:type="spellStart"/>
            <w:r w:rsidRPr="008A2917">
              <w:rPr>
                <w:rFonts w:ascii="Arial Narrow" w:hAnsi="Arial Narrow" w:cs="Times New Roman"/>
                <w:b/>
                <w:bCs/>
                <w:snapToGrid/>
                <w:sz w:val="20"/>
              </w:rPr>
              <w:t>Fluad</w:t>
            </w:r>
            <w:proofErr w:type="spellEnd"/>
            <w:r w:rsidRPr="008A2917">
              <w:rPr>
                <w:rFonts w:ascii="Arial Narrow" w:hAnsi="Arial Narrow" w:cs="Times New Roman"/>
                <w:b/>
                <w:bCs/>
                <w:snapToGrid/>
                <w:sz w:val="20"/>
              </w:rPr>
              <w:t>) PI</w:t>
            </w:r>
          </w:p>
        </w:tc>
      </w:tr>
      <w:tr w:rsidR="00D80F02" w:rsidRPr="008A2917" w:rsidTr="00D80F02">
        <w:trPr>
          <w:trHeight w:val="20"/>
          <w:tblHeader/>
        </w:trPr>
        <w:tc>
          <w:tcPr>
            <w:tcW w:w="2547" w:type="dxa"/>
            <w:tcBorders>
              <w:bottom w:val="nil"/>
            </w:tcBorders>
          </w:tcPr>
          <w:p w:rsidR="00D80F02" w:rsidRPr="008A2917" w:rsidRDefault="00D80F02" w:rsidP="00387896">
            <w:pPr>
              <w:keepNext/>
              <w:widowControl/>
              <w:jc w:val="left"/>
              <w:rPr>
                <w:rFonts w:ascii="Arial Narrow" w:hAnsi="Arial Narrow" w:cs="Times New Roman"/>
                <w:snapToGrid/>
                <w:sz w:val="20"/>
              </w:rPr>
            </w:pPr>
          </w:p>
        </w:tc>
        <w:tc>
          <w:tcPr>
            <w:tcW w:w="1984" w:type="dxa"/>
            <w:gridSpan w:val="2"/>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FIM05 safety trial</w:t>
            </w:r>
          </w:p>
        </w:tc>
        <w:tc>
          <w:tcPr>
            <w:tcW w:w="1985" w:type="dxa"/>
            <w:gridSpan w:val="2"/>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FIM12 efficacy trial</w:t>
            </w:r>
          </w:p>
        </w:tc>
        <w:tc>
          <w:tcPr>
            <w:tcW w:w="2551" w:type="dxa"/>
            <w:gridSpan w:val="2"/>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Large post-marketing study</w:t>
            </w:r>
          </w:p>
        </w:tc>
      </w:tr>
      <w:tr w:rsidR="00D80F02" w:rsidRPr="008A2917" w:rsidTr="00D80F02">
        <w:trPr>
          <w:trHeight w:val="20"/>
          <w:tblHeader/>
        </w:trPr>
        <w:tc>
          <w:tcPr>
            <w:tcW w:w="2547" w:type="dxa"/>
            <w:tcBorders>
              <w:top w:val="nil"/>
              <w:bottom w:val="single" w:sz="4" w:space="0" w:color="auto"/>
            </w:tcBorders>
          </w:tcPr>
          <w:p w:rsidR="00D80F02" w:rsidRPr="008A2917" w:rsidRDefault="00D80F02" w:rsidP="00387896">
            <w:pPr>
              <w:keepNext/>
              <w:widowControl/>
              <w:jc w:val="left"/>
              <w:rPr>
                <w:rFonts w:ascii="Arial Narrow" w:hAnsi="Arial Narrow" w:cs="Times New Roman"/>
                <w:snapToGrid/>
                <w:sz w:val="20"/>
              </w:rPr>
            </w:pPr>
          </w:p>
        </w:tc>
        <w:tc>
          <w:tcPr>
            <w:tcW w:w="992"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TIV-HD</w:t>
            </w:r>
          </w:p>
        </w:tc>
        <w:tc>
          <w:tcPr>
            <w:tcW w:w="992"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TIV-SD</w:t>
            </w:r>
          </w:p>
        </w:tc>
        <w:tc>
          <w:tcPr>
            <w:tcW w:w="993"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TIV-HD</w:t>
            </w:r>
          </w:p>
        </w:tc>
        <w:tc>
          <w:tcPr>
            <w:tcW w:w="992"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TIV-SD</w:t>
            </w:r>
          </w:p>
        </w:tc>
        <w:tc>
          <w:tcPr>
            <w:tcW w:w="992" w:type="dxa"/>
            <w:tcBorders>
              <w:bottom w:val="single" w:sz="4" w:space="0" w:color="auto"/>
            </w:tcBorders>
            <w:vAlign w:val="center"/>
          </w:tcPr>
          <w:p w:rsidR="00D80F02" w:rsidRPr="008A2917" w:rsidRDefault="004922B5" w:rsidP="00387896">
            <w:pPr>
              <w:keepNext/>
              <w:widowControl/>
              <w:jc w:val="center"/>
              <w:rPr>
                <w:rFonts w:ascii="Arial Narrow" w:hAnsi="Arial Narrow" w:cs="Times New Roman"/>
                <w:b/>
                <w:bCs/>
                <w:snapToGrid/>
                <w:sz w:val="20"/>
              </w:rPr>
            </w:pPr>
            <w:proofErr w:type="spellStart"/>
            <w:r w:rsidRPr="008A2917">
              <w:rPr>
                <w:rFonts w:ascii="Arial Narrow" w:hAnsi="Arial Narrow" w:cs="Times New Roman"/>
                <w:b/>
                <w:bCs/>
                <w:snapToGrid/>
                <w:sz w:val="20"/>
              </w:rPr>
              <w:t>aTIV</w:t>
            </w:r>
            <w:proofErr w:type="spellEnd"/>
          </w:p>
        </w:tc>
        <w:tc>
          <w:tcPr>
            <w:tcW w:w="1559"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TIV</w:t>
            </w:r>
          </w:p>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b/>
                <w:bCs/>
                <w:snapToGrid/>
                <w:sz w:val="20"/>
              </w:rPr>
              <w:t>(Non-</w:t>
            </w:r>
            <w:proofErr w:type="spellStart"/>
            <w:r w:rsidRPr="008A2917">
              <w:rPr>
                <w:rFonts w:ascii="Arial Narrow" w:hAnsi="Arial Narrow" w:cs="Times New Roman"/>
                <w:b/>
                <w:bCs/>
                <w:snapToGrid/>
                <w:sz w:val="20"/>
              </w:rPr>
              <w:t>adjuvanted</w:t>
            </w:r>
            <w:proofErr w:type="spellEnd"/>
            <w:r w:rsidRPr="008A2917">
              <w:rPr>
                <w:rFonts w:ascii="Arial Narrow" w:hAnsi="Arial Narrow" w:cs="Times New Roman"/>
                <w:b/>
                <w:bCs/>
                <w:snapToGrid/>
                <w:sz w:val="20"/>
              </w:rPr>
              <w:t xml:space="preserve"> comparator)</w:t>
            </w:r>
          </w:p>
        </w:tc>
      </w:tr>
      <w:tr w:rsidR="00D80F02" w:rsidRPr="008A2917" w:rsidTr="00D80F02">
        <w:trPr>
          <w:trHeight w:val="20"/>
          <w:tblHeader/>
        </w:trPr>
        <w:tc>
          <w:tcPr>
            <w:tcW w:w="2547" w:type="dxa"/>
            <w:tcBorders>
              <w:bottom w:val="single" w:sz="4" w:space="0" w:color="auto"/>
            </w:tcBorders>
          </w:tcPr>
          <w:p w:rsidR="00D80F02" w:rsidRPr="008A2917" w:rsidRDefault="00D80F02"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N</w:t>
            </w:r>
          </w:p>
        </w:tc>
        <w:tc>
          <w:tcPr>
            <w:tcW w:w="992"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snapToGrid/>
                <w:sz w:val="20"/>
              </w:rPr>
              <w:t>2,569 - 2,572</w:t>
            </w:r>
          </w:p>
        </w:tc>
        <w:tc>
          <w:tcPr>
            <w:tcW w:w="992"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snapToGrid/>
                <w:sz w:val="20"/>
              </w:rPr>
              <w:t>1,258 – 1,260</w:t>
            </w:r>
          </w:p>
        </w:tc>
        <w:tc>
          <w:tcPr>
            <w:tcW w:w="993"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snapToGrid/>
                <w:sz w:val="20"/>
              </w:rPr>
              <w:t>15,992</w:t>
            </w:r>
          </w:p>
        </w:tc>
        <w:tc>
          <w:tcPr>
            <w:tcW w:w="992"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snapToGrid/>
                <w:sz w:val="20"/>
              </w:rPr>
              <w:t>15,991</w:t>
            </w:r>
          </w:p>
        </w:tc>
        <w:tc>
          <w:tcPr>
            <w:tcW w:w="992"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snapToGrid/>
                <w:sz w:val="20"/>
              </w:rPr>
              <w:t>~10,000</w:t>
            </w:r>
          </w:p>
        </w:tc>
        <w:tc>
          <w:tcPr>
            <w:tcW w:w="1559" w:type="dxa"/>
            <w:tcBorders>
              <w:bottom w:val="single" w:sz="4" w:space="0" w:color="auto"/>
            </w:tcBorders>
            <w:vAlign w:val="center"/>
          </w:tcPr>
          <w:p w:rsidR="00D80F02" w:rsidRPr="008A2917" w:rsidRDefault="00D80F02" w:rsidP="00387896">
            <w:pPr>
              <w:keepNext/>
              <w:widowControl/>
              <w:jc w:val="center"/>
              <w:rPr>
                <w:rFonts w:ascii="Arial Narrow" w:hAnsi="Arial Narrow" w:cs="Times New Roman"/>
                <w:b/>
                <w:bCs/>
                <w:snapToGrid/>
                <w:sz w:val="20"/>
              </w:rPr>
            </w:pPr>
            <w:r w:rsidRPr="008A2917">
              <w:rPr>
                <w:rFonts w:ascii="Arial Narrow" w:hAnsi="Arial Narrow" w:cs="Times New Roman"/>
                <w:snapToGrid/>
                <w:sz w:val="20"/>
              </w:rPr>
              <w:t>~5,000</w:t>
            </w:r>
          </w:p>
        </w:tc>
      </w:tr>
      <w:tr w:rsidR="00D80F02" w:rsidRPr="008A2917" w:rsidTr="00D80F02">
        <w:trPr>
          <w:trHeight w:val="20"/>
        </w:trPr>
        <w:tc>
          <w:tcPr>
            <w:tcW w:w="2547" w:type="dxa"/>
            <w:vAlign w:val="center"/>
          </w:tcPr>
          <w:p w:rsidR="00D80F02" w:rsidRPr="008A2917" w:rsidRDefault="00D80F02"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SAEs 6 to 8 months post-vaccination</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6.1%</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7.4%</w:t>
            </w:r>
          </w:p>
        </w:tc>
        <w:tc>
          <w:tcPr>
            <w:tcW w:w="993"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8.3%</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9.0%</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1559"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r>
      <w:tr w:rsidR="00D80F02" w:rsidRPr="008A2917" w:rsidTr="00D80F02">
        <w:trPr>
          <w:trHeight w:val="20"/>
        </w:trPr>
        <w:tc>
          <w:tcPr>
            <w:tcW w:w="2547" w:type="dxa"/>
            <w:vAlign w:val="center"/>
          </w:tcPr>
          <w:p w:rsidR="00D80F02" w:rsidRPr="008A2917" w:rsidRDefault="00D80F02"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SAEs within 30 days post vaccination</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3"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1.3%</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1.3%</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1559"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r>
      <w:tr w:rsidR="00D80F02" w:rsidRPr="008A2917" w:rsidTr="00D80F02">
        <w:trPr>
          <w:trHeight w:val="20"/>
        </w:trPr>
        <w:tc>
          <w:tcPr>
            <w:tcW w:w="2547" w:type="dxa"/>
            <w:vAlign w:val="center"/>
          </w:tcPr>
          <w:p w:rsidR="00D80F02" w:rsidRPr="008A2917" w:rsidRDefault="00D80F02"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 xml:space="preserve">AEs requiring physician visit </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p>
        </w:tc>
        <w:tc>
          <w:tcPr>
            <w:tcW w:w="993" w:type="dxa"/>
            <w:vAlign w:val="center"/>
          </w:tcPr>
          <w:p w:rsidR="00D80F02" w:rsidRPr="008A2917" w:rsidRDefault="00D80F02" w:rsidP="00387896">
            <w:pPr>
              <w:keepNext/>
              <w:widowControl/>
              <w:jc w:val="center"/>
              <w:rPr>
                <w:rFonts w:ascii="Arial Narrow" w:hAnsi="Arial Narrow" w:cs="Times New Roman"/>
                <w:snapToGrid/>
                <w:sz w:val="20"/>
              </w:rPr>
            </w:pP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0.3%</w:t>
            </w:r>
          </w:p>
        </w:tc>
        <w:tc>
          <w:tcPr>
            <w:tcW w:w="1559"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0.3%</w:t>
            </w:r>
          </w:p>
        </w:tc>
      </w:tr>
      <w:tr w:rsidR="00D80F02" w:rsidRPr="008A2917" w:rsidTr="00D80F02">
        <w:trPr>
          <w:trHeight w:val="20"/>
        </w:trPr>
        <w:tc>
          <w:tcPr>
            <w:tcW w:w="2547" w:type="dxa"/>
            <w:vAlign w:val="center"/>
          </w:tcPr>
          <w:p w:rsidR="00D80F02" w:rsidRPr="008A2917" w:rsidRDefault="00D80F02"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Hospitalisations during the season post vaccination</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3"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5.4%</w:t>
            </w:r>
          </w:p>
        </w:tc>
        <w:tc>
          <w:tcPr>
            <w:tcW w:w="1559"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5.7%</w:t>
            </w:r>
          </w:p>
        </w:tc>
      </w:tr>
      <w:tr w:rsidR="00D80F02" w:rsidRPr="008A2917" w:rsidTr="00D80F02">
        <w:trPr>
          <w:trHeight w:val="20"/>
        </w:trPr>
        <w:tc>
          <w:tcPr>
            <w:tcW w:w="2547" w:type="dxa"/>
            <w:vAlign w:val="center"/>
          </w:tcPr>
          <w:p w:rsidR="00D80F02" w:rsidRPr="008A2917" w:rsidRDefault="00D80F02"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Deaths 28 or 30 days post vaccination</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w:t>
            </w:r>
          </w:p>
        </w:tc>
        <w:tc>
          <w:tcPr>
            <w:tcW w:w="993"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0.04%</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p>
        </w:tc>
        <w:tc>
          <w:tcPr>
            <w:tcW w:w="1559" w:type="dxa"/>
            <w:vAlign w:val="center"/>
          </w:tcPr>
          <w:p w:rsidR="00D80F02" w:rsidRPr="008A2917" w:rsidRDefault="00D80F02" w:rsidP="00387896">
            <w:pPr>
              <w:keepNext/>
              <w:widowControl/>
              <w:jc w:val="center"/>
              <w:rPr>
                <w:rFonts w:ascii="Arial Narrow" w:hAnsi="Arial Narrow" w:cs="Times New Roman"/>
                <w:snapToGrid/>
                <w:sz w:val="20"/>
              </w:rPr>
            </w:pPr>
          </w:p>
        </w:tc>
      </w:tr>
      <w:tr w:rsidR="00D80F02" w:rsidRPr="008A2917" w:rsidTr="00D80F02">
        <w:trPr>
          <w:trHeight w:val="20"/>
        </w:trPr>
        <w:tc>
          <w:tcPr>
            <w:tcW w:w="2547" w:type="dxa"/>
            <w:vAlign w:val="center"/>
          </w:tcPr>
          <w:p w:rsidR="00D80F02" w:rsidRPr="008A2917" w:rsidRDefault="00D80F02"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Deaths 1-6 or 1-8</w:t>
            </w:r>
            <w:r w:rsidRPr="008A2917">
              <w:rPr>
                <w:rFonts w:ascii="Arial Narrow" w:hAnsi="Arial Narrow" w:cs="Times New Roman"/>
                <w:snapToGrid/>
                <w:sz w:val="20"/>
                <w:vertAlign w:val="superscript"/>
              </w:rPr>
              <w:t xml:space="preserve"> </w:t>
            </w:r>
            <w:r w:rsidRPr="008A2917">
              <w:rPr>
                <w:rFonts w:ascii="Arial Narrow" w:hAnsi="Arial Narrow" w:cs="Times New Roman"/>
                <w:snapToGrid/>
                <w:sz w:val="20"/>
              </w:rPr>
              <w:t>months post vaccination</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0.6%</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0.6%</w:t>
            </w:r>
          </w:p>
        </w:tc>
        <w:tc>
          <w:tcPr>
            <w:tcW w:w="993"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0.5%</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0.5%</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p>
        </w:tc>
        <w:tc>
          <w:tcPr>
            <w:tcW w:w="1559" w:type="dxa"/>
            <w:vAlign w:val="center"/>
          </w:tcPr>
          <w:p w:rsidR="00D80F02" w:rsidRPr="008A2917" w:rsidRDefault="00D80F02" w:rsidP="00387896">
            <w:pPr>
              <w:keepNext/>
              <w:widowControl/>
              <w:jc w:val="center"/>
              <w:rPr>
                <w:rFonts w:ascii="Arial Narrow" w:hAnsi="Arial Narrow" w:cs="Times New Roman"/>
                <w:snapToGrid/>
                <w:sz w:val="20"/>
              </w:rPr>
            </w:pPr>
          </w:p>
        </w:tc>
      </w:tr>
      <w:tr w:rsidR="00D80F02" w:rsidRPr="008A2917" w:rsidTr="00D80F02">
        <w:trPr>
          <w:trHeight w:val="20"/>
        </w:trPr>
        <w:tc>
          <w:tcPr>
            <w:tcW w:w="2547" w:type="dxa"/>
            <w:vAlign w:val="center"/>
          </w:tcPr>
          <w:p w:rsidR="00D80F02" w:rsidRPr="008A2917" w:rsidRDefault="00D80F02" w:rsidP="00387896">
            <w:pPr>
              <w:keepNext/>
              <w:widowControl/>
              <w:jc w:val="left"/>
              <w:rPr>
                <w:rFonts w:ascii="Arial Narrow" w:hAnsi="Arial Narrow" w:cs="Times New Roman"/>
                <w:snapToGrid/>
                <w:sz w:val="20"/>
              </w:rPr>
            </w:pPr>
            <w:r w:rsidRPr="008A2917">
              <w:rPr>
                <w:rFonts w:ascii="Arial Narrow" w:hAnsi="Arial Narrow" w:cs="Times New Roman"/>
                <w:snapToGrid/>
                <w:sz w:val="20"/>
              </w:rPr>
              <w:t>Deaths during the season post vaccination</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3"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w:t>
            </w:r>
          </w:p>
        </w:tc>
        <w:tc>
          <w:tcPr>
            <w:tcW w:w="992"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0.91%</w:t>
            </w:r>
          </w:p>
        </w:tc>
        <w:tc>
          <w:tcPr>
            <w:tcW w:w="1559" w:type="dxa"/>
            <w:vAlign w:val="center"/>
          </w:tcPr>
          <w:p w:rsidR="00D80F02" w:rsidRPr="008A2917" w:rsidRDefault="00D80F02" w:rsidP="00387896">
            <w:pPr>
              <w:keepNext/>
              <w:widowControl/>
              <w:jc w:val="center"/>
              <w:rPr>
                <w:rFonts w:ascii="Arial Narrow" w:hAnsi="Arial Narrow" w:cs="Times New Roman"/>
                <w:snapToGrid/>
                <w:sz w:val="20"/>
              </w:rPr>
            </w:pPr>
            <w:r w:rsidRPr="008A2917">
              <w:rPr>
                <w:rFonts w:ascii="Arial Narrow" w:hAnsi="Arial Narrow" w:cs="Times New Roman"/>
                <w:snapToGrid/>
                <w:sz w:val="20"/>
              </w:rPr>
              <w:t>0.83%</w:t>
            </w:r>
          </w:p>
        </w:tc>
      </w:tr>
    </w:tbl>
    <w:p w:rsidR="00D80F02" w:rsidRPr="008A2917" w:rsidRDefault="004922B5" w:rsidP="00387896">
      <w:pPr>
        <w:pStyle w:val="TableFooter"/>
        <w:widowControl/>
      </w:pPr>
      <w:proofErr w:type="spellStart"/>
      <w:proofErr w:type="gramStart"/>
      <w:r w:rsidRPr="008A2917">
        <w:t>aTIV</w:t>
      </w:r>
      <w:proofErr w:type="spellEnd"/>
      <w:proofErr w:type="gramEnd"/>
      <w:r w:rsidR="00D80F02" w:rsidRPr="008A2917">
        <w:t xml:space="preserve">: </w:t>
      </w:r>
      <w:proofErr w:type="spellStart"/>
      <w:r w:rsidR="00D80F02" w:rsidRPr="008A2917">
        <w:t>Adjuvanted</w:t>
      </w:r>
      <w:proofErr w:type="spellEnd"/>
      <w:r w:rsidR="00D80F02" w:rsidRPr="008A2917">
        <w:t xml:space="preserve"> trivalent Influenza </w:t>
      </w:r>
      <w:r w:rsidR="009D73A6" w:rsidRPr="008A2917">
        <w:t>Vaccine;</w:t>
      </w:r>
      <w:r w:rsidR="00D80F02" w:rsidRPr="008A2917">
        <w:t xml:space="preserve"> HD: High Dose; SD: Standard Dose; TIV: Trivalent Influenza Vaccine; TIV-HD: Trivalent Influenza Vaccine – High Dose.</w:t>
      </w:r>
    </w:p>
    <w:p w:rsidR="00B93911" w:rsidRPr="008A2917" w:rsidRDefault="00B93911" w:rsidP="00387896">
      <w:pPr>
        <w:pStyle w:val="TableFooter"/>
        <w:widowControl/>
      </w:pPr>
      <w:r w:rsidRPr="008A2917">
        <w:t xml:space="preserve">Source: Reproduced from Table 2.14, p66 of the resubmission. The resubmission compiled the table using the adverse events reported in the </w:t>
      </w:r>
      <w:r w:rsidRPr="008A2917">
        <w:rPr>
          <w:iCs/>
        </w:rPr>
        <w:t>Product Information</w:t>
      </w:r>
      <w:r w:rsidRPr="008A2917">
        <w:t xml:space="preserve"> for TIV-HD (</w:t>
      </w:r>
      <w:proofErr w:type="spellStart"/>
      <w:r w:rsidRPr="008A2917">
        <w:t>Fluzone</w:t>
      </w:r>
      <w:proofErr w:type="spellEnd"/>
      <w:r w:rsidRPr="008A2917">
        <w:t xml:space="preserve"> High-Dose) (January 2018) and the </w:t>
      </w:r>
      <w:r w:rsidRPr="008A2917">
        <w:rPr>
          <w:iCs/>
        </w:rPr>
        <w:t>Product Information</w:t>
      </w:r>
      <w:r w:rsidRPr="008A2917">
        <w:t xml:space="preserve"> for </w:t>
      </w:r>
      <w:proofErr w:type="spellStart"/>
      <w:r w:rsidRPr="008A2917">
        <w:t>aTIV</w:t>
      </w:r>
      <w:proofErr w:type="spellEnd"/>
      <w:r w:rsidRPr="008A2917">
        <w:t xml:space="preserve"> (</w:t>
      </w:r>
      <w:proofErr w:type="spellStart"/>
      <w:r w:rsidRPr="008A2917">
        <w:t>Fluad</w:t>
      </w:r>
      <w:proofErr w:type="spellEnd"/>
      <w:r w:rsidRPr="008A2917">
        <w:t>) (November 2018).</w:t>
      </w:r>
    </w:p>
    <w:p w:rsidR="00ED5466" w:rsidRPr="008A2917" w:rsidRDefault="00ED5466" w:rsidP="00387896">
      <w:pPr>
        <w:widowControl/>
        <w:rPr>
          <w:rFonts w:ascii="Arial Narrow" w:hAnsi="Arial Narrow"/>
          <w:sz w:val="18"/>
        </w:rPr>
      </w:pPr>
    </w:p>
    <w:p w:rsidR="00ED5466" w:rsidRPr="008A2917" w:rsidRDefault="00ED5466" w:rsidP="00387896">
      <w:pPr>
        <w:widowControl/>
        <w:numPr>
          <w:ilvl w:val="1"/>
          <w:numId w:val="1"/>
        </w:numPr>
        <w:spacing w:after="160"/>
      </w:pPr>
      <w:r w:rsidRPr="008A2917">
        <w:t xml:space="preserve">The resubmission claimed that TIV-HD and </w:t>
      </w:r>
      <w:proofErr w:type="spellStart"/>
      <w:r w:rsidR="004922B5" w:rsidRPr="008A2917">
        <w:t>aTIV</w:t>
      </w:r>
      <w:proofErr w:type="spellEnd"/>
      <w:r w:rsidRPr="008A2917">
        <w:t xml:space="preserve"> appear reasonably comparable in terms of overall safety </w:t>
      </w:r>
      <w:r w:rsidR="00757590" w:rsidRPr="008A2917">
        <w:rPr>
          <w:iCs/>
        </w:rPr>
        <w:t>however, d</w:t>
      </w:r>
      <w:r w:rsidRPr="008A2917">
        <w:rPr>
          <w:iCs/>
        </w:rPr>
        <w:t>etails of the Phase II/III studies were not provided within the resubmission. It is unclear which non-</w:t>
      </w:r>
      <w:proofErr w:type="spellStart"/>
      <w:r w:rsidRPr="008A2917">
        <w:rPr>
          <w:iCs/>
        </w:rPr>
        <w:t>adjuvanted</w:t>
      </w:r>
      <w:proofErr w:type="spellEnd"/>
      <w:r w:rsidRPr="008A2917">
        <w:rPr>
          <w:iCs/>
        </w:rPr>
        <w:t xml:space="preserve"> comparator was used to compare comparative harms with </w:t>
      </w:r>
      <w:proofErr w:type="spellStart"/>
      <w:r w:rsidR="004922B5" w:rsidRPr="008A2917">
        <w:rPr>
          <w:iCs/>
        </w:rPr>
        <w:t>aTIV</w:t>
      </w:r>
      <w:proofErr w:type="spellEnd"/>
      <w:r w:rsidRPr="008A2917">
        <w:rPr>
          <w:iCs/>
        </w:rPr>
        <w:t xml:space="preserve"> and whether these claims are appropriate. It is also not appropriate to compare the safety from FIM05 and FIM12</w:t>
      </w:r>
      <w:r w:rsidR="00D21B8D" w:rsidRPr="008A2917">
        <w:rPr>
          <w:iCs/>
        </w:rPr>
        <w:t xml:space="preserve"> trials with that from</w:t>
      </w:r>
      <w:r w:rsidRPr="008A2917">
        <w:rPr>
          <w:iCs/>
        </w:rPr>
        <w:t xml:space="preserve"> a large post marketing study given </w:t>
      </w:r>
      <w:r w:rsidR="00D21B8D" w:rsidRPr="008A2917">
        <w:rPr>
          <w:iCs/>
        </w:rPr>
        <w:t xml:space="preserve">the </w:t>
      </w:r>
      <w:r w:rsidRPr="008A2917">
        <w:rPr>
          <w:iCs/>
        </w:rPr>
        <w:t>different study characteristics.</w:t>
      </w:r>
    </w:p>
    <w:p w:rsidR="00E973CA" w:rsidRPr="008A2917" w:rsidRDefault="00E973CA" w:rsidP="00387896">
      <w:pPr>
        <w:widowControl/>
        <w:numPr>
          <w:ilvl w:val="1"/>
          <w:numId w:val="1"/>
        </w:numPr>
        <w:spacing w:after="160"/>
      </w:pPr>
      <w:r w:rsidRPr="008A2917">
        <w:rPr>
          <w:iCs/>
        </w:rPr>
        <w:t xml:space="preserve">The ESC noted that the events of myalgia and malaise are common, easily managed and not significant </w:t>
      </w:r>
      <w:r w:rsidR="00A634C5" w:rsidRPr="008A2917">
        <w:rPr>
          <w:iCs/>
        </w:rPr>
        <w:t>vs</w:t>
      </w:r>
      <w:r w:rsidRPr="008A2917">
        <w:rPr>
          <w:iCs/>
        </w:rPr>
        <w:t xml:space="preserve"> the comparators. The ESC noted PBAC’s previous advice that the claim of acceptable comparable safety was reasonable. </w:t>
      </w:r>
    </w:p>
    <w:p w:rsidR="00CB0A5B" w:rsidRPr="008A2917" w:rsidRDefault="00CB0A5B" w:rsidP="00387896">
      <w:pPr>
        <w:pStyle w:val="Heading2"/>
      </w:pPr>
      <w:bookmarkStart w:id="20" w:name="_Toc371170708"/>
      <w:bookmarkStart w:id="21" w:name="_Toc18942065"/>
      <w:r w:rsidRPr="008A2917">
        <w:t>Benefits/harms</w:t>
      </w:r>
      <w:bookmarkEnd w:id="20"/>
      <w:bookmarkEnd w:id="21"/>
    </w:p>
    <w:p w:rsidR="00C020F7" w:rsidRPr="008A2917" w:rsidRDefault="00757590" w:rsidP="00387896">
      <w:pPr>
        <w:pStyle w:val="ListParagraph"/>
        <w:widowControl/>
        <w:numPr>
          <w:ilvl w:val="1"/>
          <w:numId w:val="1"/>
        </w:numPr>
      </w:pPr>
      <w:r w:rsidRPr="008A2917">
        <w:t xml:space="preserve">Table 11 shows the benefits and harms data for TIV-HD vs TIV-SD from FIM12 as presented in the evaluation for the July 2018 PBAC consideration. </w:t>
      </w:r>
      <w:r w:rsidR="00CB0A5B" w:rsidRPr="008A2917">
        <w:rPr>
          <w:iCs/>
        </w:rPr>
        <w:t xml:space="preserve">The PBAC has previously noted that </w:t>
      </w:r>
      <w:r w:rsidRPr="008A2917">
        <w:rPr>
          <w:iCs/>
        </w:rPr>
        <w:t xml:space="preserve">the </w:t>
      </w:r>
      <w:r w:rsidR="00CB0A5B" w:rsidRPr="008A2917">
        <w:rPr>
          <w:iCs/>
        </w:rPr>
        <w:t>results were derived from FIM12</w:t>
      </w:r>
      <w:r w:rsidR="00C020F7" w:rsidRPr="008A2917">
        <w:rPr>
          <w:iCs/>
        </w:rPr>
        <w:t>,</w:t>
      </w:r>
      <w:r w:rsidR="00CB0A5B" w:rsidRPr="008A2917">
        <w:rPr>
          <w:iCs/>
        </w:rPr>
        <w:t xml:space="preserve"> which relied on data from </w:t>
      </w:r>
      <w:r w:rsidR="00A634C5" w:rsidRPr="008A2917">
        <w:rPr>
          <w:iCs/>
        </w:rPr>
        <w:t xml:space="preserve">two </w:t>
      </w:r>
      <w:r w:rsidR="00CB0A5B" w:rsidRPr="008A2917">
        <w:rPr>
          <w:iCs/>
        </w:rPr>
        <w:t>influenza season</w:t>
      </w:r>
      <w:r w:rsidR="00A634C5" w:rsidRPr="008A2917">
        <w:rPr>
          <w:iCs/>
        </w:rPr>
        <w:t>s</w:t>
      </w:r>
      <w:r w:rsidR="00CB0A5B" w:rsidRPr="008A2917">
        <w:rPr>
          <w:iCs/>
        </w:rPr>
        <w:t xml:space="preserve"> in North America with a low prevalence of B strain influenza (para. 6.25, p11, and para. 6.28, p13, TIV-HD PSD, July 2018). </w:t>
      </w:r>
    </w:p>
    <w:p w:rsidR="00CB0A5B" w:rsidRPr="008A2917" w:rsidRDefault="00CB0A5B" w:rsidP="00387896">
      <w:pPr>
        <w:pStyle w:val="TableHeading0"/>
        <w:rPr>
          <w:rStyle w:val="CommentReference"/>
          <w:b/>
          <w:szCs w:val="22"/>
        </w:rPr>
      </w:pPr>
      <w:r w:rsidRPr="008A2917">
        <w:rPr>
          <w:rStyle w:val="CommentReference"/>
          <w:b/>
          <w:szCs w:val="22"/>
        </w:rPr>
        <w:lastRenderedPageBreak/>
        <w:t xml:space="preserve">Table </w:t>
      </w:r>
      <w:r w:rsidR="00FF3403" w:rsidRPr="008A2917">
        <w:rPr>
          <w:rStyle w:val="CommentReference"/>
          <w:b/>
          <w:szCs w:val="22"/>
        </w:rPr>
        <w:t>1</w:t>
      </w:r>
      <w:r w:rsidR="001C1195" w:rsidRPr="008A2917">
        <w:rPr>
          <w:rStyle w:val="CommentReference"/>
          <w:b/>
          <w:szCs w:val="22"/>
        </w:rPr>
        <w:t>1</w:t>
      </w:r>
      <w:r w:rsidRPr="008A2917">
        <w:rPr>
          <w:rStyle w:val="CommentReference"/>
          <w:b/>
          <w:szCs w:val="22"/>
        </w:rPr>
        <w:t>: Summary of comparative benefits and harms for TIV-HD and TIV-SD</w:t>
      </w:r>
    </w:p>
    <w:tbl>
      <w:tblPr>
        <w:tblW w:w="5000" w:type="pct"/>
        <w:tblLayout w:type="fixed"/>
        <w:tblCellMar>
          <w:left w:w="28" w:type="dxa"/>
          <w:right w:w="28" w:type="dxa"/>
        </w:tblCellMar>
        <w:tblLook w:val="04A0" w:firstRow="1" w:lastRow="0" w:firstColumn="1" w:lastColumn="0" w:noHBand="0" w:noVBand="1"/>
      </w:tblPr>
      <w:tblGrid>
        <w:gridCol w:w="2972"/>
        <w:gridCol w:w="709"/>
        <w:gridCol w:w="851"/>
        <w:gridCol w:w="1417"/>
        <w:gridCol w:w="1133"/>
        <w:gridCol w:w="994"/>
        <w:gridCol w:w="941"/>
      </w:tblGrid>
      <w:tr w:rsidR="00CB0A5B" w:rsidRPr="008A2917" w:rsidTr="002F2549">
        <w:trPr>
          <w:trHeight w:val="150"/>
        </w:trPr>
        <w:tc>
          <w:tcPr>
            <w:tcW w:w="16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b/>
                <w:sz w:val="20"/>
                <w:szCs w:val="20"/>
              </w:rPr>
            </w:pPr>
            <w:r w:rsidRPr="008A2917">
              <w:rPr>
                <w:rFonts w:ascii="Arial Narrow" w:hAnsi="Arial Narrow"/>
                <w:b/>
                <w:sz w:val="20"/>
                <w:szCs w:val="20"/>
              </w:rPr>
              <w:t>Trial</w:t>
            </w:r>
          </w:p>
        </w:tc>
        <w:tc>
          <w:tcPr>
            <w:tcW w:w="393" w:type="pct"/>
            <w:vMerge w:val="restar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 xml:space="preserve">TIV-HD </w:t>
            </w:r>
          </w:p>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(n)</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 xml:space="preserve">TIV-SD </w:t>
            </w:r>
          </w:p>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(n)</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rsidR="00CB0A5B" w:rsidRPr="008A2917" w:rsidRDefault="00CA3DEA" w:rsidP="00387896">
            <w:pPr>
              <w:keepNext/>
              <w:keepLines/>
              <w:widowControl/>
              <w:jc w:val="center"/>
              <w:rPr>
                <w:rFonts w:ascii="Arial Narrow" w:hAnsi="Arial Narrow"/>
                <w:b/>
                <w:sz w:val="20"/>
                <w:szCs w:val="20"/>
              </w:rPr>
            </w:pPr>
            <w:proofErr w:type="spellStart"/>
            <w:r w:rsidRPr="008A2917">
              <w:rPr>
                <w:rFonts w:ascii="Arial Narrow" w:hAnsi="Arial Narrow"/>
                <w:b/>
                <w:sz w:val="20"/>
                <w:szCs w:val="20"/>
              </w:rPr>
              <w:t>rVE</w:t>
            </w:r>
            <w:proofErr w:type="spellEnd"/>
          </w:p>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(95% CI)</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Event rate/1000 patients*</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RD/ 1,000 patients</w:t>
            </w:r>
          </w:p>
        </w:tc>
      </w:tr>
      <w:tr w:rsidR="00CB0A5B" w:rsidRPr="008A2917" w:rsidTr="002F2549">
        <w:trPr>
          <w:trHeight w:val="315"/>
        </w:trPr>
        <w:tc>
          <w:tcPr>
            <w:tcW w:w="1648" w:type="pct"/>
            <w:vMerge/>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b/>
                <w:sz w:val="20"/>
                <w:szCs w:val="20"/>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TIV-HD</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TIV-SD</w:t>
            </w:r>
          </w:p>
        </w:tc>
        <w:tc>
          <w:tcPr>
            <w:tcW w:w="522" w:type="pct"/>
            <w:vMerge/>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p>
        </w:tc>
      </w:tr>
      <w:tr w:rsidR="00CB0A5B" w:rsidRPr="008A2917" w:rsidTr="002F2549">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b/>
                <w:sz w:val="20"/>
                <w:szCs w:val="20"/>
              </w:rPr>
            </w:pPr>
            <w:r w:rsidRPr="008A2917">
              <w:rPr>
                <w:rFonts w:ascii="Arial Narrow" w:hAnsi="Arial Narrow"/>
                <w:b/>
                <w:sz w:val="20"/>
                <w:szCs w:val="20"/>
              </w:rPr>
              <w:t xml:space="preserve">Benefits </w:t>
            </w:r>
            <w:r w:rsidR="00D21B8D" w:rsidRPr="008A2917">
              <w:rPr>
                <w:rFonts w:ascii="Arial Narrow" w:hAnsi="Arial Narrow"/>
                <w:b/>
                <w:sz w:val="20"/>
                <w:szCs w:val="20"/>
              </w:rPr>
              <w:t xml:space="preserve">as reported in </w:t>
            </w:r>
            <w:r w:rsidRPr="008A2917">
              <w:rPr>
                <w:rFonts w:ascii="Arial Narrow" w:hAnsi="Arial Narrow"/>
                <w:b/>
                <w:sz w:val="20"/>
                <w:szCs w:val="20"/>
              </w:rPr>
              <w:t>FIM12</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7E4AE3" w:rsidP="00387896">
            <w:pPr>
              <w:keepNext/>
              <w:keepLines/>
              <w:widowControl/>
              <w:jc w:val="left"/>
              <w:rPr>
                <w:rFonts w:ascii="Arial Narrow" w:hAnsi="Arial Narrow"/>
                <w:sz w:val="20"/>
                <w:szCs w:val="20"/>
              </w:rPr>
            </w:pPr>
            <w:r w:rsidRPr="008A2917">
              <w:rPr>
                <w:rFonts w:ascii="Arial Narrow" w:hAnsi="Arial Narrow"/>
                <w:sz w:val="20"/>
                <w:szCs w:val="20"/>
              </w:rPr>
              <w:t>Protocol-Defined Influenza-Like Illness</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228</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301</w:t>
            </w:r>
          </w:p>
        </w:tc>
        <w:tc>
          <w:tcPr>
            <w:tcW w:w="786"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24.24%</w:t>
            </w:r>
          </w:p>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(9.71% to 36.50%)</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14.3</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18.8</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-4.5</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All-cause hospitalisation</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1,530</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1,643</w:t>
            </w:r>
          </w:p>
        </w:tc>
        <w:tc>
          <w:tcPr>
            <w:tcW w:w="786"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6.9%</w:t>
            </w:r>
          </w:p>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(0.5% to 12.8%)</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95.68</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102.73</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-7.05</w:t>
            </w:r>
          </w:p>
        </w:tc>
      </w:tr>
      <w:tr w:rsidR="00CB0A5B" w:rsidRPr="008A2917" w:rsidTr="002F2549">
        <w:tc>
          <w:tcPr>
            <w:tcW w:w="1648" w:type="pct"/>
            <w:tcBorders>
              <w:top w:val="single" w:sz="4" w:space="0" w:color="auto"/>
              <w:left w:val="single" w:sz="4" w:space="0" w:color="auto"/>
              <w:bottom w:val="doub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Pneumonia events</w:t>
            </w:r>
          </w:p>
        </w:tc>
        <w:tc>
          <w:tcPr>
            <w:tcW w:w="393" w:type="pct"/>
            <w:tcBorders>
              <w:top w:val="single" w:sz="4" w:space="0" w:color="auto"/>
              <w:left w:val="single" w:sz="4" w:space="0" w:color="auto"/>
              <w:bottom w:val="doub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71</w:t>
            </w:r>
          </w:p>
        </w:tc>
        <w:tc>
          <w:tcPr>
            <w:tcW w:w="472" w:type="pct"/>
            <w:tcBorders>
              <w:top w:val="single" w:sz="4" w:space="0" w:color="auto"/>
              <w:left w:val="single" w:sz="4" w:space="0" w:color="auto"/>
              <w:bottom w:val="doub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118</w:t>
            </w:r>
          </w:p>
        </w:tc>
        <w:tc>
          <w:tcPr>
            <w:tcW w:w="786" w:type="pct"/>
            <w:tcBorders>
              <w:top w:val="single" w:sz="4" w:space="0" w:color="auto"/>
              <w:left w:val="single" w:sz="4" w:space="0" w:color="auto"/>
              <w:bottom w:val="doub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39.8%</w:t>
            </w:r>
          </w:p>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(19.3% to 55.1%)</w:t>
            </w:r>
          </w:p>
        </w:tc>
        <w:tc>
          <w:tcPr>
            <w:tcW w:w="628" w:type="pct"/>
            <w:tcBorders>
              <w:top w:val="single" w:sz="4" w:space="0" w:color="auto"/>
              <w:left w:val="single" w:sz="4" w:space="0" w:color="auto"/>
              <w:bottom w:val="doub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4.44</w:t>
            </w:r>
          </w:p>
        </w:tc>
        <w:tc>
          <w:tcPr>
            <w:tcW w:w="551" w:type="pct"/>
            <w:tcBorders>
              <w:top w:val="single" w:sz="4" w:space="0" w:color="auto"/>
              <w:left w:val="single" w:sz="4" w:space="0" w:color="auto"/>
              <w:bottom w:val="doub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7.38</w:t>
            </w:r>
          </w:p>
        </w:tc>
        <w:tc>
          <w:tcPr>
            <w:tcW w:w="522" w:type="pct"/>
            <w:tcBorders>
              <w:top w:val="single" w:sz="4" w:space="0" w:color="auto"/>
              <w:left w:val="single" w:sz="4" w:space="0" w:color="auto"/>
              <w:bottom w:val="doub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-2.94</w:t>
            </w:r>
          </w:p>
        </w:tc>
      </w:tr>
      <w:tr w:rsidR="00CB0A5B" w:rsidRPr="008A2917" w:rsidTr="002F2549">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b/>
                <w:sz w:val="20"/>
                <w:szCs w:val="20"/>
              </w:rPr>
            </w:pPr>
            <w:r w:rsidRPr="008A2917">
              <w:rPr>
                <w:rFonts w:ascii="Arial Narrow" w:hAnsi="Arial Narrow"/>
                <w:b/>
                <w:sz w:val="20"/>
                <w:szCs w:val="20"/>
              </w:rPr>
              <w:t xml:space="preserve">Harms </w:t>
            </w:r>
          </w:p>
        </w:tc>
      </w:tr>
      <w:tr w:rsidR="00CB0A5B" w:rsidRPr="008A2917" w:rsidTr="002F2549">
        <w:trPr>
          <w:trHeight w:val="70"/>
        </w:trPr>
        <w:tc>
          <w:tcPr>
            <w:tcW w:w="16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b/>
                <w:sz w:val="20"/>
                <w:szCs w:val="20"/>
              </w:rPr>
            </w:pPr>
          </w:p>
        </w:tc>
        <w:tc>
          <w:tcPr>
            <w:tcW w:w="393" w:type="pct"/>
            <w:vMerge w:val="restar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 xml:space="preserve">TIV-HD </w:t>
            </w:r>
          </w:p>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(n)</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 xml:space="preserve">TIV-SD </w:t>
            </w:r>
          </w:p>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(n)</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RR</w:t>
            </w:r>
          </w:p>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(95% CI)</w:t>
            </w:r>
          </w:p>
        </w:tc>
        <w:tc>
          <w:tcPr>
            <w:tcW w:w="1179" w:type="pct"/>
            <w:gridSpan w:val="2"/>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 xml:space="preserve">Event rate/100 patients </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RD</w:t>
            </w:r>
          </w:p>
        </w:tc>
      </w:tr>
      <w:tr w:rsidR="00CB0A5B" w:rsidRPr="008A2917" w:rsidTr="002F2549">
        <w:trPr>
          <w:trHeight w:val="390"/>
        </w:trPr>
        <w:tc>
          <w:tcPr>
            <w:tcW w:w="1648" w:type="pct"/>
            <w:vMerge/>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b/>
                <w:sz w:val="20"/>
                <w:szCs w:val="20"/>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TIV-HD</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r w:rsidRPr="008A2917">
              <w:rPr>
                <w:rFonts w:ascii="Arial Narrow" w:hAnsi="Arial Narrow"/>
                <w:b/>
                <w:sz w:val="20"/>
                <w:szCs w:val="20"/>
              </w:rPr>
              <w:t>TIV-SD</w:t>
            </w:r>
          </w:p>
        </w:tc>
        <w:tc>
          <w:tcPr>
            <w:tcW w:w="522" w:type="pct"/>
            <w:vMerge/>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b/>
                <w:sz w:val="20"/>
                <w:szCs w:val="20"/>
              </w:rPr>
            </w:pPr>
          </w:p>
        </w:tc>
      </w:tr>
      <w:tr w:rsidR="00CB0A5B" w:rsidRPr="008A2917" w:rsidTr="002F2549">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b/>
                <w:sz w:val="20"/>
                <w:szCs w:val="20"/>
              </w:rPr>
            </w:pPr>
            <w:r w:rsidRPr="008A2917">
              <w:rPr>
                <w:rFonts w:ascii="Arial Narrow" w:hAnsi="Arial Narrow"/>
                <w:b/>
                <w:sz w:val="20"/>
                <w:szCs w:val="20"/>
              </w:rPr>
              <w:t>FIM12</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SAE</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1,323</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1,442</w:t>
            </w:r>
          </w:p>
        </w:tc>
        <w:tc>
          <w:tcPr>
            <w:tcW w:w="786"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N/A</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8.27</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9.02</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-0.75%</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Death</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83</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84</w:t>
            </w:r>
          </w:p>
        </w:tc>
        <w:tc>
          <w:tcPr>
            <w:tcW w:w="786"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N/A</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0.52</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0.53</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-0.01%</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AE of Special Interest</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3</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6</w:t>
            </w:r>
          </w:p>
        </w:tc>
        <w:tc>
          <w:tcPr>
            <w:tcW w:w="786"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N/A</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0.02</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0.04</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-0.02%</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jc w:val="left"/>
              <w:rPr>
                <w:rFonts w:ascii="Arial Narrow" w:hAnsi="Arial Narrow"/>
                <w:sz w:val="20"/>
                <w:szCs w:val="20"/>
              </w:rPr>
            </w:pPr>
            <w:r w:rsidRPr="008A2917">
              <w:rPr>
                <w:rFonts w:ascii="Arial Narrow" w:hAnsi="Arial Narrow"/>
                <w:sz w:val="20"/>
                <w:szCs w:val="20"/>
              </w:rPr>
              <w:t>SAE leading to study discontinuation</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99</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103</w:t>
            </w:r>
          </w:p>
        </w:tc>
        <w:tc>
          <w:tcPr>
            <w:tcW w:w="786"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N/A</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0.62</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0.64</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-0.02%</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Related SAE</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3</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w:t>
            </w:r>
          </w:p>
        </w:tc>
        <w:tc>
          <w:tcPr>
            <w:tcW w:w="786"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N/A</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0.02</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-0.02%</w:t>
            </w:r>
          </w:p>
        </w:tc>
      </w:tr>
      <w:tr w:rsidR="00CB0A5B" w:rsidRPr="008A2917" w:rsidTr="002F2549">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jc w:val="left"/>
              <w:rPr>
                <w:rFonts w:ascii="Arial Narrow" w:hAnsi="Arial Narrow"/>
                <w:b/>
                <w:bCs/>
                <w:sz w:val="20"/>
                <w:szCs w:val="20"/>
              </w:rPr>
            </w:pPr>
            <w:r w:rsidRPr="008A2917">
              <w:rPr>
                <w:rFonts w:ascii="Arial Narrow" w:hAnsi="Arial Narrow"/>
                <w:b/>
                <w:bCs/>
                <w:sz w:val="20"/>
                <w:szCs w:val="20"/>
              </w:rPr>
              <w:t>FIM05**</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Solicited reaction (D0 to D7)</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1,378</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556</w:t>
            </w:r>
          </w:p>
        </w:tc>
        <w:tc>
          <w:tcPr>
            <w:tcW w:w="786"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N/A</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53.6</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44.1</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9.5%</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Solicited injection site reaction</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1,076</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394</w:t>
            </w:r>
          </w:p>
        </w:tc>
        <w:tc>
          <w:tcPr>
            <w:tcW w:w="786"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N/A</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41.8</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31.3</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10.5%</w:t>
            </w:r>
          </w:p>
        </w:tc>
      </w:tr>
      <w:tr w:rsidR="00CB0A5B" w:rsidRPr="008A2917" w:rsidTr="002F2549">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rsidR="00CB0A5B" w:rsidRPr="008A2917" w:rsidRDefault="00CB0A5B" w:rsidP="00387896">
            <w:pPr>
              <w:keepNext/>
              <w:keepLines/>
              <w:widowControl/>
              <w:rPr>
                <w:rFonts w:ascii="Arial Narrow" w:hAnsi="Arial Narrow"/>
                <w:sz w:val="20"/>
                <w:szCs w:val="20"/>
              </w:rPr>
            </w:pPr>
            <w:r w:rsidRPr="008A2917">
              <w:rPr>
                <w:rFonts w:ascii="Arial Narrow" w:hAnsi="Arial Narrow"/>
                <w:sz w:val="20"/>
                <w:szCs w:val="20"/>
              </w:rPr>
              <w:t>Solicited systemic reaction</w:t>
            </w:r>
          </w:p>
        </w:tc>
        <w:tc>
          <w:tcPr>
            <w:tcW w:w="393"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882</w:t>
            </w:r>
          </w:p>
        </w:tc>
        <w:tc>
          <w:tcPr>
            <w:tcW w:w="47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370</w:t>
            </w:r>
          </w:p>
        </w:tc>
        <w:tc>
          <w:tcPr>
            <w:tcW w:w="786"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N/A</w:t>
            </w:r>
          </w:p>
        </w:tc>
        <w:tc>
          <w:tcPr>
            <w:tcW w:w="628"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34.3</w:t>
            </w:r>
          </w:p>
        </w:tc>
        <w:tc>
          <w:tcPr>
            <w:tcW w:w="551"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29.4</w:t>
            </w:r>
          </w:p>
        </w:tc>
        <w:tc>
          <w:tcPr>
            <w:tcW w:w="522" w:type="pct"/>
            <w:tcBorders>
              <w:top w:val="single" w:sz="4" w:space="0" w:color="auto"/>
              <w:left w:val="single" w:sz="4" w:space="0" w:color="auto"/>
              <w:bottom w:val="single" w:sz="4" w:space="0" w:color="auto"/>
              <w:right w:val="single" w:sz="4" w:space="0" w:color="auto"/>
            </w:tcBorders>
            <w:vAlign w:val="center"/>
          </w:tcPr>
          <w:p w:rsidR="00CB0A5B" w:rsidRPr="008A2917" w:rsidRDefault="00CB0A5B" w:rsidP="00387896">
            <w:pPr>
              <w:keepNext/>
              <w:keepLines/>
              <w:widowControl/>
              <w:jc w:val="center"/>
              <w:rPr>
                <w:rFonts w:ascii="Arial Narrow" w:hAnsi="Arial Narrow"/>
                <w:sz w:val="20"/>
                <w:szCs w:val="20"/>
              </w:rPr>
            </w:pPr>
            <w:r w:rsidRPr="008A2917">
              <w:rPr>
                <w:rFonts w:ascii="Arial Narrow" w:hAnsi="Arial Narrow"/>
                <w:sz w:val="20"/>
                <w:szCs w:val="20"/>
              </w:rPr>
              <w:t>4.9%</w:t>
            </w:r>
          </w:p>
        </w:tc>
      </w:tr>
    </w:tbl>
    <w:p w:rsidR="00CB0A5B" w:rsidRPr="008A2917" w:rsidRDefault="00CB0A5B" w:rsidP="00387896">
      <w:pPr>
        <w:pStyle w:val="TableFooter"/>
        <w:widowControl/>
      </w:pPr>
      <w:r w:rsidRPr="008A2917">
        <w:t>* Duration of follow-up: FIM12: 2 years</w:t>
      </w:r>
    </w:p>
    <w:p w:rsidR="00CB0A5B" w:rsidRPr="008A2917" w:rsidRDefault="00CB0A5B" w:rsidP="00387896">
      <w:pPr>
        <w:pStyle w:val="TableFooter"/>
        <w:widowControl/>
      </w:pPr>
      <w:r w:rsidRPr="008A2917">
        <w:t>** As FIM12 did not capture immediate reactions or non-serious adverse events, the submission reported data on injection site reactions and low</w:t>
      </w:r>
      <w:r w:rsidR="009E7CC0" w:rsidRPr="008A2917">
        <w:t xml:space="preserve"> </w:t>
      </w:r>
      <w:r w:rsidRPr="008A2917">
        <w:t>grade systemic reactions such as fever, headache, malaise, and myalgia from the FIM05 trial.</w:t>
      </w:r>
    </w:p>
    <w:p w:rsidR="00CB0A5B" w:rsidRPr="008A2917" w:rsidRDefault="00CB0A5B" w:rsidP="00387896">
      <w:pPr>
        <w:pStyle w:val="TableFooter"/>
        <w:widowControl/>
      </w:pPr>
      <w:r w:rsidRPr="008A2917">
        <w:t xml:space="preserve">CI: Confidence Intervals; D: Day; N/A: Not Applicable; RD: Risk Difference; RR: Relative Risk; </w:t>
      </w:r>
      <w:proofErr w:type="spellStart"/>
      <w:r w:rsidR="00CA3DEA" w:rsidRPr="008A2917">
        <w:t>rVE</w:t>
      </w:r>
      <w:proofErr w:type="spellEnd"/>
      <w:r w:rsidRPr="008A2917">
        <w:t>: Relative Vaccine Effectiveness; SAE: Serious Adverse Event; TIV-HD: Trivalent Influenza Vaccine - High dose; TIV-SD: Trivalent Influenza Vaccine - Standard Dose.</w:t>
      </w:r>
    </w:p>
    <w:p w:rsidR="00CB0A5B" w:rsidRPr="008A2917" w:rsidRDefault="00CB0A5B" w:rsidP="00387896">
      <w:pPr>
        <w:pStyle w:val="TableFooter"/>
        <w:widowControl/>
      </w:pPr>
      <w:r w:rsidRPr="008A2917">
        <w:t>Source: Table 8, para. 6.25, p12, of the TIV-HD PSD, July 2018.</w:t>
      </w:r>
    </w:p>
    <w:p w:rsidR="00CB0A5B" w:rsidRPr="008A2917" w:rsidRDefault="00CB0A5B" w:rsidP="00387896">
      <w:pPr>
        <w:widowControl/>
        <w:jc w:val="left"/>
        <w:rPr>
          <w:rStyle w:val="CommentReference"/>
        </w:rPr>
      </w:pPr>
    </w:p>
    <w:p w:rsidR="00CB0A5B" w:rsidRPr="008A2917" w:rsidRDefault="00CB0A5B" w:rsidP="00387896">
      <w:pPr>
        <w:pStyle w:val="ListParagraph"/>
        <w:widowControl/>
        <w:numPr>
          <w:ilvl w:val="1"/>
          <w:numId w:val="1"/>
        </w:numPr>
        <w:spacing w:after="0"/>
      </w:pPr>
      <w:r w:rsidRPr="008A2917">
        <w:t xml:space="preserve">The PBAC has previously considered that, based on </w:t>
      </w:r>
      <w:r w:rsidR="00D21B8D" w:rsidRPr="008A2917">
        <w:t>the FIM12 randomised controlled trial</w:t>
      </w:r>
      <w:r w:rsidRPr="008A2917">
        <w:t xml:space="preserve">, for every 1,000 patients </w:t>
      </w:r>
      <w:r w:rsidR="002607D3" w:rsidRPr="008A2917">
        <w:t xml:space="preserve">vaccinated </w:t>
      </w:r>
      <w:r w:rsidRPr="008A2917">
        <w:t xml:space="preserve">with TIV-HD </w:t>
      </w:r>
      <w:r w:rsidR="00C020F7" w:rsidRPr="008A2917">
        <w:t>vs</w:t>
      </w:r>
      <w:r w:rsidRPr="008A2917">
        <w:t xml:space="preserve"> TIV-SD:</w:t>
      </w:r>
    </w:p>
    <w:p w:rsidR="00CB0A5B" w:rsidRPr="008A2917" w:rsidRDefault="00CB0A5B" w:rsidP="00387896">
      <w:pPr>
        <w:pStyle w:val="Intextbulletpoints"/>
        <w:widowControl/>
        <w:rPr>
          <w:lang w:val="en-AU"/>
        </w:rPr>
      </w:pPr>
      <w:r w:rsidRPr="008A2917">
        <w:rPr>
          <w:lang w:val="en-AU"/>
        </w:rPr>
        <w:t xml:space="preserve">Approximately 4 fewer patients would have the protocol-defined influenza like illness; </w:t>
      </w:r>
    </w:p>
    <w:p w:rsidR="00CB0A5B" w:rsidRPr="008A2917" w:rsidRDefault="00CB0A5B" w:rsidP="00387896">
      <w:pPr>
        <w:pStyle w:val="Intextbulletpoints"/>
        <w:widowControl/>
        <w:rPr>
          <w:lang w:val="en-AU"/>
        </w:rPr>
      </w:pPr>
      <w:r w:rsidRPr="008A2917">
        <w:rPr>
          <w:lang w:val="en-AU"/>
        </w:rPr>
        <w:t xml:space="preserve">Approximately 7 fewer patients would have </w:t>
      </w:r>
      <w:r w:rsidR="002607D3" w:rsidRPr="008A2917">
        <w:rPr>
          <w:lang w:val="en-AU"/>
        </w:rPr>
        <w:t xml:space="preserve">a </w:t>
      </w:r>
      <w:r w:rsidRPr="008A2917">
        <w:rPr>
          <w:lang w:val="en-AU"/>
        </w:rPr>
        <w:t>hospitalisation;</w:t>
      </w:r>
    </w:p>
    <w:p w:rsidR="00CB0A5B" w:rsidRPr="008A2917" w:rsidRDefault="00CB0A5B" w:rsidP="00387896">
      <w:pPr>
        <w:pStyle w:val="Intextbulletpoints"/>
        <w:widowControl/>
        <w:rPr>
          <w:lang w:val="en-AU"/>
        </w:rPr>
      </w:pPr>
      <w:r w:rsidRPr="008A2917">
        <w:rPr>
          <w:lang w:val="en-AU"/>
        </w:rPr>
        <w:t xml:space="preserve">Approximately 3 fewer patients would have </w:t>
      </w:r>
      <w:r w:rsidR="002607D3" w:rsidRPr="008A2917">
        <w:rPr>
          <w:lang w:val="en-AU"/>
        </w:rPr>
        <w:t xml:space="preserve">a </w:t>
      </w:r>
      <w:r w:rsidRPr="008A2917">
        <w:rPr>
          <w:lang w:val="en-AU"/>
        </w:rPr>
        <w:t>pneumonia event;</w:t>
      </w:r>
    </w:p>
    <w:p w:rsidR="00CB0A5B" w:rsidRPr="008A2917" w:rsidRDefault="00CB0A5B" w:rsidP="00387896">
      <w:pPr>
        <w:pStyle w:val="Intextbulletpoints"/>
        <w:widowControl/>
        <w:rPr>
          <w:lang w:val="en-AU"/>
        </w:rPr>
      </w:pPr>
      <w:r w:rsidRPr="008A2917">
        <w:rPr>
          <w:lang w:val="en-AU"/>
        </w:rPr>
        <w:t>Approximately 8 fewer serious adverse events;</w:t>
      </w:r>
    </w:p>
    <w:p w:rsidR="00CB0A5B" w:rsidRPr="008A2917" w:rsidRDefault="00CB0A5B" w:rsidP="00387896">
      <w:pPr>
        <w:pStyle w:val="Intextbulletpoints"/>
        <w:widowControl/>
        <w:rPr>
          <w:lang w:val="en-AU"/>
        </w:rPr>
      </w:pPr>
      <w:r w:rsidRPr="008A2917">
        <w:rPr>
          <w:lang w:val="en-AU"/>
        </w:rPr>
        <w:t>Approximately 95 additional solicited reactions;</w:t>
      </w:r>
    </w:p>
    <w:p w:rsidR="00CB0A5B" w:rsidRPr="008A2917" w:rsidRDefault="00CB0A5B" w:rsidP="00387896">
      <w:pPr>
        <w:pStyle w:val="Intextbulletpoints"/>
        <w:widowControl/>
        <w:rPr>
          <w:lang w:val="en-AU"/>
        </w:rPr>
      </w:pPr>
      <w:r w:rsidRPr="008A2917">
        <w:rPr>
          <w:lang w:val="en-AU"/>
        </w:rPr>
        <w:t>Approximately 105 additional solicited injection site reactions; and</w:t>
      </w:r>
    </w:p>
    <w:p w:rsidR="00CB0A5B" w:rsidRPr="008A2917" w:rsidRDefault="00CB0A5B" w:rsidP="00387896">
      <w:pPr>
        <w:pStyle w:val="Intextbulletpoints"/>
        <w:widowControl/>
        <w:rPr>
          <w:lang w:val="en-AU"/>
        </w:rPr>
      </w:pPr>
      <w:r w:rsidRPr="008A2917">
        <w:rPr>
          <w:lang w:val="en-AU"/>
        </w:rPr>
        <w:t>Approximately 49 additional solicited systemic reactions (para. 6.2, p6, TIV-HDPSD, July 2018).</w:t>
      </w:r>
    </w:p>
    <w:p w:rsidR="004F54B0" w:rsidRPr="008A2917" w:rsidRDefault="00CB0A5B" w:rsidP="00387896">
      <w:pPr>
        <w:pStyle w:val="ListParagraph"/>
        <w:widowControl/>
        <w:numPr>
          <w:ilvl w:val="1"/>
          <w:numId w:val="1"/>
        </w:numPr>
        <w:spacing w:after="0"/>
      </w:pPr>
      <w:r w:rsidRPr="008A2917">
        <w:t xml:space="preserve">The comparison of TIV-HD vs </w:t>
      </w:r>
      <w:proofErr w:type="spellStart"/>
      <w:r w:rsidR="004922B5" w:rsidRPr="008A2917">
        <w:t>aTIV</w:t>
      </w:r>
      <w:proofErr w:type="spellEnd"/>
      <w:r w:rsidR="00280E03" w:rsidRPr="008A2917">
        <w:t xml:space="preserve"> was</w:t>
      </w:r>
      <w:r w:rsidRPr="008A2917">
        <w:t xml:space="preserve"> based on the </w:t>
      </w:r>
      <w:proofErr w:type="spellStart"/>
      <w:r w:rsidR="00240F35" w:rsidRPr="008A2917">
        <w:t>Izurieta</w:t>
      </w:r>
      <w:proofErr w:type="spellEnd"/>
      <w:r w:rsidR="00240F35" w:rsidRPr="008A2917">
        <w:t xml:space="preserve"> </w:t>
      </w:r>
      <w:r w:rsidRPr="008A2917">
        <w:t>observational study</w:t>
      </w:r>
      <w:r w:rsidR="00280E03" w:rsidRPr="008A2917">
        <w:t xml:space="preserve">. This </w:t>
      </w:r>
      <w:r w:rsidRPr="008A2917">
        <w:t xml:space="preserve">did not allow for a quantitative comparison of the benefits and harms of TIV-HD and </w:t>
      </w:r>
      <w:proofErr w:type="spellStart"/>
      <w:r w:rsidR="004922B5" w:rsidRPr="008A2917">
        <w:t>aTIV</w:t>
      </w:r>
      <w:proofErr w:type="spellEnd"/>
      <w:r w:rsidRPr="008A2917">
        <w:t xml:space="preserve">. </w:t>
      </w:r>
      <w:r w:rsidRPr="008A2917">
        <w:rPr>
          <w:iCs/>
        </w:rPr>
        <w:t xml:space="preserve">Accordingly, a benefits/harms table </w:t>
      </w:r>
      <w:r w:rsidR="00280E03" w:rsidRPr="008A2917">
        <w:rPr>
          <w:iCs/>
        </w:rPr>
        <w:t xml:space="preserve">was not </w:t>
      </w:r>
      <w:r w:rsidRPr="008A2917">
        <w:rPr>
          <w:iCs/>
        </w:rPr>
        <w:t>presented.</w:t>
      </w:r>
    </w:p>
    <w:p w:rsidR="00D03D21" w:rsidRPr="008A2917" w:rsidRDefault="00D03D21" w:rsidP="00387896">
      <w:pPr>
        <w:widowControl/>
      </w:pPr>
    </w:p>
    <w:p w:rsidR="00CB0A5B" w:rsidRPr="008A2917" w:rsidRDefault="00CB0A5B" w:rsidP="00387896">
      <w:pPr>
        <w:pStyle w:val="Heading2"/>
      </w:pPr>
      <w:bookmarkStart w:id="22" w:name="_Toc18942066"/>
      <w:r w:rsidRPr="008A2917">
        <w:t>Clinical claim</w:t>
      </w:r>
      <w:bookmarkEnd w:id="22"/>
    </w:p>
    <w:p w:rsidR="00CE42D8" w:rsidRPr="008A2917" w:rsidRDefault="00CE42D8" w:rsidP="00387896">
      <w:pPr>
        <w:widowControl/>
        <w:rPr>
          <w:u w:val="single"/>
        </w:rPr>
      </w:pPr>
      <w:r w:rsidRPr="008A2917">
        <w:rPr>
          <w:u w:val="single"/>
        </w:rPr>
        <w:t>TIV-HD vs TIV-SD</w:t>
      </w:r>
    </w:p>
    <w:p w:rsidR="007550AB" w:rsidRPr="008A2917" w:rsidRDefault="00987851" w:rsidP="00387896">
      <w:pPr>
        <w:pStyle w:val="ListParagraph"/>
        <w:widowControl/>
        <w:numPr>
          <w:ilvl w:val="1"/>
          <w:numId w:val="1"/>
        </w:numPr>
      </w:pPr>
      <w:r w:rsidRPr="008A2917">
        <w:t>Consistent with</w:t>
      </w:r>
      <w:r w:rsidR="00805673" w:rsidRPr="008A2917">
        <w:t xml:space="preserve"> the</w:t>
      </w:r>
      <w:r w:rsidR="007550AB" w:rsidRPr="008A2917">
        <w:t xml:space="preserve"> previous submission</w:t>
      </w:r>
      <w:r w:rsidRPr="008A2917">
        <w:t>, this submission</w:t>
      </w:r>
      <w:r w:rsidR="007550AB" w:rsidRPr="008A2917">
        <w:t xml:space="preserve"> claimed that:</w:t>
      </w:r>
    </w:p>
    <w:p w:rsidR="007550AB" w:rsidRPr="008A2917" w:rsidRDefault="007550AB" w:rsidP="00387896">
      <w:pPr>
        <w:pStyle w:val="Intextbulletpoints"/>
        <w:widowControl/>
        <w:rPr>
          <w:lang w:val="en-AU"/>
        </w:rPr>
      </w:pPr>
      <w:r w:rsidRPr="008A2917">
        <w:rPr>
          <w:lang w:val="en-AU"/>
        </w:rPr>
        <w:t xml:space="preserve">TIV-HD is superior to TIV-SD in terms of </w:t>
      </w:r>
      <w:r w:rsidR="001B0379" w:rsidRPr="008A2917">
        <w:rPr>
          <w:lang w:val="en-AU"/>
        </w:rPr>
        <w:t xml:space="preserve">a </w:t>
      </w:r>
      <w:r w:rsidRPr="008A2917">
        <w:rPr>
          <w:lang w:val="en-AU"/>
        </w:rPr>
        <w:t>reduction in cases of clinically diagnosed and laboratory confirmed influenza</w:t>
      </w:r>
      <w:r w:rsidR="001B0379" w:rsidRPr="008A2917">
        <w:rPr>
          <w:lang w:val="en-AU"/>
        </w:rPr>
        <w:t>;</w:t>
      </w:r>
      <w:r w:rsidR="00805673" w:rsidRPr="008A2917">
        <w:rPr>
          <w:lang w:val="en-AU"/>
        </w:rPr>
        <w:t xml:space="preserve"> </w:t>
      </w:r>
    </w:p>
    <w:p w:rsidR="007550AB" w:rsidRPr="008A2917" w:rsidRDefault="007550AB" w:rsidP="00387896">
      <w:pPr>
        <w:pStyle w:val="Intextbulletpoints"/>
        <w:widowControl/>
        <w:rPr>
          <w:lang w:val="en-AU"/>
        </w:rPr>
      </w:pPr>
      <w:r w:rsidRPr="008A2917">
        <w:rPr>
          <w:lang w:val="en-AU"/>
        </w:rPr>
        <w:t>TIV-HD is superior to TIV-SD in terms of reduction in cardiorespiratory hospitalisations</w:t>
      </w:r>
      <w:r w:rsidR="00E14789" w:rsidRPr="008A2917">
        <w:rPr>
          <w:lang w:val="en-AU"/>
        </w:rPr>
        <w:t xml:space="preserve">. The ESC previously noted a reduction in </w:t>
      </w:r>
      <w:r w:rsidR="004F3800" w:rsidRPr="008A2917">
        <w:rPr>
          <w:lang w:val="en-AU"/>
        </w:rPr>
        <w:t>pneumonia</w:t>
      </w:r>
      <w:r w:rsidR="00E14789" w:rsidRPr="008A2917">
        <w:rPr>
          <w:lang w:val="en-AU"/>
        </w:rPr>
        <w:t xml:space="preserve"> hospitalisations was observed</w:t>
      </w:r>
      <w:r w:rsidR="004F3800" w:rsidRPr="008A2917">
        <w:rPr>
          <w:lang w:val="en-AU"/>
        </w:rPr>
        <w:t xml:space="preserve"> but </w:t>
      </w:r>
      <w:r w:rsidR="00E716B6" w:rsidRPr="008A2917">
        <w:rPr>
          <w:lang w:val="en-AU"/>
        </w:rPr>
        <w:t xml:space="preserve">a reduction </w:t>
      </w:r>
      <w:r w:rsidR="004F3800" w:rsidRPr="008A2917">
        <w:rPr>
          <w:lang w:val="en-AU"/>
        </w:rPr>
        <w:t xml:space="preserve">in other cardiorespiratory </w:t>
      </w:r>
      <w:r w:rsidR="00E716B6" w:rsidRPr="008A2917">
        <w:rPr>
          <w:lang w:val="en-AU"/>
        </w:rPr>
        <w:t>hospitalisations was not observed</w:t>
      </w:r>
      <w:r w:rsidR="007455E5" w:rsidRPr="008A2917">
        <w:rPr>
          <w:lang w:val="en-AU"/>
        </w:rPr>
        <w:t>;</w:t>
      </w:r>
      <w:r w:rsidR="00805673" w:rsidRPr="008A2917">
        <w:rPr>
          <w:lang w:val="en-AU"/>
        </w:rPr>
        <w:t xml:space="preserve"> </w:t>
      </w:r>
      <w:r w:rsidRPr="008A2917">
        <w:rPr>
          <w:lang w:val="en-AU"/>
        </w:rPr>
        <w:t>and</w:t>
      </w:r>
    </w:p>
    <w:p w:rsidR="00AA3302" w:rsidRPr="008A2917" w:rsidRDefault="00AA3302" w:rsidP="00387896">
      <w:pPr>
        <w:pStyle w:val="Intextbulletpoints"/>
        <w:widowControl/>
        <w:rPr>
          <w:lang w:val="en-AU"/>
        </w:rPr>
      </w:pPr>
      <w:r w:rsidRPr="008A2917">
        <w:rPr>
          <w:lang w:val="en-AU"/>
        </w:rPr>
        <w:t>TIV-HD is well tolerated with an acceptable safety profile</w:t>
      </w:r>
      <w:r w:rsidR="008A2917">
        <w:rPr>
          <w:lang w:val="en-AU"/>
        </w:rPr>
        <w:t xml:space="preserve">. </w:t>
      </w:r>
    </w:p>
    <w:p w:rsidR="007268B1" w:rsidRPr="008A2917" w:rsidRDefault="007268B1" w:rsidP="007268B1">
      <w:pPr>
        <w:pStyle w:val="ListParagraph"/>
        <w:widowControl/>
        <w:numPr>
          <w:ilvl w:val="1"/>
          <w:numId w:val="1"/>
        </w:numPr>
      </w:pPr>
      <w:r w:rsidRPr="008A2917">
        <w:t xml:space="preserve">The PBAC </w:t>
      </w:r>
      <w:r w:rsidR="001B0379" w:rsidRPr="008A2917">
        <w:t xml:space="preserve">reiterated </w:t>
      </w:r>
      <w:r w:rsidRPr="008A2917">
        <w:t>that the claim of superior comparative effectiveness was reasonable</w:t>
      </w:r>
      <w:r w:rsidR="00341BAA" w:rsidRPr="008A2917">
        <w:t xml:space="preserve"> and </w:t>
      </w:r>
      <w:r w:rsidRPr="008A2917">
        <w:t>adequately supported by the data.</w:t>
      </w:r>
    </w:p>
    <w:p w:rsidR="007268B1" w:rsidRPr="008A2917" w:rsidRDefault="007268B1" w:rsidP="007268B1">
      <w:pPr>
        <w:pStyle w:val="ListParagraph"/>
        <w:widowControl/>
        <w:numPr>
          <w:ilvl w:val="1"/>
          <w:numId w:val="1"/>
        </w:numPr>
      </w:pPr>
      <w:r w:rsidRPr="008A2917">
        <w:t xml:space="preserve">The PBAC </w:t>
      </w:r>
      <w:r w:rsidR="001B0379" w:rsidRPr="008A2917">
        <w:t xml:space="preserve">reiterated </w:t>
      </w:r>
      <w:r w:rsidRPr="008A2917">
        <w:t xml:space="preserve">that the claim of </w:t>
      </w:r>
      <w:r w:rsidR="00341BAA" w:rsidRPr="008A2917">
        <w:t>acceptable</w:t>
      </w:r>
      <w:r w:rsidRPr="008A2917">
        <w:t xml:space="preserve"> comparative safety was reasonable</w:t>
      </w:r>
      <w:r w:rsidR="00341BAA" w:rsidRPr="008A2917">
        <w:t xml:space="preserve"> and</w:t>
      </w:r>
      <w:r w:rsidRPr="008A2917">
        <w:t xml:space="preserve"> adequately supported by the data.</w:t>
      </w:r>
    </w:p>
    <w:p w:rsidR="00CE42D8" w:rsidRPr="008A2917" w:rsidRDefault="00CE42D8" w:rsidP="00387896">
      <w:pPr>
        <w:widowControl/>
        <w:rPr>
          <w:u w:val="single"/>
        </w:rPr>
      </w:pPr>
      <w:r w:rsidRPr="008A2917">
        <w:rPr>
          <w:u w:val="single"/>
        </w:rPr>
        <w:t>TIV-HD vs QIV-SD</w:t>
      </w:r>
    </w:p>
    <w:p w:rsidR="00E973CA" w:rsidRPr="008A2917" w:rsidRDefault="00E973CA" w:rsidP="00387896">
      <w:pPr>
        <w:pStyle w:val="ListParagraph"/>
        <w:widowControl/>
        <w:numPr>
          <w:ilvl w:val="1"/>
          <w:numId w:val="1"/>
        </w:numPr>
      </w:pPr>
      <w:r w:rsidRPr="008A2917">
        <w:t xml:space="preserve">The previous submission claimed that the additional disease burden due to the alternative B lineage excluded from TIV-HD will be offset by the additional protection provided against the common vaccine strains, due to the superior protection afforded by the vaccine against the A/H3 strain, relative to TIV-SD. </w:t>
      </w:r>
      <w:r w:rsidR="007A5FA3" w:rsidRPr="008A2917">
        <w:t xml:space="preserve">The PBAC previously noted that the extrapolation of </w:t>
      </w:r>
      <w:r w:rsidR="00CE42D8" w:rsidRPr="008A2917">
        <w:t xml:space="preserve">benefit of TIV-HD over TIV-SD </w:t>
      </w:r>
      <w:r w:rsidR="007A5FA3" w:rsidRPr="008A2917">
        <w:t>to QIV-SD was uncertain given the marked variation in B strain prevalence across difference influenza seasons (para 6.32, p14, TIV-HD PSD, July 2018</w:t>
      </w:r>
      <w:r w:rsidR="00A82C42" w:rsidRPr="008A2917">
        <w:t>) and</w:t>
      </w:r>
      <w:r w:rsidR="008F5F41" w:rsidRPr="008A2917">
        <w:t xml:space="preserve"> </w:t>
      </w:r>
      <w:r w:rsidR="007A5FA3" w:rsidRPr="008A2917">
        <w:t xml:space="preserve">that while TIV-HD is likely to be superior to QIV-SD in people aged </w:t>
      </w:r>
      <w:r w:rsidR="007A5FA3" w:rsidRPr="008A2917">
        <w:rPr>
          <w:rFonts w:cs="Calibri"/>
        </w:rPr>
        <w:t>≥</w:t>
      </w:r>
      <w:r w:rsidR="007A5FA3" w:rsidRPr="008A2917">
        <w:t xml:space="preserve"> 65 years</w:t>
      </w:r>
      <w:r w:rsidR="00193BA7" w:rsidRPr="008A2917">
        <w:t xml:space="preserve"> on average</w:t>
      </w:r>
      <w:r w:rsidR="007A5FA3" w:rsidRPr="008A2917">
        <w:t xml:space="preserve">, the size of </w:t>
      </w:r>
      <w:r w:rsidR="00193BA7" w:rsidRPr="008A2917">
        <w:t xml:space="preserve">any </w:t>
      </w:r>
      <w:r w:rsidR="007A5FA3" w:rsidRPr="008A2917">
        <w:t xml:space="preserve">additional benefit of TIV-HD </w:t>
      </w:r>
      <w:r w:rsidR="00193BA7" w:rsidRPr="008A2917">
        <w:t xml:space="preserve">over QIV-SD </w:t>
      </w:r>
      <w:r w:rsidR="007A5FA3" w:rsidRPr="008A2917">
        <w:t>is uncertain given the loss of the additional B strain (para 7.6, p26, TIV-HD PSD, July 2018).</w:t>
      </w:r>
    </w:p>
    <w:p w:rsidR="00E77F14" w:rsidRPr="008A2917" w:rsidRDefault="002B793A" w:rsidP="00387896">
      <w:pPr>
        <w:pStyle w:val="ListParagraph"/>
        <w:widowControl/>
        <w:numPr>
          <w:ilvl w:val="1"/>
          <w:numId w:val="1"/>
        </w:numPr>
      </w:pPr>
      <w:r w:rsidRPr="008A2917">
        <w:t>The PSCR</w:t>
      </w:r>
      <w:r w:rsidR="00560C08" w:rsidRPr="008A2917">
        <w:t xml:space="preserve"> </w:t>
      </w:r>
      <w:r w:rsidR="00147BD7" w:rsidRPr="008A2917">
        <w:t>stated</w:t>
      </w:r>
      <w:r w:rsidRPr="008A2917">
        <w:t xml:space="preserve"> that </w:t>
      </w:r>
      <w:proofErr w:type="spellStart"/>
      <w:r w:rsidR="00240F35" w:rsidRPr="008A2917">
        <w:t>Izurieta</w:t>
      </w:r>
      <w:proofErr w:type="spellEnd"/>
      <w:r w:rsidR="006977BA" w:rsidRPr="008A2917">
        <w:t xml:space="preserve"> </w:t>
      </w:r>
      <w:r w:rsidRPr="008A2917">
        <w:t>represented t</w:t>
      </w:r>
      <w:r w:rsidR="00862D80" w:rsidRPr="008A2917">
        <w:t>he</w:t>
      </w:r>
      <w:r w:rsidRPr="008A2917">
        <w:t xml:space="preserve"> best </w:t>
      </w:r>
      <w:r w:rsidR="00266298" w:rsidRPr="008A2917">
        <w:t>available</w:t>
      </w:r>
      <w:r w:rsidRPr="008A2917">
        <w:t xml:space="preserve"> evidence to inform comparison </w:t>
      </w:r>
      <w:r w:rsidR="00266298" w:rsidRPr="008A2917">
        <w:t xml:space="preserve">of TIV-HD with QIV-SD, noting that the use of </w:t>
      </w:r>
      <w:r w:rsidR="00560D12" w:rsidRPr="008A2917">
        <w:t>IPTW</w:t>
      </w:r>
      <w:r w:rsidR="00F3449A" w:rsidRPr="008A2917">
        <w:t xml:space="preserve"> e</w:t>
      </w:r>
      <w:r w:rsidR="00266298" w:rsidRPr="008A2917">
        <w:t>ffectively balanced the cohorts of this observational study and that it was unlikely that any unknown confounders would have played a significant role in the observed results</w:t>
      </w:r>
      <w:r w:rsidR="008A2917">
        <w:t xml:space="preserve">. </w:t>
      </w:r>
      <w:r w:rsidR="00266298" w:rsidRPr="008A2917">
        <w:t xml:space="preserve">The PSCR </w:t>
      </w:r>
      <w:r w:rsidR="00560C08" w:rsidRPr="008A2917">
        <w:t>also</w:t>
      </w:r>
      <w:r w:rsidR="00266298" w:rsidRPr="008A2917">
        <w:t xml:space="preserve"> note</w:t>
      </w:r>
      <w:r w:rsidR="00560C08" w:rsidRPr="008A2917">
        <w:t>d</w:t>
      </w:r>
      <w:r w:rsidR="00266298" w:rsidRPr="008A2917">
        <w:t xml:space="preserve"> that in all seasons from 2002 to 2016 the additional efficacy of TIV-HD over QIV-SD outweighed the loss of the additional B strain because the incremental efficacy was approximately the same for TI</w:t>
      </w:r>
      <w:r w:rsidR="00E35D6F" w:rsidRPr="008A2917">
        <w:t>V</w:t>
      </w:r>
      <w:r w:rsidR="00266298" w:rsidRPr="008A2917">
        <w:t>-HD over QIV-SD in matched strains and in QIV-SD over TIV-HD in mismatched strains</w:t>
      </w:r>
      <w:r w:rsidR="001B0379" w:rsidRPr="008A2917">
        <w:t>,</w:t>
      </w:r>
      <w:r w:rsidR="00266298" w:rsidRPr="008A2917">
        <w:t xml:space="preserve"> and </w:t>
      </w:r>
      <w:r w:rsidR="001B0379" w:rsidRPr="008A2917">
        <w:t xml:space="preserve">the </w:t>
      </w:r>
      <w:r w:rsidR="00266298" w:rsidRPr="008A2917">
        <w:t>matched strains were consistently more prevalent than the mismatched strain.</w:t>
      </w:r>
    </w:p>
    <w:p w:rsidR="00A82C42" w:rsidRPr="008A2917" w:rsidRDefault="00A82C42" w:rsidP="00387896">
      <w:pPr>
        <w:pStyle w:val="ListParagraph"/>
        <w:widowControl/>
        <w:numPr>
          <w:ilvl w:val="1"/>
          <w:numId w:val="1"/>
        </w:numPr>
      </w:pPr>
      <w:r w:rsidRPr="008A2917">
        <w:t>The ESC</w:t>
      </w:r>
      <w:r w:rsidR="0002262A" w:rsidRPr="008A2917">
        <w:t xml:space="preserve"> considered that the </w:t>
      </w:r>
      <w:r w:rsidR="004833B7" w:rsidRPr="008A2917">
        <w:t>size of any additional benefit of TIV-HD over QIV-SD</w:t>
      </w:r>
      <w:r w:rsidR="00560C08" w:rsidRPr="008A2917">
        <w:t xml:space="preserve"> remained uncertain</w:t>
      </w:r>
      <w:r w:rsidR="0002262A" w:rsidRPr="008A2917">
        <w:t>.</w:t>
      </w:r>
    </w:p>
    <w:p w:rsidR="00F3449A" w:rsidRPr="008A2917" w:rsidRDefault="00F3449A" w:rsidP="00387896">
      <w:pPr>
        <w:pStyle w:val="ListParagraph"/>
        <w:widowControl/>
        <w:numPr>
          <w:ilvl w:val="1"/>
          <w:numId w:val="1"/>
        </w:numPr>
      </w:pPr>
      <w:r w:rsidRPr="008A2917">
        <w:rPr>
          <w:rFonts w:cs="Calibri"/>
          <w:snapToGrid/>
          <w:szCs w:val="24"/>
          <w:lang w:eastAsia="en-AU"/>
        </w:rPr>
        <w:lastRenderedPageBreak/>
        <w:t>The Pre-PBAC Response stated that the claim of superiority for TIV-HD over QIV-SD was primarily based on outcomes from FIM12, which provided a robust basis for determining incremental effectiveness of TIV-HD against TIV-SD with adjustment to account for the lost B strain in TIV-HD against QIV-SD.</w:t>
      </w:r>
    </w:p>
    <w:p w:rsidR="007268B1" w:rsidRPr="008A2917" w:rsidRDefault="007268B1" w:rsidP="007268B1">
      <w:pPr>
        <w:pStyle w:val="ListParagraph"/>
        <w:widowControl/>
        <w:numPr>
          <w:ilvl w:val="1"/>
          <w:numId w:val="1"/>
        </w:numPr>
      </w:pPr>
      <w:r w:rsidRPr="008A2917">
        <w:t>The PBAC considered that the claim of superior comparative effectiveness was reasonable</w:t>
      </w:r>
      <w:r w:rsidR="00341BAA" w:rsidRPr="008A2917">
        <w:t xml:space="preserve"> and</w:t>
      </w:r>
      <w:r w:rsidRPr="008A2917">
        <w:t xml:space="preserve"> adequately supported by the data.</w:t>
      </w:r>
    </w:p>
    <w:p w:rsidR="00341BAA" w:rsidRPr="008A2917" w:rsidRDefault="00341BAA" w:rsidP="00341BAA">
      <w:pPr>
        <w:pStyle w:val="ListParagraph"/>
        <w:widowControl/>
        <w:numPr>
          <w:ilvl w:val="1"/>
          <w:numId w:val="1"/>
        </w:numPr>
      </w:pPr>
      <w:r w:rsidRPr="008A2917">
        <w:t>The PBAC considered that the claim of acceptable comparative safety was reasonable and adequately supported by the data.</w:t>
      </w:r>
    </w:p>
    <w:p w:rsidR="00CE42D8" w:rsidRPr="008A2917" w:rsidRDefault="00CE42D8" w:rsidP="00387896">
      <w:pPr>
        <w:keepNext/>
        <w:widowControl/>
        <w:rPr>
          <w:u w:val="single"/>
        </w:rPr>
      </w:pPr>
      <w:r w:rsidRPr="008A2917">
        <w:rPr>
          <w:u w:val="single"/>
        </w:rPr>
        <w:t xml:space="preserve">TIV-HD vs </w:t>
      </w:r>
      <w:proofErr w:type="spellStart"/>
      <w:r w:rsidRPr="008A2917">
        <w:rPr>
          <w:u w:val="single"/>
        </w:rPr>
        <w:t>aTIV</w:t>
      </w:r>
      <w:proofErr w:type="spellEnd"/>
    </w:p>
    <w:p w:rsidR="00280E03" w:rsidRPr="008A2917" w:rsidRDefault="00280E03" w:rsidP="00387896">
      <w:pPr>
        <w:pStyle w:val="Bulletpoints"/>
        <w:widowControl/>
        <w:numPr>
          <w:ilvl w:val="1"/>
          <w:numId w:val="1"/>
        </w:numPr>
      </w:pPr>
      <w:r w:rsidRPr="008A2917">
        <w:t xml:space="preserve">The resubmission claimed that TIV-HD is superior to </w:t>
      </w:r>
      <w:proofErr w:type="spellStart"/>
      <w:r w:rsidR="004922B5" w:rsidRPr="008A2917">
        <w:t>aTIV</w:t>
      </w:r>
      <w:proofErr w:type="spellEnd"/>
      <w:r w:rsidRPr="008A2917">
        <w:t xml:space="preserve"> in terms of effectiveness and non-inferior in terms of safety based on </w:t>
      </w:r>
      <w:proofErr w:type="spellStart"/>
      <w:r w:rsidR="00240F35" w:rsidRPr="008A2917">
        <w:t>Izurieta</w:t>
      </w:r>
      <w:proofErr w:type="spellEnd"/>
      <w:r w:rsidRPr="008A2917">
        <w:t xml:space="preserve">. </w:t>
      </w:r>
      <w:proofErr w:type="spellStart"/>
      <w:r w:rsidR="00240F35" w:rsidRPr="008A2917">
        <w:rPr>
          <w:iCs/>
        </w:rPr>
        <w:t>Izurieta</w:t>
      </w:r>
      <w:proofErr w:type="spellEnd"/>
      <w:r w:rsidR="00240F35" w:rsidRPr="008A2917">
        <w:rPr>
          <w:iCs/>
        </w:rPr>
        <w:t xml:space="preserve"> </w:t>
      </w:r>
      <w:r w:rsidRPr="008A2917">
        <w:rPr>
          <w:iCs/>
        </w:rPr>
        <w:t xml:space="preserve">showed that TIV-HD was statistically significantly more effective than </w:t>
      </w:r>
      <w:proofErr w:type="spellStart"/>
      <w:r w:rsidR="004922B5" w:rsidRPr="008A2917">
        <w:rPr>
          <w:iCs/>
        </w:rPr>
        <w:t>aTIV</w:t>
      </w:r>
      <w:proofErr w:type="spellEnd"/>
      <w:r w:rsidR="00560C08" w:rsidRPr="008A2917">
        <w:rPr>
          <w:iCs/>
        </w:rPr>
        <w:t xml:space="preserve">, although this study </w:t>
      </w:r>
      <w:r w:rsidR="00444789" w:rsidRPr="008A2917">
        <w:rPr>
          <w:iCs/>
        </w:rPr>
        <w:t xml:space="preserve">was observational </w:t>
      </w:r>
      <w:r w:rsidR="007B4A0B" w:rsidRPr="008A2917">
        <w:rPr>
          <w:iCs/>
        </w:rPr>
        <w:t>in design</w:t>
      </w:r>
      <w:r w:rsidR="00444789" w:rsidRPr="008A2917">
        <w:rPr>
          <w:iCs/>
        </w:rPr>
        <w:t xml:space="preserve"> with moderate to high risk of bias</w:t>
      </w:r>
      <w:r w:rsidR="007B4A0B" w:rsidRPr="008A2917">
        <w:rPr>
          <w:iCs/>
        </w:rPr>
        <w:t xml:space="preserve"> and was</w:t>
      </w:r>
      <w:r w:rsidR="00444789" w:rsidRPr="008A2917">
        <w:rPr>
          <w:iCs/>
        </w:rPr>
        <w:t xml:space="preserve"> conducted in the US during a single influenza season (2017/18). </w:t>
      </w:r>
      <w:r w:rsidRPr="008A2917">
        <w:rPr>
          <w:iCs/>
        </w:rPr>
        <w:t>It has a high level of bias primarily due to unmeasured confounding and non-randomisation of participants</w:t>
      </w:r>
      <w:r w:rsidR="00193BA7" w:rsidRPr="008A2917">
        <w:rPr>
          <w:iCs/>
        </w:rPr>
        <w:t>.</w:t>
      </w:r>
      <w:r w:rsidRPr="008A2917">
        <w:rPr>
          <w:iCs/>
        </w:rPr>
        <w:t xml:space="preserve"> </w:t>
      </w:r>
      <w:r w:rsidR="007B4A0B" w:rsidRPr="008A2917">
        <w:rPr>
          <w:iCs/>
        </w:rPr>
        <w:t xml:space="preserve">Further the setting for the study differed to that for the NIP, with likely </w:t>
      </w:r>
      <w:r w:rsidRPr="008A2917">
        <w:rPr>
          <w:iCs/>
        </w:rPr>
        <w:t xml:space="preserve">differences in the strain and severity of influenza seasons. </w:t>
      </w:r>
    </w:p>
    <w:p w:rsidR="00E716B6" w:rsidRPr="008A2917" w:rsidRDefault="0002262A" w:rsidP="00387896">
      <w:pPr>
        <w:pStyle w:val="ListParagraph"/>
        <w:widowControl/>
        <w:numPr>
          <w:ilvl w:val="1"/>
          <w:numId w:val="1"/>
        </w:numPr>
      </w:pPr>
      <w:r w:rsidRPr="008A2917">
        <w:t xml:space="preserve">The ESC considered that the </w:t>
      </w:r>
      <w:r w:rsidR="007B4A0B" w:rsidRPr="008A2917">
        <w:t xml:space="preserve">size of any additional benefit of TIV-HD over </w:t>
      </w:r>
      <w:proofErr w:type="spellStart"/>
      <w:r w:rsidR="007B4A0B" w:rsidRPr="008A2917">
        <w:t>aTIV</w:t>
      </w:r>
      <w:proofErr w:type="spellEnd"/>
      <w:r w:rsidR="007B4A0B" w:rsidRPr="008A2917">
        <w:t xml:space="preserve"> was uncertain</w:t>
      </w:r>
      <w:r w:rsidRPr="008A2917">
        <w:t>.</w:t>
      </w:r>
      <w:r w:rsidR="00062637" w:rsidRPr="008A2917">
        <w:t xml:space="preserve"> </w:t>
      </w:r>
    </w:p>
    <w:p w:rsidR="0078046D" w:rsidRPr="008A2917" w:rsidRDefault="00E716B6" w:rsidP="0078046D">
      <w:pPr>
        <w:pStyle w:val="ListParagraph"/>
        <w:widowControl/>
        <w:numPr>
          <w:ilvl w:val="1"/>
          <w:numId w:val="1"/>
        </w:numPr>
      </w:pPr>
      <w:r w:rsidRPr="008A2917">
        <w:t xml:space="preserve">The ESC noted the </w:t>
      </w:r>
      <w:proofErr w:type="spellStart"/>
      <w:r w:rsidRPr="008A2917">
        <w:t>rVE</w:t>
      </w:r>
      <w:proofErr w:type="spellEnd"/>
      <w:r w:rsidRPr="008A2917">
        <w:t xml:space="preserve"> in the economic model was based on an indirect comparison of TIV-HD and </w:t>
      </w:r>
      <w:proofErr w:type="spellStart"/>
      <w:r w:rsidRPr="008A2917">
        <w:t>aTIV</w:t>
      </w:r>
      <w:proofErr w:type="spellEnd"/>
      <w:r w:rsidRPr="008A2917">
        <w:t xml:space="preserve"> using FIM12 (TIV-HD vs TIV-SD) and </w:t>
      </w:r>
      <w:proofErr w:type="spellStart"/>
      <w:r w:rsidR="00240F35" w:rsidRPr="008A2917">
        <w:t>Izurieta</w:t>
      </w:r>
      <w:proofErr w:type="spellEnd"/>
      <w:r w:rsidR="00240F35" w:rsidRPr="008A2917">
        <w:t xml:space="preserve"> </w:t>
      </w:r>
      <w:r w:rsidRPr="008A2917">
        <w:t xml:space="preserve">(TIV-SD vs </w:t>
      </w:r>
      <w:proofErr w:type="spellStart"/>
      <w:r w:rsidRPr="008A2917">
        <w:t>aTIV</w:t>
      </w:r>
      <w:proofErr w:type="spellEnd"/>
      <w:r w:rsidRPr="008A2917">
        <w:t xml:space="preserve">). </w:t>
      </w:r>
      <w:r w:rsidR="00062637" w:rsidRPr="008A2917">
        <w:t xml:space="preserve">The ESC noted </w:t>
      </w:r>
      <w:proofErr w:type="spellStart"/>
      <w:r w:rsidR="00062637" w:rsidRPr="008A2917">
        <w:t>Mannino</w:t>
      </w:r>
      <w:proofErr w:type="spellEnd"/>
      <w:r w:rsidR="00062637" w:rsidRPr="008A2917">
        <w:t xml:space="preserve"> rather than </w:t>
      </w:r>
      <w:proofErr w:type="spellStart"/>
      <w:r w:rsidR="00240F35" w:rsidRPr="008A2917">
        <w:t>Izurieta</w:t>
      </w:r>
      <w:proofErr w:type="spellEnd"/>
      <w:r w:rsidR="00240F35" w:rsidRPr="008A2917">
        <w:t xml:space="preserve"> </w:t>
      </w:r>
      <w:r w:rsidRPr="008A2917">
        <w:t>c</w:t>
      </w:r>
      <w:r w:rsidR="004745F8" w:rsidRPr="008A2917">
        <w:t>ould</w:t>
      </w:r>
      <w:r w:rsidRPr="008A2917">
        <w:t xml:space="preserve"> be used to inform the comparison of TIV-SD and </w:t>
      </w:r>
      <w:proofErr w:type="spellStart"/>
      <w:r w:rsidRPr="008A2917">
        <w:t>aTIV</w:t>
      </w:r>
      <w:proofErr w:type="spellEnd"/>
      <w:r w:rsidR="00062637" w:rsidRPr="008A2917">
        <w:t>.</w:t>
      </w:r>
      <w:r w:rsidRPr="008A2917">
        <w:t xml:space="preserve"> With the use of </w:t>
      </w:r>
      <w:proofErr w:type="spellStart"/>
      <w:r w:rsidR="00240F35" w:rsidRPr="008A2917">
        <w:t>Izurieta</w:t>
      </w:r>
      <w:proofErr w:type="spellEnd"/>
      <w:r w:rsidR="00240F35" w:rsidRPr="008A2917">
        <w:t xml:space="preserve"> </w:t>
      </w:r>
      <w:r w:rsidRPr="008A2917">
        <w:t>th</w:t>
      </w:r>
      <w:r w:rsidR="00D028C9" w:rsidRPr="008A2917">
        <w:t xml:space="preserve">e </w:t>
      </w:r>
      <w:proofErr w:type="spellStart"/>
      <w:r w:rsidR="00D028C9" w:rsidRPr="008A2917">
        <w:t>rVE</w:t>
      </w:r>
      <w:proofErr w:type="spellEnd"/>
      <w:r w:rsidR="00D028C9" w:rsidRPr="008A2917">
        <w:t xml:space="preserve"> for TIV-HD vs </w:t>
      </w:r>
      <w:proofErr w:type="spellStart"/>
      <w:r w:rsidR="00D028C9" w:rsidRPr="008A2917">
        <w:t>aTIV</w:t>
      </w:r>
      <w:proofErr w:type="spellEnd"/>
      <w:r w:rsidR="00D028C9" w:rsidRPr="008A2917">
        <w:t xml:space="preserve"> is 15.</w:t>
      </w:r>
      <w:r w:rsidRPr="008A2917">
        <w:t xml:space="preserve">8% (68.4% for TIV-HD and 62.5% for </w:t>
      </w:r>
      <w:proofErr w:type="spellStart"/>
      <w:r w:rsidRPr="008A2917">
        <w:t>aTIV</w:t>
      </w:r>
      <w:proofErr w:type="spellEnd"/>
      <w:r w:rsidRPr="008A2917">
        <w:t>).</w:t>
      </w:r>
      <w:r w:rsidR="00D028C9" w:rsidRPr="008A2917">
        <w:t xml:space="preserve"> With the use of </w:t>
      </w:r>
      <w:proofErr w:type="spellStart"/>
      <w:r w:rsidR="00D028C9" w:rsidRPr="008A2917">
        <w:t>Mannino</w:t>
      </w:r>
      <w:proofErr w:type="spellEnd"/>
      <w:r w:rsidR="00D028C9" w:rsidRPr="008A2917">
        <w:t xml:space="preserve"> the </w:t>
      </w:r>
      <w:proofErr w:type="spellStart"/>
      <w:r w:rsidR="00D028C9" w:rsidRPr="008A2917">
        <w:t>rVE</w:t>
      </w:r>
      <w:proofErr w:type="spellEnd"/>
      <w:r w:rsidR="00D028C9" w:rsidRPr="008A2917">
        <w:t xml:space="preserve"> for TIV-HD vs </w:t>
      </w:r>
      <w:proofErr w:type="spellStart"/>
      <w:r w:rsidR="00D028C9" w:rsidRPr="008A2917">
        <w:t>aTIV</w:t>
      </w:r>
      <w:proofErr w:type="spellEnd"/>
      <w:r w:rsidR="00D028C9" w:rsidRPr="008A2917">
        <w:t xml:space="preserve"> is -1.1% (68.4% for TIV-HD and 68.8% for </w:t>
      </w:r>
      <w:proofErr w:type="spellStart"/>
      <w:r w:rsidR="00D028C9" w:rsidRPr="008A2917">
        <w:t>aTIV</w:t>
      </w:r>
      <w:proofErr w:type="spellEnd"/>
      <w:r w:rsidR="00D028C9" w:rsidRPr="008A2917">
        <w:t>).</w:t>
      </w:r>
      <w:r w:rsidR="0078046D" w:rsidRPr="008A2917">
        <w:t xml:space="preserve"> </w:t>
      </w:r>
    </w:p>
    <w:p w:rsidR="00F3449A" w:rsidRPr="008A2917" w:rsidRDefault="00F3449A" w:rsidP="00F3449A">
      <w:pPr>
        <w:widowControl/>
        <w:numPr>
          <w:ilvl w:val="1"/>
          <w:numId w:val="1"/>
        </w:numPr>
        <w:spacing w:after="160"/>
      </w:pPr>
      <w:r w:rsidRPr="008A2917">
        <w:t xml:space="preserve">The Pre-PBAC Response </w:t>
      </w:r>
      <w:r w:rsidRPr="008A2917">
        <w:rPr>
          <w:rFonts w:cs="Calibri"/>
          <w:snapToGrid/>
          <w:szCs w:val="24"/>
          <w:lang w:eastAsia="en-AU"/>
        </w:rPr>
        <w:t xml:space="preserve">stated that the results observed in </w:t>
      </w:r>
      <w:proofErr w:type="spellStart"/>
      <w:r w:rsidRPr="008A2917">
        <w:rPr>
          <w:rFonts w:cs="Calibri"/>
          <w:snapToGrid/>
          <w:szCs w:val="24"/>
          <w:lang w:eastAsia="en-AU"/>
        </w:rPr>
        <w:t>Izurieta</w:t>
      </w:r>
      <w:proofErr w:type="spellEnd"/>
      <w:r w:rsidRPr="008A2917">
        <w:rPr>
          <w:rFonts w:cs="Calibri"/>
          <w:snapToGrid/>
          <w:szCs w:val="24"/>
          <w:lang w:eastAsia="en-AU"/>
        </w:rPr>
        <w:t xml:space="preserve"> are consistent with other studies which have shown limited difference in efficacy for </w:t>
      </w:r>
      <w:proofErr w:type="spellStart"/>
      <w:r w:rsidRPr="008A2917">
        <w:rPr>
          <w:rFonts w:cs="Calibri"/>
          <w:snapToGrid/>
          <w:szCs w:val="24"/>
          <w:lang w:eastAsia="en-AU"/>
        </w:rPr>
        <w:t>aTIV</w:t>
      </w:r>
      <w:proofErr w:type="spellEnd"/>
      <w:r w:rsidRPr="008A2917">
        <w:rPr>
          <w:rFonts w:cs="Calibri"/>
          <w:snapToGrid/>
          <w:szCs w:val="24"/>
          <w:lang w:eastAsia="en-AU"/>
        </w:rPr>
        <w:t xml:space="preserve"> over QIV-SD, in contrast with the evidence base for TIV-HD which indicates that TIV-HD has superior efficacy over standard dose vaccines.</w:t>
      </w:r>
    </w:p>
    <w:p w:rsidR="00337872" w:rsidRPr="008A2917" w:rsidRDefault="00337872" w:rsidP="00337872">
      <w:pPr>
        <w:pStyle w:val="ListParagraph"/>
        <w:widowControl/>
        <w:numPr>
          <w:ilvl w:val="1"/>
          <w:numId w:val="1"/>
        </w:numPr>
      </w:pPr>
      <w:r w:rsidRPr="008A2917">
        <w:t xml:space="preserve">The PBAC considered that the claim of superior comparative effectiveness was </w:t>
      </w:r>
      <w:r w:rsidR="0040289E" w:rsidRPr="008A2917">
        <w:t>uncertain</w:t>
      </w:r>
      <w:r w:rsidRPr="008A2917">
        <w:t>.</w:t>
      </w:r>
    </w:p>
    <w:p w:rsidR="00341BAA" w:rsidRPr="008A2917" w:rsidRDefault="00341BAA" w:rsidP="00341BAA">
      <w:pPr>
        <w:pStyle w:val="ListParagraph"/>
        <w:widowControl/>
        <w:numPr>
          <w:ilvl w:val="1"/>
          <w:numId w:val="1"/>
        </w:numPr>
      </w:pPr>
      <w:r w:rsidRPr="008A2917">
        <w:t>The PBAC considered that the claim of acceptable comparative safety was reasonable.</w:t>
      </w:r>
    </w:p>
    <w:p w:rsidR="007268B1" w:rsidRPr="008A2917" w:rsidRDefault="007268B1" w:rsidP="00387896">
      <w:pPr>
        <w:widowControl/>
        <w:rPr>
          <w:i/>
          <w:iCs/>
          <w:u w:val="single"/>
        </w:rPr>
      </w:pPr>
    </w:p>
    <w:p w:rsidR="00CE42D8" w:rsidRPr="008A2917" w:rsidRDefault="00CE42D8" w:rsidP="00387896">
      <w:pPr>
        <w:widowControl/>
        <w:rPr>
          <w:i/>
          <w:iCs/>
          <w:u w:val="single"/>
        </w:rPr>
      </w:pPr>
      <w:r w:rsidRPr="008A2917">
        <w:rPr>
          <w:i/>
          <w:iCs/>
          <w:u w:val="single"/>
        </w:rPr>
        <w:t xml:space="preserve">TIV-HD vs </w:t>
      </w:r>
      <w:proofErr w:type="spellStart"/>
      <w:r w:rsidRPr="008A2917">
        <w:rPr>
          <w:i/>
          <w:iCs/>
          <w:u w:val="single"/>
        </w:rPr>
        <w:t>aQIV</w:t>
      </w:r>
      <w:proofErr w:type="spellEnd"/>
    </w:p>
    <w:p w:rsidR="00A82C42" w:rsidRPr="008A2917" w:rsidRDefault="00280E03" w:rsidP="00387896">
      <w:pPr>
        <w:pStyle w:val="ListParagraph"/>
        <w:widowControl/>
        <w:numPr>
          <w:ilvl w:val="1"/>
          <w:numId w:val="1"/>
        </w:numPr>
      </w:pPr>
      <w:r w:rsidRPr="008A2917">
        <w:rPr>
          <w:iCs/>
        </w:rPr>
        <w:t xml:space="preserve">The resubmission did not make a clinical claim </w:t>
      </w:r>
      <w:r w:rsidR="007B4A0B" w:rsidRPr="008A2917">
        <w:rPr>
          <w:iCs/>
        </w:rPr>
        <w:t xml:space="preserve">for </w:t>
      </w:r>
      <w:r w:rsidRPr="008A2917">
        <w:rPr>
          <w:iCs/>
        </w:rPr>
        <w:t xml:space="preserve">the comparison of TIV-HD </w:t>
      </w:r>
      <w:r w:rsidR="00A634C5" w:rsidRPr="008A2917">
        <w:rPr>
          <w:iCs/>
        </w:rPr>
        <w:t>vs</w:t>
      </w:r>
      <w:r w:rsidRPr="008A2917">
        <w:rPr>
          <w:iCs/>
        </w:rPr>
        <w:t xml:space="preserve"> </w:t>
      </w:r>
      <w:proofErr w:type="spellStart"/>
      <w:r w:rsidR="004922B5" w:rsidRPr="008A2917">
        <w:rPr>
          <w:iCs/>
        </w:rPr>
        <w:t>aQIV</w:t>
      </w:r>
      <w:proofErr w:type="spellEnd"/>
      <w:r w:rsidRPr="008A2917">
        <w:rPr>
          <w:iCs/>
        </w:rPr>
        <w:t xml:space="preserve"> due to absence of data. Instead the resubmission use</w:t>
      </w:r>
      <w:r w:rsidR="00154745" w:rsidRPr="008A2917">
        <w:rPr>
          <w:iCs/>
        </w:rPr>
        <w:t>d</w:t>
      </w:r>
      <w:r w:rsidRPr="008A2917">
        <w:rPr>
          <w:iCs/>
        </w:rPr>
        <w:t xml:space="preserve"> a scenario analysis in the </w:t>
      </w:r>
      <w:r w:rsidRPr="008A2917">
        <w:rPr>
          <w:iCs/>
        </w:rPr>
        <w:lastRenderedPageBreak/>
        <w:t xml:space="preserve">economic model, where TIV-HD is </w:t>
      </w:r>
      <w:r w:rsidR="00193BA7" w:rsidRPr="008A2917">
        <w:rPr>
          <w:iCs/>
        </w:rPr>
        <w:t xml:space="preserve">claimed to be </w:t>
      </w:r>
      <w:r w:rsidRPr="008A2917">
        <w:rPr>
          <w:iCs/>
        </w:rPr>
        <w:t xml:space="preserve">superior in effectiveness to </w:t>
      </w:r>
      <w:proofErr w:type="spellStart"/>
      <w:r w:rsidR="004922B5" w:rsidRPr="008A2917">
        <w:rPr>
          <w:iCs/>
        </w:rPr>
        <w:t>aQIV</w:t>
      </w:r>
      <w:proofErr w:type="spellEnd"/>
      <w:r w:rsidRPr="008A2917">
        <w:rPr>
          <w:iCs/>
        </w:rPr>
        <w:t xml:space="preserve">, and implicitly, non-inferior to </w:t>
      </w:r>
      <w:proofErr w:type="spellStart"/>
      <w:r w:rsidR="004922B5" w:rsidRPr="008A2917">
        <w:rPr>
          <w:iCs/>
        </w:rPr>
        <w:t>aQIV</w:t>
      </w:r>
      <w:proofErr w:type="spellEnd"/>
      <w:r w:rsidRPr="008A2917">
        <w:rPr>
          <w:iCs/>
        </w:rPr>
        <w:t xml:space="preserve"> in terms of safety. This conclusion is highly uncertain.</w:t>
      </w:r>
      <w:r w:rsidR="00770DCF" w:rsidRPr="008A2917">
        <w:rPr>
          <w:iCs/>
        </w:rPr>
        <w:t xml:space="preserve"> </w:t>
      </w:r>
    </w:p>
    <w:p w:rsidR="00097FC6" w:rsidRPr="008A2917" w:rsidRDefault="00097FC6" w:rsidP="00387896">
      <w:pPr>
        <w:pStyle w:val="ListParagraph"/>
        <w:widowControl/>
        <w:numPr>
          <w:ilvl w:val="1"/>
          <w:numId w:val="1"/>
        </w:numPr>
      </w:pPr>
      <w:r w:rsidRPr="008A2917">
        <w:t xml:space="preserve">The ESC considered there </w:t>
      </w:r>
      <w:r w:rsidR="009C27EC" w:rsidRPr="008A2917">
        <w:t>was</w:t>
      </w:r>
      <w:r w:rsidRPr="008A2917">
        <w:t xml:space="preserve"> </w:t>
      </w:r>
      <w:r w:rsidR="009C27EC" w:rsidRPr="008A2917">
        <w:t>in</w:t>
      </w:r>
      <w:r w:rsidRPr="008A2917">
        <w:t xml:space="preserve">sufficient evidence to </w:t>
      </w:r>
      <w:r w:rsidR="006576B1" w:rsidRPr="008A2917">
        <w:t xml:space="preserve">accurately </w:t>
      </w:r>
      <w:r w:rsidRPr="008A2917">
        <w:t xml:space="preserve">quantify </w:t>
      </w:r>
      <w:r w:rsidR="00916119" w:rsidRPr="008A2917">
        <w:t>the</w:t>
      </w:r>
      <w:r w:rsidRPr="008A2917">
        <w:t xml:space="preserve"> incremental benefit</w:t>
      </w:r>
      <w:r w:rsidR="00916119" w:rsidRPr="008A2917">
        <w:t xml:space="preserve">, if any, </w:t>
      </w:r>
      <w:r w:rsidRPr="008A2917">
        <w:t xml:space="preserve">of TIV-HD </w:t>
      </w:r>
      <w:r w:rsidR="00A634C5" w:rsidRPr="008A2917">
        <w:t>vs</w:t>
      </w:r>
      <w:r w:rsidRPr="008A2917">
        <w:t xml:space="preserve"> </w:t>
      </w:r>
      <w:proofErr w:type="spellStart"/>
      <w:r w:rsidRPr="008A2917">
        <w:t>aQIV</w:t>
      </w:r>
      <w:proofErr w:type="spellEnd"/>
      <w:r w:rsidRPr="008A2917">
        <w:t xml:space="preserve">. </w:t>
      </w:r>
      <w:r w:rsidRPr="008A2917">
        <w:rPr>
          <w:iCs/>
        </w:rPr>
        <w:t xml:space="preserve">The ESC </w:t>
      </w:r>
      <w:r w:rsidR="00916119" w:rsidRPr="008A2917">
        <w:rPr>
          <w:iCs/>
        </w:rPr>
        <w:t xml:space="preserve">noted the concerns for the comparison of TIV-HD </w:t>
      </w:r>
      <w:r w:rsidR="00A634C5" w:rsidRPr="008A2917">
        <w:rPr>
          <w:iCs/>
        </w:rPr>
        <w:t>vs</w:t>
      </w:r>
      <w:r w:rsidR="00916119" w:rsidRPr="008A2917">
        <w:rPr>
          <w:iCs/>
        </w:rPr>
        <w:t xml:space="preserve"> </w:t>
      </w:r>
      <w:proofErr w:type="spellStart"/>
      <w:r w:rsidR="00916119" w:rsidRPr="008A2917">
        <w:rPr>
          <w:iCs/>
        </w:rPr>
        <w:t>aTIV</w:t>
      </w:r>
      <w:proofErr w:type="spellEnd"/>
      <w:r w:rsidR="00916119" w:rsidRPr="008A2917">
        <w:rPr>
          <w:iCs/>
        </w:rPr>
        <w:t xml:space="preserve">, together with the additional assumption for </w:t>
      </w:r>
      <w:proofErr w:type="spellStart"/>
      <w:r w:rsidR="00916119" w:rsidRPr="008A2917">
        <w:rPr>
          <w:iCs/>
        </w:rPr>
        <w:t>aQIV</w:t>
      </w:r>
      <w:proofErr w:type="spellEnd"/>
      <w:r w:rsidR="00916119" w:rsidRPr="008A2917">
        <w:rPr>
          <w:iCs/>
        </w:rPr>
        <w:t xml:space="preserve"> of the efficacy against the mismatched B strain being the same as for the matched B strain</w:t>
      </w:r>
      <w:r w:rsidRPr="008A2917">
        <w:rPr>
          <w:iCs/>
        </w:rPr>
        <w:t>.</w:t>
      </w:r>
    </w:p>
    <w:p w:rsidR="00D028C9" w:rsidRPr="008A2917" w:rsidRDefault="00D028C9" w:rsidP="00387896">
      <w:pPr>
        <w:pStyle w:val="ListParagraph"/>
        <w:widowControl/>
        <w:numPr>
          <w:ilvl w:val="1"/>
          <w:numId w:val="1"/>
        </w:numPr>
      </w:pPr>
      <w:r w:rsidRPr="008A2917">
        <w:rPr>
          <w:iCs/>
        </w:rPr>
        <w:t xml:space="preserve">Overall, the ESC considered the claim of superior efficacy for TIV-HD over </w:t>
      </w:r>
      <w:proofErr w:type="spellStart"/>
      <w:r w:rsidRPr="008A2917">
        <w:rPr>
          <w:iCs/>
        </w:rPr>
        <w:t>aQIV</w:t>
      </w:r>
      <w:proofErr w:type="spellEnd"/>
      <w:r w:rsidRPr="008A2917">
        <w:rPr>
          <w:iCs/>
        </w:rPr>
        <w:t xml:space="preserve"> to be inadequately supported.</w:t>
      </w:r>
    </w:p>
    <w:p w:rsidR="00F3449A" w:rsidRPr="008A2917" w:rsidRDefault="00F3449A" w:rsidP="00F3449A">
      <w:pPr>
        <w:widowControl/>
        <w:numPr>
          <w:ilvl w:val="1"/>
          <w:numId w:val="1"/>
        </w:numPr>
        <w:spacing w:after="160"/>
      </w:pPr>
      <w:r w:rsidRPr="008A2917">
        <w:rPr>
          <w:rFonts w:cs="Calibri"/>
          <w:snapToGrid/>
          <w:szCs w:val="24"/>
          <w:lang w:eastAsia="en-AU"/>
        </w:rPr>
        <w:t xml:space="preserve">The Pre-PBAC Response acknowledged there is a lack of evidence comparing TIV-HD over </w:t>
      </w:r>
      <w:proofErr w:type="spellStart"/>
      <w:r w:rsidRPr="008A2917">
        <w:rPr>
          <w:rFonts w:cs="Calibri"/>
          <w:snapToGrid/>
          <w:szCs w:val="24"/>
          <w:lang w:eastAsia="en-AU"/>
        </w:rPr>
        <w:t>aQIV</w:t>
      </w:r>
      <w:proofErr w:type="spellEnd"/>
      <w:r w:rsidRPr="008A2917">
        <w:rPr>
          <w:rFonts w:cs="Calibri"/>
          <w:snapToGrid/>
          <w:szCs w:val="24"/>
          <w:lang w:eastAsia="en-AU"/>
        </w:rPr>
        <w:t xml:space="preserve"> and argued that this is due to a lack of quality evidence for </w:t>
      </w:r>
      <w:proofErr w:type="spellStart"/>
      <w:r w:rsidRPr="008A2917">
        <w:rPr>
          <w:rFonts w:cs="Calibri"/>
          <w:snapToGrid/>
          <w:szCs w:val="24"/>
          <w:lang w:eastAsia="en-AU"/>
        </w:rPr>
        <w:t>aQIV</w:t>
      </w:r>
      <w:proofErr w:type="spellEnd"/>
      <w:r w:rsidRPr="008A2917">
        <w:rPr>
          <w:rFonts w:cs="Calibri"/>
          <w:snapToGrid/>
          <w:szCs w:val="24"/>
          <w:lang w:eastAsia="en-AU"/>
        </w:rPr>
        <w:t xml:space="preserve"> against any vaccine</w:t>
      </w:r>
      <w:r w:rsidR="008A2917">
        <w:rPr>
          <w:rFonts w:cs="Calibri"/>
          <w:snapToGrid/>
          <w:szCs w:val="24"/>
          <w:lang w:eastAsia="en-AU"/>
        </w:rPr>
        <w:t xml:space="preserve">. </w:t>
      </w:r>
      <w:r w:rsidRPr="008A2917">
        <w:rPr>
          <w:rFonts w:cs="Calibri"/>
          <w:snapToGrid/>
          <w:szCs w:val="24"/>
          <w:lang w:eastAsia="en-AU"/>
        </w:rPr>
        <w:t xml:space="preserve">The Pre-PBAC Response stated that based on non-RCT evidence available that </w:t>
      </w:r>
      <w:proofErr w:type="spellStart"/>
      <w:r w:rsidRPr="008A2917">
        <w:rPr>
          <w:rFonts w:cs="Calibri"/>
          <w:snapToGrid/>
          <w:szCs w:val="24"/>
          <w:lang w:eastAsia="en-AU"/>
        </w:rPr>
        <w:t>aQIV</w:t>
      </w:r>
      <w:proofErr w:type="spellEnd"/>
      <w:r w:rsidRPr="008A2917">
        <w:rPr>
          <w:rFonts w:cs="Calibri"/>
          <w:snapToGrid/>
          <w:szCs w:val="24"/>
          <w:lang w:eastAsia="en-AU"/>
        </w:rPr>
        <w:t xml:space="preserve"> had been recommended on a cost-effectiveness basis to QIV-SD</w:t>
      </w:r>
      <w:r w:rsidR="008A2917">
        <w:rPr>
          <w:rFonts w:cs="Calibri"/>
          <w:snapToGrid/>
          <w:szCs w:val="24"/>
          <w:lang w:eastAsia="en-AU"/>
        </w:rPr>
        <w:t xml:space="preserve">. </w:t>
      </w:r>
      <w:r w:rsidRPr="008A2917">
        <w:rPr>
          <w:rFonts w:cs="Calibri"/>
          <w:snapToGrid/>
          <w:szCs w:val="24"/>
          <w:lang w:eastAsia="en-AU"/>
        </w:rPr>
        <w:t xml:space="preserve">It added that use of data from </w:t>
      </w:r>
      <w:proofErr w:type="spellStart"/>
      <w:r w:rsidRPr="008A2917">
        <w:rPr>
          <w:rFonts w:cs="Calibri"/>
          <w:snapToGrid/>
          <w:szCs w:val="24"/>
          <w:lang w:eastAsia="en-AU"/>
        </w:rPr>
        <w:t>Izurieta</w:t>
      </w:r>
      <w:proofErr w:type="spellEnd"/>
      <w:r w:rsidRPr="008A2917">
        <w:rPr>
          <w:rFonts w:cs="Calibri"/>
          <w:snapToGrid/>
          <w:szCs w:val="24"/>
          <w:lang w:eastAsia="en-AU"/>
        </w:rPr>
        <w:t xml:space="preserve"> provided the most robust means of estimating a comparative effect between TIV-HD and </w:t>
      </w:r>
      <w:proofErr w:type="spellStart"/>
      <w:r w:rsidRPr="008A2917">
        <w:rPr>
          <w:rFonts w:cs="Calibri"/>
          <w:snapToGrid/>
          <w:szCs w:val="24"/>
          <w:lang w:eastAsia="en-AU"/>
        </w:rPr>
        <w:t>aQIV</w:t>
      </w:r>
      <w:proofErr w:type="spellEnd"/>
      <w:r w:rsidRPr="008A2917">
        <w:rPr>
          <w:rFonts w:cs="Calibri"/>
          <w:snapToGrid/>
          <w:szCs w:val="24"/>
          <w:lang w:eastAsia="en-AU"/>
        </w:rPr>
        <w:t xml:space="preserve"> and that use of an indirect comparison informed by </w:t>
      </w:r>
      <w:proofErr w:type="spellStart"/>
      <w:r w:rsidRPr="008A2917">
        <w:rPr>
          <w:rFonts w:cs="Calibri"/>
          <w:snapToGrid/>
          <w:szCs w:val="24"/>
          <w:lang w:eastAsia="en-AU"/>
        </w:rPr>
        <w:t>Mannino</w:t>
      </w:r>
      <w:proofErr w:type="spellEnd"/>
      <w:r w:rsidRPr="008A2917">
        <w:rPr>
          <w:rFonts w:cs="Calibri"/>
          <w:snapToGrid/>
          <w:szCs w:val="24"/>
          <w:lang w:eastAsia="en-AU"/>
        </w:rPr>
        <w:t xml:space="preserve"> to estimate </w:t>
      </w:r>
      <w:proofErr w:type="spellStart"/>
      <w:r w:rsidRPr="008A2917">
        <w:rPr>
          <w:rFonts w:cs="Calibri"/>
          <w:snapToGrid/>
          <w:szCs w:val="24"/>
          <w:lang w:eastAsia="en-AU"/>
        </w:rPr>
        <w:t>rVE</w:t>
      </w:r>
      <w:proofErr w:type="spellEnd"/>
      <w:r w:rsidRPr="008A2917">
        <w:rPr>
          <w:rFonts w:cs="Calibri"/>
          <w:snapToGrid/>
          <w:szCs w:val="24"/>
          <w:lang w:eastAsia="en-AU"/>
        </w:rPr>
        <w:t xml:space="preserve"> would render any estimate highly uncertain.</w:t>
      </w:r>
    </w:p>
    <w:p w:rsidR="007268B1" w:rsidRPr="008A2917" w:rsidRDefault="007268B1" w:rsidP="007268B1">
      <w:pPr>
        <w:pStyle w:val="ListParagraph"/>
        <w:widowControl/>
        <w:numPr>
          <w:ilvl w:val="1"/>
          <w:numId w:val="1"/>
        </w:numPr>
      </w:pPr>
      <w:r w:rsidRPr="008A2917">
        <w:t xml:space="preserve">The PBAC considered that </w:t>
      </w:r>
      <w:r w:rsidR="00AF6894" w:rsidRPr="008A2917">
        <w:t xml:space="preserve">a </w:t>
      </w:r>
      <w:r w:rsidRPr="008A2917">
        <w:t xml:space="preserve">claim of superior comparative effectiveness </w:t>
      </w:r>
      <w:r w:rsidR="0040289E" w:rsidRPr="008A2917">
        <w:t>could not be</w:t>
      </w:r>
      <w:r w:rsidRPr="008A2917">
        <w:t xml:space="preserve"> adequately supported by the data.</w:t>
      </w:r>
    </w:p>
    <w:p w:rsidR="00341BAA" w:rsidRPr="008A2917" w:rsidRDefault="00341BAA" w:rsidP="00341BAA">
      <w:pPr>
        <w:pStyle w:val="ListParagraph"/>
        <w:widowControl/>
        <w:numPr>
          <w:ilvl w:val="1"/>
          <w:numId w:val="1"/>
        </w:numPr>
      </w:pPr>
      <w:r w:rsidRPr="008A2917">
        <w:t xml:space="preserve">The PBAC considered that </w:t>
      </w:r>
      <w:r w:rsidR="00AF6894" w:rsidRPr="008A2917">
        <w:t>a</w:t>
      </w:r>
      <w:r w:rsidRPr="008A2917">
        <w:t xml:space="preserve"> claim of acceptable comparative safety </w:t>
      </w:r>
      <w:r w:rsidR="0040289E" w:rsidRPr="008A2917">
        <w:t xml:space="preserve">would be </w:t>
      </w:r>
      <w:r w:rsidRPr="008A2917">
        <w:t>reasonable.</w:t>
      </w:r>
    </w:p>
    <w:p w:rsidR="00CB0A5B" w:rsidRPr="008A2917" w:rsidRDefault="00CB0A5B" w:rsidP="00387896">
      <w:pPr>
        <w:pStyle w:val="Heading2"/>
      </w:pPr>
      <w:bookmarkStart w:id="23" w:name="_Toc371170710"/>
      <w:bookmarkStart w:id="24" w:name="_Toc18942067"/>
      <w:r w:rsidRPr="008A2917">
        <w:t>Economic analysis</w:t>
      </w:r>
      <w:bookmarkEnd w:id="23"/>
      <w:bookmarkEnd w:id="24"/>
      <w:r w:rsidRPr="008A2917">
        <w:t xml:space="preserve"> </w:t>
      </w:r>
    </w:p>
    <w:p w:rsidR="00D028C9" w:rsidRPr="008A2917" w:rsidRDefault="00D028C9" w:rsidP="00387896">
      <w:pPr>
        <w:pStyle w:val="ListParagraph"/>
        <w:widowControl/>
        <w:numPr>
          <w:ilvl w:val="1"/>
          <w:numId w:val="1"/>
        </w:numPr>
        <w:rPr>
          <w:rFonts w:cs="Calibri"/>
          <w:snapToGrid/>
          <w:szCs w:val="24"/>
          <w:lang w:eastAsia="en-AU"/>
        </w:rPr>
      </w:pPr>
      <w:r w:rsidRPr="008A2917">
        <w:rPr>
          <w:rFonts w:cs="Calibri"/>
          <w:snapToGrid/>
          <w:szCs w:val="24"/>
          <w:lang w:eastAsia="en-AU"/>
        </w:rPr>
        <w:t xml:space="preserve">The ESC considered, given the claim of superiority for TIV-HD over </w:t>
      </w:r>
      <w:proofErr w:type="spellStart"/>
      <w:r w:rsidRPr="008A2917">
        <w:rPr>
          <w:rFonts w:cs="Calibri"/>
          <w:snapToGrid/>
          <w:szCs w:val="24"/>
          <w:lang w:eastAsia="en-AU"/>
        </w:rPr>
        <w:t>aQIV</w:t>
      </w:r>
      <w:proofErr w:type="spellEnd"/>
      <w:r w:rsidRPr="008A2917">
        <w:rPr>
          <w:rFonts w:cs="Calibri"/>
          <w:snapToGrid/>
          <w:szCs w:val="24"/>
          <w:lang w:eastAsia="en-AU"/>
        </w:rPr>
        <w:t xml:space="preserve"> was not adequately supported, that a cost-minimisation analysis </w:t>
      </w:r>
      <w:r w:rsidR="00A634C5" w:rsidRPr="008A2917">
        <w:rPr>
          <w:rFonts w:cs="Calibri"/>
          <w:snapToGrid/>
          <w:szCs w:val="24"/>
          <w:lang w:eastAsia="en-AU"/>
        </w:rPr>
        <w:t>vs</w:t>
      </w:r>
      <w:r w:rsidRPr="008A2917">
        <w:rPr>
          <w:rFonts w:cs="Calibri"/>
          <w:snapToGrid/>
          <w:szCs w:val="24"/>
          <w:lang w:eastAsia="en-AU"/>
        </w:rPr>
        <w:t xml:space="preserve"> </w:t>
      </w:r>
      <w:proofErr w:type="spellStart"/>
      <w:r w:rsidRPr="008A2917">
        <w:rPr>
          <w:rFonts w:cs="Calibri"/>
          <w:snapToGrid/>
          <w:szCs w:val="24"/>
          <w:lang w:eastAsia="en-AU"/>
        </w:rPr>
        <w:t>aQIV</w:t>
      </w:r>
      <w:proofErr w:type="spellEnd"/>
      <w:r w:rsidRPr="008A2917">
        <w:rPr>
          <w:rFonts w:cs="Calibri"/>
          <w:snapToGrid/>
          <w:szCs w:val="24"/>
          <w:lang w:eastAsia="en-AU"/>
        </w:rPr>
        <w:t xml:space="preserve"> would have been more appropriate than a cost-utility analysis.</w:t>
      </w:r>
      <w:r w:rsidR="000F41A2" w:rsidRPr="008A2917">
        <w:rPr>
          <w:rFonts w:cs="Calibri"/>
          <w:snapToGrid/>
          <w:szCs w:val="24"/>
          <w:lang w:eastAsia="en-AU"/>
        </w:rPr>
        <w:t xml:space="preserve"> </w:t>
      </w:r>
    </w:p>
    <w:p w:rsidR="00CB0A5B" w:rsidRPr="008A2917" w:rsidRDefault="00CB0A5B" w:rsidP="00387896">
      <w:pPr>
        <w:pStyle w:val="ListParagraph"/>
        <w:widowControl/>
        <w:numPr>
          <w:ilvl w:val="1"/>
          <w:numId w:val="1"/>
        </w:numPr>
        <w:rPr>
          <w:rFonts w:cs="Calibri"/>
          <w:snapToGrid/>
          <w:szCs w:val="24"/>
          <w:lang w:eastAsia="en-AU"/>
        </w:rPr>
      </w:pPr>
      <w:r w:rsidRPr="008A2917">
        <w:rPr>
          <w:rFonts w:cs="Calibri"/>
          <w:snapToGrid/>
          <w:szCs w:val="24"/>
          <w:lang w:eastAsia="en-AU"/>
        </w:rPr>
        <w:t xml:space="preserve">The resubmission presented two cost-utility models </w:t>
      </w:r>
      <w:r w:rsidR="00BC22E2" w:rsidRPr="008A2917">
        <w:rPr>
          <w:rFonts w:cs="Calibri"/>
          <w:snapToGrid/>
          <w:szCs w:val="24"/>
          <w:lang w:eastAsia="en-AU"/>
        </w:rPr>
        <w:t xml:space="preserve">for </w:t>
      </w:r>
      <w:r w:rsidRPr="008A2917">
        <w:rPr>
          <w:rFonts w:cs="Calibri"/>
          <w:snapToGrid/>
          <w:szCs w:val="24"/>
          <w:lang w:eastAsia="en-AU"/>
        </w:rPr>
        <w:t>Australians aged ≥ 65 years:</w:t>
      </w:r>
    </w:p>
    <w:p w:rsidR="004F54B0" w:rsidRPr="008A2917" w:rsidRDefault="004F54B0" w:rsidP="00387896">
      <w:pPr>
        <w:pStyle w:val="Intextbulletpoints"/>
        <w:widowControl/>
        <w:rPr>
          <w:lang w:val="en-AU"/>
        </w:rPr>
      </w:pPr>
      <w:r w:rsidRPr="008A2917">
        <w:rPr>
          <w:lang w:val="en-AU"/>
        </w:rPr>
        <w:t>The economic model that compared TIV-HD to QIV-SD used within the previous submission (the Main model), but with a revised TIV-HD price</w:t>
      </w:r>
      <w:r w:rsidR="008245BC" w:rsidRPr="008A2917">
        <w:rPr>
          <w:lang w:val="en-AU"/>
        </w:rPr>
        <w:t xml:space="preserve"> (previously $</w:t>
      </w:r>
      <w:r w:rsidR="001A215D">
        <w:rPr>
          <w:noProof/>
          <w:color w:val="000000"/>
          <w:highlight w:val="black"/>
          <w:lang w:val="en-AU"/>
        </w:rPr>
        <w:t>'''''''''''</w:t>
      </w:r>
      <w:r w:rsidR="008245BC" w:rsidRPr="008A2917">
        <w:rPr>
          <w:lang w:val="en-AU"/>
        </w:rPr>
        <w:t>, now $</w:t>
      </w:r>
      <w:r w:rsidR="001A215D">
        <w:rPr>
          <w:noProof/>
          <w:color w:val="000000"/>
          <w:highlight w:val="black"/>
          <w:lang w:val="en-AU"/>
        </w:rPr>
        <w:t>''''''''''''</w:t>
      </w:r>
      <w:r w:rsidR="008245BC" w:rsidRPr="008A2917">
        <w:rPr>
          <w:lang w:val="en-AU"/>
        </w:rPr>
        <w:t>)</w:t>
      </w:r>
      <w:r w:rsidRPr="008A2917">
        <w:rPr>
          <w:lang w:val="en-AU"/>
        </w:rPr>
        <w:t>. The resubmission claimed the modelling approach and data inputs used within the Main model remained valid and were the most appropriate approach to assess the full benefit of influenza vaccination.</w:t>
      </w:r>
    </w:p>
    <w:p w:rsidR="004F54B0" w:rsidRPr="008A2917" w:rsidRDefault="004F54B0" w:rsidP="00387896">
      <w:pPr>
        <w:pStyle w:val="Intextbulletpoints"/>
        <w:widowControl/>
        <w:rPr>
          <w:lang w:val="en-AU"/>
        </w:rPr>
      </w:pPr>
      <w:r w:rsidRPr="008A2917">
        <w:rPr>
          <w:lang w:val="en-AU"/>
        </w:rPr>
        <w:t xml:space="preserve">A new economic model presented as a supplementary analysis (the Supplementary model) that compared TIV-HD to QIV-SD, </w:t>
      </w:r>
      <w:proofErr w:type="spellStart"/>
      <w:r w:rsidR="004922B5" w:rsidRPr="008A2917">
        <w:rPr>
          <w:lang w:val="en-AU"/>
        </w:rPr>
        <w:t>aTIV</w:t>
      </w:r>
      <w:proofErr w:type="spellEnd"/>
      <w:r w:rsidRPr="008A2917">
        <w:rPr>
          <w:lang w:val="en-AU"/>
        </w:rPr>
        <w:t xml:space="preserve"> and </w:t>
      </w:r>
      <w:proofErr w:type="spellStart"/>
      <w:r w:rsidR="004922B5" w:rsidRPr="008A2917">
        <w:rPr>
          <w:lang w:val="en-AU"/>
        </w:rPr>
        <w:t>aQIV</w:t>
      </w:r>
      <w:proofErr w:type="spellEnd"/>
      <w:r w:rsidRPr="008A2917">
        <w:rPr>
          <w:lang w:val="en-AU"/>
        </w:rPr>
        <w:t>. The Supplementary model was developed in response to the PBAC’s previous consideration “…scenario analyses around TIV-HD compared with QIV-SD using data from Australian experience over a longer time-frame was required” (para. 7.1, p25, TIV-HD PSD, July 2018). The resubmission claimed the Supplementary model was “fit for purpose” allowing uncertainty around vaccine effectiveness to be specifically addressed through scenario-based multivariate sensitivity analysis.</w:t>
      </w:r>
      <w:r w:rsidR="005C5F72" w:rsidRPr="008A2917">
        <w:rPr>
          <w:lang w:val="en-AU"/>
        </w:rPr>
        <w:t xml:space="preserve"> </w:t>
      </w:r>
    </w:p>
    <w:p w:rsidR="001647FD" w:rsidRPr="008A2917" w:rsidRDefault="001647FD" w:rsidP="00387896">
      <w:pPr>
        <w:pStyle w:val="ListParagraph"/>
        <w:widowControl/>
        <w:numPr>
          <w:ilvl w:val="1"/>
          <w:numId w:val="1"/>
        </w:numPr>
        <w:rPr>
          <w:iCs/>
        </w:rPr>
      </w:pPr>
      <w:r w:rsidRPr="008A2917">
        <w:rPr>
          <w:iCs/>
        </w:rPr>
        <w:lastRenderedPageBreak/>
        <w:t xml:space="preserve">The ESC noted the Main model did not include a comparison with </w:t>
      </w:r>
      <w:proofErr w:type="spellStart"/>
      <w:r w:rsidRPr="008A2917">
        <w:rPr>
          <w:iCs/>
        </w:rPr>
        <w:t>aQIV</w:t>
      </w:r>
      <w:proofErr w:type="spellEnd"/>
      <w:r w:rsidRPr="008A2917">
        <w:rPr>
          <w:iCs/>
        </w:rPr>
        <w:t>, which was considered relevant given the PBAC’s recommendation</w:t>
      </w:r>
      <w:r w:rsidR="008E4793" w:rsidRPr="008A2917">
        <w:rPr>
          <w:iCs/>
        </w:rPr>
        <w:t xml:space="preserve"> at the August 2019 meeting</w:t>
      </w:r>
      <w:r w:rsidRPr="008A2917">
        <w:rPr>
          <w:iCs/>
        </w:rPr>
        <w:t xml:space="preserve"> for this vaccine to be available on the NIP. The ESC also noted the Supplementary model utilised a simpler structure and revised some of the model inputs based on PBAC</w:t>
      </w:r>
      <w:r w:rsidR="008E4793" w:rsidRPr="008A2917">
        <w:rPr>
          <w:iCs/>
        </w:rPr>
        <w:t>’s</w:t>
      </w:r>
      <w:r w:rsidRPr="008A2917">
        <w:rPr>
          <w:iCs/>
        </w:rPr>
        <w:t xml:space="preserve"> advice from the </w:t>
      </w:r>
      <w:r w:rsidR="00D90EA0" w:rsidRPr="008A2917">
        <w:rPr>
          <w:iCs/>
        </w:rPr>
        <w:t xml:space="preserve">July </w:t>
      </w:r>
      <w:r w:rsidRPr="008A2917">
        <w:rPr>
          <w:iCs/>
        </w:rPr>
        <w:t>2018 meeting, and importantly enabled the impact</w:t>
      </w:r>
      <w:r w:rsidR="008E4793" w:rsidRPr="008A2917">
        <w:rPr>
          <w:iCs/>
        </w:rPr>
        <w:t xml:space="preserve"> of the</w:t>
      </w:r>
      <w:r w:rsidRPr="008A2917">
        <w:rPr>
          <w:iCs/>
        </w:rPr>
        <w:t xml:space="preserve"> mismatched B strain o</w:t>
      </w:r>
      <w:r w:rsidR="008E4793" w:rsidRPr="008A2917">
        <w:rPr>
          <w:iCs/>
        </w:rPr>
        <w:t>n</w:t>
      </w:r>
      <w:r w:rsidRPr="008A2917">
        <w:rPr>
          <w:iCs/>
        </w:rPr>
        <w:t xml:space="preserve"> the cost-effectiveness of TIV-HD to be explored. The ESC therefore focused its discussion on the Supplementary model. Information regarding the Main model is included in the Commentary</w:t>
      </w:r>
      <w:r w:rsidR="008E4793" w:rsidRPr="008A2917">
        <w:rPr>
          <w:iCs/>
        </w:rPr>
        <w:t xml:space="preserve"> and the submission</w:t>
      </w:r>
      <w:r w:rsidRPr="008A2917">
        <w:rPr>
          <w:iCs/>
        </w:rPr>
        <w:t xml:space="preserve">. </w:t>
      </w:r>
    </w:p>
    <w:p w:rsidR="00CB0A5B" w:rsidRPr="008A2917" w:rsidRDefault="00A95A44" w:rsidP="00387896">
      <w:pPr>
        <w:pStyle w:val="ListParagraph"/>
        <w:widowControl/>
        <w:numPr>
          <w:ilvl w:val="1"/>
          <w:numId w:val="1"/>
        </w:numPr>
      </w:pPr>
      <w:r w:rsidRPr="008A2917">
        <w:t xml:space="preserve">Table </w:t>
      </w:r>
      <w:r w:rsidR="00FF3403" w:rsidRPr="008A2917">
        <w:t>1</w:t>
      </w:r>
      <w:r w:rsidR="001C1195" w:rsidRPr="008A2917">
        <w:t>2</w:t>
      </w:r>
      <w:r w:rsidRPr="008A2917">
        <w:t xml:space="preserve"> presents a summary of the Supplementary model structure and rationale.</w:t>
      </w:r>
      <w:r w:rsidR="00CB0A5B" w:rsidRPr="008A2917">
        <w:t xml:space="preserve"> </w:t>
      </w:r>
    </w:p>
    <w:p w:rsidR="00387896" w:rsidRPr="008A2917" w:rsidRDefault="00387896">
      <w:pPr>
        <w:widowControl/>
        <w:jc w:val="left"/>
        <w:rPr>
          <w:rStyle w:val="CommentReference"/>
          <w:rFonts w:eastAsiaTheme="minorHAnsi" w:cstheme="minorBidi"/>
          <w:snapToGrid/>
          <w:szCs w:val="22"/>
        </w:rPr>
      </w:pPr>
      <w:bookmarkStart w:id="25" w:name="_Hlk19697995"/>
      <w:r w:rsidRPr="008A2917">
        <w:rPr>
          <w:rStyle w:val="CommentReference"/>
          <w:b w:val="0"/>
          <w:szCs w:val="22"/>
        </w:rPr>
        <w:br w:type="page"/>
      </w:r>
    </w:p>
    <w:p w:rsidR="00CB0A5B" w:rsidRPr="008A2917" w:rsidRDefault="00CB0A5B" w:rsidP="00387896">
      <w:pPr>
        <w:pStyle w:val="TableHeading0"/>
        <w:rPr>
          <w:rStyle w:val="CommentReference"/>
          <w:b/>
          <w:szCs w:val="22"/>
        </w:rPr>
      </w:pPr>
      <w:r w:rsidRPr="008A2917">
        <w:rPr>
          <w:rStyle w:val="CommentReference"/>
          <w:b/>
          <w:szCs w:val="22"/>
        </w:rPr>
        <w:lastRenderedPageBreak/>
        <w:t xml:space="preserve">Table </w:t>
      </w:r>
      <w:r w:rsidR="00FF3403" w:rsidRPr="008A2917">
        <w:rPr>
          <w:rStyle w:val="CommentReference"/>
          <w:b/>
          <w:szCs w:val="22"/>
        </w:rPr>
        <w:t>1</w:t>
      </w:r>
      <w:r w:rsidR="001C1195" w:rsidRPr="008A2917">
        <w:rPr>
          <w:rStyle w:val="CommentReference"/>
          <w:b/>
          <w:szCs w:val="22"/>
        </w:rPr>
        <w:t>2</w:t>
      </w:r>
      <w:r w:rsidRPr="008A2917">
        <w:rPr>
          <w:rStyle w:val="CommentReference"/>
          <w:b/>
          <w:szCs w:val="22"/>
        </w:rPr>
        <w:t>: Summary of the Supplementary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5"/>
        <w:gridCol w:w="3060"/>
        <w:gridCol w:w="4572"/>
      </w:tblGrid>
      <w:tr w:rsidR="00CB0A5B" w:rsidRPr="008A2917" w:rsidTr="00347051">
        <w:trPr>
          <w:tblHeader/>
        </w:trPr>
        <w:tc>
          <w:tcPr>
            <w:tcW w:w="768" w:type="pct"/>
            <w:vAlign w:val="center"/>
          </w:tcPr>
          <w:p w:rsidR="00CB0A5B" w:rsidRPr="008A2917" w:rsidRDefault="00CB0A5B" w:rsidP="00387896">
            <w:pPr>
              <w:pStyle w:val="Tabletext"/>
              <w:rPr>
                <w:b/>
                <w:szCs w:val="20"/>
                <w:highlight w:val="lightGray"/>
              </w:rPr>
            </w:pPr>
            <w:r w:rsidRPr="008A2917">
              <w:rPr>
                <w:b/>
                <w:szCs w:val="20"/>
              </w:rPr>
              <w:t>Component</w:t>
            </w:r>
          </w:p>
        </w:tc>
        <w:tc>
          <w:tcPr>
            <w:tcW w:w="1697" w:type="pct"/>
          </w:tcPr>
          <w:p w:rsidR="00CB0A5B" w:rsidRPr="008A2917" w:rsidRDefault="00CB0A5B" w:rsidP="00387896">
            <w:pPr>
              <w:pStyle w:val="Tabletext"/>
              <w:jc w:val="center"/>
              <w:rPr>
                <w:b/>
                <w:szCs w:val="20"/>
              </w:rPr>
            </w:pPr>
            <w:r w:rsidRPr="008A2917">
              <w:rPr>
                <w:b/>
                <w:szCs w:val="20"/>
              </w:rPr>
              <w:t>Description</w:t>
            </w:r>
          </w:p>
        </w:tc>
        <w:tc>
          <w:tcPr>
            <w:tcW w:w="2535" w:type="pct"/>
            <w:vAlign w:val="center"/>
          </w:tcPr>
          <w:p w:rsidR="00CB0A5B" w:rsidRPr="008A2917" w:rsidRDefault="00CB0A5B" w:rsidP="00387896">
            <w:pPr>
              <w:pStyle w:val="Tabletext"/>
              <w:jc w:val="center"/>
              <w:rPr>
                <w:b/>
                <w:szCs w:val="20"/>
              </w:rPr>
            </w:pPr>
            <w:r w:rsidRPr="008A2917">
              <w:rPr>
                <w:b/>
                <w:szCs w:val="20"/>
              </w:rPr>
              <w:t>Justification/comments</w:t>
            </w:r>
          </w:p>
        </w:tc>
      </w:tr>
      <w:tr w:rsidR="00CB0A5B" w:rsidRPr="008A2917" w:rsidTr="00347051">
        <w:tc>
          <w:tcPr>
            <w:tcW w:w="768" w:type="pct"/>
          </w:tcPr>
          <w:p w:rsidR="00CB0A5B" w:rsidRPr="008A2917" w:rsidRDefault="00CB0A5B" w:rsidP="00387896">
            <w:pPr>
              <w:pStyle w:val="Tabletext"/>
              <w:rPr>
                <w:szCs w:val="20"/>
                <w:highlight w:val="lightGray"/>
              </w:rPr>
            </w:pPr>
            <w:r w:rsidRPr="008A2917">
              <w:rPr>
                <w:szCs w:val="20"/>
              </w:rPr>
              <w:t>Type of analysis</w:t>
            </w:r>
          </w:p>
        </w:tc>
        <w:tc>
          <w:tcPr>
            <w:tcW w:w="1697" w:type="pct"/>
          </w:tcPr>
          <w:p w:rsidR="00CB0A5B" w:rsidRPr="008A2917" w:rsidRDefault="00CB0A5B" w:rsidP="00387896">
            <w:pPr>
              <w:pStyle w:val="Tabletext"/>
              <w:rPr>
                <w:szCs w:val="20"/>
              </w:rPr>
            </w:pPr>
            <w:r w:rsidRPr="008A2917">
              <w:rPr>
                <w:szCs w:val="20"/>
              </w:rPr>
              <w:t>Cost-utility analysis.</w:t>
            </w:r>
          </w:p>
        </w:tc>
        <w:tc>
          <w:tcPr>
            <w:tcW w:w="2535" w:type="pct"/>
            <w:shd w:val="clear" w:color="auto" w:fill="auto"/>
          </w:tcPr>
          <w:p w:rsidR="00CB0A5B" w:rsidRPr="008A2917" w:rsidRDefault="00CB0A5B" w:rsidP="00387896">
            <w:pPr>
              <w:pStyle w:val="Tabletext"/>
              <w:rPr>
                <w:szCs w:val="20"/>
              </w:rPr>
            </w:pPr>
            <w:r w:rsidRPr="008A2917">
              <w:rPr>
                <w:szCs w:val="20"/>
              </w:rPr>
              <w:t>This is appropriate.</w:t>
            </w:r>
          </w:p>
        </w:tc>
      </w:tr>
      <w:tr w:rsidR="00CB0A5B" w:rsidRPr="008A2917" w:rsidTr="00347051">
        <w:trPr>
          <w:trHeight w:val="353"/>
        </w:trPr>
        <w:tc>
          <w:tcPr>
            <w:tcW w:w="768" w:type="pct"/>
          </w:tcPr>
          <w:p w:rsidR="00CB0A5B" w:rsidRPr="008A2917" w:rsidRDefault="00CB0A5B" w:rsidP="00387896">
            <w:pPr>
              <w:pStyle w:val="Tabletext"/>
              <w:rPr>
                <w:szCs w:val="20"/>
                <w:highlight w:val="lightGray"/>
              </w:rPr>
            </w:pPr>
            <w:r w:rsidRPr="008A2917">
              <w:rPr>
                <w:szCs w:val="20"/>
              </w:rPr>
              <w:t>Outcomes</w:t>
            </w:r>
          </w:p>
        </w:tc>
        <w:tc>
          <w:tcPr>
            <w:tcW w:w="1697" w:type="pct"/>
          </w:tcPr>
          <w:p w:rsidR="00CB0A5B" w:rsidRPr="008A2917" w:rsidRDefault="00CB0A5B" w:rsidP="00387896">
            <w:pPr>
              <w:pStyle w:val="Tabletext"/>
              <w:rPr>
                <w:szCs w:val="20"/>
              </w:rPr>
            </w:pPr>
            <w:r w:rsidRPr="008A2917">
              <w:rPr>
                <w:szCs w:val="20"/>
              </w:rPr>
              <w:t>Confirmed influenza cases, hospitalisations, fatal influenza events prevented, years of life and QALYs.</w:t>
            </w:r>
          </w:p>
        </w:tc>
        <w:tc>
          <w:tcPr>
            <w:tcW w:w="2535" w:type="pct"/>
            <w:shd w:val="clear" w:color="auto" w:fill="auto"/>
          </w:tcPr>
          <w:p w:rsidR="00CB0A5B" w:rsidRPr="008A2917" w:rsidRDefault="00CB0A5B" w:rsidP="00387896">
            <w:pPr>
              <w:pStyle w:val="Tabletext"/>
              <w:rPr>
                <w:szCs w:val="20"/>
              </w:rPr>
            </w:pPr>
            <w:r w:rsidRPr="008A2917">
              <w:rPr>
                <w:szCs w:val="20"/>
              </w:rPr>
              <w:t>This is appropriate.</w:t>
            </w:r>
          </w:p>
        </w:tc>
      </w:tr>
      <w:tr w:rsidR="00CB0A5B" w:rsidRPr="008A2917" w:rsidTr="00347051">
        <w:trPr>
          <w:trHeight w:val="696"/>
        </w:trPr>
        <w:tc>
          <w:tcPr>
            <w:tcW w:w="768" w:type="pct"/>
          </w:tcPr>
          <w:p w:rsidR="00CB0A5B" w:rsidRPr="008A2917" w:rsidRDefault="00CB0A5B" w:rsidP="00387896">
            <w:pPr>
              <w:pStyle w:val="Tabletext"/>
              <w:rPr>
                <w:szCs w:val="20"/>
                <w:highlight w:val="lightGray"/>
              </w:rPr>
            </w:pPr>
            <w:r w:rsidRPr="008A2917">
              <w:rPr>
                <w:szCs w:val="20"/>
              </w:rPr>
              <w:t>Time horizon</w:t>
            </w:r>
          </w:p>
        </w:tc>
        <w:tc>
          <w:tcPr>
            <w:tcW w:w="1697" w:type="pct"/>
          </w:tcPr>
          <w:p w:rsidR="00CB0A5B" w:rsidRPr="008A2917" w:rsidRDefault="00CB0A5B" w:rsidP="00387896">
            <w:pPr>
              <w:pStyle w:val="Tabletext"/>
              <w:rPr>
                <w:szCs w:val="20"/>
              </w:rPr>
            </w:pPr>
            <w:r w:rsidRPr="008A2917">
              <w:rPr>
                <w:szCs w:val="20"/>
              </w:rPr>
              <w:t>Time horizon of 1 year.</w:t>
            </w:r>
            <w:r w:rsidR="00916AF3" w:rsidRPr="008A2917">
              <w:rPr>
                <w:szCs w:val="20"/>
              </w:rPr>
              <w:t xml:space="preserve"> </w:t>
            </w:r>
            <w:r w:rsidRPr="008A2917">
              <w:rPr>
                <w:szCs w:val="20"/>
              </w:rPr>
              <w:t>The loss of future years of life due to premature mortality were discounted to the 1-year horizon of the model.</w:t>
            </w:r>
          </w:p>
        </w:tc>
        <w:tc>
          <w:tcPr>
            <w:tcW w:w="2535" w:type="pct"/>
            <w:shd w:val="clear" w:color="auto" w:fill="auto"/>
          </w:tcPr>
          <w:p w:rsidR="00CB0A5B" w:rsidRPr="008A2917" w:rsidRDefault="00CB0A5B" w:rsidP="00387896">
            <w:pPr>
              <w:pStyle w:val="Tabletext"/>
              <w:rPr>
                <w:szCs w:val="20"/>
              </w:rPr>
            </w:pPr>
            <w:r w:rsidRPr="008A2917">
              <w:rPr>
                <w:szCs w:val="20"/>
              </w:rPr>
              <w:t xml:space="preserve">This is reasonable. </w:t>
            </w:r>
          </w:p>
        </w:tc>
      </w:tr>
      <w:tr w:rsidR="00CB0A5B" w:rsidRPr="008A2917" w:rsidTr="00347051">
        <w:trPr>
          <w:trHeight w:val="471"/>
        </w:trPr>
        <w:tc>
          <w:tcPr>
            <w:tcW w:w="768" w:type="pct"/>
          </w:tcPr>
          <w:p w:rsidR="00CB0A5B" w:rsidRPr="008A2917" w:rsidRDefault="00CB0A5B" w:rsidP="00387896">
            <w:pPr>
              <w:pStyle w:val="Tabletext"/>
              <w:rPr>
                <w:szCs w:val="20"/>
                <w:highlight w:val="lightGray"/>
              </w:rPr>
            </w:pPr>
            <w:r w:rsidRPr="008A2917">
              <w:rPr>
                <w:szCs w:val="20"/>
              </w:rPr>
              <w:t>Methods used to generate results</w:t>
            </w:r>
          </w:p>
        </w:tc>
        <w:tc>
          <w:tcPr>
            <w:tcW w:w="1697" w:type="pct"/>
          </w:tcPr>
          <w:p w:rsidR="00CB0A5B" w:rsidRPr="008A2917" w:rsidRDefault="00CB0A5B" w:rsidP="00387896">
            <w:pPr>
              <w:pStyle w:val="Tabletext"/>
              <w:rPr>
                <w:szCs w:val="20"/>
              </w:rPr>
            </w:pPr>
            <w:r w:rsidRPr="008A2917">
              <w:rPr>
                <w:szCs w:val="20"/>
              </w:rPr>
              <w:t>Cohort expected value.</w:t>
            </w:r>
          </w:p>
        </w:tc>
        <w:tc>
          <w:tcPr>
            <w:tcW w:w="2535" w:type="pct"/>
            <w:shd w:val="clear" w:color="auto" w:fill="auto"/>
          </w:tcPr>
          <w:p w:rsidR="00CB0A5B" w:rsidRPr="008A2917" w:rsidRDefault="00CB0A5B" w:rsidP="00387896">
            <w:pPr>
              <w:pStyle w:val="Tabletext"/>
              <w:rPr>
                <w:szCs w:val="20"/>
              </w:rPr>
            </w:pPr>
            <w:r w:rsidRPr="008A2917">
              <w:rPr>
                <w:szCs w:val="20"/>
              </w:rPr>
              <w:t xml:space="preserve">This is reasonable. </w:t>
            </w:r>
          </w:p>
        </w:tc>
      </w:tr>
      <w:tr w:rsidR="00CB0A5B" w:rsidRPr="008A2917" w:rsidTr="00D03D21">
        <w:tc>
          <w:tcPr>
            <w:tcW w:w="768" w:type="pct"/>
            <w:tcBorders>
              <w:bottom w:val="single" w:sz="4" w:space="0" w:color="auto"/>
            </w:tcBorders>
          </w:tcPr>
          <w:p w:rsidR="00CB0A5B" w:rsidRPr="008A2917" w:rsidRDefault="00CB0A5B" w:rsidP="00387896">
            <w:pPr>
              <w:pStyle w:val="Tabletext"/>
              <w:rPr>
                <w:szCs w:val="20"/>
                <w:highlight w:val="lightGray"/>
              </w:rPr>
            </w:pPr>
            <w:r w:rsidRPr="008A2917">
              <w:rPr>
                <w:szCs w:val="20"/>
              </w:rPr>
              <w:t>Health states</w:t>
            </w:r>
          </w:p>
        </w:tc>
        <w:tc>
          <w:tcPr>
            <w:tcW w:w="1697" w:type="pct"/>
          </w:tcPr>
          <w:p w:rsidR="00CB0A5B" w:rsidRPr="008A2917" w:rsidRDefault="00CB0A5B" w:rsidP="0070150A">
            <w:pPr>
              <w:pStyle w:val="TableText0"/>
              <w:numPr>
                <w:ilvl w:val="0"/>
                <w:numId w:val="3"/>
              </w:numPr>
              <w:spacing w:before="0" w:after="0"/>
              <w:rPr>
                <w:szCs w:val="20"/>
              </w:rPr>
            </w:pPr>
            <w:r w:rsidRPr="008A2917">
              <w:rPr>
                <w:szCs w:val="20"/>
              </w:rPr>
              <w:t>Well</w:t>
            </w:r>
          </w:p>
          <w:p w:rsidR="00CB0A5B" w:rsidRPr="008A2917" w:rsidRDefault="00CB0A5B" w:rsidP="0070150A">
            <w:pPr>
              <w:pStyle w:val="TableText0"/>
              <w:numPr>
                <w:ilvl w:val="0"/>
                <w:numId w:val="3"/>
              </w:numPr>
              <w:spacing w:before="0" w:after="0"/>
              <w:rPr>
                <w:szCs w:val="20"/>
              </w:rPr>
            </w:pPr>
            <w:r w:rsidRPr="008A2917">
              <w:rPr>
                <w:szCs w:val="20"/>
              </w:rPr>
              <w:t>Confirmed influenza cases (</w:t>
            </w:r>
            <w:r w:rsidRPr="008A2917">
              <w:rPr>
                <w:rFonts w:eastAsia="Times New Roman" w:cs="Arial"/>
                <w:snapToGrid w:val="0"/>
                <w:szCs w:val="20"/>
              </w:rPr>
              <w:t>resulting in GP visits, ED visits or neither</w:t>
            </w:r>
            <w:r w:rsidRPr="008A2917">
              <w:rPr>
                <w:szCs w:val="20"/>
              </w:rPr>
              <w:t>)</w:t>
            </w:r>
          </w:p>
          <w:p w:rsidR="00CB0A5B" w:rsidRPr="008A2917" w:rsidRDefault="00CB0A5B" w:rsidP="0070150A">
            <w:pPr>
              <w:pStyle w:val="TableText0"/>
              <w:numPr>
                <w:ilvl w:val="0"/>
                <w:numId w:val="3"/>
              </w:numPr>
              <w:spacing w:before="0" w:after="0"/>
              <w:rPr>
                <w:szCs w:val="20"/>
              </w:rPr>
            </w:pPr>
            <w:r w:rsidRPr="008A2917">
              <w:rPr>
                <w:szCs w:val="20"/>
              </w:rPr>
              <w:t>Hospitalisations</w:t>
            </w:r>
          </w:p>
          <w:p w:rsidR="00CB0A5B" w:rsidRPr="008A2917" w:rsidRDefault="00CB0A5B" w:rsidP="0070150A">
            <w:pPr>
              <w:pStyle w:val="TableText0"/>
              <w:numPr>
                <w:ilvl w:val="0"/>
                <w:numId w:val="3"/>
              </w:numPr>
              <w:spacing w:before="0" w:after="0"/>
              <w:rPr>
                <w:szCs w:val="20"/>
              </w:rPr>
            </w:pPr>
            <w:r w:rsidRPr="008A2917">
              <w:rPr>
                <w:szCs w:val="20"/>
              </w:rPr>
              <w:t>Influenza related mortality</w:t>
            </w:r>
          </w:p>
          <w:p w:rsidR="00CB0A5B" w:rsidRPr="008A2917" w:rsidRDefault="00CB0A5B" w:rsidP="0070150A">
            <w:pPr>
              <w:pStyle w:val="Tabletext"/>
              <w:numPr>
                <w:ilvl w:val="0"/>
                <w:numId w:val="3"/>
              </w:numPr>
              <w:rPr>
                <w:szCs w:val="20"/>
              </w:rPr>
            </w:pPr>
            <w:r w:rsidRPr="008A2917">
              <w:rPr>
                <w:szCs w:val="20"/>
              </w:rPr>
              <w:t>Background mortality</w:t>
            </w:r>
          </w:p>
        </w:tc>
        <w:tc>
          <w:tcPr>
            <w:tcW w:w="2535" w:type="pct"/>
          </w:tcPr>
          <w:p w:rsidR="00CB0A5B" w:rsidRPr="008A2917" w:rsidRDefault="00916AF3" w:rsidP="00387896">
            <w:pPr>
              <w:pStyle w:val="Tabletext"/>
              <w:rPr>
                <w:szCs w:val="20"/>
                <w:highlight w:val="lightGray"/>
              </w:rPr>
            </w:pPr>
            <w:r w:rsidRPr="008A2917">
              <w:rPr>
                <w:iCs/>
                <w:szCs w:val="20"/>
              </w:rPr>
              <w:t>T</w:t>
            </w:r>
            <w:r w:rsidR="00CB0A5B" w:rsidRPr="008A2917">
              <w:rPr>
                <w:iCs/>
                <w:szCs w:val="20"/>
              </w:rPr>
              <w:t xml:space="preserve">he </w:t>
            </w:r>
            <w:r w:rsidRPr="008A2917">
              <w:rPr>
                <w:iCs/>
                <w:szCs w:val="20"/>
              </w:rPr>
              <w:t xml:space="preserve">estimated </w:t>
            </w:r>
            <w:r w:rsidR="00CB0A5B" w:rsidRPr="008A2917">
              <w:rPr>
                <w:iCs/>
                <w:szCs w:val="20"/>
              </w:rPr>
              <w:t xml:space="preserve">hospitalisations, death from influenza, GPs visits and ED visits </w:t>
            </w:r>
            <w:r w:rsidR="00012852" w:rsidRPr="008A2917">
              <w:rPr>
                <w:iCs/>
                <w:szCs w:val="20"/>
              </w:rPr>
              <w:t xml:space="preserve">were </w:t>
            </w:r>
            <w:r w:rsidR="00CB0A5B" w:rsidRPr="008A2917">
              <w:rPr>
                <w:iCs/>
                <w:szCs w:val="20"/>
              </w:rPr>
              <w:t>all contingent on the occurrence of influenza</w:t>
            </w:r>
            <w:r w:rsidR="008A2917">
              <w:rPr>
                <w:iCs/>
                <w:szCs w:val="20"/>
              </w:rPr>
              <w:t xml:space="preserve">. </w:t>
            </w:r>
          </w:p>
        </w:tc>
      </w:tr>
      <w:tr w:rsidR="00575CC5" w:rsidRPr="008A2917" w:rsidTr="00D03D21">
        <w:tc>
          <w:tcPr>
            <w:tcW w:w="768" w:type="pct"/>
            <w:tcBorders>
              <w:bottom w:val="single" w:sz="4" w:space="0" w:color="auto"/>
            </w:tcBorders>
          </w:tcPr>
          <w:p w:rsidR="00575CC5" w:rsidRPr="008A2917" w:rsidRDefault="00575CC5" w:rsidP="00387896">
            <w:pPr>
              <w:pStyle w:val="Tabletext"/>
              <w:rPr>
                <w:szCs w:val="20"/>
              </w:rPr>
            </w:pPr>
            <w:r w:rsidRPr="008A2917">
              <w:rPr>
                <w:szCs w:val="20"/>
              </w:rPr>
              <w:t>Background incidence</w:t>
            </w:r>
          </w:p>
        </w:tc>
        <w:tc>
          <w:tcPr>
            <w:tcW w:w="1697" w:type="pct"/>
          </w:tcPr>
          <w:p w:rsidR="00575CC5" w:rsidRPr="008A2917" w:rsidRDefault="004015A0" w:rsidP="00C3614B">
            <w:pPr>
              <w:pStyle w:val="TableText0"/>
              <w:spacing w:before="0" w:after="0"/>
              <w:rPr>
                <w:szCs w:val="20"/>
              </w:rPr>
            </w:pPr>
            <w:r w:rsidRPr="008A2917">
              <w:rPr>
                <w:szCs w:val="20"/>
              </w:rPr>
              <w:t>I</w:t>
            </w:r>
            <w:r w:rsidR="00575CC5" w:rsidRPr="008A2917">
              <w:rPr>
                <w:szCs w:val="20"/>
              </w:rPr>
              <w:t>nfluenza</w:t>
            </w:r>
            <w:r w:rsidRPr="008A2917">
              <w:rPr>
                <w:szCs w:val="20"/>
              </w:rPr>
              <w:t xml:space="preserve"> incidence with no vaccine</w:t>
            </w:r>
            <w:r w:rsidR="00575CC5" w:rsidRPr="008A2917">
              <w:rPr>
                <w:szCs w:val="20"/>
              </w:rPr>
              <w:t>:</w:t>
            </w:r>
            <w:r w:rsidRPr="008A2917">
              <w:rPr>
                <w:szCs w:val="20"/>
              </w:rPr>
              <w:t xml:space="preserve"> 4.51%</w:t>
            </w:r>
            <w:r w:rsidR="00575CC5" w:rsidRPr="008A2917">
              <w:rPr>
                <w:szCs w:val="20"/>
              </w:rPr>
              <w:t xml:space="preserve"> </w:t>
            </w:r>
            <w:r w:rsidRPr="008A2917">
              <w:rPr>
                <w:szCs w:val="20"/>
              </w:rPr>
              <w:t>(</w:t>
            </w:r>
            <w:r w:rsidR="00575CC5" w:rsidRPr="008A2917">
              <w:rPr>
                <w:szCs w:val="20"/>
              </w:rPr>
              <w:t>FIM12</w:t>
            </w:r>
            <w:r w:rsidR="008E4793" w:rsidRPr="008A2917">
              <w:rPr>
                <w:szCs w:val="20"/>
              </w:rPr>
              <w:t xml:space="preserve"> incidence with TIV-SD and VE for TIV-SD i.e. 1.88(1-0.5836)</w:t>
            </w:r>
            <w:r w:rsidRPr="008A2917">
              <w:rPr>
                <w:szCs w:val="20"/>
              </w:rPr>
              <w:t>)</w:t>
            </w:r>
            <w:r w:rsidR="00575CC5" w:rsidRPr="008A2917">
              <w:rPr>
                <w:szCs w:val="20"/>
              </w:rPr>
              <w:t xml:space="preserve">. </w:t>
            </w:r>
          </w:p>
        </w:tc>
        <w:tc>
          <w:tcPr>
            <w:tcW w:w="2535" w:type="pct"/>
          </w:tcPr>
          <w:p w:rsidR="00575CC5" w:rsidRPr="008A2917" w:rsidRDefault="00575CC5" w:rsidP="00387896">
            <w:pPr>
              <w:pStyle w:val="Tabletext"/>
              <w:rPr>
                <w:szCs w:val="20"/>
                <w:highlight w:val="lightGray"/>
              </w:rPr>
            </w:pPr>
            <w:r w:rsidRPr="008A2917">
              <w:rPr>
                <w:szCs w:val="20"/>
              </w:rPr>
              <w:t xml:space="preserve">Consistent with previous ATAGI advice (p1 of the ATAGI February 2018 pre-submission advice &amp; para. 6.34, p15, TIV-HD PSD, July 2018). FIM12 was conducted over low and high incidence influenza seasons. </w:t>
            </w:r>
          </w:p>
        </w:tc>
      </w:tr>
      <w:tr w:rsidR="00575CC5" w:rsidRPr="008A2917" w:rsidTr="00D03D21">
        <w:tc>
          <w:tcPr>
            <w:tcW w:w="768" w:type="pct"/>
            <w:tcBorders>
              <w:top w:val="single" w:sz="4" w:space="0" w:color="auto"/>
            </w:tcBorders>
            <w:vAlign w:val="center"/>
          </w:tcPr>
          <w:p w:rsidR="00575CC5" w:rsidRPr="008A2917" w:rsidRDefault="00575CC5" w:rsidP="00387896">
            <w:pPr>
              <w:pStyle w:val="Tabletext"/>
              <w:rPr>
                <w:szCs w:val="20"/>
              </w:rPr>
            </w:pPr>
          </w:p>
        </w:tc>
        <w:tc>
          <w:tcPr>
            <w:tcW w:w="1697" w:type="pct"/>
          </w:tcPr>
          <w:p w:rsidR="00575CC5" w:rsidRPr="008A2917" w:rsidRDefault="00CF4DA1" w:rsidP="00387896">
            <w:pPr>
              <w:widowControl/>
              <w:jc w:val="left"/>
              <w:rPr>
                <w:rFonts w:ascii="Arial Narrow" w:hAnsi="Arial Narrow" w:cs="Times New Roman"/>
                <w:sz w:val="20"/>
                <w:szCs w:val="20"/>
              </w:rPr>
            </w:pPr>
            <w:r w:rsidRPr="008A2917">
              <w:rPr>
                <w:rFonts w:ascii="Arial Narrow" w:hAnsi="Arial Narrow" w:cs="Times New Roman"/>
                <w:sz w:val="20"/>
                <w:szCs w:val="20"/>
              </w:rPr>
              <w:t>I</w:t>
            </w:r>
            <w:r w:rsidR="00575CC5" w:rsidRPr="008A2917">
              <w:rPr>
                <w:rFonts w:ascii="Arial Narrow" w:hAnsi="Arial Narrow" w:cs="Times New Roman"/>
                <w:sz w:val="20"/>
                <w:szCs w:val="20"/>
              </w:rPr>
              <w:t>nfluenza A subtypes strain prevalence: National Notifiable Diseases Surveillance System (NNDSS) time series 2002-2016 data.</w:t>
            </w:r>
          </w:p>
          <w:p w:rsidR="00575CC5" w:rsidRPr="008A2917" w:rsidRDefault="00CF4DA1" w:rsidP="00387896">
            <w:pPr>
              <w:pStyle w:val="TableText0"/>
              <w:spacing w:before="0" w:after="0"/>
              <w:rPr>
                <w:rFonts w:cs="Times New Roman"/>
                <w:szCs w:val="20"/>
              </w:rPr>
            </w:pPr>
            <w:r w:rsidRPr="008A2917">
              <w:rPr>
                <w:rFonts w:cs="Times New Roman"/>
                <w:szCs w:val="20"/>
              </w:rPr>
              <w:t>I</w:t>
            </w:r>
            <w:r w:rsidR="00575CC5" w:rsidRPr="008A2917">
              <w:rPr>
                <w:rFonts w:cs="Times New Roman"/>
                <w:szCs w:val="20"/>
              </w:rPr>
              <w:t>nfluenza B lineage prevalence: WHO-CC time series data 2002-2015.</w:t>
            </w:r>
          </w:p>
          <w:p w:rsidR="00A346BE" w:rsidRPr="008A2917" w:rsidRDefault="00A346BE" w:rsidP="00387896">
            <w:pPr>
              <w:pStyle w:val="TableText0"/>
              <w:spacing w:before="0" w:after="0"/>
              <w:rPr>
                <w:rFonts w:cs="Times New Roman"/>
                <w:szCs w:val="20"/>
              </w:rPr>
            </w:pPr>
          </w:p>
          <w:p w:rsidR="00A346BE" w:rsidRPr="008A2917" w:rsidRDefault="00A346BE" w:rsidP="00387896">
            <w:pPr>
              <w:pStyle w:val="TableText0"/>
              <w:spacing w:before="0" w:after="0"/>
              <w:rPr>
                <w:rFonts w:cs="Times New Roman"/>
                <w:szCs w:val="20"/>
              </w:rPr>
            </w:pPr>
            <w:r w:rsidRPr="008A2917">
              <w:rPr>
                <w:rFonts w:cs="Times New Roman"/>
                <w:szCs w:val="20"/>
              </w:rPr>
              <w:t>Average over 2002-2016</w:t>
            </w:r>
          </w:p>
          <w:p w:rsidR="00A346BE" w:rsidRPr="008A2917" w:rsidRDefault="00347051" w:rsidP="00387896">
            <w:pPr>
              <w:pStyle w:val="TableText0"/>
              <w:spacing w:before="0" w:after="0"/>
              <w:rPr>
                <w:rFonts w:cs="Times New Roman"/>
                <w:szCs w:val="20"/>
              </w:rPr>
            </w:pPr>
            <w:r w:rsidRPr="008A2917">
              <w:rPr>
                <w:rFonts w:cs="Times New Roman"/>
                <w:szCs w:val="20"/>
              </w:rPr>
              <w:t>Matched A: 83.2%</w:t>
            </w:r>
          </w:p>
          <w:p w:rsidR="00347051" w:rsidRPr="008A2917" w:rsidRDefault="00347051" w:rsidP="00387896">
            <w:pPr>
              <w:pStyle w:val="TableText0"/>
              <w:spacing w:before="0" w:after="0"/>
              <w:rPr>
                <w:rFonts w:cs="Times New Roman"/>
                <w:szCs w:val="20"/>
              </w:rPr>
            </w:pPr>
            <w:r w:rsidRPr="008A2917">
              <w:rPr>
                <w:rFonts w:cs="Times New Roman"/>
                <w:szCs w:val="20"/>
              </w:rPr>
              <w:t>Matched B: 10.0%</w:t>
            </w:r>
          </w:p>
          <w:p w:rsidR="00347051" w:rsidRPr="008A2917" w:rsidRDefault="00347051" w:rsidP="00387896">
            <w:pPr>
              <w:pStyle w:val="TableText0"/>
              <w:spacing w:before="0" w:after="0"/>
              <w:rPr>
                <w:szCs w:val="20"/>
                <w:highlight w:val="lightGray"/>
              </w:rPr>
            </w:pPr>
            <w:r w:rsidRPr="008A2917">
              <w:rPr>
                <w:rFonts w:cs="Times New Roman"/>
                <w:szCs w:val="20"/>
              </w:rPr>
              <w:t>Mismatched B: 6.8%</w:t>
            </w:r>
          </w:p>
        </w:tc>
        <w:tc>
          <w:tcPr>
            <w:tcW w:w="2535" w:type="pct"/>
          </w:tcPr>
          <w:p w:rsidR="00575CC5" w:rsidRPr="008A2917" w:rsidRDefault="00575CC5" w:rsidP="00387896">
            <w:pPr>
              <w:widowControl/>
              <w:jc w:val="left"/>
              <w:rPr>
                <w:rFonts w:ascii="Arial Narrow" w:hAnsi="Arial Narrow" w:cs="Times New Roman"/>
                <w:sz w:val="20"/>
                <w:szCs w:val="20"/>
              </w:rPr>
            </w:pPr>
            <w:r w:rsidRPr="008A2917">
              <w:rPr>
                <w:rFonts w:ascii="Arial Narrow" w:hAnsi="Arial Narrow" w:cs="Times New Roman"/>
                <w:sz w:val="20"/>
                <w:szCs w:val="20"/>
              </w:rPr>
              <w:t>ATAGI noted data on the proportion of influenza A disease attributable to A subtypes is generally not reliable in Australia (p24 of the ATAGI February 2018 pre-submission advice). ATAGI also did not consider it appropriate to use a simple average estimate of the proportion of influenza due to different subtypes over a longitudinal period (p24 of the ATAGI February 2018 pre-submission advice)</w:t>
            </w:r>
            <w:r w:rsidR="008A2917">
              <w:rPr>
                <w:rFonts w:ascii="Arial Narrow" w:hAnsi="Arial Narrow" w:cs="Times New Roman"/>
                <w:sz w:val="20"/>
                <w:szCs w:val="20"/>
              </w:rPr>
              <w:t xml:space="preserve">. </w:t>
            </w:r>
          </w:p>
          <w:p w:rsidR="00575CC5" w:rsidRPr="008A2917" w:rsidRDefault="000043D1" w:rsidP="00387896">
            <w:pPr>
              <w:pStyle w:val="Tabletext"/>
              <w:rPr>
                <w:szCs w:val="20"/>
                <w:highlight w:val="lightGray"/>
              </w:rPr>
            </w:pPr>
            <w:r w:rsidRPr="008A2917">
              <w:rPr>
                <w:szCs w:val="20"/>
              </w:rPr>
              <w:t xml:space="preserve">The proportion of influenza cases attributable to A and B strains varies with season, which impacts the weighted </w:t>
            </w:r>
            <w:proofErr w:type="spellStart"/>
            <w:r w:rsidRPr="008A2917">
              <w:rPr>
                <w:szCs w:val="20"/>
              </w:rPr>
              <w:t>rVE</w:t>
            </w:r>
            <w:proofErr w:type="spellEnd"/>
            <w:r w:rsidRPr="008A2917">
              <w:rPr>
                <w:szCs w:val="20"/>
              </w:rPr>
              <w:t xml:space="preserve"> calculations</w:t>
            </w:r>
            <w:r w:rsidR="008A2917">
              <w:rPr>
                <w:szCs w:val="20"/>
              </w:rPr>
              <w:t xml:space="preserve">. </w:t>
            </w:r>
            <w:r w:rsidRPr="008A2917">
              <w:rPr>
                <w:szCs w:val="20"/>
              </w:rPr>
              <w:t>This has been addressed within scenario analyses in the Supplementary model.</w:t>
            </w:r>
          </w:p>
        </w:tc>
      </w:tr>
      <w:tr w:rsidR="00575CC5" w:rsidRPr="008A2917" w:rsidTr="00347051">
        <w:tc>
          <w:tcPr>
            <w:tcW w:w="768" w:type="pct"/>
          </w:tcPr>
          <w:p w:rsidR="00575CC5" w:rsidRPr="008A2917" w:rsidRDefault="00575CC5" w:rsidP="00387896">
            <w:pPr>
              <w:pStyle w:val="Tabletext"/>
              <w:rPr>
                <w:szCs w:val="20"/>
              </w:rPr>
            </w:pPr>
            <w:r w:rsidRPr="008A2917">
              <w:rPr>
                <w:szCs w:val="20"/>
              </w:rPr>
              <w:t>Vaccine efficacy</w:t>
            </w:r>
          </w:p>
        </w:tc>
        <w:tc>
          <w:tcPr>
            <w:tcW w:w="1697" w:type="pct"/>
          </w:tcPr>
          <w:p w:rsidR="00E30E22" w:rsidRPr="008A2917" w:rsidRDefault="00A30514" w:rsidP="00387896">
            <w:pPr>
              <w:widowControl/>
              <w:jc w:val="left"/>
              <w:rPr>
                <w:rFonts w:ascii="Arial Narrow" w:hAnsi="Arial Narrow"/>
                <w:sz w:val="20"/>
                <w:szCs w:val="20"/>
              </w:rPr>
            </w:pPr>
            <w:r w:rsidRPr="008A2917">
              <w:rPr>
                <w:rFonts w:ascii="Arial Narrow" w:hAnsi="Arial Narrow"/>
                <w:sz w:val="20"/>
                <w:szCs w:val="20"/>
              </w:rPr>
              <w:t>TIV-SD</w:t>
            </w:r>
            <w:r w:rsidR="00E30E22" w:rsidRPr="008A2917">
              <w:rPr>
                <w:rFonts w:ascii="Arial Narrow" w:hAnsi="Arial Narrow"/>
                <w:sz w:val="20"/>
                <w:szCs w:val="20"/>
              </w:rPr>
              <w:t>: 58.36%</w:t>
            </w:r>
            <w:r w:rsidRPr="008A2917">
              <w:rPr>
                <w:rFonts w:ascii="Arial Narrow" w:hAnsi="Arial Narrow"/>
                <w:sz w:val="20"/>
                <w:szCs w:val="20"/>
              </w:rPr>
              <w:t xml:space="preserve"> (Clements et al., 2014</w:t>
            </w:r>
            <w:r w:rsidRPr="008A2917">
              <w:rPr>
                <w:rStyle w:val="FootnoteReference"/>
                <w:rFonts w:ascii="Arial Narrow" w:hAnsi="Arial Narrow"/>
                <w:sz w:val="20"/>
                <w:szCs w:val="20"/>
              </w:rPr>
              <w:footnoteReference w:id="3"/>
            </w:r>
            <w:r w:rsidRPr="008A2917">
              <w:rPr>
                <w:rFonts w:ascii="Arial Narrow" w:hAnsi="Arial Narrow"/>
                <w:sz w:val="20"/>
                <w:szCs w:val="20"/>
              </w:rPr>
              <w:t xml:space="preserve"> and average distribution of strains over 2002-2016)</w:t>
            </w:r>
          </w:p>
          <w:p w:rsidR="00E30E22" w:rsidRPr="008A2917" w:rsidRDefault="00E30E22" w:rsidP="00387896">
            <w:pPr>
              <w:pStyle w:val="TableText0"/>
              <w:rPr>
                <w:szCs w:val="20"/>
              </w:rPr>
            </w:pPr>
            <w:r w:rsidRPr="008A2917">
              <w:rPr>
                <w:szCs w:val="20"/>
              </w:rPr>
              <w:t>QIV-SD: 59.85%</w:t>
            </w:r>
            <w:r w:rsidR="00A30514" w:rsidRPr="008A2917">
              <w:rPr>
                <w:szCs w:val="20"/>
              </w:rPr>
              <w:t xml:space="preserve"> (Clements et al., 2014 and average distribution of A/B strains over 2002-2016) </w:t>
            </w:r>
          </w:p>
          <w:p w:rsidR="00A346BE" w:rsidRPr="008A2917" w:rsidRDefault="00A30514" w:rsidP="00387896">
            <w:pPr>
              <w:pStyle w:val="TableText0"/>
              <w:rPr>
                <w:rFonts w:cs="Times New Roman"/>
                <w:szCs w:val="20"/>
              </w:rPr>
            </w:pPr>
            <w:r w:rsidRPr="008A2917">
              <w:rPr>
                <w:rFonts w:cs="Times New Roman"/>
                <w:szCs w:val="20"/>
              </w:rPr>
              <w:t xml:space="preserve">TIV-HD vs TIV-SD: </w:t>
            </w:r>
            <w:r w:rsidR="00A346BE" w:rsidRPr="008A2917">
              <w:rPr>
                <w:rFonts w:cs="Times New Roman"/>
                <w:szCs w:val="20"/>
              </w:rPr>
              <w:t xml:space="preserve">24.2% </w:t>
            </w:r>
            <w:r w:rsidRPr="008A2917">
              <w:rPr>
                <w:rFonts w:cs="Times New Roman"/>
                <w:szCs w:val="20"/>
              </w:rPr>
              <w:t>(</w:t>
            </w:r>
            <w:r w:rsidR="00A346BE" w:rsidRPr="008A2917">
              <w:rPr>
                <w:rFonts w:cs="Times New Roman"/>
                <w:szCs w:val="20"/>
              </w:rPr>
              <w:t xml:space="preserve">FIM12) (absolute </w:t>
            </w:r>
            <w:r w:rsidR="00347051" w:rsidRPr="008A2917">
              <w:rPr>
                <w:rFonts w:cs="Times New Roman"/>
                <w:szCs w:val="20"/>
              </w:rPr>
              <w:t>VE</w:t>
            </w:r>
            <w:r w:rsidR="00A346BE" w:rsidRPr="008A2917">
              <w:rPr>
                <w:rFonts w:cs="Times New Roman"/>
                <w:szCs w:val="20"/>
              </w:rPr>
              <w:t xml:space="preserve"> of 68.44%)</w:t>
            </w:r>
          </w:p>
          <w:p w:rsidR="00A346BE" w:rsidRPr="008A2917" w:rsidRDefault="00A346BE" w:rsidP="00387896">
            <w:pPr>
              <w:pStyle w:val="TableText0"/>
              <w:rPr>
                <w:rFonts w:cs="Times New Roman"/>
                <w:szCs w:val="20"/>
              </w:rPr>
            </w:pPr>
            <w:proofErr w:type="spellStart"/>
            <w:proofErr w:type="gramStart"/>
            <w:r w:rsidRPr="008A2917">
              <w:rPr>
                <w:rFonts w:cs="Times New Roman"/>
                <w:szCs w:val="20"/>
              </w:rPr>
              <w:t>aTIV</w:t>
            </w:r>
            <w:proofErr w:type="spellEnd"/>
            <w:proofErr w:type="gramEnd"/>
            <w:r w:rsidRPr="008A2917">
              <w:rPr>
                <w:rFonts w:cs="Times New Roman"/>
                <w:szCs w:val="20"/>
              </w:rPr>
              <w:t xml:space="preserve"> vs TIV-SD: 10.0% (</w:t>
            </w:r>
            <w:proofErr w:type="spellStart"/>
            <w:r w:rsidR="00240F35" w:rsidRPr="008A2917">
              <w:rPr>
                <w:rFonts w:cs="Times New Roman"/>
                <w:szCs w:val="20"/>
              </w:rPr>
              <w:t>Izurieta</w:t>
            </w:r>
            <w:proofErr w:type="spellEnd"/>
            <w:r w:rsidR="00240F35" w:rsidRPr="008A2917">
              <w:rPr>
                <w:rFonts w:cs="Times New Roman"/>
                <w:szCs w:val="20"/>
              </w:rPr>
              <w:t xml:space="preserve"> et al.</w:t>
            </w:r>
            <w:r w:rsidRPr="008A2917">
              <w:rPr>
                <w:rFonts w:cs="Times New Roman"/>
                <w:szCs w:val="20"/>
              </w:rPr>
              <w:t xml:space="preserve">2018 and FIM12) (absolute </w:t>
            </w:r>
            <w:r w:rsidR="00347051" w:rsidRPr="008A2917">
              <w:rPr>
                <w:rFonts w:cs="Times New Roman"/>
                <w:szCs w:val="20"/>
              </w:rPr>
              <w:t>VE</w:t>
            </w:r>
            <w:r w:rsidRPr="008A2917">
              <w:rPr>
                <w:rFonts w:cs="Times New Roman"/>
                <w:szCs w:val="20"/>
              </w:rPr>
              <w:t xml:space="preserve"> of 62.53%)</w:t>
            </w:r>
          </w:p>
          <w:p w:rsidR="00575CC5" w:rsidRPr="008A2917" w:rsidRDefault="00A346BE" w:rsidP="006977BA">
            <w:pPr>
              <w:pStyle w:val="TableText0"/>
              <w:rPr>
                <w:rFonts w:cs="Times New Roman"/>
                <w:szCs w:val="20"/>
              </w:rPr>
            </w:pPr>
            <w:proofErr w:type="spellStart"/>
            <w:r w:rsidRPr="008A2917">
              <w:rPr>
                <w:rFonts w:cs="Times New Roman"/>
                <w:szCs w:val="20"/>
              </w:rPr>
              <w:t>aQIV</w:t>
            </w:r>
            <w:proofErr w:type="spellEnd"/>
            <w:r w:rsidRPr="008A2917">
              <w:rPr>
                <w:rFonts w:cs="Times New Roman"/>
                <w:szCs w:val="20"/>
              </w:rPr>
              <w:t xml:space="preserve">: </w:t>
            </w:r>
            <w:r w:rsidR="00A30514" w:rsidRPr="008A2917">
              <w:rPr>
                <w:rFonts w:cs="Times New Roman"/>
                <w:szCs w:val="20"/>
              </w:rPr>
              <w:t xml:space="preserve">63.87% </w:t>
            </w:r>
            <w:r w:rsidRPr="008A2917">
              <w:rPr>
                <w:rFonts w:cs="Times New Roman"/>
                <w:szCs w:val="20"/>
              </w:rPr>
              <w:t>(</w:t>
            </w:r>
            <w:proofErr w:type="spellStart"/>
            <w:r w:rsidR="00240F35" w:rsidRPr="008A2917">
              <w:rPr>
                <w:rFonts w:cs="Times New Roman"/>
                <w:szCs w:val="20"/>
              </w:rPr>
              <w:t>Izurieta</w:t>
            </w:r>
            <w:proofErr w:type="spellEnd"/>
            <w:r w:rsidR="00240F35" w:rsidRPr="008A2917">
              <w:rPr>
                <w:rFonts w:cs="Times New Roman"/>
                <w:szCs w:val="20"/>
              </w:rPr>
              <w:t xml:space="preserve"> et al.</w:t>
            </w:r>
            <w:r w:rsidRPr="008A2917">
              <w:rPr>
                <w:rFonts w:cs="Times New Roman"/>
                <w:szCs w:val="20"/>
              </w:rPr>
              <w:t xml:space="preserve">2018 and FIM12 for </w:t>
            </w:r>
            <w:proofErr w:type="spellStart"/>
            <w:r w:rsidRPr="008A2917">
              <w:rPr>
                <w:rFonts w:cs="Times New Roman"/>
                <w:szCs w:val="20"/>
              </w:rPr>
              <w:t>aTIV</w:t>
            </w:r>
            <w:proofErr w:type="spellEnd"/>
            <w:r w:rsidRPr="008A2917">
              <w:rPr>
                <w:rFonts w:cs="Times New Roman"/>
                <w:szCs w:val="20"/>
              </w:rPr>
              <w:t xml:space="preserve"> with assumption of same efficacy for both B strains)</w:t>
            </w:r>
          </w:p>
        </w:tc>
        <w:tc>
          <w:tcPr>
            <w:tcW w:w="2535" w:type="pct"/>
          </w:tcPr>
          <w:p w:rsidR="00347051" w:rsidRPr="008A2917" w:rsidRDefault="00347051" w:rsidP="00387896">
            <w:pPr>
              <w:widowControl/>
              <w:jc w:val="left"/>
              <w:rPr>
                <w:rFonts w:ascii="Arial Narrow" w:hAnsi="Arial Narrow"/>
                <w:sz w:val="20"/>
                <w:szCs w:val="20"/>
              </w:rPr>
            </w:pPr>
            <w:r w:rsidRPr="008A2917">
              <w:rPr>
                <w:rFonts w:ascii="Arial Narrow" w:hAnsi="Arial Narrow" w:cs="Times New Roman"/>
                <w:sz w:val="20"/>
                <w:szCs w:val="20"/>
              </w:rPr>
              <w:t xml:space="preserve">As for the </w:t>
            </w:r>
            <w:r w:rsidR="00A1734C" w:rsidRPr="008A2917">
              <w:rPr>
                <w:rFonts w:ascii="Arial Narrow" w:hAnsi="Arial Narrow" w:cs="Times New Roman"/>
                <w:sz w:val="20"/>
                <w:szCs w:val="20"/>
              </w:rPr>
              <w:t xml:space="preserve">July </w:t>
            </w:r>
            <w:r w:rsidRPr="008A2917">
              <w:rPr>
                <w:rFonts w:ascii="Arial Narrow" w:hAnsi="Arial Narrow" w:cs="Times New Roman"/>
                <w:sz w:val="20"/>
                <w:szCs w:val="20"/>
              </w:rPr>
              <w:t xml:space="preserve">2018 submission, Clements et al. (2014) was the source of the </w:t>
            </w:r>
            <w:proofErr w:type="spellStart"/>
            <w:r w:rsidRPr="008A2917">
              <w:rPr>
                <w:rFonts w:ascii="Arial Narrow" w:hAnsi="Arial Narrow" w:cs="Times New Roman"/>
                <w:sz w:val="20"/>
                <w:szCs w:val="20"/>
              </w:rPr>
              <w:t>rVE</w:t>
            </w:r>
            <w:proofErr w:type="spellEnd"/>
            <w:r w:rsidRPr="008A2917">
              <w:rPr>
                <w:rFonts w:ascii="Arial Narrow" w:hAnsi="Arial Narrow" w:cs="Times New Roman"/>
                <w:sz w:val="20"/>
                <w:szCs w:val="20"/>
              </w:rPr>
              <w:t xml:space="preserve"> against Type A (58%), B matched (69%) and B mismatched (47%). The ESC noted the estimate</w:t>
            </w:r>
            <w:r w:rsidR="004E1216" w:rsidRPr="008A2917">
              <w:rPr>
                <w:rFonts w:ascii="Arial Narrow" w:hAnsi="Arial Narrow" w:cs="Times New Roman"/>
                <w:sz w:val="20"/>
                <w:szCs w:val="20"/>
              </w:rPr>
              <w:t>s</w:t>
            </w:r>
            <w:r w:rsidRPr="008A2917">
              <w:rPr>
                <w:rFonts w:ascii="Arial Narrow" w:hAnsi="Arial Narrow" w:cs="Times New Roman"/>
                <w:sz w:val="20"/>
                <w:szCs w:val="20"/>
              </w:rPr>
              <w:t xml:space="preserve"> based on Clements</w:t>
            </w:r>
            <w:r w:rsidR="00F46BED" w:rsidRPr="008A2917">
              <w:rPr>
                <w:rFonts w:ascii="Arial Narrow" w:hAnsi="Arial Narrow" w:cs="Times New Roman"/>
                <w:sz w:val="20"/>
                <w:szCs w:val="20"/>
              </w:rPr>
              <w:t xml:space="preserve"> 2014</w:t>
            </w:r>
            <w:r w:rsidRPr="008A2917">
              <w:rPr>
                <w:rFonts w:ascii="Arial Narrow" w:hAnsi="Arial Narrow" w:cs="Times New Roman"/>
                <w:sz w:val="20"/>
                <w:szCs w:val="20"/>
              </w:rPr>
              <w:t xml:space="preserve"> to be uncertain.</w:t>
            </w:r>
            <w:r w:rsidRPr="008A2917">
              <w:rPr>
                <w:rFonts w:ascii="Arial Narrow" w:hAnsi="Arial Narrow"/>
                <w:sz w:val="20"/>
                <w:szCs w:val="20"/>
              </w:rPr>
              <w:t xml:space="preserve"> </w:t>
            </w:r>
          </w:p>
          <w:p w:rsidR="00A30514" w:rsidRPr="008A2917" w:rsidRDefault="00A30514" w:rsidP="00387896">
            <w:pPr>
              <w:widowControl/>
              <w:jc w:val="left"/>
              <w:rPr>
                <w:rFonts w:ascii="Arial Narrow" w:hAnsi="Arial Narrow"/>
                <w:sz w:val="20"/>
                <w:szCs w:val="20"/>
              </w:rPr>
            </w:pPr>
          </w:p>
          <w:p w:rsidR="00575CC5" w:rsidRPr="008A2917" w:rsidRDefault="00575CC5" w:rsidP="00387896">
            <w:pPr>
              <w:widowControl/>
              <w:jc w:val="left"/>
              <w:rPr>
                <w:rFonts w:ascii="Arial Narrow" w:hAnsi="Arial Narrow"/>
                <w:sz w:val="20"/>
                <w:szCs w:val="20"/>
                <w:highlight w:val="lightGray"/>
              </w:rPr>
            </w:pPr>
          </w:p>
        </w:tc>
      </w:tr>
      <w:tr w:rsidR="00575CC5" w:rsidRPr="008A2917" w:rsidTr="00347051">
        <w:tc>
          <w:tcPr>
            <w:tcW w:w="768" w:type="pct"/>
          </w:tcPr>
          <w:p w:rsidR="00575CC5" w:rsidRPr="008A2917" w:rsidRDefault="00575CC5" w:rsidP="00387896">
            <w:pPr>
              <w:pStyle w:val="Tabletext"/>
              <w:rPr>
                <w:szCs w:val="20"/>
              </w:rPr>
            </w:pPr>
            <w:r w:rsidRPr="008A2917">
              <w:rPr>
                <w:bCs/>
                <w:szCs w:val="20"/>
              </w:rPr>
              <w:lastRenderedPageBreak/>
              <w:t>Influenza-related hospitalisation</w:t>
            </w:r>
          </w:p>
        </w:tc>
        <w:tc>
          <w:tcPr>
            <w:tcW w:w="1697" w:type="pct"/>
          </w:tcPr>
          <w:p w:rsidR="00575CC5" w:rsidRPr="008A2917" w:rsidRDefault="00012852" w:rsidP="00387896">
            <w:pPr>
              <w:widowControl/>
              <w:jc w:val="left"/>
              <w:rPr>
                <w:rFonts w:ascii="Arial Narrow" w:hAnsi="Arial Narrow"/>
                <w:sz w:val="20"/>
                <w:szCs w:val="20"/>
              </w:rPr>
            </w:pPr>
            <w:r w:rsidRPr="008A2917">
              <w:rPr>
                <w:rFonts w:ascii="Arial Narrow" w:hAnsi="Arial Narrow"/>
                <w:sz w:val="20"/>
                <w:szCs w:val="20"/>
              </w:rPr>
              <w:t>P</w:t>
            </w:r>
            <w:r w:rsidR="00575CC5" w:rsidRPr="008A2917">
              <w:rPr>
                <w:rFonts w:ascii="Arial Narrow" w:hAnsi="Arial Narrow"/>
                <w:sz w:val="20"/>
                <w:szCs w:val="20"/>
              </w:rPr>
              <w:t>robability of hospitalisation given a person has influenza</w:t>
            </w:r>
            <w:r w:rsidRPr="008A2917">
              <w:rPr>
                <w:rFonts w:ascii="Arial Narrow" w:hAnsi="Arial Narrow"/>
                <w:sz w:val="20"/>
                <w:szCs w:val="20"/>
              </w:rPr>
              <w:t>:</w:t>
            </w:r>
            <w:r w:rsidR="00575CC5" w:rsidRPr="008A2917">
              <w:rPr>
                <w:rFonts w:ascii="Arial Narrow" w:hAnsi="Arial Narrow"/>
                <w:sz w:val="20"/>
                <w:szCs w:val="20"/>
              </w:rPr>
              <w:t xml:space="preserve"> 44.68%</w:t>
            </w:r>
            <w:r w:rsidR="000043D1" w:rsidRPr="008A2917">
              <w:rPr>
                <w:rFonts w:ascii="Arial Narrow" w:hAnsi="Arial Narrow"/>
                <w:sz w:val="20"/>
                <w:szCs w:val="20"/>
              </w:rPr>
              <w:t xml:space="preserve"> (FIM12)</w:t>
            </w:r>
            <w:r w:rsidR="00575CC5" w:rsidRPr="008A2917">
              <w:rPr>
                <w:rFonts w:ascii="Arial Narrow" w:hAnsi="Arial Narrow"/>
                <w:sz w:val="20"/>
                <w:szCs w:val="20"/>
              </w:rPr>
              <w:t xml:space="preserve">. </w:t>
            </w:r>
          </w:p>
          <w:p w:rsidR="000043D1" w:rsidRPr="008A2917" w:rsidRDefault="000043D1" w:rsidP="00387896">
            <w:pPr>
              <w:widowControl/>
              <w:jc w:val="left"/>
              <w:rPr>
                <w:rFonts w:ascii="Arial Narrow" w:hAnsi="Arial Narrow" w:cs="Times New Roman"/>
                <w:sz w:val="20"/>
                <w:szCs w:val="20"/>
                <w:highlight w:val="lightGray"/>
              </w:rPr>
            </w:pPr>
            <w:r w:rsidRPr="008A2917">
              <w:rPr>
                <w:rFonts w:ascii="Arial Narrow" w:hAnsi="Arial Narrow"/>
                <w:sz w:val="20"/>
                <w:szCs w:val="20"/>
              </w:rPr>
              <w:t>Sensitivity analysis: 19.3% (Newall 2008).</w:t>
            </w:r>
          </w:p>
        </w:tc>
        <w:tc>
          <w:tcPr>
            <w:tcW w:w="2535" w:type="pct"/>
          </w:tcPr>
          <w:p w:rsidR="00575CC5" w:rsidRPr="008A2917" w:rsidRDefault="000043D1" w:rsidP="00387896">
            <w:pPr>
              <w:pStyle w:val="Tabletext"/>
              <w:rPr>
                <w:szCs w:val="20"/>
              </w:rPr>
            </w:pPr>
            <w:r w:rsidRPr="008A2917">
              <w:rPr>
                <w:iCs/>
                <w:szCs w:val="20"/>
              </w:rPr>
              <w:t>Based on a narrower definition of influenza-related hospitalisation</w:t>
            </w:r>
            <w:r w:rsidR="008E4793" w:rsidRPr="008A2917">
              <w:rPr>
                <w:iCs/>
                <w:szCs w:val="20"/>
              </w:rPr>
              <w:t xml:space="preserve"> in FIM12</w:t>
            </w:r>
            <w:r w:rsidRPr="008A2917">
              <w:rPr>
                <w:iCs/>
                <w:szCs w:val="20"/>
              </w:rPr>
              <w:t xml:space="preserve">. </w:t>
            </w:r>
            <w:r w:rsidRPr="008A2917">
              <w:rPr>
                <w:szCs w:val="20"/>
              </w:rPr>
              <w:t>ESC has previously noted that using a broader category of all-cause hospitalisations was inappropriate (para 6.43, p23, TIV-HD PSD, July 2018). The ESC considered use of the rate from Newall 2008 to be more appropriate for the base case.</w:t>
            </w:r>
          </w:p>
        </w:tc>
      </w:tr>
      <w:tr w:rsidR="00575CC5" w:rsidRPr="008A2917" w:rsidTr="00347051">
        <w:tc>
          <w:tcPr>
            <w:tcW w:w="768" w:type="pct"/>
          </w:tcPr>
          <w:p w:rsidR="00575CC5" w:rsidRPr="008A2917" w:rsidRDefault="00575CC5" w:rsidP="00387896">
            <w:pPr>
              <w:pStyle w:val="Tabletext"/>
              <w:rPr>
                <w:szCs w:val="20"/>
              </w:rPr>
            </w:pPr>
            <w:r w:rsidRPr="008A2917">
              <w:rPr>
                <w:bCs/>
                <w:szCs w:val="20"/>
              </w:rPr>
              <w:t>Influenza-related mortality</w:t>
            </w:r>
          </w:p>
        </w:tc>
        <w:tc>
          <w:tcPr>
            <w:tcW w:w="1697" w:type="pct"/>
          </w:tcPr>
          <w:p w:rsidR="00575CC5" w:rsidRPr="008A2917" w:rsidRDefault="00575CC5" w:rsidP="00387896">
            <w:pPr>
              <w:pStyle w:val="Tabletext"/>
              <w:rPr>
                <w:szCs w:val="20"/>
              </w:rPr>
            </w:pPr>
            <w:r w:rsidRPr="008A2917">
              <w:rPr>
                <w:szCs w:val="20"/>
              </w:rPr>
              <w:t>Probability of influenza-related mortality given a person has influenza</w:t>
            </w:r>
            <w:r w:rsidR="00012852" w:rsidRPr="008A2917">
              <w:rPr>
                <w:szCs w:val="20"/>
              </w:rPr>
              <w:t>:</w:t>
            </w:r>
            <w:r w:rsidRPr="008A2917">
              <w:rPr>
                <w:szCs w:val="20"/>
              </w:rPr>
              <w:t xml:space="preserve"> 4.7% </w:t>
            </w:r>
            <w:r w:rsidR="00347051" w:rsidRPr="008A2917">
              <w:rPr>
                <w:szCs w:val="20"/>
              </w:rPr>
              <w:t>(</w:t>
            </w:r>
            <w:r w:rsidRPr="008A2917">
              <w:rPr>
                <w:szCs w:val="20"/>
              </w:rPr>
              <w:t>Newall 2008</w:t>
            </w:r>
            <w:r w:rsidRPr="008A2917">
              <w:rPr>
                <w:rStyle w:val="FootnoteReference"/>
                <w:szCs w:val="20"/>
              </w:rPr>
              <w:footnoteReference w:id="4"/>
            </w:r>
            <w:r w:rsidR="00347051" w:rsidRPr="008A2917">
              <w:rPr>
                <w:szCs w:val="20"/>
              </w:rPr>
              <w:t>).</w:t>
            </w:r>
          </w:p>
        </w:tc>
        <w:tc>
          <w:tcPr>
            <w:tcW w:w="2535" w:type="pct"/>
          </w:tcPr>
          <w:p w:rsidR="00575CC5" w:rsidRPr="008A2917" w:rsidRDefault="00575CC5" w:rsidP="00387896">
            <w:pPr>
              <w:pStyle w:val="Tabletext"/>
              <w:rPr>
                <w:i/>
                <w:szCs w:val="20"/>
              </w:rPr>
            </w:pPr>
            <w:r w:rsidRPr="008A2917">
              <w:rPr>
                <w:szCs w:val="20"/>
              </w:rPr>
              <w:t>The Supplementary model used a higher rate of influenza-related mortality compared to the Main model</w:t>
            </w:r>
            <w:r w:rsidR="000043D1" w:rsidRPr="008A2917">
              <w:rPr>
                <w:szCs w:val="20"/>
              </w:rPr>
              <w:t xml:space="preserve"> (3.48%)</w:t>
            </w:r>
            <w:r w:rsidRPr="008A2917">
              <w:rPr>
                <w:szCs w:val="20"/>
              </w:rPr>
              <w:t xml:space="preserve">. </w:t>
            </w:r>
            <w:r w:rsidR="008E4793" w:rsidRPr="008A2917">
              <w:rPr>
                <w:szCs w:val="20"/>
              </w:rPr>
              <w:t xml:space="preserve">The evaluation considered the lower mortality rate to be appropriate. </w:t>
            </w:r>
            <w:r w:rsidRPr="008A2917">
              <w:rPr>
                <w:szCs w:val="20"/>
              </w:rPr>
              <w:t xml:space="preserve">The ESC considered the mortality rate from Newall </w:t>
            </w:r>
            <w:r w:rsidR="00240F35" w:rsidRPr="008A2917">
              <w:rPr>
                <w:szCs w:val="20"/>
              </w:rPr>
              <w:t>et al</w:t>
            </w:r>
            <w:proofErr w:type="gramStart"/>
            <w:r w:rsidR="00240F35" w:rsidRPr="008A2917">
              <w:rPr>
                <w:szCs w:val="20"/>
              </w:rPr>
              <w:t>.</w:t>
            </w:r>
            <w:r w:rsidRPr="008A2917">
              <w:rPr>
                <w:szCs w:val="20"/>
              </w:rPr>
              <w:t>(</w:t>
            </w:r>
            <w:proofErr w:type="gramEnd"/>
            <w:r w:rsidRPr="008A2917">
              <w:rPr>
                <w:szCs w:val="20"/>
              </w:rPr>
              <w:t xml:space="preserve">2008) reasonable to use in the Supplementary model together with the </w:t>
            </w:r>
            <w:r w:rsidR="000043D1" w:rsidRPr="008A2917">
              <w:rPr>
                <w:szCs w:val="20"/>
              </w:rPr>
              <w:t>hospitalisation rate</w:t>
            </w:r>
            <w:r w:rsidRPr="008A2917">
              <w:rPr>
                <w:szCs w:val="20"/>
              </w:rPr>
              <w:t xml:space="preserve"> from Newall </w:t>
            </w:r>
            <w:r w:rsidR="00240F35" w:rsidRPr="008A2917">
              <w:rPr>
                <w:szCs w:val="20"/>
              </w:rPr>
              <w:t>et al.</w:t>
            </w:r>
            <w:r w:rsidRPr="008A2917">
              <w:rPr>
                <w:szCs w:val="20"/>
              </w:rPr>
              <w:t>(2008).</w:t>
            </w:r>
          </w:p>
        </w:tc>
      </w:tr>
      <w:tr w:rsidR="00575CC5" w:rsidRPr="008A2917" w:rsidTr="00347051">
        <w:tc>
          <w:tcPr>
            <w:tcW w:w="768" w:type="pct"/>
            <w:vMerge w:val="restart"/>
          </w:tcPr>
          <w:p w:rsidR="00575CC5" w:rsidRPr="008A2917" w:rsidRDefault="00575CC5" w:rsidP="00387896">
            <w:pPr>
              <w:pStyle w:val="Tabletext"/>
              <w:rPr>
                <w:szCs w:val="20"/>
              </w:rPr>
            </w:pPr>
            <w:r w:rsidRPr="008A2917">
              <w:rPr>
                <w:szCs w:val="20"/>
              </w:rPr>
              <w:t>Costs</w:t>
            </w:r>
          </w:p>
        </w:tc>
        <w:tc>
          <w:tcPr>
            <w:tcW w:w="1697" w:type="pct"/>
          </w:tcPr>
          <w:p w:rsidR="00575CC5" w:rsidRPr="008A2917" w:rsidRDefault="00575CC5" w:rsidP="00387896">
            <w:pPr>
              <w:pStyle w:val="Tabletext"/>
              <w:rPr>
                <w:szCs w:val="20"/>
              </w:rPr>
            </w:pPr>
            <w:r w:rsidRPr="008A2917">
              <w:rPr>
                <w:szCs w:val="20"/>
              </w:rPr>
              <w:t>Vaccine cost per administration:</w:t>
            </w:r>
          </w:p>
          <w:p w:rsidR="00575CC5" w:rsidRPr="008A2917" w:rsidRDefault="00575CC5" w:rsidP="00387896">
            <w:pPr>
              <w:pStyle w:val="Tabletext"/>
              <w:rPr>
                <w:szCs w:val="20"/>
              </w:rPr>
            </w:pPr>
            <w:r w:rsidRPr="008A2917">
              <w:rPr>
                <w:szCs w:val="20"/>
              </w:rPr>
              <w:t>TIV-HD: $</w:t>
            </w:r>
            <w:r w:rsidR="001A215D">
              <w:rPr>
                <w:noProof/>
                <w:color w:val="000000"/>
                <w:szCs w:val="20"/>
                <w:highlight w:val="black"/>
              </w:rPr>
              <w:t>''''''''''''</w:t>
            </w:r>
            <w:r w:rsidRPr="008A2917">
              <w:rPr>
                <w:szCs w:val="20"/>
              </w:rPr>
              <w:t>.</w:t>
            </w:r>
          </w:p>
          <w:p w:rsidR="00575CC5" w:rsidRPr="008A2917" w:rsidRDefault="00575CC5" w:rsidP="00387896">
            <w:pPr>
              <w:pStyle w:val="Tabletext"/>
              <w:rPr>
                <w:szCs w:val="20"/>
              </w:rPr>
            </w:pPr>
            <w:r w:rsidRPr="008A2917">
              <w:rPr>
                <w:szCs w:val="20"/>
              </w:rPr>
              <w:t>QIV-SD: $</w:t>
            </w:r>
            <w:r w:rsidR="001A215D">
              <w:rPr>
                <w:noProof/>
                <w:color w:val="000000"/>
                <w:szCs w:val="20"/>
                <w:highlight w:val="black"/>
              </w:rPr>
              <w:t>''''''''''''</w:t>
            </w:r>
            <w:r w:rsidRPr="008A2917">
              <w:rPr>
                <w:szCs w:val="20"/>
              </w:rPr>
              <w:t>.</w:t>
            </w:r>
          </w:p>
          <w:p w:rsidR="00575CC5" w:rsidRPr="008A2917" w:rsidRDefault="00575CC5" w:rsidP="00387896">
            <w:pPr>
              <w:pStyle w:val="Tabletext"/>
              <w:rPr>
                <w:szCs w:val="20"/>
              </w:rPr>
            </w:pPr>
            <w:proofErr w:type="spellStart"/>
            <w:proofErr w:type="gramStart"/>
            <w:r w:rsidRPr="008A2917">
              <w:rPr>
                <w:szCs w:val="20"/>
              </w:rPr>
              <w:t>aTIV</w:t>
            </w:r>
            <w:proofErr w:type="spellEnd"/>
            <w:proofErr w:type="gramEnd"/>
            <w:r w:rsidRPr="00AA15E2">
              <w:rPr>
                <w:szCs w:val="20"/>
              </w:rPr>
              <w:t>: $</w:t>
            </w:r>
            <w:r w:rsidR="001A215D">
              <w:rPr>
                <w:noProof/>
                <w:color w:val="000000"/>
                <w:szCs w:val="20"/>
                <w:highlight w:val="black"/>
              </w:rPr>
              <w:t>'''''''''''''</w:t>
            </w:r>
            <w:r w:rsidR="00AA15E2" w:rsidRPr="00AA15E2">
              <w:rPr>
                <w:szCs w:val="20"/>
              </w:rPr>
              <w:t>.</w:t>
            </w:r>
          </w:p>
          <w:p w:rsidR="00575CC5" w:rsidRPr="008A2917" w:rsidRDefault="00575CC5" w:rsidP="00387896">
            <w:pPr>
              <w:pStyle w:val="Tabletext"/>
              <w:rPr>
                <w:szCs w:val="20"/>
              </w:rPr>
            </w:pPr>
            <w:proofErr w:type="spellStart"/>
            <w:proofErr w:type="gramStart"/>
            <w:r w:rsidRPr="008A2917">
              <w:rPr>
                <w:szCs w:val="20"/>
              </w:rPr>
              <w:t>aQIV</w:t>
            </w:r>
            <w:proofErr w:type="spellEnd"/>
            <w:proofErr w:type="gramEnd"/>
            <w:r w:rsidRPr="008A2917">
              <w:rPr>
                <w:szCs w:val="20"/>
              </w:rPr>
              <w:t>: $</w:t>
            </w:r>
            <w:r w:rsidR="001A215D">
              <w:rPr>
                <w:noProof/>
                <w:color w:val="000000"/>
                <w:szCs w:val="20"/>
                <w:highlight w:val="black"/>
              </w:rPr>
              <w:t>'''''''''''''</w:t>
            </w:r>
            <w:r w:rsidRPr="008A2917">
              <w:rPr>
                <w:szCs w:val="20"/>
              </w:rPr>
              <w:t>.</w:t>
            </w:r>
          </w:p>
        </w:tc>
        <w:tc>
          <w:tcPr>
            <w:tcW w:w="2535" w:type="pct"/>
          </w:tcPr>
          <w:p w:rsidR="00575CC5" w:rsidRPr="008A2917" w:rsidRDefault="00181880" w:rsidP="00387896">
            <w:pPr>
              <w:pStyle w:val="Tabletext"/>
              <w:rPr>
                <w:szCs w:val="20"/>
              </w:rPr>
            </w:pPr>
            <w:r w:rsidRPr="008A2917">
              <w:rPr>
                <w:szCs w:val="20"/>
              </w:rPr>
              <w:t>Proposed price for TIV-HD. Current price for QIV-SD.</w:t>
            </w:r>
          </w:p>
          <w:p w:rsidR="00575CC5" w:rsidRPr="008A2917" w:rsidRDefault="00575CC5" w:rsidP="00387896">
            <w:pPr>
              <w:pStyle w:val="Tabletext"/>
              <w:rPr>
                <w:szCs w:val="20"/>
              </w:rPr>
            </w:pPr>
            <w:r w:rsidRPr="008A2917">
              <w:rPr>
                <w:szCs w:val="20"/>
              </w:rPr>
              <w:t xml:space="preserve">The costs for </w:t>
            </w:r>
            <w:proofErr w:type="spellStart"/>
            <w:r w:rsidRPr="008A2917">
              <w:rPr>
                <w:szCs w:val="20"/>
              </w:rPr>
              <w:t>aTIV</w:t>
            </w:r>
            <w:proofErr w:type="spellEnd"/>
            <w:r w:rsidRPr="008A2917">
              <w:rPr>
                <w:szCs w:val="20"/>
              </w:rPr>
              <w:t xml:space="preserve"> and </w:t>
            </w:r>
            <w:proofErr w:type="spellStart"/>
            <w:r w:rsidRPr="008A2917">
              <w:rPr>
                <w:szCs w:val="20"/>
              </w:rPr>
              <w:t>aQIV</w:t>
            </w:r>
            <w:proofErr w:type="spellEnd"/>
            <w:r w:rsidRPr="008A2917">
              <w:rPr>
                <w:szCs w:val="20"/>
              </w:rPr>
              <w:t xml:space="preserve"> were unknown to the Sponsor and were set as proxies</w:t>
            </w:r>
            <w:r w:rsidR="004A2428" w:rsidRPr="008A2917">
              <w:rPr>
                <w:szCs w:val="20"/>
              </w:rPr>
              <w:t>.</w:t>
            </w:r>
          </w:p>
          <w:p w:rsidR="00575CC5" w:rsidRPr="008A2917" w:rsidRDefault="00575CC5" w:rsidP="00387896">
            <w:pPr>
              <w:pStyle w:val="Tabletext"/>
              <w:rPr>
                <w:szCs w:val="20"/>
              </w:rPr>
            </w:pPr>
          </w:p>
        </w:tc>
      </w:tr>
      <w:tr w:rsidR="00575CC5" w:rsidRPr="008A2917" w:rsidTr="00347051">
        <w:tc>
          <w:tcPr>
            <w:tcW w:w="768" w:type="pct"/>
            <w:vMerge/>
          </w:tcPr>
          <w:p w:rsidR="00575CC5" w:rsidRPr="008A2917" w:rsidRDefault="00575CC5" w:rsidP="00387896">
            <w:pPr>
              <w:pStyle w:val="Tabletext"/>
              <w:rPr>
                <w:szCs w:val="20"/>
                <w:highlight w:val="lightGray"/>
              </w:rPr>
            </w:pPr>
          </w:p>
        </w:tc>
        <w:tc>
          <w:tcPr>
            <w:tcW w:w="1697" w:type="pct"/>
          </w:tcPr>
          <w:p w:rsidR="00575CC5" w:rsidRPr="008A2917" w:rsidRDefault="00575CC5" w:rsidP="00387896">
            <w:pPr>
              <w:pStyle w:val="Tabletext"/>
              <w:rPr>
                <w:szCs w:val="20"/>
              </w:rPr>
            </w:pPr>
            <w:r w:rsidRPr="008A2917">
              <w:rPr>
                <w:szCs w:val="20"/>
              </w:rPr>
              <w:t>Direct medical costs, including vaccine administration costs, GP and ED treatment of confirmed cases, along with averaged AR-DRG costs for cardiovascular and respiratory-related influenza hospital admissions.</w:t>
            </w:r>
          </w:p>
        </w:tc>
        <w:tc>
          <w:tcPr>
            <w:tcW w:w="2535" w:type="pct"/>
          </w:tcPr>
          <w:p w:rsidR="00575CC5" w:rsidRPr="008A2917" w:rsidRDefault="00575CC5" w:rsidP="00387896">
            <w:pPr>
              <w:pStyle w:val="Tabletext"/>
              <w:rPr>
                <w:szCs w:val="20"/>
              </w:rPr>
            </w:pPr>
            <w:r w:rsidRPr="008A2917">
              <w:rPr>
                <w:szCs w:val="20"/>
              </w:rPr>
              <w:t>Unchanged from the previous submission.</w:t>
            </w:r>
          </w:p>
        </w:tc>
      </w:tr>
      <w:tr w:rsidR="00575CC5" w:rsidRPr="008A2917" w:rsidTr="00347051">
        <w:tc>
          <w:tcPr>
            <w:tcW w:w="768" w:type="pct"/>
          </w:tcPr>
          <w:p w:rsidR="00575CC5" w:rsidRPr="008A2917" w:rsidRDefault="00575CC5" w:rsidP="00387896">
            <w:pPr>
              <w:pStyle w:val="Tabletext"/>
              <w:rPr>
                <w:szCs w:val="20"/>
                <w:highlight w:val="lightGray"/>
              </w:rPr>
            </w:pPr>
            <w:r w:rsidRPr="008A2917">
              <w:rPr>
                <w:szCs w:val="20"/>
              </w:rPr>
              <w:t>Utilities</w:t>
            </w:r>
          </w:p>
        </w:tc>
        <w:tc>
          <w:tcPr>
            <w:tcW w:w="1697" w:type="pct"/>
          </w:tcPr>
          <w:p w:rsidR="00575CC5" w:rsidRPr="008A2917" w:rsidRDefault="00575CC5" w:rsidP="00387896">
            <w:pPr>
              <w:pStyle w:val="Tabletext"/>
              <w:rPr>
                <w:szCs w:val="20"/>
              </w:rPr>
            </w:pPr>
            <w:r w:rsidRPr="008A2917">
              <w:rPr>
                <w:szCs w:val="20"/>
              </w:rPr>
              <w:t>Published studies including Turner et al., 2003, McPhail and Haines, 2010 and Hawthorne et al., 2013</w:t>
            </w:r>
          </w:p>
        </w:tc>
        <w:tc>
          <w:tcPr>
            <w:tcW w:w="2535" w:type="pct"/>
          </w:tcPr>
          <w:p w:rsidR="00575CC5" w:rsidRPr="008A2917" w:rsidRDefault="00F46BED" w:rsidP="00387896">
            <w:pPr>
              <w:pStyle w:val="Tabletext"/>
              <w:rPr>
                <w:szCs w:val="20"/>
              </w:rPr>
            </w:pPr>
            <w:r w:rsidRPr="008A2917">
              <w:rPr>
                <w:szCs w:val="20"/>
              </w:rPr>
              <w:t>Unchanged from the previous submission.</w:t>
            </w:r>
          </w:p>
        </w:tc>
      </w:tr>
      <w:tr w:rsidR="00575CC5" w:rsidRPr="008A2917" w:rsidTr="00347051">
        <w:tc>
          <w:tcPr>
            <w:tcW w:w="768" w:type="pct"/>
            <w:shd w:val="clear" w:color="auto" w:fill="auto"/>
          </w:tcPr>
          <w:p w:rsidR="00575CC5" w:rsidRPr="008A2917" w:rsidRDefault="00575CC5" w:rsidP="00387896">
            <w:pPr>
              <w:pStyle w:val="Tabletext"/>
              <w:rPr>
                <w:szCs w:val="20"/>
              </w:rPr>
            </w:pPr>
            <w:r w:rsidRPr="008A2917">
              <w:rPr>
                <w:szCs w:val="20"/>
              </w:rPr>
              <w:t>Discount rate</w:t>
            </w:r>
          </w:p>
        </w:tc>
        <w:tc>
          <w:tcPr>
            <w:tcW w:w="1697" w:type="pct"/>
          </w:tcPr>
          <w:p w:rsidR="00575CC5" w:rsidRPr="008A2917" w:rsidRDefault="00575CC5" w:rsidP="00387896">
            <w:pPr>
              <w:pStyle w:val="Tabletext"/>
              <w:rPr>
                <w:szCs w:val="20"/>
              </w:rPr>
            </w:pPr>
            <w:r w:rsidRPr="008A2917">
              <w:rPr>
                <w:szCs w:val="20"/>
              </w:rPr>
              <w:t>5% per</w:t>
            </w:r>
            <w:r w:rsidR="0003557B" w:rsidRPr="008A2917">
              <w:rPr>
                <w:szCs w:val="20"/>
              </w:rPr>
              <w:t xml:space="preserve"> annum</w:t>
            </w:r>
            <w:r w:rsidRPr="008A2917">
              <w:rPr>
                <w:szCs w:val="20"/>
              </w:rPr>
              <w:t>.</w:t>
            </w:r>
          </w:p>
        </w:tc>
        <w:tc>
          <w:tcPr>
            <w:tcW w:w="2535" w:type="pct"/>
          </w:tcPr>
          <w:p w:rsidR="00575CC5" w:rsidRPr="008A2917" w:rsidRDefault="00575CC5" w:rsidP="00387896">
            <w:pPr>
              <w:pStyle w:val="Tabletext"/>
              <w:rPr>
                <w:szCs w:val="20"/>
              </w:rPr>
            </w:pPr>
            <w:r w:rsidRPr="008A2917">
              <w:rPr>
                <w:szCs w:val="20"/>
              </w:rPr>
              <w:t>As per PBAC guidelines.</w:t>
            </w:r>
          </w:p>
        </w:tc>
      </w:tr>
    </w:tbl>
    <w:bookmarkEnd w:id="25"/>
    <w:p w:rsidR="00CB0A5B" w:rsidRPr="008A2917" w:rsidRDefault="004922B5" w:rsidP="00387896">
      <w:pPr>
        <w:pStyle w:val="TableFooter"/>
        <w:widowControl/>
      </w:pPr>
      <w:proofErr w:type="spellStart"/>
      <w:r w:rsidRPr="008A2917">
        <w:t>aQIV</w:t>
      </w:r>
      <w:proofErr w:type="spellEnd"/>
      <w:r w:rsidR="00CB0A5B" w:rsidRPr="008A2917">
        <w:t xml:space="preserve">: </w:t>
      </w:r>
      <w:proofErr w:type="spellStart"/>
      <w:r w:rsidR="00CB0A5B" w:rsidRPr="008A2917">
        <w:t>adjuvanted</w:t>
      </w:r>
      <w:proofErr w:type="spellEnd"/>
      <w:r w:rsidR="00CB0A5B" w:rsidRPr="008A2917">
        <w:t xml:space="preserve"> </w:t>
      </w:r>
      <w:proofErr w:type="spellStart"/>
      <w:r w:rsidR="00CB0A5B" w:rsidRPr="008A2917">
        <w:t>Quadrivalent</w:t>
      </w:r>
      <w:proofErr w:type="spellEnd"/>
      <w:r w:rsidR="00CB0A5B" w:rsidRPr="008A2917">
        <w:t xml:space="preserve"> Influenza Vaccine standard dose standard dose; AR-DRG: Australian Refined Diagnosis Related Group; ATAGI: Australian Technical Advisory Group on Immunisation; </w:t>
      </w:r>
      <w:proofErr w:type="spellStart"/>
      <w:r w:rsidRPr="008A2917">
        <w:t>aTIV</w:t>
      </w:r>
      <w:proofErr w:type="spellEnd"/>
      <w:r w:rsidR="00CB0A5B" w:rsidRPr="008A2917">
        <w:t xml:space="preserve">: </w:t>
      </w:r>
      <w:proofErr w:type="spellStart"/>
      <w:r w:rsidR="00CB0A5B" w:rsidRPr="008A2917">
        <w:t>adjuvanted</w:t>
      </w:r>
      <w:proofErr w:type="spellEnd"/>
      <w:r w:rsidR="00CB0A5B" w:rsidRPr="008A2917">
        <w:t xml:space="preserve"> trivalent Influenza Vaccine standard dose; ED: Emergency Department; ESC: Economics Sub Committee; GP: general practitioner; NNDSS: National Notifiable Diseases Surveillance System; PBAC: Pharmaceutical Benefits Advisory Committee; PSD: PBAC Public Summary Document; QALY: Quality-Adjusted Life Year; </w:t>
      </w:r>
      <w:proofErr w:type="spellStart"/>
      <w:r w:rsidR="00CA3DEA" w:rsidRPr="008A2917">
        <w:t>rVE</w:t>
      </w:r>
      <w:proofErr w:type="spellEnd"/>
      <w:r w:rsidR="00CB0A5B" w:rsidRPr="008A2917">
        <w:t xml:space="preserve">: Relative Vaccine Efficacy; TIV-HD: Trivalent Influenza Vaccine – High Dose; TIV-SD: Trivalent Influenza Vaccine – Standard Dose; QIV-SD: </w:t>
      </w:r>
      <w:proofErr w:type="spellStart"/>
      <w:r w:rsidR="00CB0A5B" w:rsidRPr="008A2917">
        <w:t>Quadrivalent</w:t>
      </w:r>
      <w:proofErr w:type="spellEnd"/>
      <w:r w:rsidR="00CB0A5B" w:rsidRPr="008A2917">
        <w:t xml:space="preserve"> Influenza Vaccine – Standard Dose; WHO-CC: World Health Organisation – Collaboration Centre.</w:t>
      </w:r>
    </w:p>
    <w:p w:rsidR="00CB0A5B" w:rsidRPr="008A2917" w:rsidRDefault="00CB0A5B" w:rsidP="00387896">
      <w:pPr>
        <w:pStyle w:val="TableFooter"/>
        <w:widowControl/>
      </w:pPr>
      <w:r w:rsidRPr="008A2917">
        <w:t>Source: Table 3.1.1 p57 of the previous submission and compiled during the evaluation.</w:t>
      </w:r>
    </w:p>
    <w:p w:rsidR="00CB0A5B" w:rsidRPr="008A2917" w:rsidRDefault="00CB0A5B" w:rsidP="00387896">
      <w:pPr>
        <w:widowControl/>
      </w:pPr>
    </w:p>
    <w:p w:rsidR="00CB0A5B" w:rsidRPr="008A2917" w:rsidRDefault="00CB0A5B" w:rsidP="00387896">
      <w:pPr>
        <w:pStyle w:val="ListParagraph"/>
        <w:widowControl/>
        <w:numPr>
          <w:ilvl w:val="1"/>
          <w:numId w:val="1"/>
        </w:numPr>
        <w:rPr>
          <w:iCs/>
        </w:rPr>
      </w:pPr>
      <w:r w:rsidRPr="008A2917">
        <w:rPr>
          <w:iCs/>
        </w:rPr>
        <w:t>Key drivers of cost-effectiveness are given in Table 1</w:t>
      </w:r>
      <w:r w:rsidR="001C1195" w:rsidRPr="008A2917">
        <w:rPr>
          <w:iCs/>
        </w:rPr>
        <w:t>3</w:t>
      </w:r>
      <w:r w:rsidRPr="008A2917">
        <w:rPr>
          <w:iCs/>
        </w:rPr>
        <w:t>.</w:t>
      </w:r>
    </w:p>
    <w:p w:rsidR="00CB0A5B" w:rsidRPr="008A2917" w:rsidRDefault="00CB0A5B" w:rsidP="00387896">
      <w:pPr>
        <w:pStyle w:val="TableHeading0"/>
        <w:rPr>
          <w:rStyle w:val="CommentReference"/>
          <w:b/>
          <w:szCs w:val="22"/>
        </w:rPr>
      </w:pPr>
      <w:r w:rsidRPr="008A2917">
        <w:rPr>
          <w:rStyle w:val="CommentReference"/>
          <w:b/>
          <w:szCs w:val="22"/>
        </w:rPr>
        <w:t>Table 1</w:t>
      </w:r>
      <w:r w:rsidR="001C1195" w:rsidRPr="008A2917">
        <w:rPr>
          <w:rStyle w:val="CommentReference"/>
          <w:b/>
          <w:szCs w:val="22"/>
        </w:rPr>
        <w:t>3</w:t>
      </w:r>
      <w:r w:rsidRPr="008A2917">
        <w:rPr>
          <w:rStyle w:val="CommentReference"/>
          <w:b/>
          <w:szCs w:val="22"/>
        </w:rPr>
        <w:t>: Key drivers of the economic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3"/>
        <w:gridCol w:w="4389"/>
        <w:gridCol w:w="2835"/>
      </w:tblGrid>
      <w:tr w:rsidR="00CB0A5B" w:rsidRPr="008A2917" w:rsidTr="00EE5339">
        <w:trPr>
          <w:cantSplit/>
          <w:tblHeader/>
        </w:trPr>
        <w:tc>
          <w:tcPr>
            <w:tcW w:w="1843" w:type="dxa"/>
            <w:shd w:val="clear" w:color="auto" w:fill="auto"/>
          </w:tcPr>
          <w:p w:rsidR="00CB0A5B" w:rsidRPr="008A2917" w:rsidRDefault="00CB0A5B" w:rsidP="00387896">
            <w:pPr>
              <w:keepNext/>
              <w:widowControl/>
              <w:rPr>
                <w:rFonts w:ascii="Arial Narrow" w:hAnsi="Arial Narrow"/>
                <w:b/>
                <w:iCs/>
                <w:sz w:val="20"/>
              </w:rPr>
            </w:pPr>
            <w:r w:rsidRPr="008A2917">
              <w:rPr>
                <w:rFonts w:ascii="Arial Narrow" w:hAnsi="Arial Narrow"/>
                <w:b/>
                <w:iCs/>
                <w:sz w:val="20"/>
              </w:rPr>
              <w:t>Description</w:t>
            </w:r>
          </w:p>
        </w:tc>
        <w:tc>
          <w:tcPr>
            <w:tcW w:w="4389" w:type="dxa"/>
            <w:shd w:val="clear" w:color="auto" w:fill="auto"/>
          </w:tcPr>
          <w:p w:rsidR="00CB0A5B" w:rsidRPr="008A2917" w:rsidRDefault="00CB0A5B" w:rsidP="00387896">
            <w:pPr>
              <w:keepNext/>
              <w:widowControl/>
              <w:jc w:val="center"/>
              <w:rPr>
                <w:rFonts w:ascii="Arial Narrow" w:hAnsi="Arial Narrow"/>
                <w:b/>
                <w:sz w:val="20"/>
              </w:rPr>
            </w:pPr>
            <w:r w:rsidRPr="008A2917">
              <w:rPr>
                <w:rFonts w:ascii="Arial Narrow" w:hAnsi="Arial Narrow"/>
                <w:b/>
                <w:sz w:val="20"/>
              </w:rPr>
              <w:t>Method/value</w:t>
            </w:r>
          </w:p>
        </w:tc>
        <w:tc>
          <w:tcPr>
            <w:tcW w:w="2835" w:type="dxa"/>
            <w:shd w:val="clear" w:color="auto" w:fill="auto"/>
          </w:tcPr>
          <w:p w:rsidR="00CB0A5B" w:rsidRPr="008A2917" w:rsidRDefault="00CB0A5B" w:rsidP="00387896">
            <w:pPr>
              <w:keepNext/>
              <w:widowControl/>
              <w:jc w:val="center"/>
              <w:rPr>
                <w:rFonts w:ascii="Arial Narrow" w:hAnsi="Arial Narrow"/>
                <w:b/>
                <w:sz w:val="20"/>
              </w:rPr>
            </w:pPr>
            <w:r w:rsidRPr="008A2917">
              <w:rPr>
                <w:rFonts w:ascii="Arial Narrow" w:hAnsi="Arial Narrow"/>
                <w:b/>
                <w:sz w:val="20"/>
              </w:rPr>
              <w:t xml:space="preserve">Impact </w:t>
            </w:r>
          </w:p>
        </w:tc>
      </w:tr>
      <w:tr w:rsidR="00CB0A5B" w:rsidRPr="008A2917" w:rsidTr="00EE5339">
        <w:trPr>
          <w:cantSplit/>
        </w:trPr>
        <w:tc>
          <w:tcPr>
            <w:tcW w:w="1843" w:type="dxa"/>
            <w:shd w:val="clear" w:color="auto" w:fill="auto"/>
          </w:tcPr>
          <w:p w:rsidR="00CB0A5B" w:rsidRPr="008A2917" w:rsidRDefault="00CB0A5B" w:rsidP="00387896">
            <w:pPr>
              <w:widowControl/>
              <w:jc w:val="left"/>
              <w:rPr>
                <w:rFonts w:ascii="Arial Narrow" w:hAnsi="Arial Narrow"/>
                <w:iCs/>
                <w:sz w:val="20"/>
              </w:rPr>
            </w:pPr>
            <w:r w:rsidRPr="008A2917">
              <w:rPr>
                <w:rFonts w:ascii="Arial Narrow" w:hAnsi="Arial Narrow"/>
                <w:iCs/>
                <w:sz w:val="20"/>
              </w:rPr>
              <w:t>Background influenza attack rates in Australia</w:t>
            </w:r>
          </w:p>
        </w:tc>
        <w:tc>
          <w:tcPr>
            <w:tcW w:w="4389" w:type="dxa"/>
            <w:shd w:val="clear" w:color="auto" w:fill="auto"/>
          </w:tcPr>
          <w:p w:rsidR="00CB0A5B" w:rsidRPr="008A2917" w:rsidRDefault="00CB0A5B" w:rsidP="00387896">
            <w:pPr>
              <w:widowControl/>
              <w:jc w:val="left"/>
              <w:rPr>
                <w:rFonts w:ascii="Arial Narrow" w:hAnsi="Arial Narrow"/>
                <w:sz w:val="20"/>
              </w:rPr>
            </w:pPr>
            <w:r w:rsidRPr="008A2917">
              <w:rPr>
                <w:rFonts w:ascii="Arial Narrow" w:hAnsi="Arial Narrow"/>
                <w:iCs/>
                <w:sz w:val="20"/>
              </w:rPr>
              <w:t>Rates were taken from FIM12 in North America, where high and low influenza activity was evident</w:t>
            </w:r>
            <w:r w:rsidR="00A95A44" w:rsidRPr="008A2917">
              <w:rPr>
                <w:rFonts w:ascii="Arial Narrow" w:hAnsi="Arial Narrow"/>
                <w:iCs/>
                <w:sz w:val="20"/>
              </w:rPr>
              <w:t>.</w:t>
            </w:r>
            <w:r w:rsidRPr="008A2917">
              <w:rPr>
                <w:rFonts w:ascii="Arial Narrow" w:hAnsi="Arial Narrow"/>
                <w:iCs/>
                <w:sz w:val="20"/>
              </w:rPr>
              <w:t xml:space="preserve"> </w:t>
            </w:r>
            <w:r w:rsidRPr="008A2917">
              <w:rPr>
                <w:rFonts w:ascii="Arial Narrow" w:hAnsi="Arial Narrow"/>
                <w:sz w:val="20"/>
              </w:rPr>
              <w:t>The results of the economic model are affected by the cyclical nature of low-moderate-high influenza seasons.</w:t>
            </w:r>
          </w:p>
        </w:tc>
        <w:tc>
          <w:tcPr>
            <w:tcW w:w="2835" w:type="dxa"/>
            <w:shd w:val="clear" w:color="auto" w:fill="auto"/>
          </w:tcPr>
          <w:p w:rsidR="00CB0A5B" w:rsidRPr="008A2917" w:rsidRDefault="00CB0A5B" w:rsidP="00387896">
            <w:pPr>
              <w:widowControl/>
              <w:jc w:val="left"/>
              <w:rPr>
                <w:rFonts w:ascii="Arial Narrow" w:hAnsi="Arial Narrow"/>
                <w:sz w:val="20"/>
              </w:rPr>
            </w:pPr>
            <w:r w:rsidRPr="008A2917">
              <w:rPr>
                <w:rFonts w:ascii="Arial Narrow" w:hAnsi="Arial Narrow"/>
                <w:sz w:val="20"/>
              </w:rPr>
              <w:t xml:space="preserve">Very high. </w:t>
            </w:r>
          </w:p>
          <w:p w:rsidR="00CB0A5B" w:rsidRPr="008A2917" w:rsidRDefault="00CB0A5B" w:rsidP="00387896">
            <w:pPr>
              <w:widowControl/>
              <w:jc w:val="left"/>
              <w:rPr>
                <w:rFonts w:ascii="Arial Narrow" w:hAnsi="Arial Narrow"/>
                <w:sz w:val="20"/>
              </w:rPr>
            </w:pPr>
            <w:r w:rsidRPr="008A2917">
              <w:rPr>
                <w:rFonts w:ascii="Arial Narrow" w:hAnsi="Arial Narrow"/>
                <w:sz w:val="20"/>
              </w:rPr>
              <w:t>Favours TIV-HD if Australian attack rates increase.</w:t>
            </w:r>
          </w:p>
        </w:tc>
      </w:tr>
      <w:tr w:rsidR="00E203AD" w:rsidRPr="008A2917" w:rsidTr="00EE5339">
        <w:trPr>
          <w:cantSplit/>
        </w:trPr>
        <w:tc>
          <w:tcPr>
            <w:tcW w:w="1843" w:type="dxa"/>
            <w:shd w:val="clear" w:color="auto" w:fill="auto"/>
          </w:tcPr>
          <w:p w:rsidR="00E203AD" w:rsidRPr="008A2917" w:rsidRDefault="00E203AD" w:rsidP="00387896">
            <w:pPr>
              <w:widowControl/>
              <w:jc w:val="left"/>
              <w:rPr>
                <w:rFonts w:ascii="Arial Narrow" w:hAnsi="Arial Narrow"/>
                <w:iCs/>
                <w:sz w:val="20"/>
              </w:rPr>
            </w:pPr>
            <w:r w:rsidRPr="008A2917">
              <w:rPr>
                <w:rFonts w:ascii="Arial Narrow" w:hAnsi="Arial Narrow"/>
                <w:iCs/>
                <w:sz w:val="20"/>
              </w:rPr>
              <w:t>Assumed split of influenza cases between strains A and B</w:t>
            </w:r>
          </w:p>
        </w:tc>
        <w:tc>
          <w:tcPr>
            <w:tcW w:w="4389" w:type="dxa"/>
            <w:shd w:val="clear" w:color="auto" w:fill="auto"/>
          </w:tcPr>
          <w:p w:rsidR="00E203AD" w:rsidRPr="008A2917" w:rsidRDefault="00EF7D7D" w:rsidP="00387896">
            <w:pPr>
              <w:widowControl/>
              <w:jc w:val="left"/>
              <w:rPr>
                <w:rFonts w:ascii="Arial Narrow" w:hAnsi="Arial Narrow"/>
                <w:iCs/>
                <w:sz w:val="20"/>
              </w:rPr>
            </w:pPr>
            <w:r w:rsidRPr="008A2917">
              <w:rPr>
                <w:rFonts w:ascii="Arial Narrow" w:hAnsi="Arial Narrow"/>
                <w:iCs/>
                <w:sz w:val="20"/>
              </w:rPr>
              <w:t>Average split</w:t>
            </w:r>
            <w:r w:rsidR="00E203AD" w:rsidRPr="008A2917">
              <w:rPr>
                <w:rFonts w:ascii="Arial Narrow" w:hAnsi="Arial Narrow"/>
                <w:iCs/>
                <w:sz w:val="20"/>
              </w:rPr>
              <w:t xml:space="preserve"> over 2002-2016, and in scenario analyses high, medium and low rates of A strain.</w:t>
            </w:r>
          </w:p>
        </w:tc>
        <w:tc>
          <w:tcPr>
            <w:tcW w:w="2835" w:type="dxa"/>
            <w:shd w:val="clear" w:color="auto" w:fill="auto"/>
          </w:tcPr>
          <w:p w:rsidR="00E203AD" w:rsidRPr="008A2917" w:rsidRDefault="00E203AD" w:rsidP="00387896">
            <w:pPr>
              <w:widowControl/>
              <w:jc w:val="left"/>
              <w:rPr>
                <w:rFonts w:ascii="Arial Narrow" w:hAnsi="Arial Narrow"/>
                <w:sz w:val="20"/>
              </w:rPr>
            </w:pPr>
            <w:r w:rsidRPr="008A2917">
              <w:rPr>
                <w:rFonts w:ascii="Arial Narrow" w:hAnsi="Arial Narrow"/>
                <w:sz w:val="20"/>
              </w:rPr>
              <w:t xml:space="preserve">High. </w:t>
            </w:r>
          </w:p>
          <w:p w:rsidR="00E203AD" w:rsidRPr="008A2917" w:rsidRDefault="00E203AD" w:rsidP="00387896">
            <w:pPr>
              <w:widowControl/>
              <w:jc w:val="left"/>
              <w:rPr>
                <w:rFonts w:ascii="Arial Narrow" w:hAnsi="Arial Narrow"/>
                <w:sz w:val="20"/>
              </w:rPr>
            </w:pPr>
            <w:r w:rsidRPr="008A2917">
              <w:rPr>
                <w:rFonts w:ascii="Arial Narrow" w:hAnsi="Arial Narrow"/>
                <w:sz w:val="20"/>
              </w:rPr>
              <w:t>Favours cost-effectiveness of TIV-HD vs QIV-SD if proportion of A strain is high.</w:t>
            </w:r>
          </w:p>
        </w:tc>
      </w:tr>
      <w:tr w:rsidR="00E203AD" w:rsidRPr="008A2917" w:rsidTr="00EE5339">
        <w:trPr>
          <w:cantSplit/>
        </w:trPr>
        <w:tc>
          <w:tcPr>
            <w:tcW w:w="1843" w:type="dxa"/>
            <w:shd w:val="clear" w:color="auto" w:fill="auto"/>
          </w:tcPr>
          <w:p w:rsidR="00E203AD" w:rsidRPr="008A2917" w:rsidRDefault="00E203AD" w:rsidP="00387896">
            <w:pPr>
              <w:widowControl/>
              <w:jc w:val="left"/>
              <w:rPr>
                <w:rFonts w:ascii="Arial Narrow" w:hAnsi="Arial Narrow"/>
                <w:iCs/>
                <w:sz w:val="20"/>
              </w:rPr>
            </w:pPr>
            <w:r w:rsidRPr="008A2917">
              <w:rPr>
                <w:rFonts w:ascii="Arial Narrow" w:hAnsi="Arial Narrow"/>
                <w:iCs/>
                <w:sz w:val="20"/>
              </w:rPr>
              <w:lastRenderedPageBreak/>
              <w:t>Proportion of matched B strains</w:t>
            </w:r>
          </w:p>
        </w:tc>
        <w:tc>
          <w:tcPr>
            <w:tcW w:w="4389" w:type="dxa"/>
            <w:shd w:val="clear" w:color="auto" w:fill="auto"/>
          </w:tcPr>
          <w:p w:rsidR="00E203AD" w:rsidRPr="008A2917" w:rsidRDefault="00EF7D7D" w:rsidP="00387896">
            <w:pPr>
              <w:widowControl/>
              <w:jc w:val="left"/>
              <w:rPr>
                <w:rFonts w:ascii="Arial Narrow" w:hAnsi="Arial Narrow"/>
                <w:iCs/>
                <w:sz w:val="20"/>
              </w:rPr>
            </w:pPr>
            <w:r w:rsidRPr="008A2917">
              <w:rPr>
                <w:rFonts w:ascii="Arial Narrow" w:hAnsi="Arial Narrow"/>
                <w:iCs/>
                <w:sz w:val="20"/>
              </w:rPr>
              <w:t>A</w:t>
            </w:r>
            <w:r w:rsidR="00E203AD" w:rsidRPr="008A2917">
              <w:rPr>
                <w:rFonts w:ascii="Arial Narrow" w:hAnsi="Arial Narrow"/>
                <w:iCs/>
                <w:sz w:val="20"/>
              </w:rPr>
              <w:t xml:space="preserve">verage </w:t>
            </w:r>
            <w:r w:rsidRPr="008A2917">
              <w:rPr>
                <w:rFonts w:ascii="Arial Narrow" w:hAnsi="Arial Narrow"/>
                <w:iCs/>
                <w:sz w:val="20"/>
              </w:rPr>
              <w:t xml:space="preserve">split </w:t>
            </w:r>
            <w:r w:rsidR="00E203AD" w:rsidRPr="008A2917">
              <w:rPr>
                <w:rFonts w:ascii="Arial Narrow" w:hAnsi="Arial Narrow"/>
                <w:iCs/>
                <w:sz w:val="20"/>
              </w:rPr>
              <w:t>over 2002-2016, and in scenario analyses high, medium and low rates of B matching assumed.</w:t>
            </w:r>
          </w:p>
        </w:tc>
        <w:tc>
          <w:tcPr>
            <w:tcW w:w="2835" w:type="dxa"/>
            <w:shd w:val="clear" w:color="auto" w:fill="auto"/>
          </w:tcPr>
          <w:p w:rsidR="00E203AD" w:rsidRPr="008A2917" w:rsidRDefault="00E203AD" w:rsidP="00387896">
            <w:pPr>
              <w:widowControl/>
              <w:jc w:val="left"/>
              <w:rPr>
                <w:rFonts w:ascii="Arial Narrow" w:hAnsi="Arial Narrow"/>
                <w:sz w:val="20"/>
              </w:rPr>
            </w:pPr>
            <w:r w:rsidRPr="008A2917">
              <w:rPr>
                <w:rFonts w:ascii="Arial Narrow" w:hAnsi="Arial Narrow"/>
                <w:sz w:val="20"/>
              </w:rPr>
              <w:t xml:space="preserve">Moderate. </w:t>
            </w:r>
          </w:p>
          <w:p w:rsidR="00E203AD" w:rsidRPr="008A2917" w:rsidRDefault="00E203AD" w:rsidP="00387896">
            <w:pPr>
              <w:widowControl/>
              <w:jc w:val="left"/>
              <w:rPr>
                <w:rFonts w:ascii="Arial Narrow" w:hAnsi="Arial Narrow"/>
                <w:sz w:val="20"/>
              </w:rPr>
            </w:pPr>
            <w:r w:rsidRPr="008A2917">
              <w:rPr>
                <w:rFonts w:ascii="Arial Narrow" w:hAnsi="Arial Narrow"/>
                <w:sz w:val="20"/>
              </w:rPr>
              <w:t>Favours cost-effectiveness of TIV-HD vs QIV-SD if proportion of B matching is high.</w:t>
            </w:r>
          </w:p>
        </w:tc>
      </w:tr>
      <w:tr w:rsidR="00CB0A5B" w:rsidRPr="008A2917" w:rsidTr="00EE5339">
        <w:trPr>
          <w:cantSplit/>
        </w:trPr>
        <w:tc>
          <w:tcPr>
            <w:tcW w:w="1843" w:type="dxa"/>
            <w:shd w:val="clear" w:color="auto" w:fill="auto"/>
          </w:tcPr>
          <w:p w:rsidR="00CB0A5B" w:rsidRPr="008A2917" w:rsidRDefault="00CB0A5B" w:rsidP="00387896">
            <w:pPr>
              <w:widowControl/>
              <w:jc w:val="left"/>
              <w:rPr>
                <w:rFonts w:ascii="Arial Narrow" w:hAnsi="Arial Narrow"/>
                <w:iCs/>
                <w:sz w:val="20"/>
              </w:rPr>
            </w:pPr>
            <w:r w:rsidRPr="008A2917">
              <w:rPr>
                <w:rFonts w:ascii="Arial Narrow" w:hAnsi="Arial Narrow"/>
                <w:iCs/>
                <w:sz w:val="20"/>
              </w:rPr>
              <w:t xml:space="preserve">Assumed treatment effect of TIV-HD vs </w:t>
            </w:r>
            <w:proofErr w:type="spellStart"/>
            <w:r w:rsidR="004922B5" w:rsidRPr="008A2917">
              <w:rPr>
                <w:rFonts w:ascii="Arial Narrow" w:hAnsi="Arial Narrow"/>
                <w:iCs/>
                <w:sz w:val="20"/>
              </w:rPr>
              <w:t>aTIV</w:t>
            </w:r>
            <w:proofErr w:type="spellEnd"/>
            <w:r w:rsidRPr="008A2917">
              <w:rPr>
                <w:rFonts w:ascii="Arial Narrow" w:hAnsi="Arial Narrow"/>
                <w:iCs/>
                <w:sz w:val="20"/>
              </w:rPr>
              <w:t xml:space="preserve"> and </w:t>
            </w:r>
            <w:proofErr w:type="spellStart"/>
            <w:r w:rsidR="004922B5" w:rsidRPr="008A2917">
              <w:rPr>
                <w:rFonts w:ascii="Arial Narrow" w:hAnsi="Arial Narrow"/>
                <w:iCs/>
                <w:sz w:val="20"/>
              </w:rPr>
              <w:t>aQIV</w:t>
            </w:r>
            <w:proofErr w:type="spellEnd"/>
          </w:p>
        </w:tc>
        <w:tc>
          <w:tcPr>
            <w:tcW w:w="4389" w:type="dxa"/>
            <w:shd w:val="clear" w:color="auto" w:fill="auto"/>
          </w:tcPr>
          <w:p w:rsidR="00CB0A5B" w:rsidRPr="008A2917" w:rsidRDefault="00CE5D62" w:rsidP="00387896">
            <w:pPr>
              <w:widowControl/>
              <w:jc w:val="left"/>
              <w:rPr>
                <w:rFonts w:ascii="Arial Narrow" w:hAnsi="Arial Narrow"/>
                <w:i/>
                <w:iCs/>
                <w:sz w:val="20"/>
              </w:rPr>
            </w:pPr>
            <w:r w:rsidRPr="008A2917">
              <w:rPr>
                <w:rFonts w:ascii="Arial Narrow" w:hAnsi="Arial Narrow"/>
                <w:iCs/>
                <w:sz w:val="20"/>
              </w:rPr>
              <w:t>Sourced</w:t>
            </w:r>
            <w:r w:rsidR="00CB0A5B" w:rsidRPr="008A2917">
              <w:rPr>
                <w:rFonts w:ascii="Arial Narrow" w:hAnsi="Arial Narrow"/>
                <w:iCs/>
                <w:sz w:val="20"/>
              </w:rPr>
              <w:t xml:space="preserve"> from the observational study of </w:t>
            </w:r>
            <w:proofErr w:type="spellStart"/>
            <w:r w:rsidR="00240F35" w:rsidRPr="008A2917">
              <w:rPr>
                <w:rFonts w:ascii="Arial Narrow" w:hAnsi="Arial Narrow"/>
                <w:iCs/>
                <w:sz w:val="20"/>
              </w:rPr>
              <w:t>Izurieta</w:t>
            </w:r>
            <w:proofErr w:type="spellEnd"/>
            <w:r w:rsidR="00240F35" w:rsidRPr="008A2917">
              <w:rPr>
                <w:rFonts w:ascii="Arial Narrow" w:hAnsi="Arial Narrow"/>
                <w:iCs/>
                <w:sz w:val="20"/>
              </w:rPr>
              <w:t xml:space="preserve"> </w:t>
            </w:r>
            <w:r w:rsidR="006B5DF0" w:rsidRPr="008A2917">
              <w:rPr>
                <w:rFonts w:ascii="Arial Narrow" w:hAnsi="Arial Narrow"/>
                <w:iCs/>
                <w:sz w:val="20"/>
              </w:rPr>
              <w:t>et al.</w:t>
            </w:r>
            <w:r w:rsidR="00CB0A5B" w:rsidRPr="008A2917">
              <w:rPr>
                <w:rFonts w:ascii="Arial Narrow" w:hAnsi="Arial Narrow"/>
                <w:iCs/>
                <w:sz w:val="20"/>
              </w:rPr>
              <w:t xml:space="preserve"> (2018), and other modelling assumptions.</w:t>
            </w:r>
            <w:r w:rsidRPr="008A2917">
              <w:rPr>
                <w:rFonts w:ascii="Arial Narrow" w:hAnsi="Arial Narrow"/>
                <w:iCs/>
                <w:sz w:val="20"/>
              </w:rPr>
              <w:t xml:space="preserve"> </w:t>
            </w:r>
            <w:r w:rsidR="00EE5339" w:rsidRPr="008A2917">
              <w:rPr>
                <w:rFonts w:ascii="Arial Narrow" w:hAnsi="Arial Narrow"/>
                <w:iCs/>
                <w:sz w:val="20"/>
              </w:rPr>
              <w:t xml:space="preserve">The ESC noted this could also be informed by </w:t>
            </w:r>
            <w:proofErr w:type="spellStart"/>
            <w:r w:rsidR="00EE5339" w:rsidRPr="008A2917">
              <w:rPr>
                <w:rFonts w:ascii="Arial Narrow" w:hAnsi="Arial Narrow"/>
                <w:iCs/>
                <w:sz w:val="20"/>
              </w:rPr>
              <w:t>Mannino</w:t>
            </w:r>
            <w:proofErr w:type="spellEnd"/>
            <w:r w:rsidR="00EE5339" w:rsidRPr="008A2917">
              <w:rPr>
                <w:rFonts w:ascii="Arial Narrow" w:hAnsi="Arial Narrow"/>
                <w:iCs/>
                <w:sz w:val="20"/>
              </w:rPr>
              <w:t xml:space="preserve"> </w:t>
            </w:r>
            <w:r w:rsidR="00240F35" w:rsidRPr="008A2917">
              <w:rPr>
                <w:rFonts w:ascii="Arial Narrow" w:hAnsi="Arial Narrow"/>
                <w:iCs/>
                <w:sz w:val="20"/>
              </w:rPr>
              <w:t>et al</w:t>
            </w:r>
            <w:r w:rsidR="006E545B" w:rsidRPr="008A2917">
              <w:rPr>
                <w:rFonts w:ascii="Arial Narrow" w:hAnsi="Arial Narrow"/>
                <w:iCs/>
                <w:sz w:val="20"/>
              </w:rPr>
              <w:t xml:space="preserve"> </w:t>
            </w:r>
            <w:r w:rsidR="00EE5339" w:rsidRPr="008A2917">
              <w:rPr>
                <w:rFonts w:ascii="Arial Narrow" w:hAnsi="Arial Narrow"/>
                <w:iCs/>
                <w:sz w:val="20"/>
              </w:rPr>
              <w:t>(201</w:t>
            </w:r>
            <w:r w:rsidR="006977BA" w:rsidRPr="008A2917">
              <w:rPr>
                <w:rFonts w:ascii="Arial Narrow" w:hAnsi="Arial Narrow"/>
                <w:iCs/>
                <w:sz w:val="20"/>
              </w:rPr>
              <w:t>2</w:t>
            </w:r>
            <w:r w:rsidR="00EE5339" w:rsidRPr="008A2917">
              <w:rPr>
                <w:rFonts w:ascii="Arial Narrow" w:hAnsi="Arial Narrow"/>
                <w:iCs/>
                <w:sz w:val="20"/>
              </w:rPr>
              <w:t>)</w:t>
            </w:r>
            <w:r w:rsidR="002D1836" w:rsidRPr="008A2917">
              <w:rPr>
                <w:rFonts w:ascii="Arial Narrow" w:hAnsi="Arial Narrow"/>
                <w:iCs/>
                <w:sz w:val="20"/>
              </w:rPr>
              <w:t>.</w:t>
            </w:r>
          </w:p>
        </w:tc>
        <w:tc>
          <w:tcPr>
            <w:tcW w:w="2835" w:type="dxa"/>
            <w:shd w:val="clear" w:color="auto" w:fill="auto"/>
          </w:tcPr>
          <w:p w:rsidR="00CB0A5B" w:rsidRPr="008A2917" w:rsidRDefault="00CB0A5B" w:rsidP="00387896">
            <w:pPr>
              <w:widowControl/>
              <w:jc w:val="left"/>
              <w:rPr>
                <w:rFonts w:ascii="Arial Narrow" w:hAnsi="Arial Narrow"/>
                <w:sz w:val="20"/>
              </w:rPr>
            </w:pPr>
            <w:r w:rsidRPr="008A2917">
              <w:rPr>
                <w:rFonts w:ascii="Arial Narrow" w:hAnsi="Arial Narrow"/>
                <w:sz w:val="20"/>
              </w:rPr>
              <w:t xml:space="preserve">High. </w:t>
            </w:r>
          </w:p>
          <w:p w:rsidR="00CB0A5B" w:rsidRPr="008A2917" w:rsidRDefault="00CB0A5B" w:rsidP="00387896">
            <w:pPr>
              <w:widowControl/>
              <w:jc w:val="left"/>
              <w:rPr>
                <w:rFonts w:ascii="Arial Narrow" w:hAnsi="Arial Narrow"/>
                <w:i/>
                <w:sz w:val="20"/>
              </w:rPr>
            </w:pPr>
            <w:r w:rsidRPr="008A2917">
              <w:rPr>
                <w:rFonts w:ascii="Arial Narrow" w:hAnsi="Arial Narrow"/>
                <w:sz w:val="20"/>
              </w:rPr>
              <w:t xml:space="preserve">Favours TIV-HD if assumed effect of </w:t>
            </w:r>
            <w:proofErr w:type="spellStart"/>
            <w:r w:rsidRPr="008A2917">
              <w:rPr>
                <w:rFonts w:ascii="Arial Narrow" w:hAnsi="Arial Narrow"/>
                <w:sz w:val="20"/>
              </w:rPr>
              <w:t>adjuvanted</w:t>
            </w:r>
            <w:proofErr w:type="spellEnd"/>
            <w:r w:rsidRPr="008A2917">
              <w:rPr>
                <w:rFonts w:ascii="Arial Narrow" w:hAnsi="Arial Narrow"/>
                <w:sz w:val="20"/>
              </w:rPr>
              <w:t xml:space="preserve"> </w:t>
            </w:r>
            <w:r w:rsidR="00A634C5" w:rsidRPr="008A2917">
              <w:rPr>
                <w:rFonts w:ascii="Arial Narrow" w:hAnsi="Arial Narrow"/>
                <w:sz w:val="20"/>
              </w:rPr>
              <w:t>vs</w:t>
            </w:r>
            <w:r w:rsidRPr="008A2917">
              <w:rPr>
                <w:rFonts w:ascii="Arial Narrow" w:hAnsi="Arial Narrow"/>
                <w:sz w:val="20"/>
              </w:rPr>
              <w:t xml:space="preserve"> non-</w:t>
            </w:r>
            <w:proofErr w:type="spellStart"/>
            <w:r w:rsidRPr="008A2917">
              <w:rPr>
                <w:rFonts w:ascii="Arial Narrow" w:hAnsi="Arial Narrow"/>
                <w:sz w:val="20"/>
              </w:rPr>
              <w:t>adjuvanted</w:t>
            </w:r>
            <w:proofErr w:type="spellEnd"/>
            <w:r w:rsidRPr="008A2917">
              <w:rPr>
                <w:rFonts w:ascii="Arial Narrow" w:hAnsi="Arial Narrow"/>
                <w:sz w:val="20"/>
              </w:rPr>
              <w:t xml:space="preserve"> is low.</w:t>
            </w:r>
          </w:p>
        </w:tc>
      </w:tr>
      <w:tr w:rsidR="00CB0A5B" w:rsidRPr="008A2917" w:rsidTr="00EE5339">
        <w:trPr>
          <w:cantSplit/>
        </w:trPr>
        <w:tc>
          <w:tcPr>
            <w:tcW w:w="1843" w:type="dxa"/>
            <w:shd w:val="clear" w:color="auto" w:fill="auto"/>
          </w:tcPr>
          <w:p w:rsidR="00CB0A5B" w:rsidRPr="008A2917" w:rsidRDefault="00CB0A5B" w:rsidP="00387896">
            <w:pPr>
              <w:widowControl/>
              <w:jc w:val="left"/>
              <w:rPr>
                <w:rFonts w:ascii="Arial Narrow" w:hAnsi="Arial Narrow"/>
                <w:sz w:val="20"/>
              </w:rPr>
            </w:pPr>
            <w:r w:rsidRPr="008A2917">
              <w:rPr>
                <w:rFonts w:ascii="Arial Narrow" w:hAnsi="Arial Narrow"/>
                <w:iCs/>
                <w:sz w:val="20"/>
              </w:rPr>
              <w:t>Rates of hospitalisation due to influenza</w:t>
            </w:r>
          </w:p>
        </w:tc>
        <w:tc>
          <w:tcPr>
            <w:tcW w:w="4389" w:type="dxa"/>
            <w:shd w:val="clear" w:color="auto" w:fill="auto"/>
          </w:tcPr>
          <w:p w:rsidR="00CB0A5B" w:rsidRPr="008A2917" w:rsidRDefault="00EE5339" w:rsidP="00387896">
            <w:pPr>
              <w:widowControl/>
              <w:jc w:val="left"/>
              <w:rPr>
                <w:rFonts w:ascii="Arial Narrow" w:hAnsi="Arial Narrow"/>
                <w:iCs/>
                <w:sz w:val="20"/>
              </w:rPr>
            </w:pPr>
            <w:r w:rsidRPr="008A2917">
              <w:rPr>
                <w:rFonts w:ascii="Arial Narrow" w:hAnsi="Arial Narrow"/>
                <w:iCs/>
                <w:sz w:val="20"/>
              </w:rPr>
              <w:t>Sourced</w:t>
            </w:r>
            <w:r w:rsidR="00CB0A5B" w:rsidRPr="008A2917">
              <w:rPr>
                <w:rFonts w:ascii="Arial Narrow" w:hAnsi="Arial Narrow"/>
                <w:iCs/>
                <w:sz w:val="20"/>
              </w:rPr>
              <w:t xml:space="preserve"> from FIM12</w:t>
            </w:r>
            <w:r w:rsidRPr="008A2917">
              <w:rPr>
                <w:rFonts w:ascii="Arial Narrow" w:hAnsi="Arial Narrow"/>
                <w:iCs/>
                <w:sz w:val="20"/>
              </w:rPr>
              <w:t xml:space="preserve"> </w:t>
            </w:r>
            <w:r w:rsidR="00CB0A5B" w:rsidRPr="008A2917">
              <w:rPr>
                <w:rFonts w:ascii="Arial Narrow" w:hAnsi="Arial Narrow"/>
                <w:iCs/>
                <w:sz w:val="20"/>
              </w:rPr>
              <w:t>based on a narrow definition of hospitalisation.</w:t>
            </w:r>
          </w:p>
        </w:tc>
        <w:tc>
          <w:tcPr>
            <w:tcW w:w="2835" w:type="dxa"/>
            <w:shd w:val="clear" w:color="auto" w:fill="auto"/>
          </w:tcPr>
          <w:p w:rsidR="00CB0A5B" w:rsidRPr="008A2917" w:rsidRDefault="00CB0A5B" w:rsidP="00387896">
            <w:pPr>
              <w:widowControl/>
              <w:jc w:val="left"/>
              <w:rPr>
                <w:rFonts w:ascii="Arial Narrow" w:hAnsi="Arial Narrow"/>
                <w:sz w:val="20"/>
              </w:rPr>
            </w:pPr>
            <w:r w:rsidRPr="008A2917">
              <w:rPr>
                <w:rFonts w:ascii="Arial Narrow" w:hAnsi="Arial Narrow"/>
                <w:sz w:val="20"/>
              </w:rPr>
              <w:t>High.</w:t>
            </w:r>
          </w:p>
          <w:p w:rsidR="00CB0A5B" w:rsidRPr="008A2917" w:rsidRDefault="00CB0A5B" w:rsidP="00387896">
            <w:pPr>
              <w:widowControl/>
              <w:jc w:val="left"/>
              <w:rPr>
                <w:rFonts w:ascii="Arial Narrow" w:hAnsi="Arial Narrow"/>
                <w:sz w:val="20"/>
              </w:rPr>
            </w:pPr>
            <w:r w:rsidRPr="008A2917">
              <w:rPr>
                <w:rFonts w:ascii="Arial Narrow" w:hAnsi="Arial Narrow"/>
                <w:sz w:val="20"/>
              </w:rPr>
              <w:t xml:space="preserve">High </w:t>
            </w:r>
            <w:r w:rsidR="00EE5339" w:rsidRPr="008A2917">
              <w:rPr>
                <w:rFonts w:ascii="Arial Narrow" w:hAnsi="Arial Narrow"/>
                <w:sz w:val="20"/>
              </w:rPr>
              <w:t xml:space="preserve">hospitalisation </w:t>
            </w:r>
            <w:r w:rsidRPr="008A2917">
              <w:rPr>
                <w:rFonts w:ascii="Arial Narrow" w:hAnsi="Arial Narrow"/>
                <w:sz w:val="20"/>
              </w:rPr>
              <w:t>rates favour TIV-HD.</w:t>
            </w:r>
          </w:p>
        </w:tc>
      </w:tr>
      <w:tr w:rsidR="00CB0A5B" w:rsidRPr="008A2917" w:rsidTr="00EE5339">
        <w:trPr>
          <w:cantSplit/>
        </w:trPr>
        <w:tc>
          <w:tcPr>
            <w:tcW w:w="1843" w:type="dxa"/>
            <w:shd w:val="clear" w:color="auto" w:fill="auto"/>
          </w:tcPr>
          <w:p w:rsidR="00CB0A5B" w:rsidRPr="008A2917" w:rsidRDefault="00CB0A5B" w:rsidP="00387896">
            <w:pPr>
              <w:widowControl/>
              <w:jc w:val="left"/>
              <w:rPr>
                <w:rFonts w:ascii="Arial Narrow" w:hAnsi="Arial Narrow"/>
                <w:sz w:val="20"/>
              </w:rPr>
            </w:pPr>
            <w:r w:rsidRPr="008A2917">
              <w:rPr>
                <w:rFonts w:ascii="Arial Narrow" w:hAnsi="Arial Narrow"/>
                <w:iCs/>
                <w:sz w:val="20"/>
              </w:rPr>
              <w:t>Rates of mortality due to influenza</w:t>
            </w:r>
          </w:p>
        </w:tc>
        <w:tc>
          <w:tcPr>
            <w:tcW w:w="4389" w:type="dxa"/>
            <w:shd w:val="clear" w:color="auto" w:fill="auto"/>
          </w:tcPr>
          <w:p w:rsidR="00CB0A5B" w:rsidRPr="008A2917" w:rsidRDefault="00EE5339" w:rsidP="00387896">
            <w:pPr>
              <w:widowControl/>
              <w:jc w:val="left"/>
              <w:rPr>
                <w:rFonts w:ascii="Arial Narrow" w:hAnsi="Arial Narrow"/>
                <w:sz w:val="20"/>
              </w:rPr>
            </w:pPr>
            <w:r w:rsidRPr="008A2917">
              <w:rPr>
                <w:rFonts w:ascii="Arial Narrow" w:hAnsi="Arial Narrow"/>
                <w:iCs/>
                <w:sz w:val="20"/>
              </w:rPr>
              <w:t>Sourced</w:t>
            </w:r>
            <w:r w:rsidR="00CB0A5B" w:rsidRPr="008A2917">
              <w:rPr>
                <w:rFonts w:ascii="Arial Narrow" w:hAnsi="Arial Narrow"/>
                <w:iCs/>
                <w:sz w:val="20"/>
              </w:rPr>
              <w:t xml:space="preserve"> from Newall </w:t>
            </w:r>
            <w:r w:rsidR="00240F35" w:rsidRPr="008A2917">
              <w:rPr>
                <w:rFonts w:ascii="Arial Narrow" w:hAnsi="Arial Narrow"/>
                <w:iCs/>
                <w:sz w:val="20"/>
              </w:rPr>
              <w:t>et al</w:t>
            </w:r>
            <w:r w:rsidR="006E545B" w:rsidRPr="008A2917">
              <w:rPr>
                <w:rFonts w:ascii="Arial Narrow" w:hAnsi="Arial Narrow"/>
                <w:iCs/>
                <w:sz w:val="20"/>
              </w:rPr>
              <w:t xml:space="preserve"> </w:t>
            </w:r>
            <w:r w:rsidR="00CB0A5B" w:rsidRPr="008A2917">
              <w:rPr>
                <w:rFonts w:ascii="Arial Narrow" w:hAnsi="Arial Narrow"/>
                <w:iCs/>
                <w:sz w:val="20"/>
              </w:rPr>
              <w:t>(2008).</w:t>
            </w:r>
          </w:p>
        </w:tc>
        <w:tc>
          <w:tcPr>
            <w:tcW w:w="2835" w:type="dxa"/>
            <w:shd w:val="clear" w:color="auto" w:fill="auto"/>
          </w:tcPr>
          <w:p w:rsidR="00CB0A5B" w:rsidRPr="008A2917" w:rsidRDefault="00966298" w:rsidP="00387896">
            <w:pPr>
              <w:widowControl/>
              <w:jc w:val="left"/>
              <w:rPr>
                <w:rFonts w:ascii="Arial Narrow" w:hAnsi="Arial Narrow"/>
                <w:sz w:val="20"/>
              </w:rPr>
            </w:pPr>
            <w:r w:rsidRPr="008A2917">
              <w:rPr>
                <w:rFonts w:ascii="Arial Narrow" w:hAnsi="Arial Narrow"/>
                <w:sz w:val="20"/>
              </w:rPr>
              <w:t>High</w:t>
            </w:r>
            <w:r w:rsidR="00CB0A5B" w:rsidRPr="008A2917">
              <w:rPr>
                <w:rFonts w:ascii="Arial Narrow" w:hAnsi="Arial Narrow"/>
                <w:sz w:val="20"/>
              </w:rPr>
              <w:t>.</w:t>
            </w:r>
          </w:p>
          <w:p w:rsidR="00CB0A5B" w:rsidRPr="008A2917" w:rsidRDefault="00CB0A5B" w:rsidP="00387896">
            <w:pPr>
              <w:keepNext/>
              <w:widowControl/>
              <w:jc w:val="left"/>
              <w:rPr>
                <w:rFonts w:ascii="Arial Narrow" w:hAnsi="Arial Narrow"/>
                <w:sz w:val="20"/>
              </w:rPr>
            </w:pPr>
            <w:r w:rsidRPr="008A2917">
              <w:rPr>
                <w:rFonts w:ascii="Arial Narrow" w:hAnsi="Arial Narrow"/>
                <w:sz w:val="20"/>
              </w:rPr>
              <w:t xml:space="preserve">High </w:t>
            </w:r>
            <w:r w:rsidR="00EE5339" w:rsidRPr="008A2917">
              <w:rPr>
                <w:rFonts w:ascii="Arial Narrow" w:hAnsi="Arial Narrow"/>
                <w:sz w:val="20"/>
              </w:rPr>
              <w:t xml:space="preserve">mortality </w:t>
            </w:r>
            <w:r w:rsidRPr="008A2917">
              <w:rPr>
                <w:rFonts w:ascii="Arial Narrow" w:hAnsi="Arial Narrow"/>
                <w:sz w:val="20"/>
              </w:rPr>
              <w:t>rates favour TIV-HD.</w:t>
            </w:r>
          </w:p>
        </w:tc>
      </w:tr>
      <w:tr w:rsidR="002D1836" w:rsidRPr="008A2917" w:rsidTr="00EE5339">
        <w:trPr>
          <w:cantSplit/>
        </w:trPr>
        <w:tc>
          <w:tcPr>
            <w:tcW w:w="1843" w:type="dxa"/>
            <w:shd w:val="clear" w:color="auto" w:fill="auto"/>
          </w:tcPr>
          <w:p w:rsidR="002D1836" w:rsidRPr="008A2917" w:rsidRDefault="002D1836" w:rsidP="00387896">
            <w:pPr>
              <w:widowControl/>
              <w:jc w:val="left"/>
              <w:rPr>
                <w:rFonts w:ascii="Arial Narrow" w:hAnsi="Arial Narrow"/>
                <w:iCs/>
                <w:sz w:val="20"/>
              </w:rPr>
            </w:pPr>
            <w:r w:rsidRPr="008A2917">
              <w:rPr>
                <w:rFonts w:ascii="Arial Narrow" w:hAnsi="Arial Narrow"/>
                <w:iCs/>
                <w:sz w:val="20"/>
              </w:rPr>
              <w:t>VE against mismatched B strain</w:t>
            </w:r>
          </w:p>
        </w:tc>
        <w:tc>
          <w:tcPr>
            <w:tcW w:w="4389" w:type="dxa"/>
            <w:shd w:val="clear" w:color="auto" w:fill="auto"/>
          </w:tcPr>
          <w:p w:rsidR="002D1836" w:rsidRPr="008A2917" w:rsidDel="00EE5339" w:rsidRDefault="002D1836" w:rsidP="00387896">
            <w:pPr>
              <w:widowControl/>
              <w:jc w:val="left"/>
              <w:rPr>
                <w:rFonts w:ascii="Arial Narrow" w:hAnsi="Arial Narrow"/>
                <w:iCs/>
                <w:sz w:val="20"/>
              </w:rPr>
            </w:pPr>
            <w:r w:rsidRPr="008A2917">
              <w:rPr>
                <w:rFonts w:ascii="Arial Narrow" w:hAnsi="Arial Narrow"/>
                <w:iCs/>
                <w:sz w:val="20"/>
              </w:rPr>
              <w:t xml:space="preserve">Sourced from Clements 2014. The ESC noted Clements was a cost-effectiveness analysis which referenced a meta-analysis by </w:t>
            </w:r>
            <w:proofErr w:type="spellStart"/>
            <w:r w:rsidRPr="008A2917">
              <w:rPr>
                <w:rFonts w:ascii="Arial Narrow" w:hAnsi="Arial Narrow"/>
                <w:iCs/>
                <w:sz w:val="20"/>
              </w:rPr>
              <w:t>Tricco</w:t>
            </w:r>
            <w:proofErr w:type="spellEnd"/>
            <w:r w:rsidRPr="008A2917">
              <w:rPr>
                <w:rFonts w:ascii="Arial Narrow" w:hAnsi="Arial Narrow"/>
                <w:iCs/>
                <w:sz w:val="20"/>
              </w:rPr>
              <w:t xml:space="preserve"> 2013</w:t>
            </w:r>
            <w:r w:rsidR="00712A49" w:rsidRPr="008A2917">
              <w:rPr>
                <w:rStyle w:val="FootnoteReference"/>
                <w:rFonts w:ascii="Arial Narrow" w:hAnsi="Arial Narrow"/>
                <w:iCs/>
                <w:sz w:val="20"/>
              </w:rPr>
              <w:footnoteReference w:id="5"/>
            </w:r>
            <w:r w:rsidRPr="008A2917">
              <w:rPr>
                <w:rFonts w:ascii="Arial Narrow" w:hAnsi="Arial Narrow"/>
                <w:iCs/>
                <w:sz w:val="20"/>
              </w:rPr>
              <w:t>. The VE estimates were not precise with wide 95% CI (adults: VE=0.52, 95% CI 0.19, 0.72; all:</w:t>
            </w:r>
            <w:r w:rsidRPr="008A2917">
              <w:t xml:space="preserve"> </w:t>
            </w:r>
            <w:r w:rsidRPr="008A2917">
              <w:rPr>
                <w:rFonts w:ascii="Arial Narrow" w:hAnsi="Arial Narrow"/>
                <w:iCs/>
                <w:sz w:val="20"/>
              </w:rPr>
              <w:t>VE=0.46 95% CI 0.27, 0.60).</w:t>
            </w:r>
          </w:p>
        </w:tc>
        <w:tc>
          <w:tcPr>
            <w:tcW w:w="2835" w:type="dxa"/>
            <w:shd w:val="clear" w:color="auto" w:fill="auto"/>
          </w:tcPr>
          <w:p w:rsidR="002D1836" w:rsidRPr="008A2917" w:rsidRDefault="00966298" w:rsidP="00387896">
            <w:pPr>
              <w:widowControl/>
              <w:jc w:val="left"/>
              <w:rPr>
                <w:rFonts w:ascii="Arial Narrow" w:hAnsi="Arial Narrow"/>
                <w:sz w:val="20"/>
              </w:rPr>
            </w:pPr>
            <w:r w:rsidRPr="008A2917">
              <w:rPr>
                <w:rFonts w:ascii="Arial Narrow" w:hAnsi="Arial Narrow"/>
                <w:sz w:val="20"/>
              </w:rPr>
              <w:t>High.</w:t>
            </w:r>
          </w:p>
          <w:p w:rsidR="002D1836" w:rsidRPr="008A2917" w:rsidRDefault="002D1836" w:rsidP="00387896">
            <w:pPr>
              <w:widowControl/>
              <w:jc w:val="left"/>
              <w:rPr>
                <w:rFonts w:ascii="Arial Narrow" w:hAnsi="Arial Narrow"/>
                <w:sz w:val="20"/>
              </w:rPr>
            </w:pPr>
            <w:r w:rsidRPr="008A2917">
              <w:rPr>
                <w:rFonts w:ascii="Arial Narrow" w:hAnsi="Arial Narrow"/>
                <w:sz w:val="20"/>
              </w:rPr>
              <w:t>High VE for the mismatched strain favours TIV-HD.</w:t>
            </w:r>
          </w:p>
        </w:tc>
      </w:tr>
    </w:tbl>
    <w:p w:rsidR="00CB0A5B" w:rsidRPr="008A2917" w:rsidRDefault="004922B5" w:rsidP="00387896">
      <w:pPr>
        <w:pStyle w:val="TableFooter"/>
        <w:widowControl/>
      </w:pPr>
      <w:proofErr w:type="spellStart"/>
      <w:proofErr w:type="gramStart"/>
      <w:r w:rsidRPr="008A2917">
        <w:t>aQIV</w:t>
      </w:r>
      <w:proofErr w:type="spellEnd"/>
      <w:proofErr w:type="gramEnd"/>
      <w:r w:rsidR="00CB0A5B" w:rsidRPr="008A2917">
        <w:t xml:space="preserve">: </w:t>
      </w:r>
      <w:proofErr w:type="spellStart"/>
      <w:r w:rsidR="00CB0A5B" w:rsidRPr="008A2917">
        <w:t>adjuvanted</w:t>
      </w:r>
      <w:proofErr w:type="spellEnd"/>
      <w:r w:rsidR="00CB0A5B" w:rsidRPr="008A2917">
        <w:t xml:space="preserve"> </w:t>
      </w:r>
      <w:proofErr w:type="spellStart"/>
      <w:r w:rsidR="00CB0A5B" w:rsidRPr="008A2917">
        <w:t>quadrivalent</w:t>
      </w:r>
      <w:proofErr w:type="spellEnd"/>
      <w:r w:rsidR="00CB0A5B" w:rsidRPr="008A2917">
        <w:t xml:space="preserve"> Influenza Vaccine standard dose; </w:t>
      </w:r>
      <w:proofErr w:type="spellStart"/>
      <w:r w:rsidRPr="008A2917">
        <w:t>aTIV</w:t>
      </w:r>
      <w:proofErr w:type="spellEnd"/>
      <w:r w:rsidR="00CB0A5B" w:rsidRPr="008A2917">
        <w:t xml:space="preserve">: </w:t>
      </w:r>
      <w:proofErr w:type="spellStart"/>
      <w:r w:rsidR="00CB0A5B" w:rsidRPr="008A2917">
        <w:t>adjuvanted</w:t>
      </w:r>
      <w:proofErr w:type="spellEnd"/>
      <w:r w:rsidR="00CB0A5B" w:rsidRPr="008A2917">
        <w:t xml:space="preserve"> trivalent Influenza Vaccine standard dose; QIV-SD: </w:t>
      </w:r>
      <w:proofErr w:type="spellStart"/>
      <w:r w:rsidR="00CB0A5B" w:rsidRPr="008A2917">
        <w:t>Quadrivalent</w:t>
      </w:r>
      <w:proofErr w:type="spellEnd"/>
      <w:r w:rsidR="00CB0A5B" w:rsidRPr="008A2917">
        <w:t xml:space="preserve"> Influenza Vaccine - Standard Dose; TIV-HD: Trivalent Influenza Vaccine - High Dose; TIV-SD: Trivalent Influenza Vaccine - Standard dose.</w:t>
      </w:r>
    </w:p>
    <w:p w:rsidR="00CB0A5B" w:rsidRPr="008A2917" w:rsidRDefault="00CB0A5B" w:rsidP="00387896">
      <w:pPr>
        <w:pStyle w:val="TableFooter"/>
        <w:widowControl/>
      </w:pPr>
      <w:r w:rsidRPr="008A2917">
        <w:t>Source: compiled during the current evaluation.</w:t>
      </w:r>
    </w:p>
    <w:p w:rsidR="00A029F4" w:rsidRPr="008A2917" w:rsidRDefault="00A029F4" w:rsidP="00387896">
      <w:pPr>
        <w:widowControl/>
      </w:pPr>
    </w:p>
    <w:p w:rsidR="002D2EDA" w:rsidRPr="008A2917" w:rsidRDefault="002D2EDA" w:rsidP="00387896">
      <w:pPr>
        <w:widowControl/>
        <w:rPr>
          <w:u w:val="single"/>
        </w:rPr>
      </w:pPr>
      <w:r w:rsidRPr="008A2917">
        <w:rPr>
          <w:u w:val="single"/>
        </w:rPr>
        <w:t xml:space="preserve">TIV-HD </w:t>
      </w:r>
      <w:r w:rsidR="00A634C5" w:rsidRPr="008A2917">
        <w:rPr>
          <w:u w:val="single"/>
        </w:rPr>
        <w:t>vs</w:t>
      </w:r>
      <w:r w:rsidRPr="008A2917">
        <w:rPr>
          <w:u w:val="single"/>
        </w:rPr>
        <w:t xml:space="preserve"> QIV-SD</w:t>
      </w:r>
    </w:p>
    <w:p w:rsidR="00EE5339" w:rsidRPr="008A2917" w:rsidRDefault="00EE5339" w:rsidP="00387896">
      <w:pPr>
        <w:pStyle w:val="ListParagraph"/>
        <w:widowControl/>
        <w:numPr>
          <w:ilvl w:val="1"/>
          <w:numId w:val="1"/>
        </w:numPr>
      </w:pPr>
      <w:r w:rsidRPr="008A2917">
        <w:rPr>
          <w:rFonts w:asciiTheme="minorHAnsi" w:hAnsiTheme="minorHAnsi" w:cstheme="minorHAnsi"/>
        </w:rPr>
        <w:t xml:space="preserve">In the Main model, as for the previous submission, TIV-HD was dominant, resulting in cost savings and additional QALYs </w:t>
      </w:r>
      <w:r w:rsidR="00A634C5" w:rsidRPr="008A2917">
        <w:rPr>
          <w:rFonts w:asciiTheme="minorHAnsi" w:hAnsiTheme="minorHAnsi" w:cstheme="minorHAnsi"/>
        </w:rPr>
        <w:t>vs</w:t>
      </w:r>
      <w:r w:rsidRPr="008A2917">
        <w:rPr>
          <w:rFonts w:asciiTheme="minorHAnsi" w:hAnsiTheme="minorHAnsi" w:cstheme="minorHAnsi"/>
        </w:rPr>
        <w:t xml:space="preserve"> QIV-SD. </w:t>
      </w:r>
      <w:r w:rsidRPr="008A2917">
        <w:rPr>
          <w:iCs/>
        </w:rPr>
        <w:t xml:space="preserve">With the revised assumptions and inputs in </w:t>
      </w:r>
      <w:r w:rsidRPr="008A2917">
        <w:rPr>
          <w:rFonts w:asciiTheme="minorHAnsi" w:hAnsiTheme="minorHAnsi" w:cstheme="minorHAnsi"/>
          <w:iCs/>
        </w:rPr>
        <w:t>the Supplementary model</w:t>
      </w:r>
      <w:r w:rsidR="006E545B" w:rsidRPr="008A2917">
        <w:rPr>
          <w:rFonts w:asciiTheme="minorHAnsi" w:hAnsiTheme="minorHAnsi" w:cstheme="minorHAnsi"/>
          <w:iCs/>
        </w:rPr>
        <w:t>,</w:t>
      </w:r>
      <w:r w:rsidRPr="008A2917">
        <w:rPr>
          <w:rFonts w:asciiTheme="minorHAnsi" w:hAnsiTheme="minorHAnsi" w:cstheme="minorHAnsi"/>
          <w:iCs/>
        </w:rPr>
        <w:t xml:space="preserve"> the estimated ICER was</w:t>
      </w:r>
      <w:r w:rsidR="006E5E1E">
        <w:rPr>
          <w:rFonts w:asciiTheme="minorHAnsi" w:hAnsiTheme="minorHAnsi" w:cstheme="minorHAnsi"/>
          <w:iCs/>
        </w:rPr>
        <w:t xml:space="preserve"> less than</w:t>
      </w:r>
      <w:r w:rsidRPr="008A2917">
        <w:rPr>
          <w:rFonts w:asciiTheme="minorHAnsi" w:hAnsiTheme="minorHAnsi" w:cstheme="minorHAnsi"/>
          <w:iCs/>
        </w:rPr>
        <w:t xml:space="preserve"> $</w:t>
      </w:r>
      <w:proofErr w:type="gramStart"/>
      <w:r w:rsidR="006E5E1E">
        <w:rPr>
          <w:rFonts w:asciiTheme="minorHAnsi" w:hAnsiTheme="minorHAnsi" w:cstheme="minorHAnsi"/>
          <w:iCs/>
        </w:rPr>
        <w:t xml:space="preserve">15,000 </w:t>
      </w:r>
      <w:r w:rsidRPr="008A2917">
        <w:rPr>
          <w:rFonts w:asciiTheme="minorHAnsi" w:hAnsiTheme="minorHAnsi" w:cstheme="minorHAnsi"/>
          <w:iCs/>
        </w:rPr>
        <w:t xml:space="preserve"> per</w:t>
      </w:r>
      <w:proofErr w:type="gramEnd"/>
      <w:r w:rsidRPr="008A2917">
        <w:rPr>
          <w:rFonts w:asciiTheme="minorHAnsi" w:hAnsiTheme="minorHAnsi" w:cstheme="minorHAnsi"/>
          <w:iCs/>
        </w:rPr>
        <w:t xml:space="preserve"> QALY (Table </w:t>
      </w:r>
      <w:r w:rsidR="000D5A8F" w:rsidRPr="008A2917">
        <w:rPr>
          <w:rFonts w:asciiTheme="minorHAnsi" w:hAnsiTheme="minorHAnsi" w:cstheme="minorHAnsi"/>
          <w:iCs/>
        </w:rPr>
        <w:t>14</w:t>
      </w:r>
      <w:r w:rsidR="00111ECC" w:rsidRPr="008A2917">
        <w:rPr>
          <w:rFonts w:asciiTheme="minorHAnsi" w:hAnsiTheme="minorHAnsi" w:cstheme="minorHAnsi"/>
          <w:iCs/>
        </w:rPr>
        <w:t>)</w:t>
      </w:r>
      <w:r w:rsidRPr="008A2917">
        <w:rPr>
          <w:rFonts w:asciiTheme="minorHAnsi" w:hAnsiTheme="minorHAnsi" w:cstheme="minorHAnsi"/>
          <w:iCs/>
        </w:rPr>
        <w:t>. The reduction in incremental costs and increase in incremental QALYs in the Supplementary model was largely due to the differences in modelling assumptions regarding:</w:t>
      </w:r>
    </w:p>
    <w:p w:rsidR="00EE5339" w:rsidRPr="008A2917" w:rsidRDefault="00EE5339" w:rsidP="00387896">
      <w:pPr>
        <w:pStyle w:val="Intextbulletpoints"/>
        <w:widowControl/>
        <w:rPr>
          <w:lang w:val="en-AU"/>
        </w:rPr>
      </w:pPr>
      <w:r w:rsidRPr="008A2917">
        <w:rPr>
          <w:lang w:val="en-AU"/>
        </w:rPr>
        <w:t>reduced rate of non-cardiovascular hospitalisation</w:t>
      </w:r>
      <w:r w:rsidR="00043AF5" w:rsidRPr="008A2917">
        <w:rPr>
          <w:lang w:val="en-AU"/>
        </w:rPr>
        <w:t>;</w:t>
      </w:r>
      <w:r w:rsidR="00C509BE" w:rsidRPr="008A2917">
        <w:rPr>
          <w:lang w:val="en-AU"/>
        </w:rPr>
        <w:t xml:space="preserve"> and</w:t>
      </w:r>
    </w:p>
    <w:p w:rsidR="006638BF" w:rsidRPr="008A2917" w:rsidRDefault="00EE5339" w:rsidP="00387896">
      <w:pPr>
        <w:pStyle w:val="Intextbulletpoints"/>
        <w:widowControl/>
        <w:rPr>
          <w:lang w:val="en-AU"/>
        </w:rPr>
      </w:pPr>
      <w:proofErr w:type="gramStart"/>
      <w:r w:rsidRPr="008A2917">
        <w:rPr>
          <w:lang w:val="en-AU"/>
        </w:rPr>
        <w:t>excluded</w:t>
      </w:r>
      <w:proofErr w:type="gramEnd"/>
      <w:r w:rsidRPr="008A2917">
        <w:rPr>
          <w:lang w:val="en-AU"/>
        </w:rPr>
        <w:t xml:space="preserve"> cardiovascular hospitalisation</w:t>
      </w:r>
      <w:r w:rsidR="00C509BE" w:rsidRPr="008A2917">
        <w:rPr>
          <w:lang w:val="en-AU"/>
        </w:rPr>
        <w:t>.</w:t>
      </w:r>
    </w:p>
    <w:p w:rsidR="00CB0A5B" w:rsidRPr="008A2917" w:rsidRDefault="006638BF" w:rsidP="00387896">
      <w:pPr>
        <w:pStyle w:val="Bulletpoints"/>
        <w:widowControl/>
        <w:ind w:left="709"/>
        <w:rPr>
          <w:rStyle w:val="CommentReference"/>
        </w:rPr>
      </w:pPr>
      <w:r w:rsidRPr="008A2917">
        <w:t xml:space="preserve">The above factors were partly offset by </w:t>
      </w:r>
      <w:r w:rsidR="009E369D" w:rsidRPr="008A2917">
        <w:t xml:space="preserve">the application of a </w:t>
      </w:r>
      <w:r w:rsidR="00EE5339" w:rsidRPr="008A2917">
        <w:t>higher rate of influenza-related mortality.</w:t>
      </w:r>
      <w:r w:rsidR="008A0BC6" w:rsidRPr="008A2917">
        <w:t xml:space="preserve"> Approximately 96% of the QALY gains in the Supplementary model </w:t>
      </w:r>
      <w:r w:rsidR="006E545B" w:rsidRPr="008A2917">
        <w:t xml:space="preserve">were </w:t>
      </w:r>
      <w:r w:rsidR="008A0BC6" w:rsidRPr="008A2917">
        <w:t>due to avoidance of influenza-related mortality, with the remaining due to influenza-related morbidity.</w:t>
      </w:r>
    </w:p>
    <w:p w:rsidR="00CB0A5B" w:rsidRPr="008A2917" w:rsidRDefault="00CB0A5B" w:rsidP="00387896">
      <w:pPr>
        <w:pStyle w:val="TableHeading0"/>
        <w:rPr>
          <w:rStyle w:val="CommentReference"/>
          <w:b/>
          <w:szCs w:val="22"/>
        </w:rPr>
      </w:pPr>
      <w:r w:rsidRPr="008A2917">
        <w:rPr>
          <w:rStyle w:val="CommentReference"/>
          <w:b/>
          <w:szCs w:val="22"/>
        </w:rPr>
        <w:t>Table</w:t>
      </w:r>
      <w:r w:rsidR="00043AF5" w:rsidRPr="008A2917">
        <w:rPr>
          <w:rStyle w:val="CommentReference"/>
          <w:b/>
          <w:szCs w:val="22"/>
        </w:rPr>
        <w:t xml:space="preserve"> </w:t>
      </w:r>
      <w:r w:rsidR="000D5A8F" w:rsidRPr="008A2917">
        <w:rPr>
          <w:rStyle w:val="CommentReference"/>
          <w:b/>
          <w:szCs w:val="22"/>
        </w:rPr>
        <w:t>14</w:t>
      </w:r>
      <w:r w:rsidRPr="008A2917">
        <w:rPr>
          <w:rStyle w:val="CommentReference"/>
          <w:b/>
          <w:szCs w:val="22"/>
        </w:rPr>
        <w:t xml:space="preserve">: </w:t>
      </w:r>
      <w:r w:rsidR="00043AF5" w:rsidRPr="008A2917">
        <w:rPr>
          <w:rStyle w:val="CommentReference"/>
          <w:b/>
          <w:szCs w:val="22"/>
        </w:rPr>
        <w:t>TIV-HD vs QIV-SD</w:t>
      </w:r>
      <w:r w:rsidRPr="008A2917">
        <w:rPr>
          <w:rStyle w:val="CommentReference"/>
          <w:b/>
          <w:szCs w:val="22"/>
        </w:rPr>
        <w:t xml:space="preserve"> </w:t>
      </w:r>
      <w:r w:rsidR="00043AF5" w:rsidRPr="008A2917">
        <w:rPr>
          <w:rStyle w:val="CommentReference"/>
          <w:b/>
          <w:szCs w:val="22"/>
        </w:rPr>
        <w:t>(</w:t>
      </w:r>
      <w:r w:rsidRPr="008A2917">
        <w:rPr>
          <w:rStyle w:val="CommentReference"/>
          <w:b/>
          <w:szCs w:val="22"/>
        </w:rPr>
        <w:t>Supplementary model</w:t>
      </w:r>
      <w:r w:rsidR="00043AF5" w:rsidRPr="008A2917">
        <w:rPr>
          <w:rStyle w:val="CommentReference"/>
          <w:b/>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CB0A5B" w:rsidRPr="008A2917" w:rsidTr="002F2549">
        <w:trPr>
          <w:tblHeader/>
        </w:trPr>
        <w:tc>
          <w:tcPr>
            <w:tcW w:w="1529" w:type="pct"/>
            <w:vAlign w:val="center"/>
          </w:tcPr>
          <w:p w:rsidR="00CB0A5B" w:rsidRPr="008A2917" w:rsidRDefault="00CB0A5B" w:rsidP="00387896">
            <w:pPr>
              <w:pStyle w:val="Tabletext"/>
              <w:rPr>
                <w:b/>
              </w:rPr>
            </w:pPr>
            <w:r w:rsidRPr="008A2917">
              <w:rPr>
                <w:b/>
              </w:rPr>
              <w:t>Component</w:t>
            </w:r>
          </w:p>
        </w:tc>
        <w:tc>
          <w:tcPr>
            <w:tcW w:w="1359" w:type="pct"/>
            <w:vAlign w:val="center"/>
          </w:tcPr>
          <w:p w:rsidR="00CB0A5B" w:rsidRPr="008A2917" w:rsidRDefault="00CB0A5B" w:rsidP="00387896">
            <w:pPr>
              <w:pStyle w:val="Tabletext"/>
              <w:jc w:val="center"/>
              <w:rPr>
                <w:b/>
              </w:rPr>
            </w:pPr>
            <w:r w:rsidRPr="008A2917">
              <w:rPr>
                <w:b/>
              </w:rPr>
              <w:t>TIV-HD</w:t>
            </w:r>
          </w:p>
        </w:tc>
        <w:tc>
          <w:tcPr>
            <w:tcW w:w="1274" w:type="pct"/>
            <w:vAlign w:val="center"/>
          </w:tcPr>
          <w:p w:rsidR="00CB0A5B" w:rsidRPr="008A2917" w:rsidRDefault="00CB0A5B" w:rsidP="00387896">
            <w:pPr>
              <w:pStyle w:val="Tabletext"/>
              <w:jc w:val="center"/>
              <w:rPr>
                <w:b/>
              </w:rPr>
            </w:pPr>
            <w:r w:rsidRPr="008A2917">
              <w:rPr>
                <w:b/>
              </w:rPr>
              <w:t>QIV-SD</w:t>
            </w:r>
          </w:p>
        </w:tc>
        <w:tc>
          <w:tcPr>
            <w:tcW w:w="838" w:type="pct"/>
            <w:vAlign w:val="center"/>
          </w:tcPr>
          <w:p w:rsidR="00CB0A5B" w:rsidRPr="008A2917" w:rsidRDefault="00CB0A5B" w:rsidP="00387896">
            <w:pPr>
              <w:pStyle w:val="Tabletext"/>
              <w:jc w:val="center"/>
              <w:rPr>
                <w:b/>
              </w:rPr>
            </w:pPr>
            <w:r w:rsidRPr="008A2917">
              <w:rPr>
                <w:b/>
              </w:rPr>
              <w:t>Increment</w:t>
            </w:r>
          </w:p>
        </w:tc>
      </w:tr>
      <w:tr w:rsidR="00CB0A5B" w:rsidRPr="008A2917" w:rsidTr="002F2549">
        <w:tc>
          <w:tcPr>
            <w:tcW w:w="1529" w:type="pct"/>
            <w:vAlign w:val="center"/>
          </w:tcPr>
          <w:p w:rsidR="00CB0A5B" w:rsidRPr="008A2917" w:rsidRDefault="00CB0A5B" w:rsidP="00387896">
            <w:pPr>
              <w:pStyle w:val="Tabletext"/>
              <w:rPr>
                <w:rFonts w:ascii="Times" w:hAnsi="Times"/>
              </w:rPr>
            </w:pPr>
            <w:r w:rsidRPr="008A2917">
              <w:t>Costs</w:t>
            </w:r>
          </w:p>
        </w:tc>
        <w:tc>
          <w:tcPr>
            <w:tcW w:w="1359" w:type="pct"/>
            <w:vAlign w:val="center"/>
          </w:tcPr>
          <w:p w:rsidR="00CB0A5B" w:rsidRPr="008A2917" w:rsidRDefault="00CB0A5B" w:rsidP="00387896">
            <w:pPr>
              <w:pStyle w:val="Tabletext"/>
              <w:jc w:val="right"/>
            </w:pPr>
            <w:r w:rsidRPr="008A2917">
              <w:t>$</w:t>
            </w:r>
            <w:r w:rsidR="001A215D">
              <w:rPr>
                <w:noProof/>
                <w:color w:val="000000"/>
                <w:highlight w:val="black"/>
              </w:rPr>
              <w:t>'''''''''''''</w:t>
            </w:r>
          </w:p>
        </w:tc>
        <w:tc>
          <w:tcPr>
            <w:tcW w:w="1274" w:type="pct"/>
            <w:vAlign w:val="center"/>
          </w:tcPr>
          <w:p w:rsidR="00CB0A5B" w:rsidRPr="008A2917" w:rsidRDefault="00CB0A5B" w:rsidP="00387896">
            <w:pPr>
              <w:pStyle w:val="Tabletext"/>
              <w:jc w:val="right"/>
            </w:pPr>
            <w:r w:rsidRPr="008A2917">
              <w:t>$</w:t>
            </w:r>
            <w:r w:rsidR="001A215D">
              <w:rPr>
                <w:noProof/>
                <w:color w:val="000000"/>
                <w:highlight w:val="black"/>
              </w:rPr>
              <w:t>''''''''''''</w:t>
            </w:r>
          </w:p>
        </w:tc>
        <w:tc>
          <w:tcPr>
            <w:tcW w:w="838" w:type="pct"/>
            <w:vAlign w:val="center"/>
          </w:tcPr>
          <w:p w:rsidR="00CB0A5B" w:rsidRPr="008A2917" w:rsidRDefault="001534D0" w:rsidP="00387896">
            <w:pPr>
              <w:pStyle w:val="Tabletext"/>
              <w:jc w:val="right"/>
              <w:rPr>
                <w:rFonts w:cs="Arial"/>
              </w:rPr>
            </w:pPr>
            <w:r w:rsidRPr="008A2917">
              <w:rPr>
                <w:rFonts w:cs="Arial"/>
              </w:rPr>
              <w:t>$</w:t>
            </w:r>
            <w:r w:rsidR="001A215D">
              <w:rPr>
                <w:rFonts w:cs="Arial"/>
                <w:noProof/>
                <w:color w:val="000000"/>
                <w:highlight w:val="black"/>
              </w:rPr>
              <w:t>''''''''''</w:t>
            </w:r>
          </w:p>
        </w:tc>
      </w:tr>
      <w:tr w:rsidR="00CB0A5B" w:rsidRPr="008A2917" w:rsidTr="002F2549">
        <w:tc>
          <w:tcPr>
            <w:tcW w:w="1529" w:type="pct"/>
            <w:vAlign w:val="center"/>
          </w:tcPr>
          <w:p w:rsidR="00CB0A5B" w:rsidRPr="008A2917" w:rsidRDefault="00CB0A5B" w:rsidP="00387896">
            <w:pPr>
              <w:pStyle w:val="Tabletext"/>
              <w:rPr>
                <w:rFonts w:ascii="Times" w:hAnsi="Times"/>
              </w:rPr>
            </w:pPr>
            <w:r w:rsidRPr="008A2917">
              <w:t>QALYs</w:t>
            </w:r>
          </w:p>
        </w:tc>
        <w:tc>
          <w:tcPr>
            <w:tcW w:w="1359" w:type="pct"/>
            <w:vAlign w:val="center"/>
          </w:tcPr>
          <w:p w:rsidR="00CB0A5B" w:rsidRPr="008A2917" w:rsidRDefault="00CB0A5B" w:rsidP="00387896">
            <w:pPr>
              <w:pStyle w:val="Tabletext"/>
              <w:jc w:val="right"/>
            </w:pPr>
            <w:r w:rsidRPr="008A2917">
              <w:t>7.5175</w:t>
            </w:r>
          </w:p>
        </w:tc>
        <w:tc>
          <w:tcPr>
            <w:tcW w:w="1274" w:type="pct"/>
            <w:vAlign w:val="center"/>
          </w:tcPr>
          <w:p w:rsidR="00CB0A5B" w:rsidRPr="008A2917" w:rsidRDefault="00CB0A5B" w:rsidP="00387896">
            <w:pPr>
              <w:pStyle w:val="Tabletext"/>
              <w:jc w:val="right"/>
            </w:pPr>
            <w:r w:rsidRPr="008A2917">
              <w:t>7.5161</w:t>
            </w:r>
          </w:p>
        </w:tc>
        <w:tc>
          <w:tcPr>
            <w:tcW w:w="838" w:type="pct"/>
            <w:vAlign w:val="center"/>
          </w:tcPr>
          <w:p w:rsidR="00CB0A5B" w:rsidRPr="008A2917" w:rsidRDefault="001534D0" w:rsidP="00387896">
            <w:pPr>
              <w:pStyle w:val="Tabletext"/>
              <w:jc w:val="right"/>
              <w:rPr>
                <w:rFonts w:cs="Arial"/>
              </w:rPr>
            </w:pPr>
            <w:r w:rsidRPr="008A2917">
              <w:rPr>
                <w:rFonts w:cs="Arial"/>
              </w:rPr>
              <w:t>0.00139</w:t>
            </w:r>
          </w:p>
        </w:tc>
      </w:tr>
      <w:tr w:rsidR="00CB0A5B" w:rsidRPr="008A2917" w:rsidTr="002F2549">
        <w:tc>
          <w:tcPr>
            <w:tcW w:w="4162" w:type="pct"/>
            <w:gridSpan w:val="3"/>
            <w:vAlign w:val="center"/>
          </w:tcPr>
          <w:p w:rsidR="00CB0A5B" w:rsidRPr="008A2917" w:rsidRDefault="00CB0A5B" w:rsidP="00387896">
            <w:pPr>
              <w:pStyle w:val="Tabletext"/>
              <w:rPr>
                <w:rFonts w:ascii="Times" w:hAnsi="Times"/>
                <w:b/>
                <w:snapToGrid w:val="0"/>
              </w:rPr>
            </w:pPr>
            <w:r w:rsidRPr="008A2917">
              <w:rPr>
                <w:b/>
              </w:rPr>
              <w:t>Incremental cost / extra QALY gained</w:t>
            </w:r>
          </w:p>
        </w:tc>
        <w:tc>
          <w:tcPr>
            <w:tcW w:w="838" w:type="pct"/>
            <w:vAlign w:val="center"/>
          </w:tcPr>
          <w:p w:rsidR="00CB0A5B" w:rsidRPr="008A2917" w:rsidRDefault="00CB0A5B" w:rsidP="00387896">
            <w:pPr>
              <w:pStyle w:val="Tabletext"/>
              <w:jc w:val="right"/>
              <w:rPr>
                <w:rFonts w:ascii="Times" w:hAnsi="Times"/>
                <w:b/>
              </w:rPr>
            </w:pPr>
            <w:r w:rsidRPr="008A2917">
              <w:rPr>
                <w:b/>
              </w:rPr>
              <w:t>$</w:t>
            </w:r>
            <w:r w:rsidR="001A215D">
              <w:rPr>
                <w:b/>
                <w:noProof/>
                <w:color w:val="000000"/>
                <w:highlight w:val="black"/>
              </w:rPr>
              <w:t>''''''''''</w:t>
            </w:r>
          </w:p>
        </w:tc>
      </w:tr>
    </w:tbl>
    <w:p w:rsidR="00CB0A5B" w:rsidRPr="008A2917" w:rsidRDefault="00CB0A5B" w:rsidP="00387896">
      <w:pPr>
        <w:pStyle w:val="TableFooter"/>
        <w:widowControl/>
      </w:pPr>
      <w:bookmarkStart w:id="26" w:name="_Hlk18395897"/>
      <w:r w:rsidRPr="008A2917">
        <w:t xml:space="preserve">QALYs: Quality-Adjusted Life Years; QIV-SD: </w:t>
      </w:r>
      <w:proofErr w:type="spellStart"/>
      <w:r w:rsidRPr="008A2917">
        <w:t>Quadrivalent</w:t>
      </w:r>
      <w:proofErr w:type="spellEnd"/>
      <w:r w:rsidRPr="008A2917">
        <w:t xml:space="preserve"> Influenza Vaccine – Standard Dose; TIV-HD: Trivalent Influenza Vaccine – High Dose</w:t>
      </w:r>
      <w:bookmarkEnd w:id="26"/>
      <w:r w:rsidRPr="008A2917">
        <w:t>.</w:t>
      </w:r>
    </w:p>
    <w:p w:rsidR="00CB0A5B" w:rsidRPr="008A2917" w:rsidRDefault="00CB0A5B" w:rsidP="00387896">
      <w:pPr>
        <w:pStyle w:val="TableFooter"/>
        <w:widowControl/>
      </w:pPr>
      <w:r w:rsidRPr="008A2917">
        <w:lastRenderedPageBreak/>
        <w:t>All values are per Australian aged ≥ 65 years.</w:t>
      </w:r>
    </w:p>
    <w:p w:rsidR="00CB0A5B" w:rsidRPr="008A2917" w:rsidRDefault="00CB0A5B" w:rsidP="00387896">
      <w:pPr>
        <w:pStyle w:val="TableFooter"/>
        <w:widowControl/>
      </w:pPr>
      <w:r w:rsidRPr="008A2917">
        <w:t>Source: Compiled during the evaluation.</w:t>
      </w:r>
    </w:p>
    <w:p w:rsidR="008654D6" w:rsidRPr="008A2917" w:rsidRDefault="008654D6" w:rsidP="00387896">
      <w:pPr>
        <w:pStyle w:val="TableFooter"/>
        <w:widowControl/>
        <w:rPr>
          <w:sz w:val="20"/>
        </w:rPr>
      </w:pPr>
    </w:p>
    <w:p w:rsidR="00A029F4" w:rsidRPr="008A2917" w:rsidRDefault="00A029F4" w:rsidP="00387896">
      <w:pPr>
        <w:pStyle w:val="ListParagraph"/>
        <w:widowControl/>
        <w:numPr>
          <w:ilvl w:val="1"/>
          <w:numId w:val="1"/>
        </w:numPr>
      </w:pPr>
      <w:r w:rsidRPr="008A2917">
        <w:rPr>
          <w:iCs/>
        </w:rPr>
        <w:t>The ICER was sensitive to influenza incidence. For example, the base case ICER for TIV-HD vs QIV-SD of</w:t>
      </w:r>
      <w:r w:rsidR="006E5E1E">
        <w:rPr>
          <w:iCs/>
        </w:rPr>
        <w:t xml:space="preserve"> less than</w:t>
      </w:r>
      <w:r w:rsidRPr="008A2917">
        <w:rPr>
          <w:iCs/>
        </w:rPr>
        <w:t xml:space="preserve"> $</w:t>
      </w:r>
      <w:r w:rsidR="006E5E1E">
        <w:rPr>
          <w:iCs/>
        </w:rPr>
        <w:t>15,000</w:t>
      </w:r>
      <w:r w:rsidRPr="008A2917">
        <w:rPr>
          <w:iCs/>
        </w:rPr>
        <w:t xml:space="preserve"> per QALY, assumed a rate of influenza of 1.88%, taken from FIM12. The ICER increased to $</w:t>
      </w:r>
      <w:r w:rsidR="006E5E1E">
        <w:rPr>
          <w:iCs/>
        </w:rPr>
        <w:t>15,000 - $45,000</w:t>
      </w:r>
      <w:r w:rsidRPr="008A2917">
        <w:rPr>
          <w:iCs/>
        </w:rPr>
        <w:t xml:space="preserve"> per QALY assuming a plausible lower rate of influenza of 0.58% (year 1 of FIM12), and decreased to </w:t>
      </w:r>
      <w:r w:rsidR="00AA15E2">
        <w:rPr>
          <w:iCs/>
        </w:rPr>
        <w:t xml:space="preserve">less than </w:t>
      </w:r>
      <w:r w:rsidRPr="008A2917">
        <w:rPr>
          <w:iCs/>
        </w:rPr>
        <w:t>$</w:t>
      </w:r>
      <w:r w:rsidR="00AA15E2">
        <w:rPr>
          <w:iCs/>
        </w:rPr>
        <w:t>15,000/QALY</w:t>
      </w:r>
      <w:r w:rsidR="00AA15E2" w:rsidRPr="008A2917">
        <w:rPr>
          <w:iCs/>
        </w:rPr>
        <w:t xml:space="preserve"> </w:t>
      </w:r>
      <w:r w:rsidRPr="008A2917">
        <w:rPr>
          <w:iCs/>
        </w:rPr>
        <w:t>assuming a higher rate of influenza of 2.96% (year 2 of FIM12). Influenza incidence is uncertain given it will vary each year.</w:t>
      </w:r>
    </w:p>
    <w:p w:rsidR="00A029F4" w:rsidRPr="008A2917" w:rsidRDefault="00A029F4" w:rsidP="00387896">
      <w:pPr>
        <w:pStyle w:val="ListParagraph"/>
        <w:widowControl/>
        <w:numPr>
          <w:ilvl w:val="1"/>
          <w:numId w:val="1"/>
        </w:numPr>
      </w:pPr>
      <w:r w:rsidRPr="008A2917">
        <w:rPr>
          <w:iCs/>
        </w:rPr>
        <w:t xml:space="preserve">The PSCR </w:t>
      </w:r>
      <w:r w:rsidR="0078046D" w:rsidRPr="008A2917">
        <w:rPr>
          <w:iCs/>
        </w:rPr>
        <w:t xml:space="preserve">and Pre-PBAC Response </w:t>
      </w:r>
      <w:r w:rsidRPr="008A2917">
        <w:rPr>
          <w:iCs/>
        </w:rPr>
        <w:t>argued th</w:t>
      </w:r>
      <w:r w:rsidR="00111ECC" w:rsidRPr="008A2917">
        <w:rPr>
          <w:iCs/>
        </w:rPr>
        <w:t>at it was appropriate that the S</w:t>
      </w:r>
      <w:r w:rsidRPr="008A2917">
        <w:rPr>
          <w:iCs/>
        </w:rPr>
        <w:t>upplementary model would be sensitive to influenza incidence as it was developed in response to areas of uncertainty around incidence and strain variation</w:t>
      </w:r>
      <w:r w:rsidR="008A2917">
        <w:rPr>
          <w:iCs/>
        </w:rPr>
        <w:t xml:space="preserve">. </w:t>
      </w:r>
      <w:r w:rsidRPr="008A2917">
        <w:rPr>
          <w:iCs/>
        </w:rPr>
        <w:t>It argued that given the sensitivity to incidence rate, an adequate assessment of cost-effectiveness of TIV-HD was to model against a representative season or against a number of seasons, as had been done in the scenario analyses</w:t>
      </w:r>
      <w:r w:rsidR="008A2917">
        <w:rPr>
          <w:iCs/>
        </w:rPr>
        <w:t xml:space="preserve">. </w:t>
      </w:r>
      <w:r w:rsidR="006E545B" w:rsidRPr="008A2917">
        <w:rPr>
          <w:iCs/>
        </w:rPr>
        <w:t xml:space="preserve">The PSCR </w:t>
      </w:r>
      <w:r w:rsidRPr="008A2917">
        <w:rPr>
          <w:iCs/>
        </w:rPr>
        <w:t>reiterated that under most conditions, TIV-HD was cost-effective in this analysis.</w:t>
      </w:r>
    </w:p>
    <w:p w:rsidR="00427895" w:rsidRPr="008A2917" w:rsidRDefault="00A029F4" w:rsidP="00387896">
      <w:pPr>
        <w:pStyle w:val="ListParagraph"/>
        <w:widowControl/>
        <w:numPr>
          <w:ilvl w:val="1"/>
          <w:numId w:val="1"/>
        </w:numPr>
      </w:pPr>
      <w:r w:rsidRPr="008A2917">
        <w:t>The ICER was sensitive to the rate of hospitalisation. In the base case of the Supplementary model, the assumed rate of influenza-related hospitalisation given a person has influenza was 44.68%</w:t>
      </w:r>
      <w:r w:rsidR="008A2917">
        <w:t xml:space="preserve">. </w:t>
      </w:r>
      <w:r w:rsidR="00043AF5" w:rsidRPr="008A2917">
        <w:t xml:space="preserve">The ICER for TIV-HD </w:t>
      </w:r>
      <w:r w:rsidR="00A634C5" w:rsidRPr="008A2917">
        <w:t>vs</w:t>
      </w:r>
      <w:r w:rsidR="00043AF5" w:rsidRPr="008A2917">
        <w:t xml:space="preserve"> QIV-SD increased from </w:t>
      </w:r>
      <w:r w:rsidR="006E5E1E">
        <w:t xml:space="preserve">less than </w:t>
      </w:r>
      <w:r w:rsidR="00043AF5" w:rsidRPr="008A2917">
        <w:t>$</w:t>
      </w:r>
      <w:r w:rsidR="006E5E1E">
        <w:t>15,000</w:t>
      </w:r>
      <w:r w:rsidR="00043AF5" w:rsidRPr="008A2917">
        <w:t xml:space="preserve"> to $</w:t>
      </w:r>
      <w:r w:rsidR="006E5E1E">
        <w:t>15,000 - $45,000</w:t>
      </w:r>
      <w:r w:rsidR="00A16E3A" w:rsidRPr="008A2917">
        <w:t xml:space="preserve"> per QALY</w:t>
      </w:r>
      <w:r w:rsidR="00427895" w:rsidRPr="008A2917">
        <w:t xml:space="preserve"> with the hospitalisation rates based on Newall 2008</w:t>
      </w:r>
      <w:r w:rsidR="008D46B4" w:rsidRPr="008A2917">
        <w:t xml:space="preserve"> (19.3%)</w:t>
      </w:r>
      <w:r w:rsidR="00427895" w:rsidRPr="008A2917">
        <w:t>. The ESC considered the hospital</w:t>
      </w:r>
      <w:r w:rsidR="00C27D39" w:rsidRPr="008A2917">
        <w:t>isation</w:t>
      </w:r>
      <w:r w:rsidR="00427895" w:rsidRPr="008A2917">
        <w:t xml:space="preserve"> rates from Newall 2008, an Australian study, to be more applicable than those from the US FIM12 trial.</w:t>
      </w:r>
      <w:r w:rsidR="002A2313" w:rsidRPr="008A2917">
        <w:t xml:space="preserve"> </w:t>
      </w:r>
      <w:r w:rsidR="007C76B9" w:rsidRPr="008A2917">
        <w:t xml:space="preserve">Given the preference for </w:t>
      </w:r>
      <w:r w:rsidR="00C27D39" w:rsidRPr="008A2917">
        <w:t xml:space="preserve">using hospitalisation rates from Newall 2008, it was considered reasonable to use the </w:t>
      </w:r>
      <w:r w:rsidR="008419D8" w:rsidRPr="008A2917">
        <w:t>higher mortality rates reported in Newell 2008</w:t>
      </w:r>
      <w:r w:rsidR="00362DC9" w:rsidRPr="008A2917">
        <w:t xml:space="preserve"> </w:t>
      </w:r>
      <w:r w:rsidR="00F32345" w:rsidRPr="008A2917">
        <w:t>(4.7% vs. 3.2%)</w:t>
      </w:r>
      <w:r w:rsidR="008419D8" w:rsidRPr="008A2917">
        <w:t>.</w:t>
      </w:r>
    </w:p>
    <w:p w:rsidR="007F5742" w:rsidRPr="008A2917" w:rsidRDefault="00427895" w:rsidP="00D67C0E">
      <w:pPr>
        <w:pStyle w:val="ListParagraph"/>
        <w:widowControl/>
        <w:numPr>
          <w:ilvl w:val="1"/>
          <w:numId w:val="1"/>
        </w:numPr>
        <w:rPr>
          <w:iCs/>
          <w:u w:val="single"/>
        </w:rPr>
      </w:pPr>
      <w:r w:rsidRPr="008A2917">
        <w:rPr>
          <w:iCs/>
        </w:rPr>
        <w:t xml:space="preserve">The ESC noted that the VE against </w:t>
      </w:r>
      <w:r w:rsidR="00CE2228" w:rsidRPr="008A2917">
        <w:rPr>
          <w:iCs/>
        </w:rPr>
        <w:t xml:space="preserve">the </w:t>
      </w:r>
      <w:r w:rsidRPr="008A2917">
        <w:rPr>
          <w:iCs/>
        </w:rPr>
        <w:t xml:space="preserve">mismatched B strain was </w:t>
      </w:r>
      <w:r w:rsidR="00A752A9" w:rsidRPr="008A2917">
        <w:rPr>
          <w:iCs/>
        </w:rPr>
        <w:t xml:space="preserve">stated in the submission to be </w:t>
      </w:r>
      <w:r w:rsidRPr="008A2917">
        <w:rPr>
          <w:iCs/>
        </w:rPr>
        <w:t xml:space="preserve">sourced from Clements 2014, </w:t>
      </w:r>
      <w:r w:rsidR="00966298" w:rsidRPr="008A2917">
        <w:rPr>
          <w:iCs/>
        </w:rPr>
        <w:t>although</w:t>
      </w:r>
      <w:r w:rsidRPr="008A2917">
        <w:rPr>
          <w:iCs/>
        </w:rPr>
        <w:t xml:space="preserve"> </w:t>
      </w:r>
      <w:r w:rsidR="00A752A9" w:rsidRPr="008A2917">
        <w:rPr>
          <w:iCs/>
        </w:rPr>
        <w:t>this was</w:t>
      </w:r>
      <w:r w:rsidRPr="008A2917">
        <w:rPr>
          <w:iCs/>
        </w:rPr>
        <w:t xml:space="preserve"> a secondary source. The primary source was a meta-analysis by </w:t>
      </w:r>
      <w:proofErr w:type="spellStart"/>
      <w:r w:rsidRPr="008A2917">
        <w:rPr>
          <w:iCs/>
        </w:rPr>
        <w:t>Tricco</w:t>
      </w:r>
      <w:proofErr w:type="spellEnd"/>
      <w:r w:rsidRPr="008A2917">
        <w:rPr>
          <w:iCs/>
        </w:rPr>
        <w:t xml:space="preserve"> 2013. The VE estimates </w:t>
      </w:r>
      <w:r w:rsidR="00CB4D2D" w:rsidRPr="008A2917">
        <w:rPr>
          <w:iCs/>
        </w:rPr>
        <w:t xml:space="preserve">for the mismatched B strain </w:t>
      </w:r>
      <w:r w:rsidRPr="008A2917">
        <w:rPr>
          <w:iCs/>
        </w:rPr>
        <w:t>were not precise with wide 95% CI (adults: VE=0.52, 95% CI 0.19, 0.72; all: VE=0.46 95% CI 0.27, 0.60).</w:t>
      </w:r>
      <w:r w:rsidR="00CB4D2D" w:rsidRPr="008A2917">
        <w:rPr>
          <w:iCs/>
        </w:rPr>
        <w:t xml:space="preserve"> The ESC noted using the lower 95% CI for the VE in adults (0.19)</w:t>
      </w:r>
      <w:r w:rsidR="00966298" w:rsidRPr="008A2917">
        <w:rPr>
          <w:iCs/>
        </w:rPr>
        <w:t xml:space="preserve"> increased the ICER</w:t>
      </w:r>
      <w:r w:rsidR="00A752A9" w:rsidRPr="008A2917">
        <w:rPr>
          <w:iCs/>
        </w:rPr>
        <w:t xml:space="preserve"> from</w:t>
      </w:r>
      <w:r w:rsidR="006E5E1E">
        <w:rPr>
          <w:iCs/>
        </w:rPr>
        <w:t xml:space="preserve"> less than</w:t>
      </w:r>
      <w:r w:rsidR="00A752A9" w:rsidRPr="008A2917">
        <w:rPr>
          <w:iCs/>
        </w:rPr>
        <w:t xml:space="preserve"> $</w:t>
      </w:r>
      <w:r w:rsidR="006E5E1E">
        <w:rPr>
          <w:iCs/>
        </w:rPr>
        <w:t>15,000</w:t>
      </w:r>
      <w:r w:rsidR="00966298" w:rsidRPr="008A2917">
        <w:rPr>
          <w:iCs/>
        </w:rPr>
        <w:t xml:space="preserve"> to $</w:t>
      </w:r>
      <w:r w:rsidR="006E5E1E">
        <w:rPr>
          <w:iCs/>
        </w:rPr>
        <w:t>15,000 - $45,000</w:t>
      </w:r>
      <w:r w:rsidR="00966298" w:rsidRPr="008A2917">
        <w:rPr>
          <w:iCs/>
        </w:rPr>
        <w:t xml:space="preserve"> per QALY.</w:t>
      </w:r>
    </w:p>
    <w:p w:rsidR="005A6041" w:rsidRPr="008A2917" w:rsidRDefault="00A309D2" w:rsidP="00387896">
      <w:pPr>
        <w:widowControl/>
        <w:rPr>
          <w:iCs/>
          <w:u w:val="single"/>
        </w:rPr>
      </w:pPr>
      <w:r w:rsidRPr="008A2917">
        <w:rPr>
          <w:iCs/>
          <w:u w:val="single"/>
        </w:rPr>
        <w:t xml:space="preserve">TIV-HD </w:t>
      </w:r>
      <w:r w:rsidR="00A634C5" w:rsidRPr="008A2917">
        <w:rPr>
          <w:iCs/>
          <w:u w:val="single"/>
        </w:rPr>
        <w:t>vs</w:t>
      </w:r>
      <w:r w:rsidRPr="008A2917">
        <w:rPr>
          <w:iCs/>
          <w:u w:val="single"/>
        </w:rPr>
        <w:t xml:space="preserve"> </w:t>
      </w:r>
      <w:proofErr w:type="spellStart"/>
      <w:r w:rsidRPr="008A2917">
        <w:rPr>
          <w:iCs/>
          <w:u w:val="single"/>
        </w:rPr>
        <w:t>aTIV</w:t>
      </w:r>
      <w:proofErr w:type="spellEnd"/>
      <w:r w:rsidRPr="008A2917">
        <w:rPr>
          <w:iCs/>
          <w:u w:val="single"/>
        </w:rPr>
        <w:t xml:space="preserve"> and </w:t>
      </w:r>
      <w:proofErr w:type="spellStart"/>
      <w:r w:rsidRPr="008A2917">
        <w:rPr>
          <w:iCs/>
          <w:u w:val="single"/>
        </w:rPr>
        <w:t>aQIV</w:t>
      </w:r>
      <w:proofErr w:type="spellEnd"/>
    </w:p>
    <w:p w:rsidR="00CB0A5B" w:rsidRPr="008A2917" w:rsidRDefault="00C96A24" w:rsidP="00387896">
      <w:pPr>
        <w:pStyle w:val="ListParagraph"/>
        <w:widowControl/>
        <w:numPr>
          <w:ilvl w:val="1"/>
          <w:numId w:val="1"/>
        </w:numPr>
      </w:pPr>
      <w:r w:rsidRPr="008A2917">
        <w:rPr>
          <w:rFonts w:asciiTheme="minorHAnsi" w:hAnsiTheme="minorHAnsi" w:cstheme="minorHAnsi"/>
        </w:rPr>
        <w:t>Table 1</w:t>
      </w:r>
      <w:r w:rsidR="000D5A8F" w:rsidRPr="008A2917">
        <w:rPr>
          <w:rFonts w:asciiTheme="minorHAnsi" w:hAnsiTheme="minorHAnsi" w:cstheme="minorHAnsi"/>
        </w:rPr>
        <w:t>5</w:t>
      </w:r>
      <w:r w:rsidRPr="008A2917">
        <w:rPr>
          <w:rFonts w:asciiTheme="minorHAnsi" w:hAnsiTheme="minorHAnsi" w:cstheme="minorHAnsi"/>
        </w:rPr>
        <w:t xml:space="preserve"> </w:t>
      </w:r>
      <w:r w:rsidR="00A029F4" w:rsidRPr="008A2917">
        <w:rPr>
          <w:rFonts w:asciiTheme="minorHAnsi" w:hAnsiTheme="minorHAnsi" w:cstheme="minorHAnsi"/>
        </w:rPr>
        <w:t xml:space="preserve">presents </w:t>
      </w:r>
      <w:r w:rsidRPr="008A2917">
        <w:rPr>
          <w:rFonts w:asciiTheme="minorHAnsi" w:hAnsiTheme="minorHAnsi" w:cstheme="minorHAnsi"/>
        </w:rPr>
        <w:t xml:space="preserve">the results </w:t>
      </w:r>
      <w:r w:rsidR="00A029F4" w:rsidRPr="008A2917">
        <w:rPr>
          <w:rFonts w:asciiTheme="minorHAnsi" w:hAnsiTheme="minorHAnsi" w:cstheme="minorHAnsi"/>
        </w:rPr>
        <w:t xml:space="preserve">of the Supplementary model for TIV-HD </w:t>
      </w:r>
      <w:r w:rsidR="00A634C5" w:rsidRPr="008A2917">
        <w:rPr>
          <w:rFonts w:asciiTheme="minorHAnsi" w:hAnsiTheme="minorHAnsi" w:cstheme="minorHAnsi"/>
        </w:rPr>
        <w:t>vs</w:t>
      </w:r>
      <w:r w:rsidR="00A029F4" w:rsidRPr="008A2917">
        <w:rPr>
          <w:rFonts w:asciiTheme="minorHAnsi" w:hAnsiTheme="minorHAnsi" w:cstheme="minorHAnsi"/>
        </w:rPr>
        <w:t xml:space="preserve"> </w:t>
      </w:r>
      <w:proofErr w:type="spellStart"/>
      <w:r w:rsidR="00A029F4" w:rsidRPr="008A2917">
        <w:rPr>
          <w:rFonts w:asciiTheme="minorHAnsi" w:hAnsiTheme="minorHAnsi" w:cstheme="minorHAnsi"/>
        </w:rPr>
        <w:t>aTIV</w:t>
      </w:r>
      <w:proofErr w:type="spellEnd"/>
      <w:r w:rsidR="00A029F4" w:rsidRPr="008A2917">
        <w:rPr>
          <w:rFonts w:asciiTheme="minorHAnsi" w:hAnsiTheme="minorHAnsi" w:cstheme="minorHAnsi"/>
        </w:rPr>
        <w:t xml:space="preserve"> and </w:t>
      </w:r>
      <w:proofErr w:type="spellStart"/>
      <w:r w:rsidR="00A029F4" w:rsidRPr="008A2917">
        <w:rPr>
          <w:rFonts w:asciiTheme="minorHAnsi" w:hAnsiTheme="minorHAnsi" w:cstheme="minorHAnsi"/>
        </w:rPr>
        <w:t>aQIV</w:t>
      </w:r>
      <w:proofErr w:type="spellEnd"/>
      <w:r w:rsidRPr="008A2917">
        <w:rPr>
          <w:rFonts w:asciiTheme="minorHAnsi" w:hAnsiTheme="minorHAnsi" w:cstheme="minorHAnsi"/>
        </w:rPr>
        <w:t>.</w:t>
      </w:r>
      <w:r w:rsidR="002D2EDA" w:rsidRPr="008A2917">
        <w:rPr>
          <w:rFonts w:asciiTheme="minorHAnsi" w:hAnsiTheme="minorHAnsi" w:cstheme="minorHAnsi"/>
        </w:rPr>
        <w:t xml:space="preserve"> </w:t>
      </w:r>
      <w:r w:rsidR="00A029F4" w:rsidRPr="008A2917">
        <w:t>A</w:t>
      </w:r>
      <w:r w:rsidR="002D2EDA" w:rsidRPr="008A2917">
        <w:t xml:space="preserve"> ‘proxy’ value </w:t>
      </w:r>
      <w:r w:rsidR="00A029F4" w:rsidRPr="00EA7DD4">
        <w:t>of</w:t>
      </w:r>
      <w:r w:rsidR="002D2EDA" w:rsidRPr="00EA7DD4">
        <w:t xml:space="preserve"> $</w:t>
      </w:r>
      <w:r w:rsidR="001A215D">
        <w:rPr>
          <w:noProof/>
          <w:color w:val="000000"/>
          <w:highlight w:val="black"/>
        </w:rPr>
        <w:t>'''''</w:t>
      </w:r>
      <w:r w:rsidR="00AA15E2" w:rsidRPr="008A2917">
        <w:t xml:space="preserve"> </w:t>
      </w:r>
      <w:r w:rsidR="00A029F4" w:rsidRPr="008A2917">
        <w:t>was assumed</w:t>
      </w:r>
      <w:r w:rsidR="002D2EDA" w:rsidRPr="008A2917">
        <w:t xml:space="preserve"> for the price of </w:t>
      </w:r>
      <w:proofErr w:type="spellStart"/>
      <w:r w:rsidR="002D2EDA" w:rsidRPr="008A2917">
        <w:t>aTIV</w:t>
      </w:r>
      <w:proofErr w:type="spellEnd"/>
      <w:r w:rsidR="002D2EDA" w:rsidRPr="008A2917">
        <w:t xml:space="preserve"> and </w:t>
      </w:r>
      <w:proofErr w:type="spellStart"/>
      <w:r w:rsidR="002D2EDA" w:rsidRPr="008A2917">
        <w:t>aQIV</w:t>
      </w:r>
      <w:proofErr w:type="spellEnd"/>
      <w:r w:rsidR="002D2EDA" w:rsidRPr="008A2917">
        <w:t xml:space="preserve">. </w:t>
      </w:r>
    </w:p>
    <w:p w:rsidR="00C96A24" w:rsidRPr="008A2917" w:rsidRDefault="00C96A24" w:rsidP="00387896">
      <w:pPr>
        <w:pStyle w:val="TableHeading0"/>
        <w:rPr>
          <w:rStyle w:val="CommentReference"/>
          <w:b/>
          <w:szCs w:val="22"/>
        </w:rPr>
      </w:pPr>
      <w:r w:rsidRPr="008A2917">
        <w:rPr>
          <w:rStyle w:val="CommentReference"/>
          <w:b/>
          <w:szCs w:val="22"/>
        </w:rPr>
        <w:t>Table 1</w:t>
      </w:r>
      <w:r w:rsidR="000D5A8F" w:rsidRPr="008A2917">
        <w:rPr>
          <w:rStyle w:val="CommentReference"/>
          <w:b/>
          <w:szCs w:val="22"/>
        </w:rPr>
        <w:t>5</w:t>
      </w:r>
      <w:r w:rsidRPr="008A2917">
        <w:rPr>
          <w:rStyle w:val="CommentReference"/>
          <w:b/>
          <w:szCs w:val="22"/>
        </w:rPr>
        <w:t>: Results of the economic evaluation from the resubmission Supplementary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05"/>
        <w:gridCol w:w="1124"/>
        <w:gridCol w:w="1124"/>
        <w:gridCol w:w="1125"/>
        <w:gridCol w:w="1295"/>
        <w:gridCol w:w="1244"/>
      </w:tblGrid>
      <w:tr w:rsidR="00D67C0E" w:rsidRPr="008A2917" w:rsidTr="00D67C0E">
        <w:trPr>
          <w:tblHeader/>
        </w:trPr>
        <w:tc>
          <w:tcPr>
            <w:tcW w:w="1722" w:type="pct"/>
            <w:vAlign w:val="center"/>
          </w:tcPr>
          <w:p w:rsidR="00D67C0E" w:rsidRPr="008A2917" w:rsidRDefault="00D67C0E" w:rsidP="00387896">
            <w:pPr>
              <w:pStyle w:val="Tabletext"/>
              <w:rPr>
                <w:b/>
              </w:rPr>
            </w:pPr>
            <w:r w:rsidRPr="008A2917">
              <w:rPr>
                <w:b/>
              </w:rPr>
              <w:t>Component</w:t>
            </w:r>
          </w:p>
        </w:tc>
        <w:tc>
          <w:tcPr>
            <w:tcW w:w="623" w:type="pct"/>
            <w:vAlign w:val="center"/>
          </w:tcPr>
          <w:p w:rsidR="00D67C0E" w:rsidRPr="008A2917" w:rsidRDefault="00D67C0E" w:rsidP="00387896">
            <w:pPr>
              <w:pStyle w:val="Tabletext"/>
              <w:jc w:val="center"/>
              <w:rPr>
                <w:b/>
              </w:rPr>
            </w:pPr>
            <w:r w:rsidRPr="008A2917">
              <w:rPr>
                <w:b/>
              </w:rPr>
              <w:t>TIV-HD</w:t>
            </w:r>
          </w:p>
        </w:tc>
        <w:tc>
          <w:tcPr>
            <w:tcW w:w="623" w:type="pct"/>
            <w:vAlign w:val="center"/>
          </w:tcPr>
          <w:p w:rsidR="00D67C0E" w:rsidRPr="008A2917" w:rsidRDefault="00D67C0E" w:rsidP="00387896">
            <w:pPr>
              <w:pStyle w:val="Tabletext"/>
              <w:jc w:val="center"/>
              <w:rPr>
                <w:b/>
              </w:rPr>
            </w:pPr>
            <w:proofErr w:type="spellStart"/>
            <w:r w:rsidRPr="008A2917">
              <w:rPr>
                <w:b/>
              </w:rPr>
              <w:t>aTIV</w:t>
            </w:r>
            <w:proofErr w:type="spellEnd"/>
          </w:p>
        </w:tc>
        <w:tc>
          <w:tcPr>
            <w:tcW w:w="623" w:type="pct"/>
            <w:vAlign w:val="center"/>
          </w:tcPr>
          <w:p w:rsidR="00D67C0E" w:rsidRPr="008A2917" w:rsidRDefault="00D67C0E" w:rsidP="00387896">
            <w:pPr>
              <w:pStyle w:val="Tabletext"/>
              <w:jc w:val="center"/>
              <w:rPr>
                <w:b/>
              </w:rPr>
            </w:pPr>
            <w:proofErr w:type="spellStart"/>
            <w:r w:rsidRPr="008A2917">
              <w:rPr>
                <w:b/>
              </w:rPr>
              <w:t>aQIV</w:t>
            </w:r>
            <w:proofErr w:type="spellEnd"/>
          </w:p>
        </w:tc>
        <w:tc>
          <w:tcPr>
            <w:tcW w:w="718" w:type="pct"/>
            <w:vAlign w:val="center"/>
          </w:tcPr>
          <w:p w:rsidR="00D67C0E" w:rsidRPr="008A2917" w:rsidRDefault="00D67C0E" w:rsidP="00387896">
            <w:pPr>
              <w:pStyle w:val="Tabletext"/>
              <w:jc w:val="center"/>
              <w:rPr>
                <w:b/>
              </w:rPr>
            </w:pPr>
            <w:r w:rsidRPr="008A2917">
              <w:rPr>
                <w:b/>
              </w:rPr>
              <w:t xml:space="preserve">TIV-HD - </w:t>
            </w:r>
            <w:proofErr w:type="spellStart"/>
            <w:r w:rsidRPr="008A2917">
              <w:rPr>
                <w:b/>
              </w:rPr>
              <w:t>aTIV</w:t>
            </w:r>
            <w:proofErr w:type="spellEnd"/>
          </w:p>
        </w:tc>
        <w:tc>
          <w:tcPr>
            <w:tcW w:w="690" w:type="pct"/>
            <w:vAlign w:val="center"/>
          </w:tcPr>
          <w:p w:rsidR="00D67C0E" w:rsidRPr="008A2917" w:rsidRDefault="00D67C0E" w:rsidP="00387896">
            <w:pPr>
              <w:pStyle w:val="Tabletext"/>
              <w:jc w:val="center"/>
              <w:rPr>
                <w:b/>
              </w:rPr>
            </w:pPr>
            <w:r w:rsidRPr="008A2917">
              <w:rPr>
                <w:b/>
              </w:rPr>
              <w:t xml:space="preserve">TIV-HD - </w:t>
            </w:r>
            <w:proofErr w:type="spellStart"/>
            <w:r w:rsidRPr="008A2917">
              <w:rPr>
                <w:b/>
              </w:rPr>
              <w:t>aQIV</w:t>
            </w:r>
            <w:proofErr w:type="spellEnd"/>
          </w:p>
        </w:tc>
      </w:tr>
      <w:tr w:rsidR="00D67C0E" w:rsidRPr="008A2917" w:rsidTr="00D67C0E">
        <w:tc>
          <w:tcPr>
            <w:tcW w:w="1722" w:type="pct"/>
            <w:vAlign w:val="center"/>
          </w:tcPr>
          <w:p w:rsidR="00D67C0E" w:rsidRPr="008A2917" w:rsidRDefault="00D67C0E" w:rsidP="00387896">
            <w:pPr>
              <w:pStyle w:val="Tabletext"/>
            </w:pPr>
            <w:r w:rsidRPr="008A2917">
              <w:t>Costs</w:t>
            </w:r>
          </w:p>
        </w:tc>
        <w:tc>
          <w:tcPr>
            <w:tcW w:w="623" w:type="pct"/>
            <w:vAlign w:val="center"/>
          </w:tcPr>
          <w:p w:rsidR="00D67C0E" w:rsidRPr="008A2917" w:rsidRDefault="00D67C0E" w:rsidP="00387896">
            <w:pPr>
              <w:pStyle w:val="Tabletext"/>
              <w:jc w:val="right"/>
            </w:pPr>
            <w:r w:rsidRPr="008A2917">
              <w:t>$</w:t>
            </w:r>
            <w:r w:rsidR="001A215D">
              <w:rPr>
                <w:noProof/>
                <w:color w:val="000000"/>
                <w:highlight w:val="black"/>
              </w:rPr>
              <w:t>'''''''''''''</w:t>
            </w:r>
          </w:p>
        </w:tc>
        <w:tc>
          <w:tcPr>
            <w:tcW w:w="623" w:type="pct"/>
            <w:vAlign w:val="center"/>
          </w:tcPr>
          <w:p w:rsidR="00D67C0E" w:rsidRPr="008A2917" w:rsidRDefault="00D67C0E" w:rsidP="00387896">
            <w:pPr>
              <w:pStyle w:val="Tabletext"/>
              <w:jc w:val="right"/>
            </w:pPr>
            <w:r w:rsidRPr="008A2917">
              <w:t>$</w:t>
            </w:r>
            <w:r w:rsidR="001A215D">
              <w:rPr>
                <w:noProof/>
                <w:color w:val="000000"/>
                <w:highlight w:val="black"/>
              </w:rPr>
              <w:t>'''''''''''''</w:t>
            </w:r>
          </w:p>
        </w:tc>
        <w:tc>
          <w:tcPr>
            <w:tcW w:w="623" w:type="pct"/>
            <w:vAlign w:val="center"/>
          </w:tcPr>
          <w:p w:rsidR="00D67C0E" w:rsidRPr="008A2917" w:rsidRDefault="00D67C0E" w:rsidP="00387896">
            <w:pPr>
              <w:pStyle w:val="Tabletext"/>
              <w:jc w:val="right"/>
            </w:pPr>
            <w:r w:rsidRPr="008A2917">
              <w:t>$</w:t>
            </w:r>
            <w:r w:rsidR="001A215D">
              <w:rPr>
                <w:noProof/>
                <w:color w:val="000000"/>
                <w:highlight w:val="black"/>
              </w:rPr>
              <w:t>''''''''''''</w:t>
            </w:r>
          </w:p>
        </w:tc>
        <w:tc>
          <w:tcPr>
            <w:tcW w:w="718" w:type="pct"/>
            <w:vAlign w:val="center"/>
          </w:tcPr>
          <w:p w:rsidR="00D67C0E" w:rsidRPr="008A2917" w:rsidRDefault="00D67C0E" w:rsidP="00387896">
            <w:pPr>
              <w:pStyle w:val="Tabletext"/>
              <w:jc w:val="right"/>
            </w:pPr>
            <w:r w:rsidRPr="008A2917">
              <w:t>$</w:t>
            </w:r>
            <w:r w:rsidR="001A215D">
              <w:rPr>
                <w:noProof/>
                <w:color w:val="000000"/>
                <w:highlight w:val="black"/>
              </w:rPr>
              <w:t>''''''''''</w:t>
            </w:r>
          </w:p>
        </w:tc>
        <w:tc>
          <w:tcPr>
            <w:tcW w:w="690" w:type="pct"/>
            <w:vAlign w:val="center"/>
          </w:tcPr>
          <w:p w:rsidR="00D67C0E" w:rsidRPr="008A2917" w:rsidRDefault="00D67C0E" w:rsidP="00387896">
            <w:pPr>
              <w:pStyle w:val="Tabletext"/>
              <w:jc w:val="right"/>
            </w:pPr>
            <w:r w:rsidRPr="008A2917">
              <w:t>$</w:t>
            </w:r>
            <w:r w:rsidR="001A215D">
              <w:rPr>
                <w:noProof/>
                <w:color w:val="000000"/>
                <w:highlight w:val="black"/>
              </w:rPr>
              <w:t>''''''''''''</w:t>
            </w:r>
          </w:p>
        </w:tc>
      </w:tr>
      <w:tr w:rsidR="00D67C0E" w:rsidRPr="008A2917" w:rsidTr="00D67C0E">
        <w:tc>
          <w:tcPr>
            <w:tcW w:w="1722" w:type="pct"/>
            <w:vAlign w:val="center"/>
          </w:tcPr>
          <w:p w:rsidR="00D67C0E" w:rsidRPr="008A2917" w:rsidRDefault="00D67C0E" w:rsidP="00387896">
            <w:pPr>
              <w:pStyle w:val="Tabletext"/>
            </w:pPr>
            <w:r w:rsidRPr="008A2917">
              <w:t>QALYs</w:t>
            </w:r>
          </w:p>
        </w:tc>
        <w:tc>
          <w:tcPr>
            <w:tcW w:w="623" w:type="pct"/>
            <w:vAlign w:val="center"/>
          </w:tcPr>
          <w:p w:rsidR="00D67C0E" w:rsidRPr="008A2917" w:rsidRDefault="00D67C0E" w:rsidP="00387896">
            <w:pPr>
              <w:pStyle w:val="Tabletext"/>
              <w:jc w:val="right"/>
            </w:pPr>
            <w:r w:rsidRPr="008A2917">
              <w:t>7.5175</w:t>
            </w:r>
          </w:p>
        </w:tc>
        <w:tc>
          <w:tcPr>
            <w:tcW w:w="623" w:type="pct"/>
            <w:vAlign w:val="center"/>
          </w:tcPr>
          <w:p w:rsidR="00D67C0E" w:rsidRPr="008A2917" w:rsidRDefault="00D67C0E" w:rsidP="00387896">
            <w:pPr>
              <w:pStyle w:val="Tabletext"/>
              <w:jc w:val="right"/>
            </w:pPr>
            <w:r w:rsidRPr="008A2917">
              <w:t>7.5165</w:t>
            </w:r>
          </w:p>
        </w:tc>
        <w:tc>
          <w:tcPr>
            <w:tcW w:w="623" w:type="pct"/>
            <w:vAlign w:val="center"/>
          </w:tcPr>
          <w:p w:rsidR="00D67C0E" w:rsidRPr="008A2917" w:rsidRDefault="00D67C0E" w:rsidP="00387896">
            <w:pPr>
              <w:pStyle w:val="Tabletext"/>
              <w:jc w:val="right"/>
            </w:pPr>
            <w:r w:rsidRPr="008A2917">
              <w:t>7.5167</w:t>
            </w:r>
          </w:p>
        </w:tc>
        <w:tc>
          <w:tcPr>
            <w:tcW w:w="718" w:type="pct"/>
            <w:vAlign w:val="center"/>
          </w:tcPr>
          <w:p w:rsidR="00D67C0E" w:rsidRPr="008A2917" w:rsidRDefault="00D67C0E" w:rsidP="00387896">
            <w:pPr>
              <w:pStyle w:val="Tabletext"/>
              <w:jc w:val="right"/>
            </w:pPr>
            <w:r w:rsidRPr="008A2917">
              <w:t>0.0010</w:t>
            </w:r>
          </w:p>
        </w:tc>
        <w:tc>
          <w:tcPr>
            <w:tcW w:w="690" w:type="pct"/>
            <w:vAlign w:val="center"/>
          </w:tcPr>
          <w:p w:rsidR="00D67C0E" w:rsidRPr="008A2917" w:rsidRDefault="00D67C0E" w:rsidP="00387896">
            <w:pPr>
              <w:pStyle w:val="Tabletext"/>
              <w:jc w:val="right"/>
            </w:pPr>
            <w:r w:rsidRPr="008A2917">
              <w:t>0.0007</w:t>
            </w:r>
          </w:p>
        </w:tc>
      </w:tr>
      <w:tr w:rsidR="00D67C0E" w:rsidRPr="008A2917" w:rsidTr="00D67C0E">
        <w:tc>
          <w:tcPr>
            <w:tcW w:w="3592" w:type="pct"/>
            <w:gridSpan w:val="4"/>
          </w:tcPr>
          <w:p w:rsidR="00D67C0E" w:rsidRPr="008A2917" w:rsidRDefault="00D67C0E" w:rsidP="00387896">
            <w:pPr>
              <w:pStyle w:val="Tabletext"/>
              <w:rPr>
                <w:b/>
              </w:rPr>
            </w:pPr>
            <w:r w:rsidRPr="008A2917">
              <w:rPr>
                <w:b/>
              </w:rPr>
              <w:t>Incremental cost / extra QALY gained</w:t>
            </w:r>
          </w:p>
        </w:tc>
        <w:tc>
          <w:tcPr>
            <w:tcW w:w="718" w:type="pct"/>
          </w:tcPr>
          <w:p w:rsidR="00D67C0E" w:rsidRPr="008A2917" w:rsidRDefault="00D67C0E" w:rsidP="00387896">
            <w:pPr>
              <w:pStyle w:val="Tabletext"/>
              <w:jc w:val="right"/>
              <w:rPr>
                <w:b/>
              </w:rPr>
            </w:pPr>
            <w:r w:rsidRPr="008A2917">
              <w:rPr>
                <w:b/>
              </w:rPr>
              <w:t>$</w:t>
            </w:r>
            <w:r w:rsidR="001A215D">
              <w:rPr>
                <w:b/>
                <w:noProof/>
                <w:color w:val="000000"/>
                <w:highlight w:val="black"/>
              </w:rPr>
              <w:t>''''''''''''</w:t>
            </w:r>
          </w:p>
        </w:tc>
        <w:tc>
          <w:tcPr>
            <w:tcW w:w="690" w:type="pct"/>
          </w:tcPr>
          <w:p w:rsidR="00D67C0E" w:rsidRPr="008A2917" w:rsidRDefault="00D67C0E" w:rsidP="00387896">
            <w:pPr>
              <w:pStyle w:val="Tabletext"/>
              <w:jc w:val="right"/>
              <w:rPr>
                <w:b/>
              </w:rPr>
            </w:pPr>
            <w:r w:rsidRPr="008A2917">
              <w:rPr>
                <w:b/>
              </w:rPr>
              <w:t>$</w:t>
            </w:r>
            <w:r w:rsidR="001A215D">
              <w:rPr>
                <w:b/>
                <w:noProof/>
                <w:color w:val="000000"/>
                <w:highlight w:val="black"/>
              </w:rPr>
              <w:t>''''''''''''</w:t>
            </w:r>
          </w:p>
        </w:tc>
      </w:tr>
    </w:tbl>
    <w:p w:rsidR="00C96A24" w:rsidRPr="008A2917" w:rsidRDefault="004922B5" w:rsidP="00387896">
      <w:pPr>
        <w:pStyle w:val="TableFooter"/>
        <w:widowControl/>
      </w:pPr>
      <w:proofErr w:type="spellStart"/>
      <w:proofErr w:type="gramStart"/>
      <w:r w:rsidRPr="008A2917">
        <w:t>aQIV</w:t>
      </w:r>
      <w:proofErr w:type="spellEnd"/>
      <w:proofErr w:type="gramEnd"/>
      <w:r w:rsidR="00C96A24" w:rsidRPr="008A2917">
        <w:t xml:space="preserve">: </w:t>
      </w:r>
      <w:proofErr w:type="spellStart"/>
      <w:r w:rsidR="00C96A24" w:rsidRPr="008A2917">
        <w:t>adjuvanted</w:t>
      </w:r>
      <w:proofErr w:type="spellEnd"/>
      <w:r w:rsidR="00C96A24" w:rsidRPr="008A2917">
        <w:t xml:space="preserve"> </w:t>
      </w:r>
      <w:proofErr w:type="spellStart"/>
      <w:r w:rsidR="00C96A24" w:rsidRPr="008A2917">
        <w:t>quadrivalent</w:t>
      </w:r>
      <w:proofErr w:type="spellEnd"/>
      <w:r w:rsidR="00C96A24" w:rsidRPr="008A2917">
        <w:t xml:space="preserve"> Influenza Vaccine standard dose; </w:t>
      </w:r>
      <w:proofErr w:type="spellStart"/>
      <w:r w:rsidRPr="008A2917">
        <w:t>aTIV</w:t>
      </w:r>
      <w:proofErr w:type="spellEnd"/>
      <w:r w:rsidR="00C96A24" w:rsidRPr="008A2917">
        <w:t xml:space="preserve">: </w:t>
      </w:r>
      <w:proofErr w:type="spellStart"/>
      <w:r w:rsidR="00C96A24" w:rsidRPr="008A2917">
        <w:t>adjuvanted</w:t>
      </w:r>
      <w:proofErr w:type="spellEnd"/>
      <w:r w:rsidR="00C96A24" w:rsidRPr="008A2917">
        <w:t xml:space="preserve"> trivalent Influenza Vaccine standard dose; QALYs: Quality-Adjusted Life Years; TIV-HD: Trivalent Influenza Vaccine – High Dose.</w:t>
      </w:r>
    </w:p>
    <w:p w:rsidR="00C96A24" w:rsidRPr="008A2917" w:rsidRDefault="00C96A24" w:rsidP="00387896">
      <w:pPr>
        <w:pStyle w:val="TableFooter"/>
        <w:widowControl/>
      </w:pPr>
      <w:r w:rsidRPr="008A2917">
        <w:t>All values are per Australian aged ≥ 65 years.</w:t>
      </w:r>
    </w:p>
    <w:p w:rsidR="00C96A24" w:rsidRPr="008A2917" w:rsidRDefault="00C96A24" w:rsidP="00387896">
      <w:pPr>
        <w:pStyle w:val="TableFooter"/>
        <w:widowControl/>
      </w:pPr>
      <w:r w:rsidRPr="008A2917">
        <w:lastRenderedPageBreak/>
        <w:t>Source: Adapted from Table 3.5, p75 of the resubmission.</w:t>
      </w:r>
    </w:p>
    <w:p w:rsidR="00E1126D" w:rsidRPr="008A2917" w:rsidRDefault="00E1126D" w:rsidP="00387896">
      <w:pPr>
        <w:widowControl/>
        <w:rPr>
          <w:iCs/>
          <w:u w:val="single"/>
        </w:rPr>
      </w:pPr>
    </w:p>
    <w:p w:rsidR="00A66F38" w:rsidRPr="008A2917" w:rsidRDefault="003A53DF" w:rsidP="00387896">
      <w:pPr>
        <w:pStyle w:val="ListParagraph"/>
        <w:widowControl/>
        <w:numPr>
          <w:ilvl w:val="1"/>
          <w:numId w:val="1"/>
        </w:numPr>
        <w:rPr>
          <w:rFonts w:asciiTheme="minorHAnsi" w:hAnsiTheme="minorHAnsi" w:cstheme="minorHAnsi"/>
          <w:iCs/>
        </w:rPr>
      </w:pPr>
      <w:r w:rsidRPr="008A2917">
        <w:rPr>
          <w:rFonts w:asciiTheme="minorHAnsi" w:hAnsiTheme="minorHAnsi" w:cstheme="minorHAnsi"/>
          <w:iCs/>
        </w:rPr>
        <w:t>The</w:t>
      </w:r>
      <w:r w:rsidR="00B77255" w:rsidRPr="008A2917">
        <w:rPr>
          <w:rFonts w:asciiTheme="minorHAnsi" w:hAnsiTheme="minorHAnsi" w:cstheme="minorHAnsi"/>
          <w:iCs/>
        </w:rPr>
        <w:t xml:space="preserve"> evaluation considered there </w:t>
      </w:r>
      <w:r w:rsidR="00D67C0E" w:rsidRPr="008A2917">
        <w:rPr>
          <w:rFonts w:asciiTheme="minorHAnsi" w:hAnsiTheme="minorHAnsi" w:cstheme="minorHAnsi"/>
          <w:iCs/>
        </w:rPr>
        <w:t>was</w:t>
      </w:r>
      <w:r w:rsidRPr="008A2917">
        <w:rPr>
          <w:rFonts w:asciiTheme="minorHAnsi" w:hAnsiTheme="minorHAnsi" w:cstheme="minorHAnsi"/>
          <w:iCs/>
        </w:rPr>
        <w:t xml:space="preserve"> substantial additional uncertainty </w:t>
      </w:r>
      <w:r w:rsidR="00E1126D" w:rsidRPr="008A2917">
        <w:rPr>
          <w:rFonts w:asciiTheme="minorHAnsi" w:hAnsiTheme="minorHAnsi" w:cstheme="minorHAnsi"/>
          <w:iCs/>
        </w:rPr>
        <w:t>relating to the comparative cost-effectiveness</w:t>
      </w:r>
      <w:r w:rsidR="00A309D2" w:rsidRPr="008A2917">
        <w:rPr>
          <w:rFonts w:asciiTheme="minorHAnsi" w:hAnsiTheme="minorHAnsi" w:cstheme="minorHAnsi"/>
          <w:iCs/>
        </w:rPr>
        <w:t xml:space="preserve"> </w:t>
      </w:r>
      <w:r w:rsidR="00FA6A06" w:rsidRPr="008A2917">
        <w:rPr>
          <w:rFonts w:asciiTheme="minorHAnsi" w:hAnsiTheme="minorHAnsi" w:cstheme="minorHAnsi"/>
          <w:iCs/>
        </w:rPr>
        <w:t>of TIV-HD</w:t>
      </w:r>
      <w:r w:rsidR="00E1126D" w:rsidRPr="008A2917">
        <w:rPr>
          <w:rFonts w:asciiTheme="minorHAnsi" w:hAnsiTheme="minorHAnsi" w:cstheme="minorHAnsi"/>
          <w:iCs/>
        </w:rPr>
        <w:t xml:space="preserve"> with </w:t>
      </w:r>
      <w:proofErr w:type="spellStart"/>
      <w:r w:rsidR="00E1126D" w:rsidRPr="008A2917">
        <w:rPr>
          <w:rFonts w:asciiTheme="minorHAnsi" w:hAnsiTheme="minorHAnsi" w:cstheme="minorHAnsi"/>
          <w:iCs/>
        </w:rPr>
        <w:t>adjuvanted</w:t>
      </w:r>
      <w:proofErr w:type="spellEnd"/>
      <w:r w:rsidR="00E1126D" w:rsidRPr="008A2917">
        <w:rPr>
          <w:rFonts w:asciiTheme="minorHAnsi" w:hAnsiTheme="minorHAnsi" w:cstheme="minorHAnsi"/>
          <w:iCs/>
        </w:rPr>
        <w:t xml:space="preserve"> vaccines </w:t>
      </w:r>
      <w:r w:rsidR="00A540DC" w:rsidRPr="008A2917">
        <w:rPr>
          <w:rFonts w:asciiTheme="minorHAnsi" w:hAnsiTheme="minorHAnsi" w:cstheme="minorHAnsi"/>
          <w:iCs/>
        </w:rPr>
        <w:t xml:space="preserve">given the uncertain </w:t>
      </w:r>
      <w:proofErr w:type="spellStart"/>
      <w:r w:rsidR="00A540DC" w:rsidRPr="008A2917">
        <w:rPr>
          <w:rFonts w:asciiTheme="minorHAnsi" w:hAnsiTheme="minorHAnsi" w:cstheme="minorHAnsi"/>
          <w:iCs/>
        </w:rPr>
        <w:t>rVE</w:t>
      </w:r>
      <w:proofErr w:type="spellEnd"/>
      <w:r w:rsidR="00A540DC" w:rsidRPr="008A2917">
        <w:rPr>
          <w:rFonts w:asciiTheme="minorHAnsi" w:hAnsiTheme="minorHAnsi" w:cstheme="minorHAnsi"/>
          <w:iCs/>
        </w:rPr>
        <w:t xml:space="preserve"> as</w:t>
      </w:r>
      <w:r w:rsidR="002227CB" w:rsidRPr="008A2917">
        <w:rPr>
          <w:rFonts w:asciiTheme="minorHAnsi" w:hAnsiTheme="minorHAnsi" w:cstheme="minorHAnsi"/>
          <w:iCs/>
        </w:rPr>
        <w:t xml:space="preserve"> outlined in paragraph</w:t>
      </w:r>
      <w:r w:rsidR="00A540DC" w:rsidRPr="008A2917">
        <w:rPr>
          <w:rFonts w:asciiTheme="minorHAnsi" w:hAnsiTheme="minorHAnsi" w:cstheme="minorHAnsi"/>
          <w:iCs/>
        </w:rPr>
        <w:t>s</w:t>
      </w:r>
      <w:r w:rsidR="002227CB" w:rsidRPr="008A2917">
        <w:rPr>
          <w:rFonts w:asciiTheme="minorHAnsi" w:hAnsiTheme="minorHAnsi" w:cstheme="minorHAnsi"/>
          <w:iCs/>
        </w:rPr>
        <w:t xml:space="preserve"> </w:t>
      </w:r>
      <w:r w:rsidR="00A540DC" w:rsidRPr="008A2917">
        <w:rPr>
          <w:rFonts w:asciiTheme="minorHAnsi" w:hAnsiTheme="minorHAnsi" w:cstheme="minorHAnsi"/>
          <w:iCs/>
        </w:rPr>
        <w:t>6.2</w:t>
      </w:r>
      <w:r w:rsidR="00951E80" w:rsidRPr="008A2917">
        <w:rPr>
          <w:rFonts w:asciiTheme="minorHAnsi" w:hAnsiTheme="minorHAnsi" w:cstheme="minorHAnsi"/>
          <w:iCs/>
        </w:rPr>
        <w:t>5</w:t>
      </w:r>
      <w:r w:rsidR="00A540DC" w:rsidRPr="008A2917">
        <w:rPr>
          <w:rFonts w:asciiTheme="minorHAnsi" w:hAnsiTheme="minorHAnsi" w:cstheme="minorHAnsi"/>
          <w:iCs/>
        </w:rPr>
        <w:t xml:space="preserve"> and 6.</w:t>
      </w:r>
      <w:r w:rsidR="00951E80" w:rsidRPr="008A2917">
        <w:rPr>
          <w:rFonts w:asciiTheme="minorHAnsi" w:hAnsiTheme="minorHAnsi" w:cstheme="minorHAnsi"/>
          <w:iCs/>
        </w:rPr>
        <w:t>49</w:t>
      </w:r>
      <w:r w:rsidR="00A540DC" w:rsidRPr="008A2917">
        <w:rPr>
          <w:rFonts w:asciiTheme="minorHAnsi" w:hAnsiTheme="minorHAnsi" w:cstheme="minorHAnsi"/>
          <w:iCs/>
        </w:rPr>
        <w:t>-6.</w:t>
      </w:r>
      <w:r w:rsidR="008F74F9" w:rsidRPr="008A2917">
        <w:rPr>
          <w:rFonts w:asciiTheme="minorHAnsi" w:hAnsiTheme="minorHAnsi" w:cstheme="minorHAnsi"/>
          <w:iCs/>
        </w:rPr>
        <w:t>5</w:t>
      </w:r>
      <w:r w:rsidR="00951E80" w:rsidRPr="008A2917">
        <w:rPr>
          <w:rFonts w:asciiTheme="minorHAnsi" w:hAnsiTheme="minorHAnsi" w:cstheme="minorHAnsi"/>
          <w:iCs/>
        </w:rPr>
        <w:t>1</w:t>
      </w:r>
      <w:r w:rsidR="00A540DC" w:rsidRPr="008A2917">
        <w:rPr>
          <w:rFonts w:asciiTheme="minorHAnsi" w:hAnsiTheme="minorHAnsi" w:cstheme="minorHAnsi"/>
          <w:iCs/>
        </w:rPr>
        <w:t xml:space="preserve">, and for the comparison with </w:t>
      </w:r>
      <w:proofErr w:type="spellStart"/>
      <w:r w:rsidR="00A540DC" w:rsidRPr="008A2917">
        <w:rPr>
          <w:rFonts w:asciiTheme="minorHAnsi" w:hAnsiTheme="minorHAnsi" w:cstheme="minorHAnsi"/>
          <w:iCs/>
        </w:rPr>
        <w:t>aQIV</w:t>
      </w:r>
      <w:proofErr w:type="spellEnd"/>
      <w:r w:rsidR="00A540DC" w:rsidRPr="008A2917">
        <w:rPr>
          <w:rFonts w:asciiTheme="minorHAnsi" w:hAnsiTheme="minorHAnsi" w:cstheme="minorHAnsi"/>
          <w:iCs/>
        </w:rPr>
        <w:t xml:space="preserve"> the additional assumption that the </w:t>
      </w:r>
      <w:r w:rsidR="00CE2228" w:rsidRPr="008A2917">
        <w:rPr>
          <w:rFonts w:asciiTheme="minorHAnsi" w:hAnsiTheme="minorHAnsi" w:cstheme="minorHAnsi"/>
          <w:iCs/>
        </w:rPr>
        <w:t>VE</w:t>
      </w:r>
      <w:r w:rsidR="00A540DC" w:rsidRPr="008A2917">
        <w:rPr>
          <w:rFonts w:asciiTheme="minorHAnsi" w:hAnsiTheme="minorHAnsi" w:cstheme="minorHAnsi"/>
          <w:iCs/>
        </w:rPr>
        <w:t xml:space="preserve"> for the unmatched B strain is equal to that for the matched B strain.</w:t>
      </w:r>
    </w:p>
    <w:p w:rsidR="00CE2228" w:rsidRPr="008A2917" w:rsidRDefault="00CE2228" w:rsidP="00387896">
      <w:pPr>
        <w:pStyle w:val="ListParagraph"/>
        <w:widowControl/>
        <w:numPr>
          <w:ilvl w:val="1"/>
          <w:numId w:val="1"/>
        </w:numPr>
        <w:rPr>
          <w:iCs/>
        </w:rPr>
      </w:pPr>
      <w:r w:rsidRPr="008A2917">
        <w:rPr>
          <w:iCs/>
        </w:rPr>
        <w:t xml:space="preserve">With use of the </w:t>
      </w:r>
      <w:proofErr w:type="spellStart"/>
      <w:r w:rsidRPr="008A2917">
        <w:rPr>
          <w:iCs/>
        </w:rPr>
        <w:t>rVE</w:t>
      </w:r>
      <w:proofErr w:type="spellEnd"/>
      <w:r w:rsidRPr="008A2917">
        <w:rPr>
          <w:iCs/>
        </w:rPr>
        <w:t xml:space="preserve"> for </w:t>
      </w:r>
      <w:proofErr w:type="spellStart"/>
      <w:r w:rsidRPr="008A2917">
        <w:rPr>
          <w:iCs/>
        </w:rPr>
        <w:t>aTIV</w:t>
      </w:r>
      <w:proofErr w:type="spellEnd"/>
      <w:r w:rsidRPr="008A2917">
        <w:rPr>
          <w:iCs/>
        </w:rPr>
        <w:t xml:space="preserve"> vs TIV-SD of 3.6% directly from </w:t>
      </w:r>
      <w:proofErr w:type="spellStart"/>
      <w:r w:rsidR="00240F35" w:rsidRPr="008A2917">
        <w:rPr>
          <w:iCs/>
        </w:rPr>
        <w:t>Izurieta</w:t>
      </w:r>
      <w:proofErr w:type="spellEnd"/>
      <w:r w:rsidR="00240F35" w:rsidRPr="008A2917">
        <w:rPr>
          <w:iCs/>
        </w:rPr>
        <w:t xml:space="preserve"> </w:t>
      </w:r>
      <w:r w:rsidRPr="008A2917">
        <w:rPr>
          <w:iCs/>
        </w:rPr>
        <w:t xml:space="preserve">the vaccine effectiveness of </w:t>
      </w:r>
      <w:proofErr w:type="spellStart"/>
      <w:r w:rsidRPr="008A2917">
        <w:rPr>
          <w:iCs/>
        </w:rPr>
        <w:t>aTIV</w:t>
      </w:r>
      <w:proofErr w:type="spellEnd"/>
      <w:r w:rsidRPr="008A2917">
        <w:rPr>
          <w:iCs/>
        </w:rPr>
        <w:t xml:space="preserve"> and </w:t>
      </w:r>
      <w:proofErr w:type="spellStart"/>
      <w:r w:rsidRPr="008A2917">
        <w:rPr>
          <w:iCs/>
        </w:rPr>
        <w:t>aQIV</w:t>
      </w:r>
      <w:proofErr w:type="spellEnd"/>
      <w:r w:rsidRPr="008A2917">
        <w:rPr>
          <w:iCs/>
        </w:rPr>
        <w:t xml:space="preserve"> is reduced (</w:t>
      </w:r>
      <w:proofErr w:type="spellStart"/>
      <w:r w:rsidRPr="008A2917">
        <w:rPr>
          <w:iCs/>
        </w:rPr>
        <w:t>aTIV</w:t>
      </w:r>
      <w:proofErr w:type="spellEnd"/>
      <w:r w:rsidRPr="008A2917">
        <w:rPr>
          <w:iCs/>
        </w:rPr>
        <w:t xml:space="preserve"> from 62.53% to 59.86%; </w:t>
      </w:r>
      <w:proofErr w:type="spellStart"/>
      <w:r w:rsidRPr="008A2917">
        <w:rPr>
          <w:iCs/>
        </w:rPr>
        <w:t>aQIV</w:t>
      </w:r>
      <w:proofErr w:type="spellEnd"/>
      <w:r w:rsidRPr="008A2917">
        <w:rPr>
          <w:iCs/>
        </w:rPr>
        <w:t xml:space="preserve"> from 63.87% to 61.29%) which had the following impact on the estimated ICERs: </w:t>
      </w:r>
    </w:p>
    <w:p w:rsidR="00CE2228" w:rsidRPr="008A2917" w:rsidRDefault="00CE2228" w:rsidP="00387896">
      <w:pPr>
        <w:pStyle w:val="Intextbulletpoints"/>
        <w:widowControl/>
        <w:rPr>
          <w:lang w:val="en-AU"/>
        </w:rPr>
      </w:pPr>
      <w:proofErr w:type="gramStart"/>
      <w:r w:rsidRPr="008A2917">
        <w:rPr>
          <w:lang w:val="en-AU"/>
        </w:rPr>
        <w:t>from</w:t>
      </w:r>
      <w:proofErr w:type="gramEnd"/>
      <w:r w:rsidRPr="008A2917">
        <w:rPr>
          <w:lang w:val="en-AU"/>
        </w:rPr>
        <w:t xml:space="preserve"> </w:t>
      </w:r>
      <w:r w:rsidR="00E1753B">
        <w:rPr>
          <w:lang w:val="en-AU"/>
        </w:rPr>
        <w:t xml:space="preserve">less than </w:t>
      </w:r>
      <w:r w:rsidRPr="008A2917">
        <w:rPr>
          <w:lang w:val="en-AU"/>
        </w:rPr>
        <w:t>$</w:t>
      </w:r>
      <w:r w:rsidR="00E1753B">
        <w:rPr>
          <w:lang w:val="en-AU"/>
        </w:rPr>
        <w:t>15,000</w:t>
      </w:r>
      <w:r w:rsidRPr="008A2917">
        <w:rPr>
          <w:lang w:val="en-AU"/>
        </w:rPr>
        <w:t xml:space="preserve"> per QALY for TIV-HD vs </w:t>
      </w:r>
      <w:proofErr w:type="spellStart"/>
      <w:r w:rsidRPr="008A2917">
        <w:rPr>
          <w:lang w:val="en-AU"/>
        </w:rPr>
        <w:t>aTIV</w:t>
      </w:r>
      <w:proofErr w:type="spellEnd"/>
      <w:r w:rsidRPr="008A2917">
        <w:rPr>
          <w:lang w:val="en-AU"/>
        </w:rPr>
        <w:t xml:space="preserve"> to TIV-HD dominates </w:t>
      </w:r>
      <w:proofErr w:type="spellStart"/>
      <w:r w:rsidRPr="008A2917">
        <w:rPr>
          <w:lang w:val="en-AU"/>
        </w:rPr>
        <w:t>aTIV</w:t>
      </w:r>
      <w:proofErr w:type="spellEnd"/>
      <w:r w:rsidR="008A2917">
        <w:rPr>
          <w:lang w:val="en-AU"/>
        </w:rPr>
        <w:t xml:space="preserve">. </w:t>
      </w:r>
    </w:p>
    <w:p w:rsidR="00CE2228" w:rsidRPr="008A2917" w:rsidRDefault="00CE2228" w:rsidP="00387896">
      <w:pPr>
        <w:pStyle w:val="Intextbulletpoints"/>
        <w:widowControl/>
        <w:rPr>
          <w:lang w:val="en-AU"/>
        </w:rPr>
      </w:pPr>
      <w:proofErr w:type="gramStart"/>
      <w:r w:rsidRPr="008A2917">
        <w:rPr>
          <w:lang w:val="en-AU"/>
        </w:rPr>
        <w:t>from</w:t>
      </w:r>
      <w:proofErr w:type="gramEnd"/>
      <w:r w:rsidRPr="008A2917">
        <w:rPr>
          <w:lang w:val="en-AU"/>
        </w:rPr>
        <w:t xml:space="preserve"> </w:t>
      </w:r>
      <w:r w:rsidR="00E1753B">
        <w:rPr>
          <w:lang w:val="en-AU"/>
        </w:rPr>
        <w:t xml:space="preserve">less than </w:t>
      </w:r>
      <w:r w:rsidRPr="008A2917">
        <w:rPr>
          <w:lang w:val="en-AU"/>
        </w:rPr>
        <w:t>$</w:t>
      </w:r>
      <w:r w:rsidR="00E1753B">
        <w:rPr>
          <w:lang w:val="en-AU"/>
        </w:rPr>
        <w:t>15,000 - $45,000</w:t>
      </w:r>
      <w:r w:rsidRPr="008A2917">
        <w:rPr>
          <w:lang w:val="en-AU"/>
        </w:rPr>
        <w:t xml:space="preserve"> to </w:t>
      </w:r>
      <w:r w:rsidR="00E1753B">
        <w:rPr>
          <w:lang w:val="en-AU"/>
        </w:rPr>
        <w:t xml:space="preserve">less than </w:t>
      </w:r>
      <w:r w:rsidRPr="008A2917">
        <w:rPr>
          <w:lang w:val="en-AU"/>
        </w:rPr>
        <w:t>$</w:t>
      </w:r>
      <w:r w:rsidR="00E1753B">
        <w:rPr>
          <w:lang w:val="en-AU"/>
        </w:rPr>
        <w:t>15,000</w:t>
      </w:r>
      <w:r w:rsidRPr="008A2917">
        <w:rPr>
          <w:lang w:val="en-AU"/>
        </w:rPr>
        <w:t xml:space="preserve"> per QALY for TIV-HD vs </w:t>
      </w:r>
      <w:proofErr w:type="spellStart"/>
      <w:r w:rsidRPr="008A2917">
        <w:rPr>
          <w:lang w:val="en-AU"/>
        </w:rPr>
        <w:t>aQIV</w:t>
      </w:r>
      <w:proofErr w:type="spellEnd"/>
      <w:r w:rsidRPr="008A2917">
        <w:rPr>
          <w:lang w:val="en-AU"/>
        </w:rPr>
        <w:t>.</w:t>
      </w:r>
    </w:p>
    <w:p w:rsidR="00CE2228" w:rsidRPr="008A2917" w:rsidRDefault="00CE2228" w:rsidP="00387896">
      <w:pPr>
        <w:pStyle w:val="ListParagraph"/>
        <w:widowControl/>
        <w:numPr>
          <w:ilvl w:val="1"/>
          <w:numId w:val="1"/>
        </w:numPr>
        <w:rPr>
          <w:iCs/>
        </w:rPr>
      </w:pPr>
      <w:r w:rsidRPr="008A2917">
        <w:rPr>
          <w:iCs/>
        </w:rPr>
        <w:t xml:space="preserve">With use the </w:t>
      </w:r>
      <w:proofErr w:type="spellStart"/>
      <w:r w:rsidRPr="008A2917">
        <w:rPr>
          <w:iCs/>
        </w:rPr>
        <w:t>rVE</w:t>
      </w:r>
      <w:proofErr w:type="spellEnd"/>
      <w:r w:rsidRPr="008A2917">
        <w:rPr>
          <w:iCs/>
        </w:rPr>
        <w:t xml:space="preserve"> for </w:t>
      </w:r>
      <w:proofErr w:type="spellStart"/>
      <w:r w:rsidRPr="008A2917">
        <w:rPr>
          <w:iCs/>
        </w:rPr>
        <w:t>aTIV</w:t>
      </w:r>
      <w:proofErr w:type="spellEnd"/>
      <w:r w:rsidRPr="008A2917">
        <w:rPr>
          <w:iCs/>
        </w:rPr>
        <w:t xml:space="preserve"> vs TIV-SD of 25% from </w:t>
      </w:r>
      <w:proofErr w:type="spellStart"/>
      <w:r w:rsidRPr="008A2917">
        <w:rPr>
          <w:iCs/>
        </w:rPr>
        <w:t>Mannino</w:t>
      </w:r>
      <w:proofErr w:type="spellEnd"/>
      <w:r w:rsidRPr="008A2917">
        <w:rPr>
          <w:iCs/>
        </w:rPr>
        <w:t xml:space="preserve"> the vaccine effectiveness of </w:t>
      </w:r>
      <w:proofErr w:type="spellStart"/>
      <w:r w:rsidRPr="008A2917">
        <w:rPr>
          <w:iCs/>
        </w:rPr>
        <w:t>aTIV</w:t>
      </w:r>
      <w:proofErr w:type="spellEnd"/>
      <w:r w:rsidRPr="008A2917">
        <w:rPr>
          <w:iCs/>
        </w:rPr>
        <w:t xml:space="preserve"> (68.6%) and </w:t>
      </w:r>
      <w:proofErr w:type="spellStart"/>
      <w:r w:rsidRPr="008A2917">
        <w:rPr>
          <w:iCs/>
        </w:rPr>
        <w:t>aQIV</w:t>
      </w:r>
      <w:proofErr w:type="spellEnd"/>
      <w:r w:rsidRPr="008A2917">
        <w:rPr>
          <w:iCs/>
        </w:rPr>
        <w:t xml:space="preserve"> (69.9%) is greater than that for TIV-HD (68.4%) and hence TIV-HD is dominated by </w:t>
      </w:r>
      <w:proofErr w:type="spellStart"/>
      <w:r w:rsidRPr="008A2917">
        <w:rPr>
          <w:iCs/>
        </w:rPr>
        <w:t>aTIV</w:t>
      </w:r>
      <w:proofErr w:type="spellEnd"/>
      <w:r w:rsidRPr="008A2917">
        <w:rPr>
          <w:iCs/>
        </w:rPr>
        <w:t xml:space="preserve"> and </w:t>
      </w:r>
      <w:proofErr w:type="spellStart"/>
      <w:r w:rsidRPr="008A2917">
        <w:rPr>
          <w:iCs/>
        </w:rPr>
        <w:t>aQIV</w:t>
      </w:r>
      <w:proofErr w:type="spellEnd"/>
      <w:r w:rsidRPr="008A2917">
        <w:rPr>
          <w:iCs/>
        </w:rPr>
        <w:t xml:space="preserve">. </w:t>
      </w:r>
    </w:p>
    <w:p w:rsidR="00CE2228" w:rsidRPr="008A2917" w:rsidRDefault="00CE2228" w:rsidP="00387896">
      <w:pPr>
        <w:pStyle w:val="ListParagraph"/>
        <w:widowControl/>
        <w:numPr>
          <w:ilvl w:val="1"/>
          <w:numId w:val="1"/>
        </w:numPr>
        <w:rPr>
          <w:rFonts w:asciiTheme="minorHAnsi" w:hAnsiTheme="minorHAnsi" w:cstheme="minorHAnsi"/>
          <w:iCs/>
        </w:rPr>
      </w:pPr>
      <w:r w:rsidRPr="008A2917">
        <w:rPr>
          <w:iCs/>
        </w:rPr>
        <w:t xml:space="preserve">The ESC noted the uncertain estimates for </w:t>
      </w:r>
      <w:proofErr w:type="spellStart"/>
      <w:r w:rsidR="00EE48DC" w:rsidRPr="008A2917">
        <w:rPr>
          <w:iCs/>
        </w:rPr>
        <w:t>r</w:t>
      </w:r>
      <w:r w:rsidRPr="008A2917">
        <w:rPr>
          <w:iCs/>
        </w:rPr>
        <w:t>VE</w:t>
      </w:r>
      <w:proofErr w:type="spellEnd"/>
      <w:r w:rsidRPr="008A2917">
        <w:rPr>
          <w:iCs/>
        </w:rPr>
        <w:t xml:space="preserve"> (10% for </w:t>
      </w:r>
      <w:proofErr w:type="spellStart"/>
      <w:r w:rsidRPr="008A2917">
        <w:rPr>
          <w:iCs/>
        </w:rPr>
        <w:t>aTIV</w:t>
      </w:r>
      <w:proofErr w:type="spellEnd"/>
      <w:r w:rsidRPr="008A2917">
        <w:rPr>
          <w:iCs/>
        </w:rPr>
        <w:t xml:space="preserve"> vs TIV-SD in the base case model using FIM12 and </w:t>
      </w:r>
      <w:proofErr w:type="spellStart"/>
      <w:r w:rsidR="00240F35" w:rsidRPr="008A2917">
        <w:rPr>
          <w:iCs/>
        </w:rPr>
        <w:t>Izurieta</w:t>
      </w:r>
      <w:proofErr w:type="spellEnd"/>
      <w:r w:rsidRPr="008A2917">
        <w:rPr>
          <w:iCs/>
        </w:rPr>
        <w:t xml:space="preserve">, 3.6% from </w:t>
      </w:r>
      <w:proofErr w:type="spellStart"/>
      <w:r w:rsidR="00240F35" w:rsidRPr="008A2917">
        <w:rPr>
          <w:iCs/>
        </w:rPr>
        <w:t>Izurieta</w:t>
      </w:r>
      <w:proofErr w:type="spellEnd"/>
      <w:r w:rsidR="006977BA" w:rsidRPr="008A2917">
        <w:rPr>
          <w:iCs/>
        </w:rPr>
        <w:t xml:space="preserve"> </w:t>
      </w:r>
      <w:r w:rsidRPr="008A2917">
        <w:rPr>
          <w:iCs/>
        </w:rPr>
        <w:t xml:space="preserve">and 25% from </w:t>
      </w:r>
      <w:proofErr w:type="spellStart"/>
      <w:r w:rsidRPr="008A2917">
        <w:rPr>
          <w:iCs/>
        </w:rPr>
        <w:t>Mannino</w:t>
      </w:r>
      <w:proofErr w:type="spellEnd"/>
      <w:r w:rsidR="00D67C0E" w:rsidRPr="008A2917">
        <w:rPr>
          <w:iCs/>
        </w:rPr>
        <w:t>)</w:t>
      </w:r>
      <w:r w:rsidR="006977BA" w:rsidRPr="008A2917">
        <w:rPr>
          <w:iCs/>
        </w:rPr>
        <w:t xml:space="preserve"> </w:t>
      </w:r>
      <w:r w:rsidRPr="008A2917">
        <w:rPr>
          <w:iCs/>
        </w:rPr>
        <w:t>which impacted on the conclusion of the cost-effectiveness analyses.</w:t>
      </w:r>
    </w:p>
    <w:p w:rsidR="00CE2228" w:rsidRPr="008A2917" w:rsidRDefault="00CE2228" w:rsidP="00387896">
      <w:pPr>
        <w:pStyle w:val="ListParagraph"/>
        <w:widowControl/>
        <w:numPr>
          <w:ilvl w:val="1"/>
          <w:numId w:val="1"/>
        </w:numPr>
        <w:rPr>
          <w:iCs/>
        </w:rPr>
      </w:pPr>
      <w:r w:rsidRPr="008A2917">
        <w:rPr>
          <w:iCs/>
        </w:rPr>
        <w:t xml:space="preserve">With use of the lower 95% CI for the estimated VE in adults (0.19) against mismatched B strains, the ICER for TIV-HD vs </w:t>
      </w:r>
      <w:proofErr w:type="spellStart"/>
      <w:r w:rsidRPr="008A2917">
        <w:rPr>
          <w:iCs/>
        </w:rPr>
        <w:t>aQIV</w:t>
      </w:r>
      <w:proofErr w:type="spellEnd"/>
      <w:r w:rsidRPr="008A2917">
        <w:rPr>
          <w:iCs/>
        </w:rPr>
        <w:t xml:space="preserve"> increased from </w:t>
      </w:r>
      <w:r w:rsidR="006E5E1E">
        <w:rPr>
          <w:iCs/>
        </w:rPr>
        <w:t xml:space="preserve">less than </w:t>
      </w:r>
      <w:r w:rsidRPr="008A2917">
        <w:rPr>
          <w:iCs/>
        </w:rPr>
        <w:t>$</w:t>
      </w:r>
      <w:r w:rsidR="006E5E1E">
        <w:rPr>
          <w:iCs/>
        </w:rPr>
        <w:t>15,000</w:t>
      </w:r>
      <w:r w:rsidRPr="008A2917">
        <w:rPr>
          <w:iCs/>
        </w:rPr>
        <w:t xml:space="preserve"> to </w:t>
      </w:r>
      <w:r w:rsidR="006E5E1E">
        <w:rPr>
          <w:iCs/>
        </w:rPr>
        <w:t xml:space="preserve">less than </w:t>
      </w:r>
      <w:r w:rsidRPr="008A2917">
        <w:rPr>
          <w:iCs/>
        </w:rPr>
        <w:t>$</w:t>
      </w:r>
      <w:r w:rsidR="006E5E1E">
        <w:rPr>
          <w:iCs/>
        </w:rPr>
        <w:t>15,000</w:t>
      </w:r>
      <w:r w:rsidRPr="008A2917">
        <w:rPr>
          <w:iCs/>
        </w:rPr>
        <w:t xml:space="preserve"> per QALY.</w:t>
      </w:r>
    </w:p>
    <w:p w:rsidR="00215CC2" w:rsidRPr="008A2917" w:rsidRDefault="00215CC2" w:rsidP="00387896">
      <w:pPr>
        <w:pStyle w:val="ListParagraph"/>
        <w:widowControl/>
        <w:numPr>
          <w:ilvl w:val="1"/>
          <w:numId w:val="1"/>
        </w:numPr>
        <w:rPr>
          <w:rFonts w:asciiTheme="minorHAnsi" w:hAnsiTheme="minorHAnsi" w:cstheme="minorHAnsi"/>
          <w:iCs/>
        </w:rPr>
      </w:pPr>
      <w:r w:rsidRPr="008A2917">
        <w:rPr>
          <w:iCs/>
        </w:rPr>
        <w:t xml:space="preserve">The ICER was sensitive to influenza incidence. For example, the base case ICER for TIV-HD vs </w:t>
      </w:r>
      <w:proofErr w:type="spellStart"/>
      <w:r w:rsidR="00EE48DC" w:rsidRPr="008A2917">
        <w:rPr>
          <w:iCs/>
        </w:rPr>
        <w:t>a</w:t>
      </w:r>
      <w:r w:rsidRPr="008A2917">
        <w:rPr>
          <w:iCs/>
        </w:rPr>
        <w:t>QIV</w:t>
      </w:r>
      <w:proofErr w:type="spellEnd"/>
      <w:r w:rsidRPr="008A2917">
        <w:rPr>
          <w:iCs/>
        </w:rPr>
        <w:t xml:space="preserve"> of</w:t>
      </w:r>
      <w:r w:rsidR="006E5E1E">
        <w:rPr>
          <w:iCs/>
        </w:rPr>
        <w:t xml:space="preserve"> less than</w:t>
      </w:r>
      <w:r w:rsidRPr="008A2917">
        <w:rPr>
          <w:iCs/>
        </w:rPr>
        <w:t xml:space="preserve"> $</w:t>
      </w:r>
      <w:r w:rsidR="006E5E1E">
        <w:rPr>
          <w:iCs/>
        </w:rPr>
        <w:t>15,000</w:t>
      </w:r>
      <w:r w:rsidRPr="008A2917">
        <w:rPr>
          <w:iCs/>
        </w:rPr>
        <w:t xml:space="preserve"> per QALY, assumed a rate of influenza of 1.88%, taken from FIM12. The ICER increased to $</w:t>
      </w:r>
      <w:r w:rsidR="006E5E1E">
        <w:rPr>
          <w:iCs/>
        </w:rPr>
        <w:t>15,000 - $45,000</w:t>
      </w:r>
      <w:r w:rsidRPr="008A2917">
        <w:rPr>
          <w:iCs/>
        </w:rPr>
        <w:t xml:space="preserve"> per QALY assuming a plausible lower rate of influenza of 0.58% (year 1 of FIM12), and decreased to </w:t>
      </w:r>
      <w:r w:rsidR="00E1753B">
        <w:rPr>
          <w:iCs/>
        </w:rPr>
        <w:t xml:space="preserve">less than </w:t>
      </w:r>
      <w:r w:rsidRPr="008A2917">
        <w:rPr>
          <w:iCs/>
        </w:rPr>
        <w:t>$</w:t>
      </w:r>
      <w:r w:rsidR="00E1753B">
        <w:rPr>
          <w:iCs/>
        </w:rPr>
        <w:t>15,000</w:t>
      </w:r>
      <w:r w:rsidR="00623710">
        <w:rPr>
          <w:iCs/>
        </w:rPr>
        <w:t xml:space="preserve"> per QALY</w:t>
      </w:r>
      <w:r w:rsidRPr="008A2917">
        <w:rPr>
          <w:iCs/>
        </w:rPr>
        <w:t xml:space="preserve"> assuming a higher rate of influenza of 2.96% (year 2 of FIM12). </w:t>
      </w:r>
    </w:p>
    <w:p w:rsidR="00BC69ED" w:rsidRPr="008A2917" w:rsidRDefault="00BC69ED" w:rsidP="00387896">
      <w:pPr>
        <w:pStyle w:val="ListParagraph"/>
        <w:keepNext/>
        <w:widowControl/>
        <w:numPr>
          <w:ilvl w:val="1"/>
          <w:numId w:val="1"/>
        </w:numPr>
        <w:rPr>
          <w:iCs/>
        </w:rPr>
      </w:pPr>
      <w:r w:rsidRPr="008A2917">
        <w:rPr>
          <w:rFonts w:asciiTheme="minorHAnsi" w:hAnsiTheme="minorHAnsi" w:cstheme="minorHAnsi"/>
          <w:iCs/>
        </w:rPr>
        <w:t xml:space="preserve">With use of the </w:t>
      </w:r>
      <w:r w:rsidRPr="008A2917">
        <w:rPr>
          <w:iCs/>
        </w:rPr>
        <w:t>hospitalisation rate from the Newall 2008:</w:t>
      </w:r>
    </w:p>
    <w:p w:rsidR="00BC69ED" w:rsidRPr="008A2917" w:rsidRDefault="00BC69ED" w:rsidP="00387896">
      <w:pPr>
        <w:pStyle w:val="Intextbulletpoints"/>
        <w:keepNext/>
        <w:widowControl/>
        <w:rPr>
          <w:lang w:val="en-AU"/>
        </w:rPr>
      </w:pPr>
      <w:r w:rsidRPr="008A2917">
        <w:rPr>
          <w:lang w:val="en-AU"/>
        </w:rPr>
        <w:t>the ICER</w:t>
      </w:r>
      <w:r w:rsidR="00AE4DA7" w:rsidRPr="008A2917">
        <w:rPr>
          <w:lang w:val="en-AU"/>
        </w:rPr>
        <w:t>/QALY</w:t>
      </w:r>
      <w:r w:rsidRPr="008A2917">
        <w:rPr>
          <w:lang w:val="en-AU"/>
        </w:rPr>
        <w:t xml:space="preserve"> for TIV-HD vs </w:t>
      </w:r>
      <w:proofErr w:type="spellStart"/>
      <w:r w:rsidRPr="008A2917">
        <w:rPr>
          <w:lang w:val="en-AU"/>
        </w:rPr>
        <w:t>aTIV</w:t>
      </w:r>
      <w:proofErr w:type="spellEnd"/>
      <w:r w:rsidRPr="008A2917">
        <w:rPr>
          <w:lang w:val="en-AU"/>
        </w:rPr>
        <w:t xml:space="preserve"> increased from</w:t>
      </w:r>
      <w:r w:rsidR="00E1753B">
        <w:rPr>
          <w:lang w:val="en-AU"/>
        </w:rPr>
        <w:t xml:space="preserve"> less than</w:t>
      </w:r>
      <w:r w:rsidRPr="008A2917">
        <w:rPr>
          <w:lang w:val="en-AU"/>
        </w:rPr>
        <w:t xml:space="preserve"> $</w:t>
      </w:r>
      <w:r w:rsidR="00E1753B">
        <w:rPr>
          <w:lang w:val="en-AU"/>
        </w:rPr>
        <w:t>15,000</w:t>
      </w:r>
      <w:r w:rsidRPr="008A2917">
        <w:rPr>
          <w:lang w:val="en-AU"/>
        </w:rPr>
        <w:t xml:space="preserve"> to </w:t>
      </w:r>
      <w:r w:rsidR="00E1753B">
        <w:rPr>
          <w:lang w:val="en-AU"/>
        </w:rPr>
        <w:t xml:space="preserve">less than </w:t>
      </w:r>
      <w:r w:rsidRPr="008A2917">
        <w:rPr>
          <w:lang w:val="en-AU"/>
        </w:rPr>
        <w:t>$</w:t>
      </w:r>
      <w:r w:rsidR="00E1753B">
        <w:rPr>
          <w:lang w:val="en-AU"/>
        </w:rPr>
        <w:t xml:space="preserve">15,000 </w:t>
      </w:r>
      <w:r w:rsidRPr="008A2917">
        <w:rPr>
          <w:lang w:val="en-AU"/>
        </w:rPr>
        <w:t>; and</w:t>
      </w:r>
    </w:p>
    <w:p w:rsidR="00BC69ED" w:rsidRPr="008A2917" w:rsidRDefault="00BC69ED" w:rsidP="00387896">
      <w:pPr>
        <w:pStyle w:val="Intextbulletpoints"/>
        <w:keepNext/>
        <w:widowControl/>
        <w:rPr>
          <w:lang w:val="en-AU"/>
        </w:rPr>
      </w:pPr>
      <w:proofErr w:type="gramStart"/>
      <w:r w:rsidRPr="008A2917">
        <w:rPr>
          <w:lang w:val="en-AU"/>
        </w:rPr>
        <w:t>the</w:t>
      </w:r>
      <w:proofErr w:type="gramEnd"/>
      <w:r w:rsidRPr="008A2917">
        <w:rPr>
          <w:lang w:val="en-AU"/>
        </w:rPr>
        <w:t xml:space="preserve"> ICER</w:t>
      </w:r>
      <w:r w:rsidR="00AE4DA7" w:rsidRPr="008A2917">
        <w:rPr>
          <w:lang w:val="en-AU"/>
        </w:rPr>
        <w:t>/QALY</w:t>
      </w:r>
      <w:r w:rsidRPr="008A2917">
        <w:rPr>
          <w:lang w:val="en-AU"/>
        </w:rPr>
        <w:t xml:space="preserve"> for TIV-HD vs </w:t>
      </w:r>
      <w:proofErr w:type="spellStart"/>
      <w:r w:rsidRPr="008A2917">
        <w:rPr>
          <w:lang w:val="en-AU"/>
        </w:rPr>
        <w:t>aQIV</w:t>
      </w:r>
      <w:proofErr w:type="spellEnd"/>
      <w:r w:rsidRPr="008A2917">
        <w:rPr>
          <w:lang w:val="en-AU"/>
        </w:rPr>
        <w:t xml:space="preserve"> increased from</w:t>
      </w:r>
      <w:r w:rsidR="00E1753B">
        <w:rPr>
          <w:lang w:val="en-AU"/>
        </w:rPr>
        <w:t xml:space="preserve"> less than</w:t>
      </w:r>
      <w:r w:rsidRPr="008A2917">
        <w:rPr>
          <w:lang w:val="en-AU"/>
        </w:rPr>
        <w:t xml:space="preserve"> $</w:t>
      </w:r>
      <w:r w:rsidR="00E1753B">
        <w:rPr>
          <w:lang w:val="en-AU"/>
        </w:rPr>
        <w:t>15,000</w:t>
      </w:r>
      <w:r w:rsidRPr="008A2917">
        <w:rPr>
          <w:lang w:val="en-AU"/>
        </w:rPr>
        <w:t xml:space="preserve"> to </w:t>
      </w:r>
      <w:r w:rsidR="00E1753B">
        <w:rPr>
          <w:lang w:val="en-AU"/>
        </w:rPr>
        <w:t xml:space="preserve">less than </w:t>
      </w:r>
      <w:r w:rsidRPr="008A2917">
        <w:rPr>
          <w:lang w:val="en-AU"/>
        </w:rPr>
        <w:t>$</w:t>
      </w:r>
      <w:r w:rsidR="00E1753B">
        <w:rPr>
          <w:lang w:val="en-AU"/>
        </w:rPr>
        <w:t>15,000</w:t>
      </w:r>
      <w:r w:rsidRPr="008A2917">
        <w:rPr>
          <w:lang w:val="en-AU"/>
        </w:rPr>
        <w:t>.</w:t>
      </w:r>
    </w:p>
    <w:p w:rsidR="00F4067C" w:rsidRPr="008A2917" w:rsidRDefault="00E1126D" w:rsidP="00387896">
      <w:pPr>
        <w:widowControl/>
        <w:rPr>
          <w:u w:val="single"/>
        </w:rPr>
      </w:pPr>
      <w:r w:rsidRPr="008A2917">
        <w:rPr>
          <w:u w:val="single"/>
        </w:rPr>
        <w:t xml:space="preserve">TIV-SD vs QIV-SD </w:t>
      </w:r>
      <w:r w:rsidR="00BF4D74" w:rsidRPr="008A2917">
        <w:rPr>
          <w:u w:val="single"/>
        </w:rPr>
        <w:t xml:space="preserve">and </w:t>
      </w:r>
      <w:proofErr w:type="spellStart"/>
      <w:r w:rsidR="00BF4D74" w:rsidRPr="008A2917">
        <w:rPr>
          <w:u w:val="single"/>
        </w:rPr>
        <w:t>aQIV</w:t>
      </w:r>
      <w:proofErr w:type="spellEnd"/>
      <w:r w:rsidR="00BF4D74" w:rsidRPr="008A2917">
        <w:rPr>
          <w:u w:val="single"/>
        </w:rPr>
        <w:t xml:space="preserve"> </w:t>
      </w:r>
      <w:r w:rsidRPr="008A2917">
        <w:rPr>
          <w:u w:val="single"/>
        </w:rPr>
        <w:t>–</w:t>
      </w:r>
      <w:r w:rsidR="00B91E9D" w:rsidRPr="008A2917">
        <w:rPr>
          <w:u w:val="single"/>
        </w:rPr>
        <w:t xml:space="preserve"> scenario analyses</w:t>
      </w:r>
    </w:p>
    <w:p w:rsidR="0021653D" w:rsidRPr="008A2917" w:rsidRDefault="0021653D" w:rsidP="00387896">
      <w:pPr>
        <w:pStyle w:val="ListParagraph"/>
        <w:widowControl/>
        <w:numPr>
          <w:ilvl w:val="1"/>
          <w:numId w:val="1"/>
        </w:numPr>
        <w:rPr>
          <w:rFonts w:asciiTheme="minorHAnsi" w:hAnsiTheme="minorHAnsi" w:cstheme="minorHAnsi"/>
        </w:rPr>
      </w:pPr>
      <w:r w:rsidRPr="008A2917">
        <w:rPr>
          <w:rFonts w:asciiTheme="minorHAnsi" w:hAnsiTheme="minorHAnsi" w:cstheme="minorHAnsi"/>
        </w:rPr>
        <w:t>The</w:t>
      </w:r>
      <w:r w:rsidR="00B91E9D" w:rsidRPr="008A2917">
        <w:rPr>
          <w:rFonts w:asciiTheme="minorHAnsi" w:hAnsiTheme="minorHAnsi" w:cstheme="minorHAnsi"/>
        </w:rPr>
        <w:t xml:space="preserve"> </w:t>
      </w:r>
      <w:r w:rsidRPr="008A2917">
        <w:rPr>
          <w:rFonts w:asciiTheme="minorHAnsi" w:hAnsiTheme="minorHAnsi" w:cstheme="minorHAnsi"/>
        </w:rPr>
        <w:t xml:space="preserve">resubmission presented results from scenario analyses undertaken </w:t>
      </w:r>
      <w:r w:rsidR="005A6041" w:rsidRPr="008A2917">
        <w:rPr>
          <w:rFonts w:asciiTheme="minorHAnsi" w:hAnsiTheme="minorHAnsi" w:cstheme="minorHAnsi"/>
        </w:rPr>
        <w:t xml:space="preserve">using </w:t>
      </w:r>
      <w:r w:rsidRPr="008A2917">
        <w:rPr>
          <w:rFonts w:asciiTheme="minorHAnsi" w:hAnsiTheme="minorHAnsi" w:cstheme="minorHAnsi"/>
        </w:rPr>
        <w:t>the Supplementary model in response to</w:t>
      </w:r>
      <w:r w:rsidR="005A6041" w:rsidRPr="008A2917">
        <w:rPr>
          <w:rFonts w:asciiTheme="minorHAnsi" w:hAnsiTheme="minorHAnsi" w:cstheme="minorHAnsi"/>
        </w:rPr>
        <w:t xml:space="preserve"> the</w:t>
      </w:r>
      <w:r w:rsidRPr="008A2917">
        <w:rPr>
          <w:rFonts w:asciiTheme="minorHAnsi" w:hAnsiTheme="minorHAnsi" w:cstheme="minorHAnsi"/>
        </w:rPr>
        <w:t xml:space="preserve"> PBAC</w:t>
      </w:r>
      <w:r w:rsidR="005A6041" w:rsidRPr="008A2917">
        <w:rPr>
          <w:rFonts w:asciiTheme="minorHAnsi" w:hAnsiTheme="minorHAnsi" w:cstheme="minorHAnsi"/>
        </w:rPr>
        <w:t>’s previous</w:t>
      </w:r>
      <w:r w:rsidRPr="008A2917">
        <w:rPr>
          <w:rFonts w:asciiTheme="minorHAnsi" w:hAnsiTheme="minorHAnsi" w:cstheme="minorHAnsi"/>
        </w:rPr>
        <w:t xml:space="preserve"> comments</w:t>
      </w:r>
      <w:r w:rsidR="000B0319" w:rsidRPr="008A2917">
        <w:rPr>
          <w:rFonts w:asciiTheme="minorHAnsi" w:hAnsiTheme="minorHAnsi" w:cstheme="minorHAnsi"/>
        </w:rPr>
        <w:t xml:space="preserve"> regarding</w:t>
      </w:r>
      <w:r w:rsidRPr="008A2917">
        <w:rPr>
          <w:rFonts w:asciiTheme="minorHAnsi" w:hAnsiTheme="minorHAnsi" w:cstheme="minorHAnsi"/>
        </w:rPr>
        <w:t xml:space="preserve"> the extent to which the benefits of TIV-HD outweighed the potential loss of protection against the mismatched B strain in QIV-SD compared to TIV-SD remained uncertain </w:t>
      </w:r>
      <w:r w:rsidRPr="008A2917">
        <w:rPr>
          <w:rFonts w:asciiTheme="minorHAnsi" w:hAnsiTheme="minorHAnsi" w:cstheme="minorHAnsi"/>
        </w:rPr>
        <w:lastRenderedPageBreak/>
        <w:t>given year to year variability in influenza strains and severity of the season (para 7.6, p26, TIV-HD PSD, July 2018).</w:t>
      </w:r>
    </w:p>
    <w:p w:rsidR="00A55EDF" w:rsidRPr="008A2917" w:rsidRDefault="0021653D" w:rsidP="00387896">
      <w:pPr>
        <w:pStyle w:val="ListParagraph"/>
        <w:widowControl/>
        <w:numPr>
          <w:ilvl w:val="1"/>
          <w:numId w:val="1"/>
        </w:numPr>
      </w:pPr>
      <w:r w:rsidRPr="008A2917">
        <w:rPr>
          <w:rFonts w:asciiTheme="minorHAnsi" w:hAnsiTheme="minorHAnsi" w:cstheme="minorHAnsi"/>
        </w:rPr>
        <w:t xml:space="preserve">The PBAC also noted data </w:t>
      </w:r>
      <w:r w:rsidR="005A6041" w:rsidRPr="008A2917">
        <w:rPr>
          <w:rFonts w:asciiTheme="minorHAnsi" w:hAnsiTheme="minorHAnsi" w:cstheme="minorHAnsi"/>
        </w:rPr>
        <w:t xml:space="preserve">presented in the ATAGI pre-submission advice showing </w:t>
      </w:r>
      <w:r w:rsidRPr="008A2917">
        <w:rPr>
          <w:rFonts w:asciiTheme="minorHAnsi" w:hAnsiTheme="minorHAnsi" w:cstheme="minorHAnsi"/>
        </w:rPr>
        <w:t xml:space="preserve">the proportion of B strain influenza, distribution of B lineage and vaccine matching success </w:t>
      </w:r>
      <w:r w:rsidR="005A6041" w:rsidRPr="008A2917">
        <w:rPr>
          <w:rFonts w:asciiTheme="minorHAnsi" w:hAnsiTheme="minorHAnsi" w:cstheme="minorHAnsi"/>
        </w:rPr>
        <w:t xml:space="preserve">from 2002 to 2016 </w:t>
      </w:r>
      <w:r w:rsidRPr="008A2917">
        <w:rPr>
          <w:rFonts w:asciiTheme="minorHAnsi" w:hAnsiTheme="minorHAnsi" w:cstheme="minorHAnsi"/>
        </w:rPr>
        <w:t xml:space="preserve">(para 6.23, p10, TIV-HD PSD, July 2018). The resubmission applied this data to the Supplementary model to develop the scenario analyses by categorising fifteen influenza seasons (2002 to 2016) into nine scenarios that included a different combination of A strain prevalence with B strain match to the TIV-HD (see Table </w:t>
      </w:r>
      <w:r w:rsidR="005F6ED0" w:rsidRPr="008A2917">
        <w:rPr>
          <w:rFonts w:asciiTheme="minorHAnsi" w:hAnsiTheme="minorHAnsi" w:cstheme="minorHAnsi"/>
        </w:rPr>
        <w:t>1</w:t>
      </w:r>
      <w:r w:rsidR="000D5A8F" w:rsidRPr="008A2917">
        <w:rPr>
          <w:rFonts w:asciiTheme="minorHAnsi" w:hAnsiTheme="minorHAnsi" w:cstheme="minorHAnsi"/>
        </w:rPr>
        <w:t>6</w:t>
      </w:r>
      <w:r w:rsidRPr="008A2917">
        <w:rPr>
          <w:rFonts w:asciiTheme="minorHAnsi" w:hAnsiTheme="minorHAnsi" w:cstheme="minorHAnsi"/>
        </w:rPr>
        <w:t xml:space="preserve">). </w:t>
      </w:r>
      <w:r w:rsidR="00A55EDF" w:rsidRPr="008A2917">
        <w:t>The scenario analysis applied within the Supplementary model used a range of influenza activity (incidence) rates</w:t>
      </w:r>
      <w:r w:rsidR="00EE48DC" w:rsidRPr="008A2917">
        <w:t xml:space="preserve"> (low being based on year 1 of FIM12, high being based on year 2 of FIM12 and moderate being based on years 1 and 2 of FIM12)</w:t>
      </w:r>
      <w:r w:rsidR="00632CCD" w:rsidRPr="008A2917">
        <w:t xml:space="preserve">. </w:t>
      </w:r>
    </w:p>
    <w:p w:rsidR="00CB0A5B" w:rsidRPr="008A2917" w:rsidRDefault="00CB0A5B" w:rsidP="00387896">
      <w:pPr>
        <w:pStyle w:val="TableHeading0"/>
        <w:rPr>
          <w:rStyle w:val="CommentReference"/>
          <w:b/>
          <w:bCs/>
        </w:rPr>
      </w:pPr>
      <w:r w:rsidRPr="008A2917">
        <w:rPr>
          <w:rStyle w:val="CommentReference"/>
          <w:b/>
          <w:bCs/>
        </w:rPr>
        <w:t>Table 1</w:t>
      </w:r>
      <w:r w:rsidR="000D5A8F" w:rsidRPr="008A2917">
        <w:rPr>
          <w:rStyle w:val="CommentReference"/>
          <w:b/>
          <w:bCs/>
        </w:rPr>
        <w:t>6</w:t>
      </w:r>
      <w:r w:rsidR="00727869" w:rsidRPr="008A2917">
        <w:rPr>
          <w:rStyle w:val="CommentReference"/>
          <w:b/>
          <w:bCs/>
        </w:rPr>
        <w:t>:</w:t>
      </w:r>
      <w:r w:rsidRPr="008A2917">
        <w:rPr>
          <w:rStyle w:val="CommentReference"/>
          <w:b/>
          <w:bCs/>
        </w:rPr>
        <w:t xml:space="preserve"> Strain distribution scenarios applied to the resubmission Supplementary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2096"/>
        <w:gridCol w:w="1820"/>
        <w:gridCol w:w="1818"/>
      </w:tblGrid>
      <w:tr w:rsidR="00CB0A5B" w:rsidRPr="008A2917" w:rsidTr="002F2549">
        <w:trPr>
          <w:trHeight w:val="300"/>
        </w:trPr>
        <w:tc>
          <w:tcPr>
            <w:tcW w:w="1821" w:type="pct"/>
            <w:shd w:val="clear" w:color="auto" w:fill="auto"/>
            <w:noWrap/>
            <w:hideMark/>
          </w:tcPr>
          <w:p w:rsidR="00CB0A5B" w:rsidRPr="008A2917" w:rsidRDefault="00CB0A5B" w:rsidP="00387896">
            <w:pPr>
              <w:pStyle w:val="TableText0"/>
              <w:rPr>
                <w:b/>
                <w:bCs/>
              </w:rPr>
            </w:pPr>
            <w:r w:rsidRPr="008A2917">
              <w:rPr>
                <w:b/>
                <w:bCs/>
              </w:rPr>
              <w:t>Scenario</w:t>
            </w:r>
          </w:p>
        </w:tc>
        <w:tc>
          <w:tcPr>
            <w:tcW w:w="1162" w:type="pct"/>
          </w:tcPr>
          <w:p w:rsidR="00CB0A5B" w:rsidRPr="008A2917" w:rsidRDefault="00CB0A5B" w:rsidP="00387896">
            <w:pPr>
              <w:pStyle w:val="TableText0"/>
              <w:jc w:val="center"/>
              <w:rPr>
                <w:b/>
                <w:bCs/>
              </w:rPr>
            </w:pPr>
            <w:r w:rsidRPr="008A2917">
              <w:rPr>
                <w:b/>
                <w:bCs/>
              </w:rPr>
              <w:t>Seasons</w:t>
            </w:r>
          </w:p>
        </w:tc>
        <w:tc>
          <w:tcPr>
            <w:tcW w:w="1009" w:type="pct"/>
            <w:shd w:val="clear" w:color="auto" w:fill="auto"/>
            <w:noWrap/>
            <w:hideMark/>
          </w:tcPr>
          <w:p w:rsidR="00CB0A5B" w:rsidRPr="008A2917" w:rsidRDefault="00CB0A5B" w:rsidP="00387896">
            <w:pPr>
              <w:pStyle w:val="TableText0"/>
              <w:jc w:val="center"/>
              <w:rPr>
                <w:b/>
                <w:bCs/>
              </w:rPr>
            </w:pPr>
            <w:r w:rsidRPr="008A2917">
              <w:rPr>
                <w:b/>
                <w:bCs/>
              </w:rPr>
              <w:t>A prevalence</w:t>
            </w:r>
          </w:p>
        </w:tc>
        <w:tc>
          <w:tcPr>
            <w:tcW w:w="1009" w:type="pct"/>
            <w:shd w:val="clear" w:color="auto" w:fill="auto"/>
            <w:noWrap/>
            <w:hideMark/>
          </w:tcPr>
          <w:p w:rsidR="00CB0A5B" w:rsidRPr="008A2917" w:rsidRDefault="00CB0A5B" w:rsidP="00387896">
            <w:pPr>
              <w:pStyle w:val="TableText0"/>
              <w:jc w:val="center"/>
              <w:rPr>
                <w:b/>
                <w:bCs/>
              </w:rPr>
            </w:pPr>
            <w:r w:rsidRPr="008A2917">
              <w:rPr>
                <w:b/>
                <w:bCs/>
              </w:rPr>
              <w:t>B match</w:t>
            </w:r>
          </w:p>
        </w:tc>
      </w:tr>
      <w:tr w:rsidR="00CB0A5B" w:rsidRPr="008A2917" w:rsidTr="002F2549">
        <w:trPr>
          <w:trHeight w:val="300"/>
        </w:trPr>
        <w:tc>
          <w:tcPr>
            <w:tcW w:w="1821" w:type="pct"/>
            <w:shd w:val="clear" w:color="auto" w:fill="auto"/>
            <w:noWrap/>
            <w:hideMark/>
          </w:tcPr>
          <w:p w:rsidR="00CB0A5B" w:rsidRPr="008A2917" w:rsidRDefault="00CB0A5B" w:rsidP="00387896">
            <w:pPr>
              <w:pStyle w:val="TableText0"/>
            </w:pPr>
            <w:r w:rsidRPr="008A2917">
              <w:t>A prevalence High; B match High</w:t>
            </w:r>
          </w:p>
        </w:tc>
        <w:tc>
          <w:tcPr>
            <w:tcW w:w="1162" w:type="pct"/>
          </w:tcPr>
          <w:p w:rsidR="00CB0A5B" w:rsidRPr="008A2917" w:rsidRDefault="00CB0A5B" w:rsidP="00387896">
            <w:pPr>
              <w:pStyle w:val="TableText0"/>
              <w:jc w:val="center"/>
            </w:pPr>
            <w:r w:rsidRPr="008A2917">
              <w:t>2003; 2010</w:t>
            </w:r>
          </w:p>
        </w:tc>
        <w:tc>
          <w:tcPr>
            <w:tcW w:w="1009" w:type="pct"/>
            <w:shd w:val="clear" w:color="auto" w:fill="auto"/>
            <w:noWrap/>
            <w:hideMark/>
          </w:tcPr>
          <w:p w:rsidR="00CB0A5B" w:rsidRPr="008A2917" w:rsidRDefault="00CB0A5B" w:rsidP="00387896">
            <w:pPr>
              <w:pStyle w:val="TableText0"/>
              <w:jc w:val="center"/>
            </w:pPr>
            <w:r w:rsidRPr="008A2917">
              <w:t>90.7%</w:t>
            </w:r>
          </w:p>
        </w:tc>
        <w:tc>
          <w:tcPr>
            <w:tcW w:w="1009" w:type="pct"/>
            <w:shd w:val="clear" w:color="auto" w:fill="auto"/>
            <w:noWrap/>
            <w:hideMark/>
          </w:tcPr>
          <w:p w:rsidR="00CB0A5B" w:rsidRPr="008A2917" w:rsidRDefault="00CB0A5B" w:rsidP="00387896">
            <w:pPr>
              <w:pStyle w:val="TableText0"/>
              <w:jc w:val="center"/>
            </w:pPr>
            <w:r w:rsidRPr="008A2917">
              <w:t>100.0%</w:t>
            </w:r>
          </w:p>
        </w:tc>
      </w:tr>
      <w:tr w:rsidR="00CB0A5B" w:rsidRPr="008A2917" w:rsidTr="002F2549">
        <w:trPr>
          <w:trHeight w:val="300"/>
        </w:trPr>
        <w:tc>
          <w:tcPr>
            <w:tcW w:w="1821" w:type="pct"/>
            <w:shd w:val="clear" w:color="auto" w:fill="auto"/>
            <w:noWrap/>
            <w:hideMark/>
          </w:tcPr>
          <w:p w:rsidR="00CB0A5B" w:rsidRPr="008A2917" w:rsidRDefault="00CB0A5B" w:rsidP="00387896">
            <w:pPr>
              <w:pStyle w:val="TableText0"/>
            </w:pPr>
            <w:r w:rsidRPr="008A2917">
              <w:t>A prevalence High; B match Mod</w:t>
            </w:r>
          </w:p>
        </w:tc>
        <w:tc>
          <w:tcPr>
            <w:tcW w:w="1162" w:type="pct"/>
          </w:tcPr>
          <w:p w:rsidR="00CB0A5B" w:rsidRPr="008A2917" w:rsidRDefault="00CB0A5B" w:rsidP="00387896">
            <w:pPr>
              <w:pStyle w:val="TableText0"/>
              <w:jc w:val="center"/>
            </w:pPr>
            <w:r w:rsidRPr="008A2917">
              <w:t>2014</w:t>
            </w:r>
          </w:p>
        </w:tc>
        <w:tc>
          <w:tcPr>
            <w:tcW w:w="1009" w:type="pct"/>
            <w:shd w:val="clear" w:color="auto" w:fill="auto"/>
            <w:noWrap/>
            <w:hideMark/>
          </w:tcPr>
          <w:p w:rsidR="00CB0A5B" w:rsidRPr="008A2917" w:rsidRDefault="00CB0A5B" w:rsidP="00387896">
            <w:pPr>
              <w:pStyle w:val="TableText0"/>
              <w:jc w:val="center"/>
            </w:pPr>
            <w:r w:rsidRPr="008A2917">
              <w:t>90.1%</w:t>
            </w:r>
          </w:p>
        </w:tc>
        <w:tc>
          <w:tcPr>
            <w:tcW w:w="1009" w:type="pct"/>
            <w:shd w:val="clear" w:color="auto" w:fill="auto"/>
            <w:noWrap/>
            <w:hideMark/>
          </w:tcPr>
          <w:p w:rsidR="00CB0A5B" w:rsidRPr="008A2917" w:rsidRDefault="00CB0A5B" w:rsidP="00387896">
            <w:pPr>
              <w:pStyle w:val="TableText0"/>
              <w:jc w:val="center"/>
            </w:pPr>
            <w:r w:rsidRPr="008A2917">
              <w:t>93.0%</w:t>
            </w:r>
          </w:p>
        </w:tc>
      </w:tr>
      <w:tr w:rsidR="00CB0A5B" w:rsidRPr="008A2917" w:rsidTr="002F2549">
        <w:trPr>
          <w:trHeight w:val="300"/>
        </w:trPr>
        <w:tc>
          <w:tcPr>
            <w:tcW w:w="1821" w:type="pct"/>
            <w:shd w:val="clear" w:color="auto" w:fill="auto"/>
            <w:noWrap/>
            <w:hideMark/>
          </w:tcPr>
          <w:p w:rsidR="00CB0A5B" w:rsidRPr="008A2917" w:rsidRDefault="00CB0A5B" w:rsidP="00387896">
            <w:pPr>
              <w:pStyle w:val="TableText0"/>
            </w:pPr>
            <w:r w:rsidRPr="008A2917">
              <w:t>A prevalence High; B match Low</w:t>
            </w:r>
          </w:p>
        </w:tc>
        <w:tc>
          <w:tcPr>
            <w:tcW w:w="1162" w:type="pct"/>
          </w:tcPr>
          <w:p w:rsidR="00CB0A5B" w:rsidRPr="008A2917" w:rsidRDefault="00CB0A5B" w:rsidP="00387896">
            <w:pPr>
              <w:pStyle w:val="TableText0"/>
              <w:jc w:val="center"/>
            </w:pPr>
            <w:r w:rsidRPr="008A2917">
              <w:t>2009; 2016</w:t>
            </w:r>
          </w:p>
        </w:tc>
        <w:tc>
          <w:tcPr>
            <w:tcW w:w="1009" w:type="pct"/>
            <w:shd w:val="clear" w:color="auto" w:fill="auto"/>
            <w:noWrap/>
            <w:hideMark/>
          </w:tcPr>
          <w:p w:rsidR="00CB0A5B" w:rsidRPr="008A2917" w:rsidRDefault="00CB0A5B" w:rsidP="00387896">
            <w:pPr>
              <w:pStyle w:val="TableText0"/>
              <w:jc w:val="center"/>
            </w:pPr>
            <w:r w:rsidRPr="008A2917">
              <w:t>95.2%</w:t>
            </w:r>
          </w:p>
        </w:tc>
        <w:tc>
          <w:tcPr>
            <w:tcW w:w="1009" w:type="pct"/>
            <w:shd w:val="clear" w:color="auto" w:fill="auto"/>
            <w:noWrap/>
            <w:hideMark/>
          </w:tcPr>
          <w:p w:rsidR="00CB0A5B" w:rsidRPr="008A2917" w:rsidRDefault="00CB0A5B" w:rsidP="00387896">
            <w:pPr>
              <w:pStyle w:val="TableText0"/>
              <w:jc w:val="center"/>
            </w:pPr>
            <w:r w:rsidRPr="008A2917">
              <w:t>34.5%</w:t>
            </w:r>
          </w:p>
        </w:tc>
      </w:tr>
      <w:tr w:rsidR="00CB0A5B" w:rsidRPr="008A2917" w:rsidTr="002F2549">
        <w:trPr>
          <w:trHeight w:val="300"/>
        </w:trPr>
        <w:tc>
          <w:tcPr>
            <w:tcW w:w="1821" w:type="pct"/>
            <w:shd w:val="clear" w:color="auto" w:fill="auto"/>
            <w:noWrap/>
            <w:hideMark/>
          </w:tcPr>
          <w:p w:rsidR="00CB0A5B" w:rsidRPr="008A2917" w:rsidRDefault="00CB0A5B" w:rsidP="00387896">
            <w:pPr>
              <w:pStyle w:val="TableText0"/>
            </w:pPr>
            <w:r w:rsidRPr="008A2917">
              <w:t>A prevalence Mod; B match High</w:t>
            </w:r>
          </w:p>
        </w:tc>
        <w:tc>
          <w:tcPr>
            <w:tcW w:w="1162" w:type="pct"/>
          </w:tcPr>
          <w:p w:rsidR="00CB0A5B" w:rsidRPr="008A2917" w:rsidRDefault="00CB0A5B" w:rsidP="00387896">
            <w:pPr>
              <w:pStyle w:val="TableText0"/>
              <w:jc w:val="center"/>
            </w:pPr>
            <w:r w:rsidRPr="008A2917">
              <w:t>None</w:t>
            </w:r>
          </w:p>
        </w:tc>
        <w:tc>
          <w:tcPr>
            <w:tcW w:w="1009" w:type="pct"/>
            <w:shd w:val="clear" w:color="auto" w:fill="auto"/>
            <w:noWrap/>
            <w:hideMark/>
          </w:tcPr>
          <w:p w:rsidR="00CB0A5B" w:rsidRPr="008A2917" w:rsidRDefault="00CB0A5B" w:rsidP="00387896">
            <w:pPr>
              <w:pStyle w:val="TableText0"/>
              <w:jc w:val="center"/>
            </w:pPr>
            <w:r w:rsidRPr="008A2917">
              <w:t>N/A</w:t>
            </w:r>
          </w:p>
        </w:tc>
        <w:tc>
          <w:tcPr>
            <w:tcW w:w="1009" w:type="pct"/>
            <w:shd w:val="clear" w:color="auto" w:fill="auto"/>
            <w:noWrap/>
            <w:hideMark/>
          </w:tcPr>
          <w:p w:rsidR="00CB0A5B" w:rsidRPr="008A2917" w:rsidRDefault="00CB0A5B" w:rsidP="00387896">
            <w:pPr>
              <w:pStyle w:val="TableText0"/>
              <w:jc w:val="center"/>
            </w:pPr>
            <w:r w:rsidRPr="008A2917">
              <w:t>N/A</w:t>
            </w:r>
          </w:p>
        </w:tc>
      </w:tr>
      <w:tr w:rsidR="00CB0A5B" w:rsidRPr="008A2917" w:rsidTr="002F2549">
        <w:trPr>
          <w:trHeight w:val="300"/>
        </w:trPr>
        <w:tc>
          <w:tcPr>
            <w:tcW w:w="1821" w:type="pct"/>
            <w:shd w:val="clear" w:color="auto" w:fill="auto"/>
            <w:noWrap/>
            <w:hideMark/>
          </w:tcPr>
          <w:p w:rsidR="00CB0A5B" w:rsidRPr="008A2917" w:rsidRDefault="00CB0A5B" w:rsidP="00387896">
            <w:pPr>
              <w:pStyle w:val="TableText0"/>
            </w:pPr>
            <w:r w:rsidRPr="008A2917">
              <w:t>A prevalence Mod; B match Mod</w:t>
            </w:r>
          </w:p>
        </w:tc>
        <w:tc>
          <w:tcPr>
            <w:tcW w:w="1162" w:type="pct"/>
          </w:tcPr>
          <w:p w:rsidR="00CB0A5B" w:rsidRPr="008A2917" w:rsidRDefault="00CB0A5B" w:rsidP="00387896">
            <w:pPr>
              <w:pStyle w:val="TableText0"/>
              <w:jc w:val="center"/>
            </w:pPr>
            <w:r w:rsidRPr="008A2917">
              <w:t>2005; 2012</w:t>
            </w:r>
          </w:p>
        </w:tc>
        <w:tc>
          <w:tcPr>
            <w:tcW w:w="1009" w:type="pct"/>
            <w:shd w:val="clear" w:color="auto" w:fill="auto"/>
            <w:noWrap/>
            <w:hideMark/>
          </w:tcPr>
          <w:p w:rsidR="00CB0A5B" w:rsidRPr="008A2917" w:rsidRDefault="00CB0A5B" w:rsidP="00387896">
            <w:pPr>
              <w:pStyle w:val="TableText0"/>
              <w:jc w:val="center"/>
            </w:pPr>
            <w:r w:rsidRPr="008A2917">
              <w:t>86.2%</w:t>
            </w:r>
          </w:p>
        </w:tc>
        <w:tc>
          <w:tcPr>
            <w:tcW w:w="1009" w:type="pct"/>
            <w:shd w:val="clear" w:color="auto" w:fill="auto"/>
            <w:noWrap/>
            <w:hideMark/>
          </w:tcPr>
          <w:p w:rsidR="00CB0A5B" w:rsidRPr="008A2917" w:rsidRDefault="00CB0A5B" w:rsidP="00387896">
            <w:pPr>
              <w:pStyle w:val="TableText0"/>
              <w:jc w:val="center"/>
            </w:pPr>
            <w:r w:rsidRPr="008A2917">
              <w:t>62.0%</w:t>
            </w:r>
          </w:p>
        </w:tc>
      </w:tr>
      <w:tr w:rsidR="00CB0A5B" w:rsidRPr="008A2917" w:rsidTr="002F2549">
        <w:trPr>
          <w:trHeight w:val="300"/>
        </w:trPr>
        <w:tc>
          <w:tcPr>
            <w:tcW w:w="1821" w:type="pct"/>
            <w:shd w:val="clear" w:color="auto" w:fill="auto"/>
            <w:noWrap/>
            <w:hideMark/>
          </w:tcPr>
          <w:p w:rsidR="00CB0A5B" w:rsidRPr="008A2917" w:rsidRDefault="00CB0A5B" w:rsidP="00387896">
            <w:pPr>
              <w:pStyle w:val="TableText0"/>
            </w:pPr>
            <w:r w:rsidRPr="008A2917">
              <w:t>A prevalence Mod; B match Low</w:t>
            </w:r>
          </w:p>
        </w:tc>
        <w:tc>
          <w:tcPr>
            <w:tcW w:w="1162" w:type="pct"/>
          </w:tcPr>
          <w:p w:rsidR="00CB0A5B" w:rsidRPr="008A2917" w:rsidRDefault="00CB0A5B" w:rsidP="00387896">
            <w:pPr>
              <w:pStyle w:val="TableText0"/>
              <w:jc w:val="center"/>
            </w:pPr>
            <w:r w:rsidRPr="008A2917">
              <w:t>2002; 2007</w:t>
            </w:r>
          </w:p>
        </w:tc>
        <w:tc>
          <w:tcPr>
            <w:tcW w:w="1009" w:type="pct"/>
            <w:shd w:val="clear" w:color="auto" w:fill="auto"/>
            <w:noWrap/>
            <w:hideMark/>
          </w:tcPr>
          <w:p w:rsidR="00CB0A5B" w:rsidRPr="008A2917" w:rsidRDefault="00CB0A5B" w:rsidP="00387896">
            <w:pPr>
              <w:pStyle w:val="TableText0"/>
              <w:jc w:val="center"/>
            </w:pPr>
            <w:r w:rsidRPr="008A2917">
              <w:t>87.1%</w:t>
            </w:r>
          </w:p>
        </w:tc>
        <w:tc>
          <w:tcPr>
            <w:tcW w:w="1009" w:type="pct"/>
            <w:shd w:val="clear" w:color="auto" w:fill="auto"/>
            <w:noWrap/>
            <w:hideMark/>
          </w:tcPr>
          <w:p w:rsidR="00CB0A5B" w:rsidRPr="008A2917" w:rsidRDefault="00CB0A5B" w:rsidP="00387896">
            <w:pPr>
              <w:pStyle w:val="TableText0"/>
              <w:jc w:val="center"/>
            </w:pPr>
            <w:r w:rsidRPr="008A2917">
              <w:t>0.0%</w:t>
            </w:r>
          </w:p>
        </w:tc>
      </w:tr>
      <w:tr w:rsidR="00CB0A5B" w:rsidRPr="008A2917" w:rsidTr="002F2549">
        <w:trPr>
          <w:trHeight w:val="300"/>
        </w:trPr>
        <w:tc>
          <w:tcPr>
            <w:tcW w:w="1821" w:type="pct"/>
            <w:shd w:val="clear" w:color="auto" w:fill="auto"/>
            <w:noWrap/>
            <w:hideMark/>
          </w:tcPr>
          <w:p w:rsidR="00CB0A5B" w:rsidRPr="008A2917" w:rsidRDefault="00CB0A5B" w:rsidP="00387896">
            <w:pPr>
              <w:pStyle w:val="TableText0"/>
            </w:pPr>
            <w:r w:rsidRPr="008A2917">
              <w:t>A prevalence Low; B match High</w:t>
            </w:r>
          </w:p>
        </w:tc>
        <w:tc>
          <w:tcPr>
            <w:tcW w:w="1162" w:type="pct"/>
          </w:tcPr>
          <w:p w:rsidR="00CB0A5B" w:rsidRPr="008A2917" w:rsidRDefault="00CB0A5B" w:rsidP="00387896">
            <w:pPr>
              <w:pStyle w:val="TableText0"/>
              <w:jc w:val="center"/>
            </w:pPr>
            <w:r w:rsidRPr="008A2917">
              <w:t>2006; 2011; 2013</w:t>
            </w:r>
          </w:p>
        </w:tc>
        <w:tc>
          <w:tcPr>
            <w:tcW w:w="1009" w:type="pct"/>
            <w:shd w:val="clear" w:color="auto" w:fill="auto"/>
            <w:noWrap/>
            <w:hideMark/>
          </w:tcPr>
          <w:p w:rsidR="00CB0A5B" w:rsidRPr="008A2917" w:rsidRDefault="00CB0A5B" w:rsidP="00387896">
            <w:pPr>
              <w:pStyle w:val="TableText0"/>
              <w:jc w:val="center"/>
            </w:pPr>
            <w:r w:rsidRPr="008A2917">
              <w:t>78.7%</w:t>
            </w:r>
          </w:p>
        </w:tc>
        <w:tc>
          <w:tcPr>
            <w:tcW w:w="1009" w:type="pct"/>
            <w:shd w:val="clear" w:color="auto" w:fill="auto"/>
            <w:noWrap/>
            <w:hideMark/>
          </w:tcPr>
          <w:p w:rsidR="00CB0A5B" w:rsidRPr="008A2917" w:rsidRDefault="00CB0A5B" w:rsidP="00387896">
            <w:pPr>
              <w:pStyle w:val="TableText0"/>
              <w:jc w:val="center"/>
            </w:pPr>
            <w:r w:rsidRPr="008A2917">
              <w:t>96.0%</w:t>
            </w:r>
          </w:p>
        </w:tc>
      </w:tr>
      <w:tr w:rsidR="00CB0A5B" w:rsidRPr="008A2917" w:rsidTr="002F2549">
        <w:trPr>
          <w:trHeight w:val="300"/>
        </w:trPr>
        <w:tc>
          <w:tcPr>
            <w:tcW w:w="1821" w:type="pct"/>
            <w:shd w:val="clear" w:color="auto" w:fill="auto"/>
            <w:noWrap/>
            <w:hideMark/>
          </w:tcPr>
          <w:p w:rsidR="00CB0A5B" w:rsidRPr="008A2917" w:rsidRDefault="00CB0A5B" w:rsidP="00387896">
            <w:pPr>
              <w:pStyle w:val="TableText0"/>
            </w:pPr>
            <w:r w:rsidRPr="008A2917">
              <w:t>A prevalence Low; B match Mod</w:t>
            </w:r>
          </w:p>
        </w:tc>
        <w:tc>
          <w:tcPr>
            <w:tcW w:w="1162" w:type="pct"/>
          </w:tcPr>
          <w:p w:rsidR="00CB0A5B" w:rsidRPr="008A2917" w:rsidRDefault="00CB0A5B" w:rsidP="00387896">
            <w:pPr>
              <w:pStyle w:val="TableText0"/>
              <w:jc w:val="center"/>
            </w:pPr>
            <w:r w:rsidRPr="008A2917">
              <w:t>2015</w:t>
            </w:r>
          </w:p>
        </w:tc>
        <w:tc>
          <w:tcPr>
            <w:tcW w:w="1009" w:type="pct"/>
            <w:shd w:val="clear" w:color="auto" w:fill="auto"/>
            <w:noWrap/>
            <w:hideMark/>
          </w:tcPr>
          <w:p w:rsidR="00CB0A5B" w:rsidRPr="008A2917" w:rsidRDefault="00CB0A5B" w:rsidP="00387896">
            <w:pPr>
              <w:pStyle w:val="TableText0"/>
              <w:jc w:val="center"/>
            </w:pPr>
            <w:r w:rsidRPr="008A2917">
              <w:t>60.4%</w:t>
            </w:r>
          </w:p>
        </w:tc>
        <w:tc>
          <w:tcPr>
            <w:tcW w:w="1009" w:type="pct"/>
            <w:shd w:val="clear" w:color="auto" w:fill="auto"/>
            <w:noWrap/>
            <w:hideMark/>
          </w:tcPr>
          <w:p w:rsidR="00CB0A5B" w:rsidRPr="008A2917" w:rsidRDefault="00CB0A5B" w:rsidP="00387896">
            <w:pPr>
              <w:pStyle w:val="TableText0"/>
              <w:jc w:val="center"/>
            </w:pPr>
            <w:r w:rsidRPr="008A2917">
              <w:t>63.0%</w:t>
            </w:r>
          </w:p>
        </w:tc>
      </w:tr>
      <w:tr w:rsidR="00CB0A5B" w:rsidRPr="008A2917" w:rsidTr="002F2549">
        <w:trPr>
          <w:trHeight w:val="315"/>
        </w:trPr>
        <w:tc>
          <w:tcPr>
            <w:tcW w:w="1821" w:type="pct"/>
            <w:shd w:val="clear" w:color="auto" w:fill="auto"/>
            <w:noWrap/>
            <w:hideMark/>
          </w:tcPr>
          <w:p w:rsidR="00CB0A5B" w:rsidRPr="008A2917" w:rsidRDefault="00CB0A5B" w:rsidP="00387896">
            <w:pPr>
              <w:pStyle w:val="TableText0"/>
            </w:pPr>
            <w:r w:rsidRPr="008A2917">
              <w:t>A prevalence Low; B match Low</w:t>
            </w:r>
          </w:p>
        </w:tc>
        <w:tc>
          <w:tcPr>
            <w:tcW w:w="1162" w:type="pct"/>
          </w:tcPr>
          <w:p w:rsidR="00CB0A5B" w:rsidRPr="008A2917" w:rsidRDefault="00CB0A5B" w:rsidP="00387896">
            <w:pPr>
              <w:pStyle w:val="TableText0"/>
              <w:jc w:val="center"/>
            </w:pPr>
            <w:r w:rsidRPr="008A2917">
              <w:t>2004; 2008</w:t>
            </w:r>
          </w:p>
        </w:tc>
        <w:tc>
          <w:tcPr>
            <w:tcW w:w="1009" w:type="pct"/>
            <w:shd w:val="clear" w:color="auto" w:fill="auto"/>
            <w:noWrap/>
            <w:hideMark/>
          </w:tcPr>
          <w:p w:rsidR="00CB0A5B" w:rsidRPr="008A2917" w:rsidRDefault="00CB0A5B" w:rsidP="00387896">
            <w:pPr>
              <w:pStyle w:val="TableText0"/>
              <w:jc w:val="center"/>
            </w:pPr>
            <w:r w:rsidRPr="008A2917">
              <w:t>71.9%</w:t>
            </w:r>
          </w:p>
        </w:tc>
        <w:tc>
          <w:tcPr>
            <w:tcW w:w="1009" w:type="pct"/>
            <w:shd w:val="clear" w:color="auto" w:fill="auto"/>
            <w:noWrap/>
            <w:hideMark/>
          </w:tcPr>
          <w:p w:rsidR="00CB0A5B" w:rsidRPr="008A2917" w:rsidRDefault="00CB0A5B" w:rsidP="00387896">
            <w:pPr>
              <w:pStyle w:val="TableText0"/>
              <w:jc w:val="center"/>
            </w:pPr>
            <w:r w:rsidRPr="008A2917">
              <w:t>29.0%</w:t>
            </w:r>
          </w:p>
        </w:tc>
      </w:tr>
      <w:tr w:rsidR="00CB0A5B" w:rsidRPr="008A2917" w:rsidTr="002F2549">
        <w:trPr>
          <w:trHeight w:val="315"/>
        </w:trPr>
        <w:tc>
          <w:tcPr>
            <w:tcW w:w="1821" w:type="pct"/>
            <w:shd w:val="clear" w:color="auto" w:fill="auto"/>
            <w:noWrap/>
          </w:tcPr>
          <w:p w:rsidR="00CB0A5B" w:rsidRPr="008A2917" w:rsidRDefault="00CB0A5B" w:rsidP="00387896">
            <w:pPr>
              <w:pStyle w:val="TableText0"/>
            </w:pPr>
            <w:r w:rsidRPr="008A2917">
              <w:t>2002 to 2016 (average)</w:t>
            </w:r>
          </w:p>
        </w:tc>
        <w:tc>
          <w:tcPr>
            <w:tcW w:w="1162" w:type="pct"/>
          </w:tcPr>
          <w:p w:rsidR="00CB0A5B" w:rsidRPr="008A2917" w:rsidRDefault="00CB0A5B" w:rsidP="00387896">
            <w:pPr>
              <w:pStyle w:val="TableText0"/>
              <w:jc w:val="center"/>
            </w:pPr>
            <w:r w:rsidRPr="008A2917">
              <w:t>2002 to 2016</w:t>
            </w:r>
          </w:p>
        </w:tc>
        <w:tc>
          <w:tcPr>
            <w:tcW w:w="1009" w:type="pct"/>
            <w:shd w:val="clear" w:color="auto" w:fill="auto"/>
            <w:noWrap/>
          </w:tcPr>
          <w:p w:rsidR="00CB0A5B" w:rsidRPr="008A2917" w:rsidRDefault="00CB0A5B" w:rsidP="00387896">
            <w:pPr>
              <w:pStyle w:val="TableText0"/>
              <w:jc w:val="center"/>
            </w:pPr>
            <w:r w:rsidRPr="008A2917">
              <w:t>83.2%</w:t>
            </w:r>
          </w:p>
        </w:tc>
        <w:tc>
          <w:tcPr>
            <w:tcW w:w="1009" w:type="pct"/>
            <w:shd w:val="clear" w:color="auto" w:fill="auto"/>
            <w:noWrap/>
          </w:tcPr>
          <w:p w:rsidR="00CB0A5B" w:rsidRPr="008A2917" w:rsidRDefault="00CB0A5B" w:rsidP="00387896">
            <w:pPr>
              <w:pStyle w:val="TableText0"/>
              <w:jc w:val="center"/>
            </w:pPr>
            <w:r w:rsidRPr="008A2917">
              <w:t>59.7%</w:t>
            </w:r>
          </w:p>
        </w:tc>
      </w:tr>
    </w:tbl>
    <w:p w:rsidR="00CB0A5B" w:rsidRPr="008A2917" w:rsidRDefault="00CB0A5B" w:rsidP="00387896">
      <w:pPr>
        <w:pStyle w:val="TableFooter"/>
        <w:widowControl/>
      </w:pPr>
      <w:r w:rsidRPr="008A2917">
        <w:t xml:space="preserve">Each season was assigned an A strain prevalence and a B matching of high, moderate, or low (approximately 5 of each). Due to ties, there were 6 low seasons of each, 4 moderate seasons and 5 high seasons. The values for </w:t>
      </w:r>
      <w:proofErr w:type="gramStart"/>
      <w:r w:rsidRPr="008A2917">
        <w:t>A</w:t>
      </w:r>
      <w:proofErr w:type="gramEnd"/>
      <w:r w:rsidRPr="008A2917">
        <w:t xml:space="preserve"> prevalence and B match are a simple average of the values from the respective seasons.</w:t>
      </w:r>
    </w:p>
    <w:p w:rsidR="00CB0A5B" w:rsidRPr="008A2917" w:rsidRDefault="00CB0A5B" w:rsidP="00387896">
      <w:pPr>
        <w:pStyle w:val="TableFooter"/>
        <w:widowControl/>
      </w:pPr>
      <w:r w:rsidRPr="008A2917">
        <w:t>Source: Table 7, p11, of the July 2018 PSD and Table 3.3, p72 of the resubmission.</w:t>
      </w:r>
    </w:p>
    <w:p w:rsidR="00CB0A5B" w:rsidRPr="008A2917" w:rsidRDefault="00CB0A5B" w:rsidP="00387896">
      <w:pPr>
        <w:widowControl/>
        <w:jc w:val="left"/>
      </w:pPr>
    </w:p>
    <w:p w:rsidR="00632CCD" w:rsidRPr="008A2917" w:rsidRDefault="00632CCD" w:rsidP="00387896">
      <w:pPr>
        <w:pStyle w:val="ListParagraph"/>
        <w:widowControl/>
        <w:numPr>
          <w:ilvl w:val="1"/>
          <w:numId w:val="1"/>
        </w:numPr>
      </w:pPr>
      <w:r w:rsidRPr="008A2917">
        <w:t xml:space="preserve">The cost-effectiveness results from the scenario analyses </w:t>
      </w:r>
      <w:r w:rsidR="00BF4D74" w:rsidRPr="008A2917">
        <w:rPr>
          <w:iCs/>
        </w:rPr>
        <w:t xml:space="preserve">for TIV-HD </w:t>
      </w:r>
      <w:r w:rsidR="00A634C5" w:rsidRPr="008A2917">
        <w:rPr>
          <w:iCs/>
        </w:rPr>
        <w:t>vs</w:t>
      </w:r>
      <w:r w:rsidR="00BF4D74" w:rsidRPr="008A2917">
        <w:rPr>
          <w:iCs/>
        </w:rPr>
        <w:t xml:space="preserve"> QIV-SD </w:t>
      </w:r>
      <w:r w:rsidRPr="008A2917">
        <w:t xml:space="preserve">are </w:t>
      </w:r>
      <w:r w:rsidR="00EE48DC" w:rsidRPr="008A2917">
        <w:t>presented</w:t>
      </w:r>
      <w:r w:rsidRPr="008A2917">
        <w:t xml:space="preserve"> in Table 1</w:t>
      </w:r>
      <w:r w:rsidR="000D5A8F" w:rsidRPr="008A2917">
        <w:t>7</w:t>
      </w:r>
      <w:r w:rsidRPr="008A2917">
        <w:t>. The Supplementary model base case ICER was</w:t>
      </w:r>
      <w:r w:rsidR="00E1753B">
        <w:t xml:space="preserve"> less </w:t>
      </w:r>
      <w:proofErr w:type="gramStart"/>
      <w:r w:rsidR="00E1753B">
        <w:t xml:space="preserve">than </w:t>
      </w:r>
      <w:r w:rsidRPr="008A2917">
        <w:t xml:space="preserve"> $</w:t>
      </w:r>
      <w:proofErr w:type="gramEnd"/>
      <w:r w:rsidR="00E1753B">
        <w:t>15,000</w:t>
      </w:r>
      <w:r w:rsidR="00A16E3A" w:rsidRPr="008A2917">
        <w:t>/QALY</w:t>
      </w:r>
      <w:r w:rsidRPr="008A2917">
        <w:t>. T</w:t>
      </w:r>
      <w:r w:rsidRPr="008A2917">
        <w:rPr>
          <w:iCs/>
        </w:rPr>
        <w:t xml:space="preserve">he ICER for TIV-HD </w:t>
      </w:r>
      <w:r w:rsidR="00A634C5" w:rsidRPr="008A2917">
        <w:rPr>
          <w:iCs/>
        </w:rPr>
        <w:t>vs</w:t>
      </w:r>
      <w:r w:rsidRPr="008A2917">
        <w:rPr>
          <w:iCs/>
        </w:rPr>
        <w:t xml:space="preserve"> QIV-SD was lowest when:</w:t>
      </w:r>
    </w:p>
    <w:p w:rsidR="00632CCD" w:rsidRPr="008A2917" w:rsidRDefault="00632CCD" w:rsidP="00387896">
      <w:pPr>
        <w:pStyle w:val="Intextbulletpoints"/>
        <w:widowControl/>
        <w:rPr>
          <w:lang w:val="en-AU"/>
        </w:rPr>
      </w:pPr>
      <w:r w:rsidRPr="008A2917">
        <w:rPr>
          <w:lang w:val="en-AU"/>
        </w:rPr>
        <w:t>the prevalence of strain A was high, and the match of strain B was high;</w:t>
      </w:r>
    </w:p>
    <w:p w:rsidR="00632CCD" w:rsidRPr="008A2917" w:rsidRDefault="00632CCD" w:rsidP="00387896">
      <w:pPr>
        <w:pStyle w:val="Intextbulletpoints"/>
        <w:widowControl/>
        <w:rPr>
          <w:lang w:val="en-AU"/>
        </w:rPr>
      </w:pPr>
      <w:r w:rsidRPr="008A2917">
        <w:rPr>
          <w:lang w:val="en-AU"/>
        </w:rPr>
        <w:t xml:space="preserve">hospitalisation rates from FIM12 were used rather than from Newall </w:t>
      </w:r>
      <w:r w:rsidR="00240F35" w:rsidRPr="008A2917">
        <w:rPr>
          <w:lang w:val="en-AU"/>
        </w:rPr>
        <w:t>et al.</w:t>
      </w:r>
      <w:r w:rsidRPr="008A2917">
        <w:rPr>
          <w:lang w:val="en-AU"/>
        </w:rPr>
        <w:t>(2008); and</w:t>
      </w:r>
    </w:p>
    <w:p w:rsidR="00632CCD" w:rsidRPr="008A2917" w:rsidRDefault="00632CCD" w:rsidP="00387896">
      <w:pPr>
        <w:pStyle w:val="Intextbulletpoints"/>
        <w:widowControl/>
        <w:rPr>
          <w:lang w:val="en-AU"/>
        </w:rPr>
      </w:pPr>
      <w:proofErr w:type="gramStart"/>
      <w:r w:rsidRPr="008A2917">
        <w:rPr>
          <w:lang w:val="en-AU"/>
        </w:rPr>
        <w:t>the</w:t>
      </w:r>
      <w:proofErr w:type="gramEnd"/>
      <w:r w:rsidRPr="008A2917">
        <w:rPr>
          <w:lang w:val="en-AU"/>
        </w:rPr>
        <w:t xml:space="preserve"> incidence of influenza was high.</w:t>
      </w:r>
    </w:p>
    <w:p w:rsidR="00CB0A5B" w:rsidRPr="008A2917" w:rsidRDefault="00CB0A5B" w:rsidP="00387896">
      <w:pPr>
        <w:pStyle w:val="TableHeading0"/>
        <w:rPr>
          <w:rStyle w:val="CommentReference"/>
          <w:b/>
          <w:szCs w:val="22"/>
        </w:rPr>
      </w:pPr>
      <w:r w:rsidRPr="008A2917">
        <w:rPr>
          <w:rStyle w:val="CommentReference"/>
          <w:b/>
          <w:szCs w:val="22"/>
        </w:rPr>
        <w:lastRenderedPageBreak/>
        <w:t xml:space="preserve">Table </w:t>
      </w:r>
      <w:r w:rsidR="000D5A8F" w:rsidRPr="008A2917">
        <w:rPr>
          <w:rStyle w:val="CommentReference"/>
          <w:b/>
          <w:szCs w:val="22"/>
        </w:rPr>
        <w:t>17</w:t>
      </w:r>
      <w:r w:rsidR="00727869" w:rsidRPr="008A2917">
        <w:rPr>
          <w:rStyle w:val="CommentReference"/>
          <w:b/>
          <w:szCs w:val="22"/>
        </w:rPr>
        <w:t>:</w:t>
      </w:r>
      <w:r w:rsidRPr="008A2917">
        <w:rPr>
          <w:rStyle w:val="CommentReference"/>
          <w:b/>
          <w:szCs w:val="22"/>
        </w:rPr>
        <w:tab/>
        <w:t>TIV-HD vs QIV-SD results of the Supplementary economic model by influenza activity, strain distribution and hospitalisation rate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081"/>
        <w:gridCol w:w="1011"/>
        <w:gridCol w:w="1151"/>
        <w:gridCol w:w="1081"/>
        <w:gridCol w:w="1081"/>
        <w:gridCol w:w="1081"/>
      </w:tblGrid>
      <w:tr w:rsidR="00CB0A5B" w:rsidRPr="008A2917" w:rsidTr="008E782B">
        <w:trPr>
          <w:trHeight w:val="300"/>
        </w:trPr>
        <w:tc>
          <w:tcPr>
            <w:tcW w:w="2581" w:type="dxa"/>
            <w:shd w:val="clear" w:color="auto" w:fill="auto"/>
            <w:noWrap/>
          </w:tcPr>
          <w:p w:rsidR="00CB0A5B" w:rsidRPr="008A2917" w:rsidRDefault="00CB0A5B" w:rsidP="00387896">
            <w:pPr>
              <w:pStyle w:val="TableText0"/>
              <w:rPr>
                <w:b/>
                <w:bCs/>
                <w:szCs w:val="20"/>
                <w:lang w:eastAsia="en-AU"/>
              </w:rPr>
            </w:pPr>
            <w:r w:rsidRPr="008A2917">
              <w:rPr>
                <w:b/>
                <w:bCs/>
                <w:szCs w:val="20"/>
                <w:lang w:eastAsia="en-AU"/>
              </w:rPr>
              <w:t>Model result</w:t>
            </w:r>
          </w:p>
        </w:tc>
        <w:tc>
          <w:tcPr>
            <w:tcW w:w="3243" w:type="dxa"/>
            <w:gridSpan w:val="3"/>
            <w:shd w:val="clear" w:color="auto" w:fill="auto"/>
            <w:noWrap/>
          </w:tcPr>
          <w:p w:rsidR="00CB0A5B" w:rsidRPr="008A2917" w:rsidRDefault="00CB0A5B" w:rsidP="00387896">
            <w:pPr>
              <w:pStyle w:val="TableText0"/>
              <w:jc w:val="center"/>
              <w:rPr>
                <w:b/>
                <w:bCs/>
                <w:szCs w:val="20"/>
                <w:lang w:eastAsia="en-AU"/>
              </w:rPr>
            </w:pPr>
            <w:r w:rsidRPr="008A2917">
              <w:rPr>
                <w:b/>
                <w:bCs/>
                <w:szCs w:val="20"/>
                <w:lang w:eastAsia="en-AU"/>
              </w:rPr>
              <w:t>IC/QALY (trial-based hospital rates)</w:t>
            </w:r>
          </w:p>
        </w:tc>
        <w:tc>
          <w:tcPr>
            <w:tcW w:w="3243" w:type="dxa"/>
            <w:gridSpan w:val="3"/>
            <w:shd w:val="clear" w:color="auto" w:fill="auto"/>
            <w:noWrap/>
          </w:tcPr>
          <w:p w:rsidR="00CB0A5B" w:rsidRPr="008A2917" w:rsidRDefault="00CB0A5B" w:rsidP="00387896">
            <w:pPr>
              <w:pStyle w:val="TableText0"/>
              <w:jc w:val="center"/>
              <w:rPr>
                <w:b/>
                <w:bCs/>
                <w:szCs w:val="20"/>
                <w:lang w:eastAsia="en-AU"/>
              </w:rPr>
            </w:pPr>
            <w:r w:rsidRPr="008A2917">
              <w:rPr>
                <w:b/>
                <w:bCs/>
                <w:szCs w:val="20"/>
                <w:lang w:eastAsia="en-AU"/>
              </w:rPr>
              <w:t>IC/QALY (Newall 2008 hospital rates)</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b/>
                <w:bCs/>
                <w:szCs w:val="20"/>
                <w:vertAlign w:val="superscript"/>
                <w:lang w:eastAsia="en-AU"/>
              </w:rPr>
            </w:pPr>
            <w:r w:rsidRPr="008A2917">
              <w:rPr>
                <w:b/>
                <w:bCs/>
                <w:szCs w:val="20"/>
                <w:lang w:eastAsia="en-AU"/>
              </w:rPr>
              <w:t xml:space="preserve">Flu activity </w:t>
            </w:r>
            <w:r w:rsidRPr="008A2917">
              <w:rPr>
                <w:b/>
                <w:bCs/>
                <w:szCs w:val="20"/>
                <w:vertAlign w:val="superscript"/>
                <w:lang w:eastAsia="en-AU"/>
              </w:rPr>
              <w:t>a</w:t>
            </w:r>
          </w:p>
        </w:tc>
        <w:tc>
          <w:tcPr>
            <w:tcW w:w="108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Mod</w:t>
            </w:r>
          </w:p>
        </w:tc>
        <w:tc>
          <w:tcPr>
            <w:tcW w:w="101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Low</w:t>
            </w:r>
          </w:p>
        </w:tc>
        <w:tc>
          <w:tcPr>
            <w:tcW w:w="115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High</w:t>
            </w:r>
          </w:p>
        </w:tc>
        <w:tc>
          <w:tcPr>
            <w:tcW w:w="108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Mod</w:t>
            </w:r>
          </w:p>
        </w:tc>
        <w:tc>
          <w:tcPr>
            <w:tcW w:w="108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Low</w:t>
            </w:r>
          </w:p>
        </w:tc>
        <w:tc>
          <w:tcPr>
            <w:tcW w:w="108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High</w:t>
            </w:r>
          </w:p>
        </w:tc>
      </w:tr>
      <w:tr w:rsidR="00CB0A5B" w:rsidRPr="008A2917" w:rsidTr="008E782B">
        <w:trPr>
          <w:trHeight w:val="300"/>
        </w:trPr>
        <w:tc>
          <w:tcPr>
            <w:tcW w:w="2581" w:type="dxa"/>
            <w:shd w:val="clear" w:color="auto" w:fill="auto"/>
            <w:noWrap/>
          </w:tcPr>
          <w:p w:rsidR="00CB0A5B" w:rsidRPr="008A2917" w:rsidRDefault="00CB0A5B" w:rsidP="00387896">
            <w:pPr>
              <w:pStyle w:val="TableText0"/>
              <w:rPr>
                <w:b/>
                <w:bCs/>
                <w:szCs w:val="20"/>
                <w:lang w:eastAsia="en-AU"/>
              </w:rPr>
            </w:pPr>
            <w:r w:rsidRPr="008A2917">
              <w:rPr>
                <w:b/>
                <w:bCs/>
                <w:szCs w:val="20"/>
                <w:lang w:eastAsia="en-AU"/>
              </w:rPr>
              <w:t>Strain distribution scenarios</w:t>
            </w:r>
          </w:p>
        </w:tc>
        <w:tc>
          <w:tcPr>
            <w:tcW w:w="1081" w:type="dxa"/>
            <w:shd w:val="clear" w:color="auto" w:fill="auto"/>
            <w:noWrap/>
          </w:tcPr>
          <w:p w:rsidR="00CB0A5B" w:rsidRPr="008A2917" w:rsidRDefault="00CB0A5B" w:rsidP="00387896">
            <w:pPr>
              <w:pStyle w:val="TableText0"/>
              <w:jc w:val="center"/>
              <w:rPr>
                <w:szCs w:val="20"/>
                <w:lang w:eastAsia="en-AU"/>
              </w:rPr>
            </w:pPr>
          </w:p>
        </w:tc>
        <w:tc>
          <w:tcPr>
            <w:tcW w:w="1011" w:type="dxa"/>
            <w:shd w:val="clear" w:color="auto" w:fill="auto"/>
            <w:noWrap/>
          </w:tcPr>
          <w:p w:rsidR="00CB0A5B" w:rsidRPr="008A2917" w:rsidRDefault="00CB0A5B" w:rsidP="00387896">
            <w:pPr>
              <w:pStyle w:val="TableText0"/>
              <w:jc w:val="center"/>
              <w:rPr>
                <w:szCs w:val="20"/>
                <w:lang w:eastAsia="en-AU"/>
              </w:rPr>
            </w:pPr>
          </w:p>
        </w:tc>
        <w:tc>
          <w:tcPr>
            <w:tcW w:w="1151" w:type="dxa"/>
            <w:shd w:val="clear" w:color="auto" w:fill="auto"/>
            <w:noWrap/>
          </w:tcPr>
          <w:p w:rsidR="00CB0A5B" w:rsidRPr="008A2917" w:rsidRDefault="00CB0A5B" w:rsidP="00387896">
            <w:pPr>
              <w:pStyle w:val="TableText0"/>
              <w:jc w:val="center"/>
              <w:rPr>
                <w:szCs w:val="20"/>
                <w:lang w:eastAsia="en-AU"/>
              </w:rPr>
            </w:pPr>
          </w:p>
        </w:tc>
        <w:tc>
          <w:tcPr>
            <w:tcW w:w="1081" w:type="dxa"/>
            <w:shd w:val="clear" w:color="auto" w:fill="auto"/>
            <w:noWrap/>
          </w:tcPr>
          <w:p w:rsidR="00CB0A5B" w:rsidRPr="008A2917" w:rsidRDefault="00CB0A5B" w:rsidP="00387896">
            <w:pPr>
              <w:pStyle w:val="TableText0"/>
              <w:jc w:val="center"/>
              <w:rPr>
                <w:szCs w:val="20"/>
                <w:lang w:eastAsia="en-AU"/>
              </w:rPr>
            </w:pPr>
          </w:p>
        </w:tc>
        <w:tc>
          <w:tcPr>
            <w:tcW w:w="1081" w:type="dxa"/>
            <w:shd w:val="clear" w:color="auto" w:fill="auto"/>
            <w:noWrap/>
          </w:tcPr>
          <w:p w:rsidR="00CB0A5B" w:rsidRPr="008A2917" w:rsidRDefault="00CB0A5B" w:rsidP="00387896">
            <w:pPr>
              <w:pStyle w:val="TableText0"/>
              <w:jc w:val="center"/>
              <w:rPr>
                <w:szCs w:val="20"/>
                <w:lang w:eastAsia="en-AU"/>
              </w:rPr>
            </w:pPr>
          </w:p>
        </w:tc>
        <w:tc>
          <w:tcPr>
            <w:tcW w:w="1081" w:type="dxa"/>
            <w:shd w:val="clear" w:color="auto" w:fill="auto"/>
            <w:noWrap/>
          </w:tcPr>
          <w:p w:rsidR="00CB0A5B" w:rsidRPr="008A2917" w:rsidRDefault="00CB0A5B" w:rsidP="00387896">
            <w:pPr>
              <w:pStyle w:val="TableText0"/>
              <w:jc w:val="center"/>
              <w:rPr>
                <w:szCs w:val="20"/>
                <w:lang w:eastAsia="en-AU"/>
              </w:rPr>
            </w:pP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High; B match High</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151" w:type="dxa"/>
            <w:shd w:val="clear" w:color="auto" w:fill="auto"/>
            <w:noWrap/>
            <w:hideMark/>
          </w:tcPr>
          <w:p w:rsidR="00CB0A5B"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High; B match Mod</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151" w:type="dxa"/>
            <w:shd w:val="clear" w:color="auto" w:fill="auto"/>
            <w:noWrap/>
            <w:hideMark/>
          </w:tcPr>
          <w:p w:rsidR="00CB0A5B"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High; B match Low</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151" w:type="dxa"/>
            <w:shd w:val="clear" w:color="auto" w:fill="auto"/>
            <w:noWrap/>
            <w:hideMark/>
          </w:tcPr>
          <w:p w:rsidR="00CB0A5B"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Mod; B match High</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N/A</w:t>
            </w:r>
          </w:p>
        </w:tc>
        <w:tc>
          <w:tcPr>
            <w:tcW w:w="101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N/A</w:t>
            </w:r>
          </w:p>
        </w:tc>
        <w:tc>
          <w:tcPr>
            <w:tcW w:w="115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N/A</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N/A</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N/A</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N/A</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Mod; B match Mod</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151" w:type="dxa"/>
            <w:shd w:val="clear" w:color="auto" w:fill="auto"/>
            <w:noWrap/>
            <w:hideMark/>
          </w:tcPr>
          <w:p w:rsidR="00CB0A5B"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Mod; B match Low</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15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Low; B match High</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151" w:type="dxa"/>
            <w:shd w:val="clear" w:color="auto" w:fill="auto"/>
            <w:noWrap/>
            <w:hideMark/>
          </w:tcPr>
          <w:p w:rsidR="00CB0A5B"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Low; B match Mod</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w:t>
            </w:r>
            <w:r w:rsidR="001A215D">
              <w:rPr>
                <w:b/>
                <w:bCs/>
                <w:noProof/>
                <w:color w:val="000000"/>
                <w:szCs w:val="20"/>
                <w:highlight w:val="black"/>
                <w:lang w:eastAsia="en-AU"/>
              </w:rPr>
              <w:t>''''''''''''''</w:t>
            </w:r>
          </w:p>
        </w:tc>
        <w:tc>
          <w:tcPr>
            <w:tcW w:w="115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w:t>
            </w:r>
            <w:r w:rsidR="001A215D">
              <w:rPr>
                <w:b/>
                <w:bCs/>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Low; B match Low</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w:t>
            </w:r>
            <w:r w:rsidR="001A215D">
              <w:rPr>
                <w:b/>
                <w:bCs/>
                <w:noProof/>
                <w:color w:val="000000"/>
                <w:szCs w:val="20"/>
                <w:highlight w:val="black"/>
                <w:lang w:eastAsia="en-AU"/>
              </w:rPr>
              <w:t>'''''''''''''''</w:t>
            </w:r>
          </w:p>
        </w:tc>
        <w:tc>
          <w:tcPr>
            <w:tcW w:w="115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b/>
                <w:bCs/>
                <w:szCs w:val="20"/>
                <w:lang w:eastAsia="en-AU"/>
              </w:rPr>
            </w:pPr>
            <w:r w:rsidRPr="008A2917">
              <w:rPr>
                <w:b/>
                <w:bCs/>
                <w:szCs w:val="20"/>
                <w:lang w:eastAsia="en-AU"/>
              </w:rPr>
              <w:t>$</w:t>
            </w:r>
            <w:r w:rsidR="001A215D">
              <w:rPr>
                <w:b/>
                <w:bCs/>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CB0A5B" w:rsidRPr="008A2917" w:rsidTr="008E782B">
        <w:trPr>
          <w:trHeight w:val="300"/>
        </w:trPr>
        <w:tc>
          <w:tcPr>
            <w:tcW w:w="2581" w:type="dxa"/>
            <w:shd w:val="clear" w:color="auto" w:fill="auto"/>
            <w:noWrap/>
            <w:hideMark/>
          </w:tcPr>
          <w:p w:rsidR="00CB0A5B" w:rsidRPr="008A2917" w:rsidRDefault="00CB0A5B" w:rsidP="00387896">
            <w:pPr>
              <w:pStyle w:val="TableText0"/>
              <w:rPr>
                <w:szCs w:val="20"/>
                <w:lang w:eastAsia="en-AU"/>
              </w:rPr>
            </w:pPr>
            <w:r w:rsidRPr="008A2917">
              <w:rPr>
                <w:szCs w:val="20"/>
                <w:lang w:eastAsia="en-AU"/>
              </w:rPr>
              <w:t>2002 to 2016 (</w:t>
            </w:r>
            <w:proofErr w:type="spellStart"/>
            <w:r w:rsidRPr="008A2917">
              <w:rPr>
                <w:szCs w:val="20"/>
                <w:lang w:eastAsia="en-AU"/>
              </w:rPr>
              <w:t>average</w:t>
            </w:r>
            <w:r w:rsidRPr="008A2917">
              <w:rPr>
                <w:szCs w:val="20"/>
                <w:vertAlign w:val="superscript"/>
                <w:lang w:eastAsia="en-AU"/>
              </w:rPr>
              <w:t>b</w:t>
            </w:r>
            <w:proofErr w:type="spellEnd"/>
            <w:r w:rsidRPr="008A2917">
              <w:rPr>
                <w:szCs w:val="20"/>
                <w:lang w:eastAsia="en-AU"/>
              </w:rPr>
              <w:t>)</w:t>
            </w:r>
          </w:p>
        </w:tc>
        <w:tc>
          <w:tcPr>
            <w:tcW w:w="1081" w:type="dxa"/>
            <w:shd w:val="clear" w:color="auto" w:fill="auto"/>
            <w:noWrap/>
            <w:hideMark/>
          </w:tcPr>
          <w:p w:rsidR="00CB0A5B" w:rsidRPr="008A2917" w:rsidRDefault="00CB0A5B" w:rsidP="00387896">
            <w:pPr>
              <w:pStyle w:val="TableText0"/>
              <w:jc w:val="center"/>
              <w:rPr>
                <w:b/>
                <w:bCs/>
                <w:szCs w:val="20"/>
                <w:u w:val="single"/>
                <w:lang w:eastAsia="en-AU"/>
              </w:rPr>
            </w:pPr>
            <w:r w:rsidRPr="008A2917">
              <w:rPr>
                <w:b/>
                <w:bCs/>
                <w:szCs w:val="20"/>
                <w:u w:val="single"/>
                <w:lang w:eastAsia="en-AU"/>
              </w:rPr>
              <w:t>$</w:t>
            </w:r>
            <w:r w:rsidR="001A215D">
              <w:rPr>
                <w:b/>
                <w:bCs/>
                <w:noProof/>
                <w:color w:val="000000"/>
                <w:szCs w:val="20"/>
                <w:highlight w:val="black"/>
                <w:u w:val="single"/>
                <w:lang w:eastAsia="en-AU"/>
              </w:rPr>
              <w:t>''''''''''</w:t>
            </w:r>
          </w:p>
        </w:tc>
        <w:tc>
          <w:tcPr>
            <w:tcW w:w="101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15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hideMark/>
          </w:tcPr>
          <w:p w:rsidR="00CB0A5B" w:rsidRPr="008A2917" w:rsidRDefault="00CB0A5B"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bl>
    <w:p w:rsidR="00CB0A5B" w:rsidRPr="008A2917" w:rsidRDefault="00CB0A5B" w:rsidP="00387896">
      <w:pPr>
        <w:pStyle w:val="TableFooter"/>
        <w:widowControl/>
      </w:pPr>
      <w:proofErr w:type="gramStart"/>
      <w:r w:rsidRPr="008A2917">
        <w:rPr>
          <w:vertAlign w:val="superscript"/>
        </w:rPr>
        <w:t>a</w:t>
      </w:r>
      <w:proofErr w:type="gramEnd"/>
      <w:r w:rsidRPr="008A2917">
        <w:t xml:space="preserve"> Flu seasons of moderate, low and high activity were estimated from FIM12 data which include two flu seasons with variable flu incidence (0.58% and 2.96% in SD-TIV vaccinated cohorts for the two seasons). The low and high seasons of FIM12 were used as proxies for low and high activity seasons in the model. The moderate activity season is the overall FIM12 result (1.88%).</w:t>
      </w:r>
    </w:p>
    <w:p w:rsidR="00CB0A5B" w:rsidRPr="008A2917" w:rsidRDefault="00CB0A5B" w:rsidP="00387896">
      <w:pPr>
        <w:pStyle w:val="TableFooter"/>
        <w:widowControl/>
        <w:rPr>
          <w:szCs w:val="18"/>
          <w:vertAlign w:val="superscript"/>
        </w:rPr>
      </w:pPr>
      <w:proofErr w:type="gramStart"/>
      <w:r w:rsidRPr="008A2917">
        <w:rPr>
          <w:szCs w:val="18"/>
          <w:vertAlign w:val="superscript"/>
        </w:rPr>
        <w:t xml:space="preserve">b  </w:t>
      </w:r>
      <w:r w:rsidRPr="008A2917">
        <w:t>based</w:t>
      </w:r>
      <w:proofErr w:type="gramEnd"/>
      <w:r w:rsidRPr="008A2917">
        <w:t xml:space="preserve"> on average strain distribution and average extent of matching of B strain </w:t>
      </w:r>
    </w:p>
    <w:p w:rsidR="00CB0A5B" w:rsidRPr="008A2917" w:rsidRDefault="00CB0A5B" w:rsidP="00387896">
      <w:pPr>
        <w:pStyle w:val="TableFooter"/>
        <w:widowControl/>
      </w:pPr>
      <w:r w:rsidRPr="008A2917">
        <w:rPr>
          <w:szCs w:val="18"/>
        </w:rPr>
        <w:t>IC: Incremental Cost; Mod: Moderate; N/A: Not Applicable; QALY: Quality-Adjusted Life Year.</w:t>
      </w:r>
    </w:p>
    <w:p w:rsidR="00CB0A5B" w:rsidRPr="008A2917" w:rsidRDefault="00CB0A5B" w:rsidP="00387896">
      <w:pPr>
        <w:pStyle w:val="TableFooter"/>
        <w:widowControl/>
      </w:pPr>
      <w:r w:rsidRPr="008A2917">
        <w:t>IC/QALY values exceeding $</w:t>
      </w:r>
      <w:r w:rsidR="001A215D">
        <w:rPr>
          <w:noProof/>
          <w:color w:val="000000"/>
          <w:highlight w:val="black"/>
        </w:rPr>
        <w:t>'''''''''''''''</w:t>
      </w:r>
      <w:r w:rsidRPr="008A2917">
        <w:t xml:space="preserve"> as shown in </w:t>
      </w:r>
      <w:r w:rsidRPr="008A2917">
        <w:rPr>
          <w:b/>
          <w:bCs/>
        </w:rPr>
        <w:t>bold</w:t>
      </w:r>
      <w:r w:rsidRPr="008A2917">
        <w:t xml:space="preserve"> font</w:t>
      </w:r>
      <w:r w:rsidR="008A2917">
        <w:t xml:space="preserve">. </w:t>
      </w:r>
    </w:p>
    <w:p w:rsidR="00CB0A5B" w:rsidRPr="008A2917" w:rsidRDefault="00CB0A5B" w:rsidP="00387896">
      <w:pPr>
        <w:pStyle w:val="TableFooter"/>
        <w:widowControl/>
      </w:pPr>
      <w:r w:rsidRPr="008A2917">
        <w:t xml:space="preserve">The base case ICER is shown in </w:t>
      </w:r>
      <w:r w:rsidRPr="008A2917">
        <w:rPr>
          <w:szCs w:val="18"/>
        </w:rPr>
        <w:t>large, bold, underlined font</w:t>
      </w:r>
      <w:r w:rsidRPr="008A2917">
        <w:t>.</w:t>
      </w:r>
    </w:p>
    <w:p w:rsidR="00CB0A5B" w:rsidRPr="008A2917" w:rsidRDefault="00CB0A5B" w:rsidP="00387896">
      <w:pPr>
        <w:pStyle w:val="TableFooter"/>
        <w:widowControl/>
      </w:pPr>
      <w:r w:rsidRPr="008A2917">
        <w:t>Source: Table 3.4, p74 of the resubmission.</w:t>
      </w:r>
    </w:p>
    <w:p w:rsidR="00CB0A5B" w:rsidRPr="008A2917" w:rsidRDefault="00CB0A5B" w:rsidP="00387896">
      <w:pPr>
        <w:pStyle w:val="TableFigNote"/>
        <w:rPr>
          <w:rFonts w:ascii="Arial Narrow" w:hAnsi="Arial Narrow"/>
          <w:sz w:val="24"/>
          <w:szCs w:val="24"/>
        </w:rPr>
      </w:pPr>
    </w:p>
    <w:p w:rsidR="009E39B1" w:rsidRDefault="0038492E" w:rsidP="009E39B1">
      <w:pPr>
        <w:widowControl/>
      </w:pPr>
      <w:r>
        <w:t xml:space="preserve">The redacted table shows ICERs in the range of </w:t>
      </w:r>
      <w:r w:rsidR="00165448">
        <w:t>dominant</w:t>
      </w:r>
      <w:r>
        <w:t xml:space="preserve"> - $75,000/QALY.</w:t>
      </w:r>
    </w:p>
    <w:p w:rsidR="0038492E" w:rsidRDefault="0038492E" w:rsidP="009E39B1">
      <w:pPr>
        <w:widowControl/>
      </w:pPr>
    </w:p>
    <w:p w:rsidR="00E62581" w:rsidRPr="008A2917" w:rsidRDefault="00E62581" w:rsidP="00387896">
      <w:pPr>
        <w:pStyle w:val="ListParagraph"/>
        <w:widowControl/>
        <w:numPr>
          <w:ilvl w:val="1"/>
          <w:numId w:val="1"/>
        </w:numPr>
      </w:pPr>
      <w:r w:rsidRPr="008A2917">
        <w:t>The ICERs increased substantially (40-56%) for the scenarios where the incidence of the A strains was low and the match with the B strains was either low or moderate. This was the case in 2004, 2008 and 2015.</w:t>
      </w:r>
    </w:p>
    <w:p w:rsidR="00554480" w:rsidRPr="008A2917" w:rsidRDefault="00BA25EA" w:rsidP="00387896">
      <w:pPr>
        <w:pStyle w:val="ListParagraph"/>
        <w:widowControl/>
        <w:numPr>
          <w:ilvl w:val="1"/>
          <w:numId w:val="1"/>
        </w:numPr>
      </w:pPr>
      <w:r w:rsidRPr="008A2917">
        <w:rPr>
          <w:iCs/>
        </w:rPr>
        <w:t xml:space="preserve">During the evaluation it was considered appropriate to use the mortality rate from the Main model. </w:t>
      </w:r>
      <w:r w:rsidR="00554480" w:rsidRPr="008A2917">
        <w:rPr>
          <w:iCs/>
        </w:rPr>
        <w:t>The PSCR stated that the mortality estimate of 0.028</w:t>
      </w:r>
      <w:r w:rsidR="00A752A9" w:rsidRPr="008A2917">
        <w:rPr>
          <w:iCs/>
        </w:rPr>
        <w:t xml:space="preserve"> used in the Main mo</w:t>
      </w:r>
      <w:r w:rsidR="004467DA" w:rsidRPr="008A2917">
        <w:rPr>
          <w:iCs/>
        </w:rPr>
        <w:t>d</w:t>
      </w:r>
      <w:r w:rsidR="00A752A9" w:rsidRPr="008A2917">
        <w:rPr>
          <w:iCs/>
        </w:rPr>
        <w:t>el</w:t>
      </w:r>
      <w:r w:rsidR="00554480" w:rsidRPr="008A2917">
        <w:rPr>
          <w:iCs/>
        </w:rPr>
        <w:t>, based on AIHW NHMD and rates of hospitalisation from FIM12 is subject to poor ascertainment and underreporting. It argued that use of the conservative morality assumption, although increasing the ICER, did not fundamentally change the conclusion</w:t>
      </w:r>
      <w:r w:rsidR="00A752A9" w:rsidRPr="008A2917">
        <w:rPr>
          <w:iCs/>
        </w:rPr>
        <w:t xml:space="preserve"> (Table</w:t>
      </w:r>
      <w:r w:rsidR="000D5A8F" w:rsidRPr="008A2917">
        <w:rPr>
          <w:iCs/>
        </w:rPr>
        <w:t xml:space="preserve"> 18</w:t>
      </w:r>
      <w:r w:rsidR="00A752A9" w:rsidRPr="008A2917">
        <w:rPr>
          <w:iCs/>
        </w:rPr>
        <w:t>, t</w:t>
      </w:r>
      <w:r w:rsidR="00554480" w:rsidRPr="008A2917">
        <w:rPr>
          <w:iCs/>
        </w:rPr>
        <w:t>hese results have not been independently evaluated</w:t>
      </w:r>
      <w:r w:rsidR="00A752A9" w:rsidRPr="008A2917">
        <w:rPr>
          <w:iCs/>
        </w:rPr>
        <w:t>)</w:t>
      </w:r>
      <w:r w:rsidR="00554480" w:rsidRPr="008A2917">
        <w:rPr>
          <w:iCs/>
        </w:rPr>
        <w:t>.</w:t>
      </w:r>
    </w:p>
    <w:p w:rsidR="00F76963" w:rsidRPr="008A2917" w:rsidRDefault="00554480" w:rsidP="00387896">
      <w:pPr>
        <w:pStyle w:val="TableHeading0"/>
      </w:pPr>
      <w:r w:rsidRPr="008A2917">
        <w:lastRenderedPageBreak/>
        <w:t xml:space="preserve">Table </w:t>
      </w:r>
      <w:r w:rsidR="000D5A8F" w:rsidRPr="008A2917">
        <w:t>18</w:t>
      </w:r>
      <w:r w:rsidRPr="008A2917">
        <w:t>: Results of scenario-based sensitivity analysis for TIV-HD vs QIV-SD – using mortality rate of 2</w:t>
      </w:r>
      <w:r w:rsidR="00E419DB" w:rsidRPr="008A2917">
        <w:t>.</w:t>
      </w:r>
      <w:r w:rsidRPr="008A2917">
        <w:t>8% from the Main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081"/>
        <w:gridCol w:w="1011"/>
        <w:gridCol w:w="1151"/>
        <w:gridCol w:w="1081"/>
        <w:gridCol w:w="1081"/>
        <w:gridCol w:w="1081"/>
      </w:tblGrid>
      <w:tr w:rsidR="00F76963" w:rsidRPr="008A2917" w:rsidTr="000F1A6E">
        <w:trPr>
          <w:trHeight w:val="300"/>
        </w:trPr>
        <w:tc>
          <w:tcPr>
            <w:tcW w:w="2581" w:type="dxa"/>
            <w:shd w:val="clear" w:color="auto" w:fill="auto"/>
            <w:noWrap/>
          </w:tcPr>
          <w:p w:rsidR="00F76963" w:rsidRPr="008A2917" w:rsidRDefault="00F76963" w:rsidP="00387896">
            <w:pPr>
              <w:pStyle w:val="TableText0"/>
              <w:rPr>
                <w:b/>
                <w:bCs/>
                <w:szCs w:val="20"/>
                <w:lang w:eastAsia="en-AU"/>
              </w:rPr>
            </w:pPr>
            <w:r w:rsidRPr="008A2917">
              <w:rPr>
                <w:b/>
                <w:bCs/>
                <w:szCs w:val="20"/>
                <w:lang w:eastAsia="en-AU"/>
              </w:rPr>
              <w:t>Model result</w:t>
            </w:r>
          </w:p>
        </w:tc>
        <w:tc>
          <w:tcPr>
            <w:tcW w:w="3243" w:type="dxa"/>
            <w:gridSpan w:val="3"/>
            <w:shd w:val="clear" w:color="auto" w:fill="auto"/>
            <w:noWrap/>
          </w:tcPr>
          <w:p w:rsidR="00F76963" w:rsidRPr="008A2917" w:rsidRDefault="00F76963" w:rsidP="00387896">
            <w:pPr>
              <w:pStyle w:val="TableText0"/>
              <w:jc w:val="center"/>
              <w:rPr>
                <w:b/>
                <w:bCs/>
                <w:szCs w:val="20"/>
                <w:lang w:eastAsia="en-AU"/>
              </w:rPr>
            </w:pPr>
            <w:r w:rsidRPr="008A2917">
              <w:rPr>
                <w:b/>
                <w:bCs/>
                <w:szCs w:val="20"/>
                <w:lang w:eastAsia="en-AU"/>
              </w:rPr>
              <w:t>IC/QALY (trial-based hospital rates)</w:t>
            </w:r>
          </w:p>
          <w:p w:rsidR="00E422FD" w:rsidRPr="008A2917" w:rsidRDefault="00E422FD" w:rsidP="00387896">
            <w:pPr>
              <w:pStyle w:val="TableText0"/>
              <w:jc w:val="center"/>
              <w:rPr>
                <w:b/>
                <w:bCs/>
                <w:szCs w:val="20"/>
                <w:lang w:eastAsia="en-AU"/>
              </w:rPr>
            </w:pPr>
            <w:r w:rsidRPr="008A2917">
              <w:rPr>
                <w:b/>
                <w:bCs/>
                <w:szCs w:val="20"/>
                <w:lang w:eastAsia="en-AU"/>
              </w:rPr>
              <w:t>44.68% of influenza requiring hospitalisation</w:t>
            </w:r>
          </w:p>
        </w:tc>
        <w:tc>
          <w:tcPr>
            <w:tcW w:w="3243" w:type="dxa"/>
            <w:gridSpan w:val="3"/>
            <w:shd w:val="clear" w:color="auto" w:fill="auto"/>
            <w:noWrap/>
          </w:tcPr>
          <w:p w:rsidR="00F76963" w:rsidRPr="008A2917" w:rsidRDefault="00F76963" w:rsidP="00387896">
            <w:pPr>
              <w:pStyle w:val="TableText0"/>
              <w:jc w:val="center"/>
              <w:rPr>
                <w:b/>
                <w:bCs/>
                <w:szCs w:val="20"/>
                <w:lang w:eastAsia="en-AU"/>
              </w:rPr>
            </w:pPr>
            <w:r w:rsidRPr="008A2917">
              <w:rPr>
                <w:b/>
                <w:bCs/>
                <w:szCs w:val="20"/>
                <w:lang w:eastAsia="en-AU"/>
              </w:rPr>
              <w:t>IC/QALY (Newall 2008 hospital rates)</w:t>
            </w:r>
          </w:p>
          <w:p w:rsidR="00E422FD" w:rsidRPr="008A2917" w:rsidRDefault="00E422FD" w:rsidP="00387896">
            <w:pPr>
              <w:pStyle w:val="TableText0"/>
              <w:jc w:val="center"/>
              <w:rPr>
                <w:b/>
                <w:bCs/>
                <w:szCs w:val="20"/>
                <w:lang w:eastAsia="en-AU"/>
              </w:rPr>
            </w:pPr>
            <w:r w:rsidRPr="008A2917">
              <w:rPr>
                <w:b/>
                <w:bCs/>
                <w:szCs w:val="20"/>
                <w:lang w:eastAsia="en-AU"/>
              </w:rPr>
              <w:t>19.3% of influenza requiring hospitalisation</w:t>
            </w:r>
          </w:p>
        </w:tc>
      </w:tr>
      <w:tr w:rsidR="00F76963" w:rsidRPr="008A2917" w:rsidTr="000F1A6E">
        <w:trPr>
          <w:trHeight w:val="300"/>
        </w:trPr>
        <w:tc>
          <w:tcPr>
            <w:tcW w:w="2581" w:type="dxa"/>
            <w:shd w:val="clear" w:color="auto" w:fill="auto"/>
            <w:noWrap/>
            <w:hideMark/>
          </w:tcPr>
          <w:p w:rsidR="00F76963" w:rsidRPr="008A2917" w:rsidRDefault="00F76963" w:rsidP="00387896">
            <w:pPr>
              <w:pStyle w:val="TableText0"/>
              <w:rPr>
                <w:b/>
                <w:bCs/>
                <w:szCs w:val="20"/>
                <w:vertAlign w:val="superscript"/>
                <w:lang w:eastAsia="en-AU"/>
              </w:rPr>
            </w:pPr>
            <w:r w:rsidRPr="008A2917">
              <w:rPr>
                <w:b/>
                <w:bCs/>
                <w:szCs w:val="20"/>
                <w:lang w:eastAsia="en-AU"/>
              </w:rPr>
              <w:t xml:space="preserve">Flu activity </w:t>
            </w:r>
            <w:r w:rsidRPr="008A2917">
              <w:rPr>
                <w:b/>
                <w:bCs/>
                <w:szCs w:val="20"/>
                <w:vertAlign w:val="superscript"/>
                <w:lang w:eastAsia="en-AU"/>
              </w:rPr>
              <w:t>a</w:t>
            </w:r>
          </w:p>
        </w:tc>
        <w:tc>
          <w:tcPr>
            <w:tcW w:w="1081" w:type="dxa"/>
            <w:shd w:val="clear" w:color="auto" w:fill="auto"/>
            <w:noWrap/>
            <w:hideMark/>
          </w:tcPr>
          <w:p w:rsidR="00F76963" w:rsidRPr="008A2917" w:rsidRDefault="00F76963" w:rsidP="00387896">
            <w:pPr>
              <w:pStyle w:val="TableText0"/>
              <w:jc w:val="center"/>
              <w:rPr>
                <w:b/>
                <w:bCs/>
                <w:szCs w:val="20"/>
                <w:lang w:eastAsia="en-AU"/>
              </w:rPr>
            </w:pPr>
            <w:r w:rsidRPr="008A2917">
              <w:rPr>
                <w:b/>
                <w:bCs/>
                <w:szCs w:val="20"/>
                <w:lang w:eastAsia="en-AU"/>
              </w:rPr>
              <w:t>Mod</w:t>
            </w:r>
          </w:p>
        </w:tc>
        <w:tc>
          <w:tcPr>
            <w:tcW w:w="1011" w:type="dxa"/>
            <w:shd w:val="clear" w:color="auto" w:fill="auto"/>
            <w:noWrap/>
            <w:hideMark/>
          </w:tcPr>
          <w:p w:rsidR="00F76963" w:rsidRPr="008A2917" w:rsidRDefault="00F76963" w:rsidP="00387896">
            <w:pPr>
              <w:pStyle w:val="TableText0"/>
              <w:jc w:val="center"/>
              <w:rPr>
                <w:b/>
                <w:bCs/>
                <w:szCs w:val="20"/>
                <w:lang w:eastAsia="en-AU"/>
              </w:rPr>
            </w:pPr>
            <w:r w:rsidRPr="008A2917">
              <w:rPr>
                <w:b/>
                <w:bCs/>
                <w:szCs w:val="20"/>
                <w:lang w:eastAsia="en-AU"/>
              </w:rPr>
              <w:t>Low</w:t>
            </w:r>
          </w:p>
        </w:tc>
        <w:tc>
          <w:tcPr>
            <w:tcW w:w="1151" w:type="dxa"/>
            <w:shd w:val="clear" w:color="auto" w:fill="auto"/>
            <w:noWrap/>
            <w:hideMark/>
          </w:tcPr>
          <w:p w:rsidR="00F76963" w:rsidRPr="008A2917" w:rsidRDefault="00F76963" w:rsidP="00387896">
            <w:pPr>
              <w:pStyle w:val="TableText0"/>
              <w:jc w:val="center"/>
              <w:rPr>
                <w:b/>
                <w:bCs/>
                <w:szCs w:val="20"/>
                <w:lang w:eastAsia="en-AU"/>
              </w:rPr>
            </w:pPr>
            <w:r w:rsidRPr="008A2917">
              <w:rPr>
                <w:b/>
                <w:bCs/>
                <w:szCs w:val="20"/>
                <w:lang w:eastAsia="en-AU"/>
              </w:rPr>
              <w:t>High</w:t>
            </w:r>
          </w:p>
        </w:tc>
        <w:tc>
          <w:tcPr>
            <w:tcW w:w="1081" w:type="dxa"/>
            <w:shd w:val="clear" w:color="auto" w:fill="auto"/>
            <w:noWrap/>
            <w:hideMark/>
          </w:tcPr>
          <w:p w:rsidR="00F76963" w:rsidRPr="008A2917" w:rsidRDefault="00F76963" w:rsidP="00387896">
            <w:pPr>
              <w:pStyle w:val="TableText0"/>
              <w:jc w:val="center"/>
              <w:rPr>
                <w:b/>
                <w:bCs/>
                <w:szCs w:val="20"/>
                <w:lang w:eastAsia="en-AU"/>
              </w:rPr>
            </w:pPr>
            <w:r w:rsidRPr="008A2917">
              <w:rPr>
                <w:b/>
                <w:bCs/>
                <w:szCs w:val="20"/>
                <w:lang w:eastAsia="en-AU"/>
              </w:rPr>
              <w:t>Mod</w:t>
            </w:r>
          </w:p>
        </w:tc>
        <w:tc>
          <w:tcPr>
            <w:tcW w:w="1081" w:type="dxa"/>
            <w:shd w:val="clear" w:color="auto" w:fill="auto"/>
            <w:noWrap/>
            <w:hideMark/>
          </w:tcPr>
          <w:p w:rsidR="00F76963" w:rsidRPr="008A2917" w:rsidRDefault="00F76963" w:rsidP="00387896">
            <w:pPr>
              <w:pStyle w:val="TableText0"/>
              <w:jc w:val="center"/>
              <w:rPr>
                <w:b/>
                <w:bCs/>
                <w:szCs w:val="20"/>
                <w:lang w:eastAsia="en-AU"/>
              </w:rPr>
            </w:pPr>
            <w:r w:rsidRPr="008A2917">
              <w:rPr>
                <w:b/>
                <w:bCs/>
                <w:szCs w:val="20"/>
                <w:lang w:eastAsia="en-AU"/>
              </w:rPr>
              <w:t>Low</w:t>
            </w:r>
          </w:p>
        </w:tc>
        <w:tc>
          <w:tcPr>
            <w:tcW w:w="1081" w:type="dxa"/>
            <w:shd w:val="clear" w:color="auto" w:fill="auto"/>
            <w:noWrap/>
            <w:hideMark/>
          </w:tcPr>
          <w:p w:rsidR="00F76963" w:rsidRPr="008A2917" w:rsidRDefault="00F76963" w:rsidP="00387896">
            <w:pPr>
              <w:pStyle w:val="TableText0"/>
              <w:jc w:val="center"/>
              <w:rPr>
                <w:b/>
                <w:bCs/>
                <w:szCs w:val="20"/>
                <w:lang w:eastAsia="en-AU"/>
              </w:rPr>
            </w:pPr>
            <w:r w:rsidRPr="008A2917">
              <w:rPr>
                <w:b/>
                <w:bCs/>
                <w:szCs w:val="20"/>
                <w:lang w:eastAsia="en-AU"/>
              </w:rPr>
              <w:t>High</w:t>
            </w:r>
          </w:p>
        </w:tc>
      </w:tr>
      <w:tr w:rsidR="00F76963" w:rsidRPr="008A2917" w:rsidTr="000F1A6E">
        <w:trPr>
          <w:trHeight w:val="300"/>
        </w:trPr>
        <w:tc>
          <w:tcPr>
            <w:tcW w:w="2581" w:type="dxa"/>
            <w:shd w:val="clear" w:color="auto" w:fill="auto"/>
            <w:noWrap/>
          </w:tcPr>
          <w:p w:rsidR="00F76963" w:rsidRPr="008A2917" w:rsidRDefault="00F76963" w:rsidP="00387896">
            <w:pPr>
              <w:pStyle w:val="TableText0"/>
              <w:rPr>
                <w:b/>
                <w:bCs/>
                <w:szCs w:val="20"/>
                <w:lang w:eastAsia="en-AU"/>
              </w:rPr>
            </w:pPr>
            <w:r w:rsidRPr="008A2917">
              <w:rPr>
                <w:b/>
                <w:bCs/>
                <w:szCs w:val="20"/>
                <w:lang w:eastAsia="en-AU"/>
              </w:rPr>
              <w:t>Strain distribution scenarios</w:t>
            </w:r>
          </w:p>
        </w:tc>
        <w:tc>
          <w:tcPr>
            <w:tcW w:w="1081" w:type="dxa"/>
            <w:shd w:val="clear" w:color="auto" w:fill="auto"/>
            <w:noWrap/>
          </w:tcPr>
          <w:p w:rsidR="00F76963" w:rsidRPr="008A2917" w:rsidRDefault="00F76963" w:rsidP="00387896">
            <w:pPr>
              <w:pStyle w:val="TableText0"/>
              <w:jc w:val="center"/>
              <w:rPr>
                <w:szCs w:val="20"/>
                <w:lang w:eastAsia="en-AU"/>
              </w:rPr>
            </w:pPr>
          </w:p>
        </w:tc>
        <w:tc>
          <w:tcPr>
            <w:tcW w:w="1011" w:type="dxa"/>
            <w:shd w:val="clear" w:color="auto" w:fill="auto"/>
            <w:noWrap/>
          </w:tcPr>
          <w:p w:rsidR="00F76963" w:rsidRPr="008A2917" w:rsidRDefault="00F76963" w:rsidP="00387896">
            <w:pPr>
              <w:pStyle w:val="TableText0"/>
              <w:jc w:val="center"/>
              <w:rPr>
                <w:szCs w:val="20"/>
                <w:lang w:eastAsia="en-AU"/>
              </w:rPr>
            </w:pPr>
          </w:p>
        </w:tc>
        <w:tc>
          <w:tcPr>
            <w:tcW w:w="1151" w:type="dxa"/>
            <w:shd w:val="clear" w:color="auto" w:fill="auto"/>
            <w:noWrap/>
          </w:tcPr>
          <w:p w:rsidR="00F76963" w:rsidRPr="008A2917" w:rsidRDefault="00F76963" w:rsidP="00387896">
            <w:pPr>
              <w:pStyle w:val="TableText0"/>
              <w:jc w:val="center"/>
              <w:rPr>
                <w:szCs w:val="20"/>
                <w:lang w:eastAsia="en-AU"/>
              </w:rPr>
            </w:pPr>
          </w:p>
        </w:tc>
        <w:tc>
          <w:tcPr>
            <w:tcW w:w="1081" w:type="dxa"/>
            <w:shd w:val="clear" w:color="auto" w:fill="auto"/>
            <w:noWrap/>
          </w:tcPr>
          <w:p w:rsidR="00F76963" w:rsidRPr="008A2917" w:rsidRDefault="00F76963" w:rsidP="00387896">
            <w:pPr>
              <w:pStyle w:val="TableText0"/>
              <w:jc w:val="center"/>
              <w:rPr>
                <w:szCs w:val="20"/>
                <w:lang w:eastAsia="en-AU"/>
              </w:rPr>
            </w:pPr>
          </w:p>
        </w:tc>
        <w:tc>
          <w:tcPr>
            <w:tcW w:w="1081" w:type="dxa"/>
            <w:shd w:val="clear" w:color="auto" w:fill="auto"/>
            <w:noWrap/>
          </w:tcPr>
          <w:p w:rsidR="00F76963" w:rsidRPr="008A2917" w:rsidRDefault="00F76963" w:rsidP="00387896">
            <w:pPr>
              <w:pStyle w:val="TableText0"/>
              <w:jc w:val="center"/>
              <w:rPr>
                <w:szCs w:val="20"/>
                <w:lang w:eastAsia="en-AU"/>
              </w:rPr>
            </w:pPr>
          </w:p>
        </w:tc>
        <w:tc>
          <w:tcPr>
            <w:tcW w:w="1081" w:type="dxa"/>
            <w:shd w:val="clear" w:color="auto" w:fill="auto"/>
            <w:noWrap/>
          </w:tcPr>
          <w:p w:rsidR="00F76963" w:rsidRPr="008A2917" w:rsidRDefault="00F76963" w:rsidP="00387896">
            <w:pPr>
              <w:pStyle w:val="TableText0"/>
              <w:jc w:val="center"/>
              <w:rPr>
                <w:szCs w:val="20"/>
                <w:lang w:eastAsia="en-AU"/>
              </w:rPr>
            </w:pP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High; B match High</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High; B match Mod</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High; B match Low</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Mod; B match High</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p>
        </w:tc>
        <w:tc>
          <w:tcPr>
            <w:tcW w:w="101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p>
        </w:tc>
        <w:tc>
          <w:tcPr>
            <w:tcW w:w="115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Mod; B match Mod</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Mod; B match Low</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Low; B match High</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1A215D" w:rsidRDefault="001A215D" w:rsidP="00387896">
            <w:pPr>
              <w:pStyle w:val="TableText0"/>
              <w:jc w:val="center"/>
              <w:rPr>
                <w:szCs w:val="20"/>
                <w:highlight w:val="black"/>
                <w:lang w:eastAsia="en-AU"/>
              </w:rPr>
            </w:pPr>
            <w:r>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Low; B match Mod</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 xml:space="preserve">A </w:t>
            </w:r>
            <w:proofErr w:type="spellStart"/>
            <w:r w:rsidRPr="008A2917">
              <w:rPr>
                <w:szCs w:val="20"/>
                <w:lang w:eastAsia="en-AU"/>
              </w:rPr>
              <w:t>prev</w:t>
            </w:r>
            <w:proofErr w:type="spellEnd"/>
            <w:r w:rsidRPr="008A2917">
              <w:rPr>
                <w:szCs w:val="20"/>
                <w:lang w:eastAsia="en-AU"/>
              </w:rPr>
              <w:t xml:space="preserve"> Low; B match Low</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r w:rsidR="00E422FD" w:rsidRPr="008A2917" w:rsidTr="000F1A6E">
        <w:trPr>
          <w:trHeight w:val="300"/>
        </w:trPr>
        <w:tc>
          <w:tcPr>
            <w:tcW w:w="2581" w:type="dxa"/>
            <w:shd w:val="clear" w:color="auto" w:fill="auto"/>
            <w:noWrap/>
            <w:hideMark/>
          </w:tcPr>
          <w:p w:rsidR="00E422FD" w:rsidRPr="008A2917" w:rsidRDefault="00E422FD" w:rsidP="00387896">
            <w:pPr>
              <w:pStyle w:val="TableText0"/>
              <w:rPr>
                <w:szCs w:val="20"/>
                <w:lang w:eastAsia="en-AU"/>
              </w:rPr>
            </w:pPr>
            <w:r w:rsidRPr="008A2917">
              <w:rPr>
                <w:szCs w:val="20"/>
                <w:lang w:eastAsia="en-AU"/>
              </w:rPr>
              <w:t>2002 to 2016 (</w:t>
            </w:r>
            <w:proofErr w:type="spellStart"/>
            <w:r w:rsidRPr="008A2917">
              <w:rPr>
                <w:szCs w:val="20"/>
                <w:lang w:eastAsia="en-AU"/>
              </w:rPr>
              <w:t>average</w:t>
            </w:r>
            <w:r w:rsidRPr="008A2917">
              <w:rPr>
                <w:szCs w:val="20"/>
                <w:vertAlign w:val="superscript"/>
                <w:lang w:eastAsia="en-AU"/>
              </w:rPr>
              <w:t>b</w:t>
            </w:r>
            <w:proofErr w:type="spellEnd"/>
            <w:r w:rsidRPr="008A2917">
              <w:rPr>
                <w:szCs w:val="20"/>
                <w:lang w:eastAsia="en-AU"/>
              </w:rPr>
              <w:t>)</w:t>
            </w:r>
          </w:p>
        </w:tc>
        <w:tc>
          <w:tcPr>
            <w:tcW w:w="1081" w:type="dxa"/>
            <w:shd w:val="clear" w:color="auto" w:fill="auto"/>
            <w:noWrap/>
            <w:vAlign w:val="bottom"/>
          </w:tcPr>
          <w:p w:rsidR="00E422FD" w:rsidRPr="008A2917" w:rsidRDefault="00C57E1F"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1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15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b/>
                <w:szCs w:val="20"/>
                <w:lang w:eastAsia="en-AU"/>
              </w:rPr>
            </w:pPr>
            <w:r w:rsidRPr="008A2917">
              <w:rPr>
                <w:b/>
                <w:szCs w:val="20"/>
                <w:lang w:eastAsia="en-AU"/>
              </w:rPr>
              <w:t>$</w:t>
            </w:r>
            <w:r w:rsidR="001A215D">
              <w:rPr>
                <w:b/>
                <w:noProof/>
                <w:color w:val="000000"/>
                <w:szCs w:val="20"/>
                <w:highlight w:val="black"/>
                <w:lang w:eastAsia="en-AU"/>
              </w:rPr>
              <w:t>'''''''''''''''</w:t>
            </w:r>
          </w:p>
        </w:tc>
        <w:tc>
          <w:tcPr>
            <w:tcW w:w="1081" w:type="dxa"/>
            <w:shd w:val="clear" w:color="auto" w:fill="auto"/>
            <w:noWrap/>
            <w:vAlign w:val="bottom"/>
          </w:tcPr>
          <w:p w:rsidR="00E422FD" w:rsidRPr="008A2917" w:rsidRDefault="00E422FD"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r>
    </w:tbl>
    <w:p w:rsidR="00C57E1F" w:rsidRPr="008A2917" w:rsidRDefault="00C57E1F" w:rsidP="00387896">
      <w:pPr>
        <w:pStyle w:val="TableFooter"/>
        <w:widowControl/>
      </w:pPr>
      <w:proofErr w:type="gramStart"/>
      <w:r w:rsidRPr="008A2917">
        <w:rPr>
          <w:vertAlign w:val="superscript"/>
        </w:rPr>
        <w:t>a</w:t>
      </w:r>
      <w:proofErr w:type="gramEnd"/>
      <w:r w:rsidRPr="008A2917">
        <w:t xml:space="preserve"> Flu seasons of moderate, low and high activity were estimated from FIM12 data which include two flu seasons with variable flu incidence (0.58% and 2.96% in SD-TIV vaccinated cohorts for the two seasons). The low and high seasons of FIM12 were used as proxies for low and high activity seasons in the mode. The moderate activity season is the overall FIM12 result (1.88%).</w:t>
      </w:r>
    </w:p>
    <w:p w:rsidR="00C57E1F" w:rsidRPr="008A2917" w:rsidRDefault="00C57E1F" w:rsidP="00387896">
      <w:pPr>
        <w:pStyle w:val="TableFooter"/>
        <w:widowControl/>
        <w:rPr>
          <w:szCs w:val="18"/>
          <w:vertAlign w:val="superscript"/>
        </w:rPr>
      </w:pPr>
      <w:proofErr w:type="gramStart"/>
      <w:r w:rsidRPr="008A2917">
        <w:rPr>
          <w:szCs w:val="18"/>
          <w:vertAlign w:val="superscript"/>
        </w:rPr>
        <w:t xml:space="preserve">b  </w:t>
      </w:r>
      <w:r w:rsidRPr="008A2917">
        <w:t>based</w:t>
      </w:r>
      <w:proofErr w:type="gramEnd"/>
      <w:r w:rsidRPr="008A2917">
        <w:t xml:space="preserve"> on average strain distribution and average extent of matching of B strain </w:t>
      </w:r>
    </w:p>
    <w:p w:rsidR="00C57E1F" w:rsidRPr="008A2917" w:rsidRDefault="00C57E1F" w:rsidP="00387896">
      <w:pPr>
        <w:pStyle w:val="TableFooter"/>
        <w:widowControl/>
      </w:pPr>
      <w:r w:rsidRPr="008A2917">
        <w:t>IC: Incremental Cost; Mod: Moderate; QALY: Quality-Adjusted Life Year.</w:t>
      </w:r>
    </w:p>
    <w:p w:rsidR="00C57E1F" w:rsidRPr="008A2917" w:rsidRDefault="00C57E1F" w:rsidP="00387896">
      <w:pPr>
        <w:pStyle w:val="TableFooter"/>
        <w:widowControl/>
      </w:pPr>
      <w:r w:rsidRPr="008A2917">
        <w:t>IC/QALY values exceeding $</w:t>
      </w:r>
      <w:r w:rsidR="001A215D">
        <w:rPr>
          <w:noProof/>
          <w:color w:val="000000"/>
          <w:highlight w:val="black"/>
        </w:rPr>
        <w:t>''''''''''''''''</w:t>
      </w:r>
      <w:r w:rsidR="00A70532">
        <w:t xml:space="preserve"> </w:t>
      </w:r>
      <w:r w:rsidRPr="008A2917">
        <w:t>as shown in bold font</w:t>
      </w:r>
      <w:r w:rsidR="008A2917">
        <w:t xml:space="preserve">. </w:t>
      </w:r>
    </w:p>
    <w:p w:rsidR="00B71F4C" w:rsidRPr="008A2917" w:rsidRDefault="00E422FD" w:rsidP="00387896">
      <w:pPr>
        <w:pStyle w:val="TableFooter"/>
        <w:widowControl/>
      </w:pPr>
      <w:r w:rsidRPr="008A2917">
        <w:t>Source: Table 2, p4 of the PSCR.</w:t>
      </w:r>
    </w:p>
    <w:p w:rsidR="00554480" w:rsidRDefault="00554480" w:rsidP="00387896">
      <w:pPr>
        <w:pStyle w:val="TableFigNote"/>
      </w:pPr>
      <w:r w:rsidRPr="008A2917">
        <w:t xml:space="preserve"> </w:t>
      </w:r>
    </w:p>
    <w:p w:rsidR="00165448" w:rsidRPr="00165448" w:rsidRDefault="00165448" w:rsidP="00387896">
      <w:pPr>
        <w:pStyle w:val="TableFigNote"/>
        <w:rPr>
          <w:sz w:val="24"/>
        </w:rPr>
      </w:pPr>
      <w:r>
        <w:rPr>
          <w:sz w:val="24"/>
        </w:rPr>
        <w:t>The redacted table shows ICERs in the range of dominant - $45,000/QALY.</w:t>
      </w:r>
    </w:p>
    <w:p w:rsidR="00165448" w:rsidRPr="008A2917" w:rsidRDefault="00165448" w:rsidP="00387896">
      <w:pPr>
        <w:pStyle w:val="TableFigNote"/>
        <w:rPr>
          <w:rFonts w:ascii="Arial Narrow" w:hAnsi="Arial Narrow"/>
          <w:szCs w:val="24"/>
        </w:rPr>
      </w:pPr>
    </w:p>
    <w:p w:rsidR="00E422FD" w:rsidRPr="008A2917" w:rsidRDefault="00E422FD" w:rsidP="00387896">
      <w:pPr>
        <w:pStyle w:val="ListParagraph"/>
        <w:widowControl/>
        <w:numPr>
          <w:ilvl w:val="1"/>
          <w:numId w:val="1"/>
        </w:numPr>
        <w:spacing w:after="120"/>
        <w:rPr>
          <w:rStyle w:val="CommentReference"/>
          <w:rFonts w:ascii="Calibri" w:hAnsi="Calibri"/>
          <w:b w:val="0"/>
          <w:sz w:val="24"/>
          <w:szCs w:val="22"/>
        </w:rPr>
      </w:pPr>
      <w:r w:rsidRPr="008A2917">
        <w:rPr>
          <w:iCs/>
        </w:rPr>
        <w:t xml:space="preserve">The results of the scenario analyses for TIV-HD </w:t>
      </w:r>
      <w:r w:rsidR="00A634C5" w:rsidRPr="008A2917">
        <w:rPr>
          <w:iCs/>
        </w:rPr>
        <w:t>vs</w:t>
      </w:r>
      <w:r w:rsidRPr="008A2917">
        <w:rPr>
          <w:iCs/>
        </w:rPr>
        <w:t xml:space="preserve"> </w:t>
      </w:r>
      <w:proofErr w:type="spellStart"/>
      <w:r w:rsidRPr="008A2917">
        <w:rPr>
          <w:iCs/>
        </w:rPr>
        <w:t>aQIV</w:t>
      </w:r>
      <w:proofErr w:type="spellEnd"/>
      <w:r w:rsidRPr="008A2917">
        <w:rPr>
          <w:iCs/>
        </w:rPr>
        <w:t xml:space="preserve"> </w:t>
      </w:r>
      <w:r w:rsidR="00AE62D8" w:rsidRPr="008A2917">
        <w:rPr>
          <w:iCs/>
        </w:rPr>
        <w:t xml:space="preserve">using the </w:t>
      </w:r>
      <w:r w:rsidR="00F869EF" w:rsidRPr="008A2917">
        <w:rPr>
          <w:iCs/>
        </w:rPr>
        <w:t>estimate of</w:t>
      </w:r>
      <w:r w:rsidR="00810548" w:rsidRPr="008A2917">
        <w:rPr>
          <w:iCs/>
        </w:rPr>
        <w:t xml:space="preserve"> </w:t>
      </w:r>
      <w:proofErr w:type="spellStart"/>
      <w:r w:rsidR="00810548" w:rsidRPr="008A2917">
        <w:rPr>
          <w:iCs/>
        </w:rPr>
        <w:t>rVE</w:t>
      </w:r>
      <w:proofErr w:type="spellEnd"/>
      <w:r w:rsidR="00810548" w:rsidRPr="008A2917">
        <w:rPr>
          <w:iCs/>
        </w:rPr>
        <w:t xml:space="preserve"> </w:t>
      </w:r>
      <w:r w:rsidR="00F869EF" w:rsidRPr="008A2917">
        <w:rPr>
          <w:iCs/>
        </w:rPr>
        <w:t xml:space="preserve">as calculated in the resubmission </w:t>
      </w:r>
      <w:r w:rsidRPr="008A2917">
        <w:rPr>
          <w:iCs/>
        </w:rPr>
        <w:t>are presented in Table 19 (using the mortality rates from Newall) and Table 20 (using the mortality rate from the Main model).</w:t>
      </w:r>
    </w:p>
    <w:p w:rsidR="00EC741A" w:rsidRPr="008A2917" w:rsidRDefault="00EC741A" w:rsidP="00387896">
      <w:pPr>
        <w:pStyle w:val="TableHeading0"/>
        <w:rPr>
          <w:rStyle w:val="CommentReference"/>
          <w:b/>
          <w:szCs w:val="22"/>
        </w:rPr>
      </w:pPr>
      <w:r w:rsidRPr="008A2917">
        <w:rPr>
          <w:rStyle w:val="CommentReference"/>
          <w:b/>
          <w:szCs w:val="22"/>
        </w:rPr>
        <w:lastRenderedPageBreak/>
        <w:t xml:space="preserve">Table </w:t>
      </w:r>
      <w:r w:rsidR="000D5A8F" w:rsidRPr="008A2917">
        <w:rPr>
          <w:rStyle w:val="CommentReference"/>
          <w:b/>
          <w:szCs w:val="22"/>
        </w:rPr>
        <w:t>19</w:t>
      </w:r>
      <w:r w:rsidRPr="008A2917">
        <w:rPr>
          <w:rStyle w:val="CommentReference"/>
          <w:b/>
          <w:szCs w:val="22"/>
        </w:rPr>
        <w:t xml:space="preserve">: TIV-HD vs </w:t>
      </w:r>
      <w:proofErr w:type="spellStart"/>
      <w:r w:rsidRPr="008A2917">
        <w:rPr>
          <w:rStyle w:val="CommentReference"/>
          <w:b/>
          <w:szCs w:val="22"/>
        </w:rPr>
        <w:t>aQIV</w:t>
      </w:r>
      <w:proofErr w:type="spellEnd"/>
      <w:r w:rsidRPr="008A2917">
        <w:rPr>
          <w:rStyle w:val="CommentReference"/>
          <w:b/>
          <w:szCs w:val="22"/>
        </w:rPr>
        <w:t xml:space="preserve"> results of the Supplementary economic model by influenza activity, strain distribution and hospitalisation rate with mortality rates from Newall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078"/>
        <w:gridCol w:w="1009"/>
        <w:gridCol w:w="1191"/>
        <w:gridCol w:w="969"/>
        <w:gridCol w:w="1110"/>
        <w:gridCol w:w="1112"/>
      </w:tblGrid>
      <w:tr w:rsidR="00F517B7" w:rsidRPr="008A2917" w:rsidTr="00D03D21">
        <w:trPr>
          <w:trHeight w:val="300"/>
        </w:trPr>
        <w:tc>
          <w:tcPr>
            <w:tcW w:w="1423" w:type="pct"/>
            <w:shd w:val="clear" w:color="auto" w:fill="auto"/>
            <w:noWrap/>
          </w:tcPr>
          <w:p w:rsidR="00F517B7" w:rsidRPr="008A2917" w:rsidRDefault="00F517B7" w:rsidP="00387896">
            <w:pPr>
              <w:pStyle w:val="TableText0"/>
              <w:rPr>
                <w:b/>
                <w:bCs/>
                <w:iCs/>
                <w:szCs w:val="20"/>
                <w:lang w:eastAsia="en-AU"/>
              </w:rPr>
            </w:pPr>
            <w:r w:rsidRPr="008A2917">
              <w:rPr>
                <w:b/>
                <w:bCs/>
                <w:iCs/>
                <w:szCs w:val="20"/>
                <w:lang w:eastAsia="en-AU"/>
              </w:rPr>
              <w:t>Model result</w:t>
            </w:r>
          </w:p>
        </w:tc>
        <w:tc>
          <w:tcPr>
            <w:tcW w:w="1779" w:type="pct"/>
            <w:gridSpan w:val="3"/>
            <w:shd w:val="clear" w:color="auto" w:fill="auto"/>
            <w:noWrap/>
          </w:tcPr>
          <w:p w:rsidR="00F517B7" w:rsidRPr="008A2917" w:rsidRDefault="00F517B7" w:rsidP="00387896">
            <w:pPr>
              <w:pStyle w:val="TableText0"/>
              <w:jc w:val="center"/>
              <w:rPr>
                <w:b/>
                <w:bCs/>
                <w:iCs/>
                <w:szCs w:val="20"/>
                <w:lang w:eastAsia="en-AU"/>
              </w:rPr>
            </w:pPr>
            <w:r w:rsidRPr="008A2917">
              <w:rPr>
                <w:b/>
                <w:bCs/>
                <w:iCs/>
                <w:szCs w:val="20"/>
                <w:lang w:eastAsia="en-AU"/>
              </w:rPr>
              <w:t>IC/QALY (trial-based hospital rates)</w:t>
            </w:r>
          </w:p>
        </w:tc>
        <w:tc>
          <w:tcPr>
            <w:tcW w:w="1798" w:type="pct"/>
            <w:gridSpan w:val="3"/>
            <w:shd w:val="clear" w:color="auto" w:fill="auto"/>
            <w:noWrap/>
          </w:tcPr>
          <w:p w:rsidR="00F517B7" w:rsidRPr="008A2917" w:rsidRDefault="00F517B7" w:rsidP="00387896">
            <w:pPr>
              <w:pStyle w:val="TableText0"/>
              <w:jc w:val="center"/>
              <w:rPr>
                <w:b/>
                <w:bCs/>
                <w:iCs/>
                <w:szCs w:val="20"/>
                <w:lang w:eastAsia="en-AU"/>
              </w:rPr>
            </w:pPr>
            <w:r w:rsidRPr="008A2917">
              <w:rPr>
                <w:b/>
                <w:bCs/>
                <w:iCs/>
                <w:szCs w:val="20"/>
                <w:lang w:eastAsia="en-AU"/>
              </w:rPr>
              <w:t>IC/QALY (Newall 2008 hospital rates)</w:t>
            </w:r>
          </w:p>
        </w:tc>
      </w:tr>
      <w:tr w:rsidR="00F517B7" w:rsidRPr="008A2917" w:rsidTr="00D03D21">
        <w:trPr>
          <w:trHeight w:val="300"/>
        </w:trPr>
        <w:tc>
          <w:tcPr>
            <w:tcW w:w="1423" w:type="pct"/>
            <w:tcBorders>
              <w:bottom w:val="single" w:sz="4" w:space="0" w:color="auto"/>
            </w:tcBorders>
            <w:shd w:val="clear" w:color="auto" w:fill="auto"/>
            <w:noWrap/>
            <w:hideMark/>
          </w:tcPr>
          <w:p w:rsidR="00F517B7" w:rsidRPr="008A2917" w:rsidRDefault="00F517B7" w:rsidP="00387896">
            <w:pPr>
              <w:pStyle w:val="TableText0"/>
              <w:rPr>
                <w:b/>
                <w:bCs/>
                <w:iCs/>
                <w:szCs w:val="20"/>
                <w:vertAlign w:val="superscript"/>
                <w:lang w:eastAsia="en-AU"/>
              </w:rPr>
            </w:pPr>
            <w:r w:rsidRPr="008A2917">
              <w:rPr>
                <w:b/>
                <w:bCs/>
                <w:iCs/>
                <w:szCs w:val="20"/>
                <w:lang w:eastAsia="en-AU"/>
              </w:rPr>
              <w:t xml:space="preserve">Flu activity </w:t>
            </w:r>
            <w:r w:rsidRPr="008A2917">
              <w:rPr>
                <w:b/>
                <w:bCs/>
                <w:iCs/>
                <w:szCs w:val="20"/>
                <w:vertAlign w:val="superscript"/>
                <w:lang w:eastAsia="en-AU"/>
              </w:rPr>
              <w:t>a</w:t>
            </w:r>
          </w:p>
        </w:tc>
        <w:tc>
          <w:tcPr>
            <w:tcW w:w="607" w:type="pct"/>
            <w:tcBorders>
              <w:bottom w:val="single" w:sz="4" w:space="0" w:color="auto"/>
            </w:tcBorders>
            <w:shd w:val="clear" w:color="auto" w:fill="auto"/>
            <w:noWrap/>
            <w:hideMark/>
          </w:tcPr>
          <w:p w:rsidR="00F517B7" w:rsidRPr="008A2917" w:rsidRDefault="00F517B7" w:rsidP="00387896">
            <w:pPr>
              <w:pStyle w:val="TableText0"/>
              <w:jc w:val="center"/>
              <w:rPr>
                <w:b/>
                <w:bCs/>
                <w:iCs/>
                <w:szCs w:val="20"/>
                <w:lang w:eastAsia="en-AU"/>
              </w:rPr>
            </w:pPr>
            <w:r w:rsidRPr="008A2917">
              <w:rPr>
                <w:b/>
                <w:bCs/>
                <w:iCs/>
                <w:szCs w:val="20"/>
                <w:lang w:eastAsia="en-AU"/>
              </w:rPr>
              <w:t>Mod</w:t>
            </w:r>
          </w:p>
        </w:tc>
        <w:tc>
          <w:tcPr>
            <w:tcW w:w="547" w:type="pct"/>
            <w:tcBorders>
              <w:bottom w:val="single" w:sz="4" w:space="0" w:color="auto"/>
            </w:tcBorders>
            <w:shd w:val="clear" w:color="auto" w:fill="auto"/>
            <w:noWrap/>
            <w:hideMark/>
          </w:tcPr>
          <w:p w:rsidR="00F517B7" w:rsidRPr="008A2917" w:rsidRDefault="00F517B7" w:rsidP="00387896">
            <w:pPr>
              <w:pStyle w:val="TableText0"/>
              <w:jc w:val="center"/>
              <w:rPr>
                <w:b/>
                <w:bCs/>
                <w:iCs/>
                <w:szCs w:val="20"/>
                <w:lang w:eastAsia="en-AU"/>
              </w:rPr>
            </w:pPr>
            <w:r w:rsidRPr="008A2917">
              <w:rPr>
                <w:b/>
                <w:bCs/>
                <w:iCs/>
                <w:szCs w:val="20"/>
                <w:lang w:eastAsia="en-AU"/>
              </w:rPr>
              <w:t>Low</w:t>
            </w:r>
          </w:p>
        </w:tc>
        <w:tc>
          <w:tcPr>
            <w:tcW w:w="625" w:type="pct"/>
            <w:tcBorders>
              <w:bottom w:val="single" w:sz="4" w:space="0" w:color="auto"/>
            </w:tcBorders>
            <w:shd w:val="clear" w:color="auto" w:fill="auto"/>
            <w:noWrap/>
            <w:hideMark/>
          </w:tcPr>
          <w:p w:rsidR="00F517B7" w:rsidRPr="008A2917" w:rsidRDefault="00F517B7" w:rsidP="00387896">
            <w:pPr>
              <w:pStyle w:val="TableText0"/>
              <w:jc w:val="center"/>
              <w:rPr>
                <w:b/>
                <w:bCs/>
                <w:iCs/>
                <w:szCs w:val="20"/>
                <w:lang w:eastAsia="en-AU"/>
              </w:rPr>
            </w:pPr>
            <w:r w:rsidRPr="008A2917">
              <w:rPr>
                <w:b/>
                <w:bCs/>
                <w:iCs/>
                <w:szCs w:val="20"/>
                <w:lang w:eastAsia="en-AU"/>
              </w:rPr>
              <w:t>High</w:t>
            </w:r>
          </w:p>
        </w:tc>
        <w:tc>
          <w:tcPr>
            <w:tcW w:w="547" w:type="pct"/>
            <w:tcBorders>
              <w:bottom w:val="single" w:sz="4" w:space="0" w:color="auto"/>
            </w:tcBorders>
            <w:shd w:val="clear" w:color="auto" w:fill="auto"/>
            <w:noWrap/>
            <w:hideMark/>
          </w:tcPr>
          <w:p w:rsidR="00F517B7" w:rsidRPr="008A2917" w:rsidRDefault="00F517B7" w:rsidP="00387896">
            <w:pPr>
              <w:pStyle w:val="TableText0"/>
              <w:jc w:val="center"/>
              <w:rPr>
                <w:b/>
                <w:bCs/>
                <w:iCs/>
                <w:szCs w:val="20"/>
                <w:lang w:eastAsia="en-AU"/>
              </w:rPr>
            </w:pPr>
            <w:r w:rsidRPr="008A2917">
              <w:rPr>
                <w:b/>
                <w:bCs/>
                <w:iCs/>
                <w:szCs w:val="20"/>
                <w:lang w:eastAsia="en-AU"/>
              </w:rPr>
              <w:t>Mod</w:t>
            </w:r>
          </w:p>
        </w:tc>
        <w:tc>
          <w:tcPr>
            <w:tcW w:w="625" w:type="pct"/>
            <w:tcBorders>
              <w:bottom w:val="single" w:sz="4" w:space="0" w:color="auto"/>
            </w:tcBorders>
            <w:shd w:val="clear" w:color="auto" w:fill="auto"/>
            <w:noWrap/>
            <w:hideMark/>
          </w:tcPr>
          <w:p w:rsidR="00F517B7" w:rsidRPr="008A2917" w:rsidRDefault="00F517B7" w:rsidP="00387896">
            <w:pPr>
              <w:pStyle w:val="TableText0"/>
              <w:jc w:val="center"/>
              <w:rPr>
                <w:b/>
                <w:bCs/>
                <w:iCs/>
                <w:szCs w:val="20"/>
                <w:lang w:eastAsia="en-AU"/>
              </w:rPr>
            </w:pPr>
            <w:r w:rsidRPr="008A2917">
              <w:rPr>
                <w:b/>
                <w:bCs/>
                <w:iCs/>
                <w:szCs w:val="20"/>
                <w:lang w:eastAsia="en-AU"/>
              </w:rPr>
              <w:t>Low</w:t>
            </w:r>
          </w:p>
        </w:tc>
        <w:tc>
          <w:tcPr>
            <w:tcW w:w="625" w:type="pct"/>
            <w:tcBorders>
              <w:bottom w:val="single" w:sz="4" w:space="0" w:color="auto"/>
            </w:tcBorders>
            <w:shd w:val="clear" w:color="auto" w:fill="auto"/>
            <w:noWrap/>
            <w:hideMark/>
          </w:tcPr>
          <w:p w:rsidR="00F517B7" w:rsidRPr="008A2917" w:rsidRDefault="00F517B7" w:rsidP="00387896">
            <w:pPr>
              <w:pStyle w:val="TableText0"/>
              <w:jc w:val="center"/>
              <w:rPr>
                <w:b/>
                <w:bCs/>
                <w:iCs/>
                <w:szCs w:val="20"/>
                <w:lang w:eastAsia="en-AU"/>
              </w:rPr>
            </w:pPr>
            <w:r w:rsidRPr="008A2917">
              <w:rPr>
                <w:b/>
                <w:bCs/>
                <w:iCs/>
                <w:szCs w:val="20"/>
                <w:lang w:eastAsia="en-AU"/>
              </w:rPr>
              <w:t>High</w:t>
            </w:r>
          </w:p>
        </w:tc>
      </w:tr>
      <w:tr w:rsidR="00F517B7" w:rsidRPr="008A2917" w:rsidTr="00D03D21">
        <w:trPr>
          <w:trHeight w:val="300"/>
        </w:trPr>
        <w:tc>
          <w:tcPr>
            <w:tcW w:w="1423" w:type="pct"/>
            <w:tcBorders>
              <w:right w:val="nil"/>
            </w:tcBorders>
            <w:shd w:val="clear" w:color="auto" w:fill="auto"/>
            <w:noWrap/>
          </w:tcPr>
          <w:p w:rsidR="00F517B7" w:rsidRPr="008A2917" w:rsidRDefault="00F517B7" w:rsidP="00387896">
            <w:pPr>
              <w:pStyle w:val="TableText0"/>
              <w:rPr>
                <w:bCs/>
                <w:iCs/>
                <w:szCs w:val="20"/>
                <w:lang w:eastAsia="en-AU"/>
              </w:rPr>
            </w:pPr>
            <w:r w:rsidRPr="008A2917">
              <w:rPr>
                <w:bCs/>
                <w:iCs/>
                <w:szCs w:val="20"/>
                <w:lang w:eastAsia="en-AU"/>
              </w:rPr>
              <w:t>Strain distribution scenarios</w:t>
            </w:r>
          </w:p>
        </w:tc>
        <w:tc>
          <w:tcPr>
            <w:tcW w:w="607" w:type="pct"/>
            <w:tcBorders>
              <w:left w:val="nil"/>
              <w:right w:val="nil"/>
            </w:tcBorders>
            <w:shd w:val="clear" w:color="auto" w:fill="auto"/>
            <w:noWrap/>
          </w:tcPr>
          <w:p w:rsidR="00F517B7" w:rsidRPr="008A2917" w:rsidRDefault="00F517B7" w:rsidP="00387896">
            <w:pPr>
              <w:pStyle w:val="TableText0"/>
              <w:rPr>
                <w:iCs/>
                <w:szCs w:val="20"/>
                <w:lang w:eastAsia="en-AU"/>
              </w:rPr>
            </w:pPr>
          </w:p>
        </w:tc>
        <w:tc>
          <w:tcPr>
            <w:tcW w:w="547" w:type="pct"/>
            <w:tcBorders>
              <w:left w:val="nil"/>
              <w:right w:val="nil"/>
            </w:tcBorders>
            <w:shd w:val="clear" w:color="auto" w:fill="auto"/>
            <w:noWrap/>
          </w:tcPr>
          <w:p w:rsidR="00F517B7" w:rsidRPr="008A2917" w:rsidRDefault="00F517B7" w:rsidP="00387896">
            <w:pPr>
              <w:pStyle w:val="TableText0"/>
              <w:rPr>
                <w:iCs/>
                <w:szCs w:val="20"/>
                <w:lang w:eastAsia="en-AU"/>
              </w:rPr>
            </w:pPr>
          </w:p>
        </w:tc>
        <w:tc>
          <w:tcPr>
            <w:tcW w:w="625" w:type="pct"/>
            <w:tcBorders>
              <w:left w:val="nil"/>
              <w:right w:val="nil"/>
            </w:tcBorders>
            <w:shd w:val="clear" w:color="auto" w:fill="auto"/>
            <w:noWrap/>
          </w:tcPr>
          <w:p w:rsidR="00F517B7" w:rsidRPr="008A2917" w:rsidRDefault="00F517B7" w:rsidP="00387896">
            <w:pPr>
              <w:pStyle w:val="TableText0"/>
              <w:rPr>
                <w:iCs/>
                <w:szCs w:val="20"/>
                <w:lang w:eastAsia="en-AU"/>
              </w:rPr>
            </w:pPr>
          </w:p>
        </w:tc>
        <w:tc>
          <w:tcPr>
            <w:tcW w:w="547" w:type="pct"/>
            <w:tcBorders>
              <w:left w:val="nil"/>
              <w:right w:val="nil"/>
            </w:tcBorders>
            <w:shd w:val="clear" w:color="auto" w:fill="auto"/>
            <w:noWrap/>
          </w:tcPr>
          <w:p w:rsidR="00F517B7" w:rsidRPr="008A2917" w:rsidRDefault="00F517B7" w:rsidP="00387896">
            <w:pPr>
              <w:pStyle w:val="TableText0"/>
              <w:rPr>
                <w:iCs/>
                <w:szCs w:val="20"/>
                <w:lang w:eastAsia="en-AU"/>
              </w:rPr>
            </w:pPr>
          </w:p>
        </w:tc>
        <w:tc>
          <w:tcPr>
            <w:tcW w:w="625" w:type="pct"/>
            <w:tcBorders>
              <w:left w:val="nil"/>
              <w:right w:val="nil"/>
            </w:tcBorders>
            <w:shd w:val="clear" w:color="auto" w:fill="auto"/>
            <w:noWrap/>
          </w:tcPr>
          <w:p w:rsidR="00F517B7" w:rsidRPr="008A2917" w:rsidRDefault="00F517B7" w:rsidP="00387896">
            <w:pPr>
              <w:pStyle w:val="TableText0"/>
              <w:rPr>
                <w:iCs/>
                <w:szCs w:val="20"/>
                <w:lang w:eastAsia="en-AU"/>
              </w:rPr>
            </w:pPr>
          </w:p>
        </w:tc>
        <w:tc>
          <w:tcPr>
            <w:tcW w:w="625" w:type="pct"/>
            <w:tcBorders>
              <w:left w:val="nil"/>
            </w:tcBorders>
            <w:shd w:val="clear" w:color="auto" w:fill="auto"/>
            <w:noWrap/>
          </w:tcPr>
          <w:p w:rsidR="00F517B7" w:rsidRPr="008A2917" w:rsidRDefault="00F517B7" w:rsidP="00387896">
            <w:pPr>
              <w:pStyle w:val="TableText0"/>
              <w:rPr>
                <w:iCs/>
                <w:szCs w:val="20"/>
                <w:lang w:eastAsia="en-AU"/>
              </w:rPr>
            </w:pP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High; B match High</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1A215D" w:rsidRDefault="001A215D" w:rsidP="00387896">
            <w:pPr>
              <w:pStyle w:val="TableText0"/>
              <w:jc w:val="center"/>
              <w:rPr>
                <w:iCs/>
                <w:szCs w:val="20"/>
                <w:highlight w:val="black"/>
                <w:lang w:eastAsia="en-AU"/>
              </w:rPr>
            </w:pPr>
            <w:r>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High; B match Mod</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1A215D" w:rsidRDefault="001A215D" w:rsidP="00387896">
            <w:pPr>
              <w:pStyle w:val="TableText0"/>
              <w:jc w:val="center"/>
              <w:rPr>
                <w:iCs/>
                <w:szCs w:val="20"/>
                <w:highlight w:val="black"/>
                <w:lang w:eastAsia="en-AU"/>
              </w:rPr>
            </w:pPr>
            <w:r>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High; B match Low</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1A215D" w:rsidRDefault="001A215D" w:rsidP="00387896">
            <w:pPr>
              <w:pStyle w:val="TableText0"/>
              <w:jc w:val="center"/>
              <w:rPr>
                <w:iCs/>
                <w:szCs w:val="20"/>
                <w:highlight w:val="black"/>
                <w:lang w:eastAsia="en-AU"/>
              </w:rPr>
            </w:pPr>
            <w:r>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Mod; B match High</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N/A</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N/A</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N/A</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N/A</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N/A</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N/A</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Mod; B match Mod</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Mod; B match Low</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b/>
                <w:iCs/>
                <w:szCs w:val="20"/>
                <w:lang w:eastAsia="en-AU"/>
              </w:rPr>
            </w:pPr>
            <w:r w:rsidRPr="008A2917">
              <w:rPr>
                <w:b/>
                <w:iCs/>
                <w:szCs w:val="20"/>
              </w:rPr>
              <w:t>$</w:t>
            </w:r>
            <w:r w:rsidR="001A215D">
              <w:rPr>
                <w:b/>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b/>
                <w:iCs/>
                <w:szCs w:val="20"/>
                <w:lang w:eastAsia="en-AU"/>
              </w:rPr>
            </w:pPr>
            <w:r w:rsidRPr="008A2917">
              <w:rPr>
                <w:b/>
                <w:iCs/>
                <w:szCs w:val="20"/>
              </w:rPr>
              <w:t>$</w:t>
            </w:r>
            <w:r w:rsidR="001A215D">
              <w:rPr>
                <w:b/>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Low; B match High</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1A215D" w:rsidRDefault="001A215D" w:rsidP="00387896">
            <w:pPr>
              <w:pStyle w:val="TableText0"/>
              <w:jc w:val="center"/>
              <w:rPr>
                <w:iCs/>
                <w:szCs w:val="20"/>
                <w:highlight w:val="black"/>
                <w:lang w:eastAsia="en-AU"/>
              </w:rPr>
            </w:pPr>
            <w:r>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Low; B match Mod</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b/>
                <w:iCs/>
                <w:szCs w:val="20"/>
                <w:lang w:eastAsia="en-AU"/>
              </w:rPr>
            </w:pPr>
            <w:r w:rsidRPr="008A2917">
              <w:rPr>
                <w:b/>
                <w:iCs/>
                <w:szCs w:val="20"/>
              </w:rPr>
              <w:t>$</w:t>
            </w:r>
            <w:r w:rsidR="001A215D">
              <w:rPr>
                <w:b/>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b/>
                <w:iCs/>
                <w:szCs w:val="20"/>
                <w:lang w:eastAsia="en-AU"/>
              </w:rPr>
            </w:pPr>
            <w:r w:rsidRPr="008A2917">
              <w:rPr>
                <w:b/>
                <w:iCs/>
                <w:szCs w:val="20"/>
              </w:rPr>
              <w:t>$</w:t>
            </w:r>
            <w:r w:rsidR="001A215D">
              <w:rPr>
                <w:b/>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Low; B match Low</w:t>
            </w:r>
          </w:p>
        </w:tc>
        <w:tc>
          <w:tcPr>
            <w:tcW w:w="60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b/>
                <w:iCs/>
                <w:szCs w:val="20"/>
                <w:lang w:eastAsia="en-AU"/>
              </w:rPr>
            </w:pPr>
            <w:r w:rsidRPr="008A2917">
              <w:rPr>
                <w:b/>
                <w:iCs/>
                <w:szCs w:val="20"/>
              </w:rPr>
              <w:t>$</w:t>
            </w:r>
            <w:r w:rsidR="001A215D">
              <w:rPr>
                <w:b/>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b/>
                <w:iCs/>
                <w:szCs w:val="20"/>
                <w:lang w:eastAsia="en-AU"/>
              </w:rPr>
            </w:pPr>
            <w:r w:rsidRPr="008A2917">
              <w:rPr>
                <w:b/>
                <w:iCs/>
                <w:szCs w:val="20"/>
              </w:rPr>
              <w:t>$</w:t>
            </w:r>
            <w:r w:rsidR="001A215D">
              <w:rPr>
                <w:b/>
                <w:iCs/>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iCs/>
                <w:szCs w:val="20"/>
                <w:lang w:eastAsia="en-AU"/>
              </w:rPr>
            </w:pPr>
            <w:r w:rsidRPr="008A2917">
              <w:rPr>
                <w:iCs/>
                <w:szCs w:val="20"/>
              </w:rPr>
              <w:t>$</w:t>
            </w:r>
            <w:r w:rsidR="001A215D">
              <w:rPr>
                <w:iCs/>
                <w:noProof/>
                <w:color w:val="000000"/>
                <w:szCs w:val="20"/>
                <w:highlight w:val="black"/>
              </w:rPr>
              <w:t>''''''''''''''''</w:t>
            </w:r>
          </w:p>
        </w:tc>
      </w:tr>
      <w:tr w:rsidR="00F517B7" w:rsidRPr="008A2917" w:rsidTr="00D03D21">
        <w:trPr>
          <w:trHeight w:val="300"/>
        </w:trPr>
        <w:tc>
          <w:tcPr>
            <w:tcW w:w="1423" w:type="pct"/>
            <w:shd w:val="clear" w:color="auto" w:fill="auto"/>
            <w:noWrap/>
            <w:hideMark/>
          </w:tcPr>
          <w:p w:rsidR="00F517B7" w:rsidRPr="008A2917" w:rsidRDefault="00F517B7" w:rsidP="00387896">
            <w:pPr>
              <w:pStyle w:val="TableText0"/>
              <w:rPr>
                <w:iCs/>
                <w:szCs w:val="20"/>
                <w:lang w:eastAsia="en-AU"/>
              </w:rPr>
            </w:pPr>
            <w:r w:rsidRPr="008A2917">
              <w:rPr>
                <w:iCs/>
                <w:szCs w:val="20"/>
                <w:lang w:eastAsia="en-AU"/>
              </w:rPr>
              <w:t>2002 to 2016 (</w:t>
            </w:r>
            <w:proofErr w:type="spellStart"/>
            <w:r w:rsidRPr="008A2917">
              <w:rPr>
                <w:iCs/>
                <w:szCs w:val="20"/>
                <w:lang w:eastAsia="en-AU"/>
              </w:rPr>
              <w:t>average</w:t>
            </w:r>
            <w:r w:rsidR="00C57E1F" w:rsidRPr="008A2917">
              <w:rPr>
                <w:iCs/>
                <w:szCs w:val="20"/>
                <w:vertAlign w:val="superscript"/>
                <w:lang w:eastAsia="en-AU"/>
              </w:rPr>
              <w:t>b</w:t>
            </w:r>
            <w:proofErr w:type="spellEnd"/>
            <w:r w:rsidRPr="008A2917">
              <w:rPr>
                <w:iCs/>
                <w:szCs w:val="20"/>
                <w:lang w:eastAsia="en-AU"/>
              </w:rPr>
              <w:t>)</w:t>
            </w:r>
          </w:p>
        </w:tc>
        <w:tc>
          <w:tcPr>
            <w:tcW w:w="607" w:type="pct"/>
            <w:shd w:val="clear" w:color="auto" w:fill="auto"/>
            <w:noWrap/>
          </w:tcPr>
          <w:p w:rsidR="00F517B7" w:rsidRPr="008A2917" w:rsidRDefault="00F517B7" w:rsidP="00387896">
            <w:pPr>
              <w:pStyle w:val="TableText0"/>
              <w:jc w:val="center"/>
              <w:rPr>
                <w:bCs/>
                <w:szCs w:val="20"/>
                <w:lang w:eastAsia="en-AU"/>
              </w:rPr>
            </w:pPr>
            <w:r w:rsidRPr="008A2917">
              <w:rPr>
                <w:bCs/>
                <w:szCs w:val="20"/>
                <w:lang w:eastAsia="en-AU"/>
              </w:rPr>
              <w:t>$</w:t>
            </w:r>
            <w:r w:rsidR="001A215D">
              <w:rPr>
                <w:bCs/>
                <w:noProof/>
                <w:color w:val="000000"/>
                <w:szCs w:val="20"/>
                <w:highlight w:val="black"/>
                <w:lang w:eastAsia="en-AU"/>
              </w:rPr>
              <w:t>''''''''''''''</w:t>
            </w:r>
          </w:p>
        </w:tc>
        <w:tc>
          <w:tcPr>
            <w:tcW w:w="547" w:type="pct"/>
            <w:shd w:val="clear" w:color="auto" w:fill="auto"/>
            <w:noWrap/>
          </w:tcPr>
          <w:p w:rsidR="00F517B7" w:rsidRPr="008A2917" w:rsidRDefault="00F517B7" w:rsidP="00387896">
            <w:pPr>
              <w:pStyle w:val="TableText0"/>
              <w:jc w:val="center"/>
              <w:rPr>
                <w:szCs w:val="20"/>
                <w:lang w:eastAsia="en-AU"/>
              </w:rPr>
            </w:pPr>
            <w:r w:rsidRPr="008A2917">
              <w:rPr>
                <w:szCs w:val="20"/>
              </w:rPr>
              <w:t>$</w:t>
            </w:r>
            <w:r w:rsidR="001A215D">
              <w:rPr>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szCs w:val="20"/>
                <w:lang w:eastAsia="en-AU"/>
              </w:rPr>
            </w:pPr>
            <w:r w:rsidRPr="008A2917">
              <w:rPr>
                <w:szCs w:val="20"/>
              </w:rPr>
              <w:t>$</w:t>
            </w:r>
            <w:r w:rsidR="001A215D">
              <w:rPr>
                <w:noProof/>
                <w:color w:val="000000"/>
                <w:szCs w:val="20"/>
                <w:highlight w:val="black"/>
              </w:rPr>
              <w:t>''''''''''''''</w:t>
            </w:r>
          </w:p>
        </w:tc>
        <w:tc>
          <w:tcPr>
            <w:tcW w:w="547" w:type="pct"/>
            <w:shd w:val="clear" w:color="auto" w:fill="auto"/>
            <w:noWrap/>
          </w:tcPr>
          <w:p w:rsidR="00F517B7" w:rsidRPr="008A2917" w:rsidRDefault="00F517B7" w:rsidP="00387896">
            <w:pPr>
              <w:pStyle w:val="TableText0"/>
              <w:jc w:val="center"/>
              <w:rPr>
                <w:szCs w:val="20"/>
                <w:lang w:eastAsia="en-AU"/>
              </w:rPr>
            </w:pPr>
            <w:r w:rsidRPr="008A2917">
              <w:rPr>
                <w:szCs w:val="20"/>
                <w:lang w:eastAsia="en-AU"/>
              </w:rPr>
              <w:t>$</w:t>
            </w:r>
            <w:r w:rsidR="001A215D">
              <w:rPr>
                <w:noProof/>
                <w:color w:val="000000"/>
                <w:szCs w:val="20"/>
                <w:highlight w:val="black"/>
                <w:lang w:eastAsia="en-AU"/>
              </w:rPr>
              <w:t>'''''''''''''''</w:t>
            </w:r>
          </w:p>
        </w:tc>
        <w:tc>
          <w:tcPr>
            <w:tcW w:w="625" w:type="pct"/>
            <w:shd w:val="clear" w:color="auto" w:fill="auto"/>
            <w:noWrap/>
          </w:tcPr>
          <w:p w:rsidR="00F517B7" w:rsidRPr="008A2917" w:rsidRDefault="00F517B7" w:rsidP="00387896">
            <w:pPr>
              <w:pStyle w:val="TableText0"/>
              <w:jc w:val="center"/>
              <w:rPr>
                <w:szCs w:val="20"/>
                <w:lang w:eastAsia="en-AU"/>
              </w:rPr>
            </w:pPr>
            <w:r w:rsidRPr="008A2917">
              <w:rPr>
                <w:szCs w:val="20"/>
              </w:rPr>
              <w:t>$</w:t>
            </w:r>
            <w:r w:rsidR="001A215D">
              <w:rPr>
                <w:noProof/>
                <w:color w:val="000000"/>
                <w:szCs w:val="20"/>
                <w:highlight w:val="black"/>
              </w:rPr>
              <w:t>''''''''''''''''</w:t>
            </w:r>
          </w:p>
        </w:tc>
        <w:tc>
          <w:tcPr>
            <w:tcW w:w="625" w:type="pct"/>
            <w:shd w:val="clear" w:color="auto" w:fill="auto"/>
            <w:noWrap/>
          </w:tcPr>
          <w:p w:rsidR="00F517B7" w:rsidRPr="008A2917" w:rsidRDefault="00F517B7" w:rsidP="00387896">
            <w:pPr>
              <w:pStyle w:val="TableText0"/>
              <w:jc w:val="center"/>
              <w:rPr>
                <w:szCs w:val="20"/>
                <w:lang w:eastAsia="en-AU"/>
              </w:rPr>
            </w:pPr>
            <w:r w:rsidRPr="008A2917">
              <w:rPr>
                <w:szCs w:val="20"/>
              </w:rPr>
              <w:t>$</w:t>
            </w:r>
            <w:r w:rsidR="001A215D">
              <w:rPr>
                <w:noProof/>
                <w:color w:val="000000"/>
                <w:szCs w:val="20"/>
                <w:highlight w:val="black"/>
              </w:rPr>
              <w:t>'''''''''''''</w:t>
            </w:r>
          </w:p>
        </w:tc>
      </w:tr>
    </w:tbl>
    <w:p w:rsidR="00F517B7" w:rsidRPr="008A2917" w:rsidRDefault="00F517B7" w:rsidP="00387896">
      <w:pPr>
        <w:pStyle w:val="TableFooter"/>
        <w:widowControl/>
      </w:pPr>
      <w:proofErr w:type="gramStart"/>
      <w:r w:rsidRPr="008A2917">
        <w:rPr>
          <w:vertAlign w:val="superscript"/>
        </w:rPr>
        <w:t>a</w:t>
      </w:r>
      <w:proofErr w:type="gramEnd"/>
      <w:r w:rsidRPr="008A2917">
        <w:t xml:space="preserve"> Flu seasons of moderate, low and high activity were estimated from FIM12 data which include two flu seasons with variable flu incidence (0.58% and 2.96% in SD-TIV vaccinated cohorts for the two seasons). The low and high seasons of FIM12 were used as proxies for low and high activity seasons in the mode. The moderate activity season is the overall FIM12 result (1.88%).</w:t>
      </w:r>
    </w:p>
    <w:p w:rsidR="00C57E1F" w:rsidRPr="008A2917" w:rsidRDefault="00C57E1F" w:rsidP="00387896">
      <w:pPr>
        <w:pStyle w:val="TableFooter"/>
        <w:widowControl/>
        <w:rPr>
          <w:szCs w:val="18"/>
          <w:vertAlign w:val="superscript"/>
        </w:rPr>
      </w:pPr>
      <w:proofErr w:type="gramStart"/>
      <w:r w:rsidRPr="008A2917">
        <w:rPr>
          <w:szCs w:val="18"/>
          <w:vertAlign w:val="superscript"/>
        </w:rPr>
        <w:t xml:space="preserve">b  </w:t>
      </w:r>
      <w:r w:rsidRPr="008A2917">
        <w:t>based</w:t>
      </w:r>
      <w:proofErr w:type="gramEnd"/>
      <w:r w:rsidRPr="008A2917">
        <w:t xml:space="preserve"> on average strain distribution and average extent of matching of B strain </w:t>
      </w:r>
    </w:p>
    <w:p w:rsidR="00F517B7" w:rsidRPr="008A2917" w:rsidRDefault="00F517B7" w:rsidP="00387896">
      <w:pPr>
        <w:pStyle w:val="TableFooter"/>
        <w:widowControl/>
      </w:pPr>
      <w:r w:rsidRPr="008A2917">
        <w:t>IC: Incremental Cost; Mod: Moderate; N/A: Not Applicable; QALY: Quality-Adjusted Life Year.</w:t>
      </w:r>
    </w:p>
    <w:p w:rsidR="00F517B7" w:rsidRPr="008A2917" w:rsidRDefault="00F517B7" w:rsidP="00387896">
      <w:pPr>
        <w:pStyle w:val="TableFooter"/>
        <w:widowControl/>
      </w:pPr>
      <w:r w:rsidRPr="008A2917">
        <w:t>IC/QALY values exceeding $</w:t>
      </w:r>
      <w:r w:rsidR="001A215D">
        <w:rPr>
          <w:noProof/>
          <w:color w:val="000000"/>
          <w:highlight w:val="black"/>
        </w:rPr>
        <w:t>''''''''''''''''</w:t>
      </w:r>
      <w:r w:rsidRPr="008A2917">
        <w:t xml:space="preserve"> as shown in bold font</w:t>
      </w:r>
      <w:r w:rsidR="008A2917">
        <w:t xml:space="preserve">. </w:t>
      </w:r>
    </w:p>
    <w:p w:rsidR="00F517B7" w:rsidRPr="008A2917" w:rsidRDefault="00F517B7" w:rsidP="00387896">
      <w:pPr>
        <w:pStyle w:val="TableFooter"/>
        <w:widowControl/>
      </w:pPr>
      <w:r w:rsidRPr="008A2917">
        <w:t>Source: Compiled by Evaluation post ESC meeting, pre PBAC meeting.</w:t>
      </w:r>
    </w:p>
    <w:p w:rsidR="00C57E1F" w:rsidRDefault="00C57E1F" w:rsidP="00387896">
      <w:pPr>
        <w:pStyle w:val="TableFooter"/>
        <w:widowControl/>
      </w:pPr>
    </w:p>
    <w:p w:rsidR="00ED16BA" w:rsidRDefault="00ED16BA" w:rsidP="00ED16BA">
      <w:pPr>
        <w:widowControl/>
      </w:pPr>
      <w:r>
        <w:t xml:space="preserve">The redacted table shows ICERs in the range of </w:t>
      </w:r>
      <w:r w:rsidR="00165448">
        <w:t>dominant</w:t>
      </w:r>
      <w:r>
        <w:t xml:space="preserve"> - $200,000/QALY.</w:t>
      </w:r>
    </w:p>
    <w:p w:rsidR="00ED16BA" w:rsidRDefault="00ED16BA" w:rsidP="00387896">
      <w:pPr>
        <w:pStyle w:val="TableFooter"/>
        <w:widowControl/>
      </w:pPr>
    </w:p>
    <w:p w:rsidR="00ED16BA" w:rsidRPr="008A2917" w:rsidRDefault="00ED16BA" w:rsidP="00387896">
      <w:pPr>
        <w:pStyle w:val="TableFooter"/>
        <w:widowControl/>
      </w:pPr>
    </w:p>
    <w:p w:rsidR="00BF4D74" w:rsidRPr="008A2917" w:rsidRDefault="00BF4D74" w:rsidP="00387896">
      <w:pPr>
        <w:pStyle w:val="TableHeading0"/>
        <w:rPr>
          <w:rStyle w:val="CommentReference"/>
          <w:b/>
          <w:szCs w:val="22"/>
        </w:rPr>
      </w:pPr>
      <w:r w:rsidRPr="008A2917">
        <w:rPr>
          <w:rStyle w:val="CommentReference"/>
          <w:b/>
          <w:szCs w:val="22"/>
        </w:rPr>
        <w:t xml:space="preserve">Table </w:t>
      </w:r>
      <w:r w:rsidR="000D5A8F" w:rsidRPr="008A2917">
        <w:rPr>
          <w:rStyle w:val="CommentReference"/>
          <w:b/>
          <w:szCs w:val="22"/>
        </w:rPr>
        <w:t>20</w:t>
      </w:r>
      <w:r w:rsidR="00B76713" w:rsidRPr="008A2917">
        <w:rPr>
          <w:rStyle w:val="CommentReference"/>
          <w:b/>
          <w:szCs w:val="22"/>
        </w:rPr>
        <w:t>:</w:t>
      </w:r>
      <w:r w:rsidRPr="008A2917">
        <w:rPr>
          <w:rStyle w:val="CommentReference"/>
          <w:b/>
          <w:szCs w:val="22"/>
        </w:rPr>
        <w:t xml:space="preserve"> TIV-HD vs </w:t>
      </w:r>
      <w:proofErr w:type="spellStart"/>
      <w:r w:rsidRPr="008A2917">
        <w:rPr>
          <w:rStyle w:val="CommentReference"/>
          <w:b/>
          <w:szCs w:val="22"/>
        </w:rPr>
        <w:t>aQIV</w:t>
      </w:r>
      <w:proofErr w:type="spellEnd"/>
      <w:r w:rsidRPr="008A2917">
        <w:rPr>
          <w:rStyle w:val="CommentReference"/>
          <w:b/>
          <w:szCs w:val="22"/>
        </w:rPr>
        <w:t xml:space="preserve"> results of the Supplementary economic model by influenza activity, strain distribution and hospitalisation rate </w:t>
      </w:r>
      <w:r w:rsidR="00EC741A" w:rsidRPr="008A2917">
        <w:rPr>
          <w:rStyle w:val="CommentReference"/>
          <w:b/>
          <w:szCs w:val="22"/>
        </w:rPr>
        <w:t xml:space="preserve">with </w:t>
      </w:r>
      <w:r w:rsidRPr="008A2917">
        <w:rPr>
          <w:rStyle w:val="CommentReference"/>
          <w:b/>
          <w:szCs w:val="22"/>
        </w:rPr>
        <w:t>mortality rates from the Main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089"/>
        <w:gridCol w:w="981"/>
        <w:gridCol w:w="1160"/>
        <w:gridCol w:w="981"/>
        <w:gridCol w:w="1122"/>
        <w:gridCol w:w="1124"/>
      </w:tblGrid>
      <w:tr w:rsidR="00BF4D74" w:rsidRPr="008A2917" w:rsidTr="00D03D21">
        <w:trPr>
          <w:trHeight w:val="300"/>
        </w:trPr>
        <w:tc>
          <w:tcPr>
            <w:tcW w:w="1423" w:type="pct"/>
            <w:shd w:val="clear" w:color="auto" w:fill="auto"/>
            <w:noWrap/>
          </w:tcPr>
          <w:p w:rsidR="00BF4D74" w:rsidRPr="008A2917" w:rsidRDefault="00BF4D74" w:rsidP="00387896">
            <w:pPr>
              <w:pStyle w:val="TableText0"/>
              <w:rPr>
                <w:b/>
                <w:bCs/>
                <w:iCs/>
                <w:szCs w:val="20"/>
                <w:lang w:eastAsia="en-AU"/>
              </w:rPr>
            </w:pPr>
            <w:r w:rsidRPr="008A2917">
              <w:rPr>
                <w:b/>
                <w:bCs/>
                <w:iCs/>
                <w:szCs w:val="20"/>
                <w:lang w:eastAsia="en-AU"/>
              </w:rPr>
              <w:t>Model result</w:t>
            </w:r>
          </w:p>
        </w:tc>
        <w:tc>
          <w:tcPr>
            <w:tcW w:w="1779" w:type="pct"/>
            <w:gridSpan w:val="3"/>
            <w:shd w:val="clear" w:color="auto" w:fill="auto"/>
            <w:noWrap/>
          </w:tcPr>
          <w:p w:rsidR="00BF4D74" w:rsidRPr="008A2917" w:rsidRDefault="00BF4D74" w:rsidP="00387896">
            <w:pPr>
              <w:pStyle w:val="TableText0"/>
              <w:jc w:val="center"/>
              <w:rPr>
                <w:b/>
                <w:bCs/>
                <w:iCs/>
                <w:szCs w:val="20"/>
                <w:lang w:eastAsia="en-AU"/>
              </w:rPr>
            </w:pPr>
            <w:r w:rsidRPr="008A2917">
              <w:rPr>
                <w:b/>
                <w:bCs/>
                <w:iCs/>
                <w:szCs w:val="20"/>
                <w:lang w:eastAsia="en-AU"/>
              </w:rPr>
              <w:t>IC/QALY (trial-based hospital rates)</w:t>
            </w:r>
          </w:p>
        </w:tc>
        <w:tc>
          <w:tcPr>
            <w:tcW w:w="1798" w:type="pct"/>
            <w:gridSpan w:val="3"/>
            <w:shd w:val="clear" w:color="auto" w:fill="auto"/>
            <w:noWrap/>
          </w:tcPr>
          <w:p w:rsidR="00BF4D74" w:rsidRPr="008A2917" w:rsidRDefault="00BF4D74" w:rsidP="00387896">
            <w:pPr>
              <w:pStyle w:val="TableText0"/>
              <w:jc w:val="center"/>
              <w:rPr>
                <w:b/>
                <w:bCs/>
                <w:iCs/>
                <w:szCs w:val="20"/>
                <w:lang w:eastAsia="en-AU"/>
              </w:rPr>
            </w:pPr>
            <w:r w:rsidRPr="008A2917">
              <w:rPr>
                <w:b/>
                <w:bCs/>
                <w:iCs/>
                <w:szCs w:val="20"/>
                <w:lang w:eastAsia="en-AU"/>
              </w:rPr>
              <w:t>IC/QALY (Newall 2008 hospital rates)</w:t>
            </w:r>
          </w:p>
        </w:tc>
      </w:tr>
      <w:tr w:rsidR="00BF4D74" w:rsidRPr="008A2917" w:rsidTr="00D03D21">
        <w:trPr>
          <w:trHeight w:val="300"/>
        </w:trPr>
        <w:tc>
          <w:tcPr>
            <w:tcW w:w="1423" w:type="pct"/>
            <w:tcBorders>
              <w:bottom w:val="single" w:sz="4" w:space="0" w:color="auto"/>
            </w:tcBorders>
            <w:shd w:val="clear" w:color="auto" w:fill="auto"/>
            <w:noWrap/>
            <w:hideMark/>
          </w:tcPr>
          <w:p w:rsidR="00BF4D74" w:rsidRPr="008A2917" w:rsidRDefault="00BF4D74" w:rsidP="00387896">
            <w:pPr>
              <w:pStyle w:val="TableText0"/>
              <w:rPr>
                <w:b/>
                <w:bCs/>
                <w:iCs/>
                <w:szCs w:val="20"/>
                <w:vertAlign w:val="superscript"/>
                <w:lang w:eastAsia="en-AU"/>
              </w:rPr>
            </w:pPr>
            <w:r w:rsidRPr="008A2917">
              <w:rPr>
                <w:b/>
                <w:bCs/>
                <w:iCs/>
                <w:szCs w:val="20"/>
                <w:lang w:eastAsia="en-AU"/>
              </w:rPr>
              <w:t xml:space="preserve">Flu activity </w:t>
            </w:r>
            <w:r w:rsidRPr="008A2917">
              <w:rPr>
                <w:b/>
                <w:bCs/>
                <w:iCs/>
                <w:szCs w:val="20"/>
                <w:vertAlign w:val="superscript"/>
                <w:lang w:eastAsia="en-AU"/>
              </w:rPr>
              <w:t>a</w:t>
            </w:r>
          </w:p>
        </w:tc>
        <w:tc>
          <w:tcPr>
            <w:tcW w:w="607" w:type="pct"/>
            <w:tcBorders>
              <w:bottom w:val="single" w:sz="4" w:space="0" w:color="auto"/>
            </w:tcBorders>
            <w:shd w:val="clear" w:color="auto" w:fill="auto"/>
            <w:noWrap/>
            <w:hideMark/>
          </w:tcPr>
          <w:p w:rsidR="00BF4D74" w:rsidRPr="008A2917" w:rsidRDefault="00BF4D74" w:rsidP="00387896">
            <w:pPr>
              <w:pStyle w:val="TableText0"/>
              <w:jc w:val="center"/>
              <w:rPr>
                <w:b/>
                <w:bCs/>
                <w:iCs/>
                <w:szCs w:val="20"/>
                <w:lang w:eastAsia="en-AU"/>
              </w:rPr>
            </w:pPr>
            <w:r w:rsidRPr="008A2917">
              <w:rPr>
                <w:b/>
                <w:bCs/>
                <w:iCs/>
                <w:szCs w:val="20"/>
                <w:lang w:eastAsia="en-AU"/>
              </w:rPr>
              <w:t>Mod</w:t>
            </w:r>
          </w:p>
        </w:tc>
        <w:tc>
          <w:tcPr>
            <w:tcW w:w="547" w:type="pct"/>
            <w:tcBorders>
              <w:bottom w:val="single" w:sz="4" w:space="0" w:color="auto"/>
            </w:tcBorders>
            <w:shd w:val="clear" w:color="auto" w:fill="auto"/>
            <w:noWrap/>
            <w:hideMark/>
          </w:tcPr>
          <w:p w:rsidR="00BF4D74" w:rsidRPr="008A2917" w:rsidRDefault="00BF4D74" w:rsidP="00387896">
            <w:pPr>
              <w:pStyle w:val="TableText0"/>
              <w:jc w:val="center"/>
              <w:rPr>
                <w:b/>
                <w:bCs/>
                <w:iCs/>
                <w:szCs w:val="20"/>
                <w:lang w:eastAsia="en-AU"/>
              </w:rPr>
            </w:pPr>
            <w:r w:rsidRPr="008A2917">
              <w:rPr>
                <w:b/>
                <w:bCs/>
                <w:iCs/>
                <w:szCs w:val="20"/>
                <w:lang w:eastAsia="en-AU"/>
              </w:rPr>
              <w:t>Low</w:t>
            </w:r>
          </w:p>
        </w:tc>
        <w:tc>
          <w:tcPr>
            <w:tcW w:w="625" w:type="pct"/>
            <w:tcBorders>
              <w:bottom w:val="single" w:sz="4" w:space="0" w:color="auto"/>
            </w:tcBorders>
            <w:shd w:val="clear" w:color="auto" w:fill="auto"/>
            <w:noWrap/>
            <w:hideMark/>
          </w:tcPr>
          <w:p w:rsidR="00BF4D74" w:rsidRPr="008A2917" w:rsidRDefault="00BF4D74" w:rsidP="00387896">
            <w:pPr>
              <w:pStyle w:val="TableText0"/>
              <w:jc w:val="center"/>
              <w:rPr>
                <w:b/>
                <w:bCs/>
                <w:iCs/>
                <w:szCs w:val="20"/>
                <w:lang w:eastAsia="en-AU"/>
              </w:rPr>
            </w:pPr>
            <w:r w:rsidRPr="008A2917">
              <w:rPr>
                <w:b/>
                <w:bCs/>
                <w:iCs/>
                <w:szCs w:val="20"/>
                <w:lang w:eastAsia="en-AU"/>
              </w:rPr>
              <w:t>High</w:t>
            </w:r>
          </w:p>
        </w:tc>
        <w:tc>
          <w:tcPr>
            <w:tcW w:w="547" w:type="pct"/>
            <w:tcBorders>
              <w:bottom w:val="single" w:sz="4" w:space="0" w:color="auto"/>
            </w:tcBorders>
            <w:shd w:val="clear" w:color="auto" w:fill="auto"/>
            <w:noWrap/>
            <w:hideMark/>
          </w:tcPr>
          <w:p w:rsidR="00BF4D74" w:rsidRPr="008A2917" w:rsidRDefault="00BF4D74" w:rsidP="00387896">
            <w:pPr>
              <w:pStyle w:val="TableText0"/>
              <w:jc w:val="center"/>
              <w:rPr>
                <w:b/>
                <w:bCs/>
                <w:iCs/>
                <w:szCs w:val="20"/>
                <w:lang w:eastAsia="en-AU"/>
              </w:rPr>
            </w:pPr>
            <w:r w:rsidRPr="008A2917">
              <w:rPr>
                <w:b/>
                <w:bCs/>
                <w:iCs/>
                <w:szCs w:val="20"/>
                <w:lang w:eastAsia="en-AU"/>
              </w:rPr>
              <w:t>Mod</w:t>
            </w:r>
          </w:p>
        </w:tc>
        <w:tc>
          <w:tcPr>
            <w:tcW w:w="625" w:type="pct"/>
            <w:tcBorders>
              <w:bottom w:val="single" w:sz="4" w:space="0" w:color="auto"/>
            </w:tcBorders>
            <w:shd w:val="clear" w:color="auto" w:fill="auto"/>
            <w:noWrap/>
            <w:hideMark/>
          </w:tcPr>
          <w:p w:rsidR="00BF4D74" w:rsidRPr="008A2917" w:rsidRDefault="00BF4D74" w:rsidP="00387896">
            <w:pPr>
              <w:pStyle w:val="TableText0"/>
              <w:jc w:val="center"/>
              <w:rPr>
                <w:b/>
                <w:bCs/>
                <w:iCs/>
                <w:szCs w:val="20"/>
                <w:lang w:eastAsia="en-AU"/>
              </w:rPr>
            </w:pPr>
            <w:r w:rsidRPr="008A2917">
              <w:rPr>
                <w:b/>
                <w:bCs/>
                <w:iCs/>
                <w:szCs w:val="20"/>
                <w:lang w:eastAsia="en-AU"/>
              </w:rPr>
              <w:t>Low</w:t>
            </w:r>
          </w:p>
        </w:tc>
        <w:tc>
          <w:tcPr>
            <w:tcW w:w="625" w:type="pct"/>
            <w:tcBorders>
              <w:bottom w:val="single" w:sz="4" w:space="0" w:color="auto"/>
            </w:tcBorders>
            <w:shd w:val="clear" w:color="auto" w:fill="auto"/>
            <w:noWrap/>
            <w:hideMark/>
          </w:tcPr>
          <w:p w:rsidR="00BF4D74" w:rsidRPr="008A2917" w:rsidRDefault="00BF4D74" w:rsidP="00387896">
            <w:pPr>
              <w:pStyle w:val="TableText0"/>
              <w:jc w:val="center"/>
              <w:rPr>
                <w:b/>
                <w:bCs/>
                <w:iCs/>
                <w:szCs w:val="20"/>
                <w:lang w:eastAsia="en-AU"/>
              </w:rPr>
            </w:pPr>
            <w:r w:rsidRPr="008A2917">
              <w:rPr>
                <w:b/>
                <w:bCs/>
                <w:iCs/>
                <w:szCs w:val="20"/>
                <w:lang w:eastAsia="en-AU"/>
              </w:rPr>
              <w:t>High</w:t>
            </w:r>
          </w:p>
        </w:tc>
      </w:tr>
      <w:tr w:rsidR="00BF4D74" w:rsidRPr="008A2917" w:rsidTr="00D03D21">
        <w:trPr>
          <w:trHeight w:val="300"/>
        </w:trPr>
        <w:tc>
          <w:tcPr>
            <w:tcW w:w="1423" w:type="pct"/>
            <w:tcBorders>
              <w:right w:val="nil"/>
            </w:tcBorders>
            <w:shd w:val="clear" w:color="auto" w:fill="auto"/>
            <w:noWrap/>
          </w:tcPr>
          <w:p w:rsidR="00BF4D74" w:rsidRPr="008A2917" w:rsidRDefault="00BF4D74" w:rsidP="00387896">
            <w:pPr>
              <w:pStyle w:val="TableText0"/>
              <w:rPr>
                <w:b/>
                <w:bCs/>
                <w:iCs/>
                <w:szCs w:val="20"/>
                <w:lang w:eastAsia="en-AU"/>
              </w:rPr>
            </w:pPr>
            <w:r w:rsidRPr="008A2917">
              <w:rPr>
                <w:b/>
                <w:bCs/>
                <w:iCs/>
                <w:szCs w:val="20"/>
                <w:lang w:eastAsia="en-AU"/>
              </w:rPr>
              <w:t>Strain distribution scenarios</w:t>
            </w:r>
          </w:p>
        </w:tc>
        <w:tc>
          <w:tcPr>
            <w:tcW w:w="607" w:type="pct"/>
            <w:tcBorders>
              <w:left w:val="nil"/>
              <w:right w:val="nil"/>
            </w:tcBorders>
            <w:shd w:val="clear" w:color="auto" w:fill="auto"/>
            <w:noWrap/>
          </w:tcPr>
          <w:p w:rsidR="00BF4D74" w:rsidRPr="008A2917" w:rsidRDefault="00BF4D74" w:rsidP="00387896">
            <w:pPr>
              <w:pStyle w:val="TableText0"/>
              <w:rPr>
                <w:iCs/>
                <w:szCs w:val="20"/>
                <w:lang w:eastAsia="en-AU"/>
              </w:rPr>
            </w:pPr>
          </w:p>
        </w:tc>
        <w:tc>
          <w:tcPr>
            <w:tcW w:w="547" w:type="pct"/>
            <w:tcBorders>
              <w:left w:val="nil"/>
              <w:right w:val="nil"/>
            </w:tcBorders>
            <w:shd w:val="clear" w:color="auto" w:fill="auto"/>
            <w:noWrap/>
          </w:tcPr>
          <w:p w:rsidR="00BF4D74" w:rsidRPr="008A2917" w:rsidRDefault="00BF4D74" w:rsidP="00387896">
            <w:pPr>
              <w:pStyle w:val="TableText0"/>
              <w:rPr>
                <w:iCs/>
                <w:szCs w:val="20"/>
                <w:lang w:eastAsia="en-AU"/>
              </w:rPr>
            </w:pPr>
          </w:p>
        </w:tc>
        <w:tc>
          <w:tcPr>
            <w:tcW w:w="625" w:type="pct"/>
            <w:tcBorders>
              <w:left w:val="nil"/>
              <w:right w:val="nil"/>
            </w:tcBorders>
            <w:shd w:val="clear" w:color="auto" w:fill="auto"/>
            <w:noWrap/>
          </w:tcPr>
          <w:p w:rsidR="00BF4D74" w:rsidRPr="008A2917" w:rsidRDefault="00BF4D74" w:rsidP="00387896">
            <w:pPr>
              <w:pStyle w:val="TableText0"/>
              <w:rPr>
                <w:iCs/>
                <w:szCs w:val="20"/>
                <w:lang w:eastAsia="en-AU"/>
              </w:rPr>
            </w:pPr>
          </w:p>
        </w:tc>
        <w:tc>
          <w:tcPr>
            <w:tcW w:w="547" w:type="pct"/>
            <w:tcBorders>
              <w:left w:val="nil"/>
              <w:right w:val="nil"/>
            </w:tcBorders>
            <w:shd w:val="clear" w:color="auto" w:fill="auto"/>
            <w:noWrap/>
          </w:tcPr>
          <w:p w:rsidR="00BF4D74" w:rsidRPr="008A2917" w:rsidRDefault="00BF4D74" w:rsidP="00387896">
            <w:pPr>
              <w:pStyle w:val="TableText0"/>
              <w:rPr>
                <w:iCs/>
                <w:szCs w:val="20"/>
                <w:lang w:eastAsia="en-AU"/>
              </w:rPr>
            </w:pPr>
          </w:p>
        </w:tc>
        <w:tc>
          <w:tcPr>
            <w:tcW w:w="625" w:type="pct"/>
            <w:tcBorders>
              <w:left w:val="nil"/>
              <w:right w:val="nil"/>
            </w:tcBorders>
            <w:shd w:val="clear" w:color="auto" w:fill="auto"/>
            <w:noWrap/>
          </w:tcPr>
          <w:p w:rsidR="00BF4D74" w:rsidRPr="008A2917" w:rsidRDefault="00BF4D74" w:rsidP="00387896">
            <w:pPr>
              <w:pStyle w:val="TableText0"/>
              <w:rPr>
                <w:iCs/>
                <w:szCs w:val="20"/>
                <w:lang w:eastAsia="en-AU"/>
              </w:rPr>
            </w:pPr>
          </w:p>
        </w:tc>
        <w:tc>
          <w:tcPr>
            <w:tcW w:w="625" w:type="pct"/>
            <w:tcBorders>
              <w:left w:val="nil"/>
            </w:tcBorders>
            <w:shd w:val="clear" w:color="auto" w:fill="auto"/>
            <w:noWrap/>
          </w:tcPr>
          <w:p w:rsidR="00BF4D74" w:rsidRPr="008A2917" w:rsidRDefault="00BF4D74" w:rsidP="00387896">
            <w:pPr>
              <w:pStyle w:val="TableText0"/>
              <w:rPr>
                <w:iCs/>
                <w:szCs w:val="20"/>
                <w:lang w:eastAsia="en-AU"/>
              </w:rPr>
            </w:pP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High; B match High</w:t>
            </w:r>
          </w:p>
        </w:tc>
        <w:tc>
          <w:tcPr>
            <w:tcW w:w="60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1A215D" w:rsidRDefault="001A215D" w:rsidP="00387896">
            <w:pPr>
              <w:pStyle w:val="TableText0"/>
              <w:jc w:val="center"/>
              <w:rPr>
                <w:iCs/>
                <w:szCs w:val="20"/>
                <w:highlight w:val="black"/>
                <w:lang w:eastAsia="en-AU"/>
              </w:rPr>
            </w:pPr>
            <w:r>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High; B match Mod</w:t>
            </w:r>
          </w:p>
        </w:tc>
        <w:tc>
          <w:tcPr>
            <w:tcW w:w="60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1A215D" w:rsidRDefault="001A215D" w:rsidP="00387896">
            <w:pPr>
              <w:pStyle w:val="TableText0"/>
              <w:jc w:val="center"/>
              <w:rPr>
                <w:iCs/>
                <w:szCs w:val="20"/>
                <w:highlight w:val="black"/>
                <w:lang w:eastAsia="en-AU"/>
              </w:rPr>
            </w:pPr>
            <w:r>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High; B match Low</w:t>
            </w:r>
          </w:p>
        </w:tc>
        <w:tc>
          <w:tcPr>
            <w:tcW w:w="60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1A215D" w:rsidRDefault="001A215D" w:rsidP="00387896">
            <w:pPr>
              <w:pStyle w:val="TableText0"/>
              <w:jc w:val="center"/>
              <w:rPr>
                <w:iCs/>
                <w:szCs w:val="20"/>
                <w:highlight w:val="black"/>
                <w:lang w:eastAsia="en-AU"/>
              </w:rPr>
            </w:pPr>
            <w:r>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Mod; B match High</w:t>
            </w:r>
          </w:p>
        </w:tc>
        <w:tc>
          <w:tcPr>
            <w:tcW w:w="607" w:type="pct"/>
            <w:shd w:val="clear" w:color="auto" w:fill="auto"/>
            <w:noWrap/>
          </w:tcPr>
          <w:p w:rsidR="00BF4D74" w:rsidRPr="008A2917" w:rsidRDefault="00BF4D74" w:rsidP="00387896">
            <w:pPr>
              <w:pStyle w:val="TableText0"/>
              <w:jc w:val="center"/>
              <w:rPr>
                <w:iCs/>
                <w:szCs w:val="20"/>
                <w:lang w:eastAsia="en-AU"/>
              </w:rPr>
            </w:pPr>
            <w:r w:rsidRPr="008A2917">
              <w:rPr>
                <w:szCs w:val="20"/>
                <w:lang w:eastAsia="en-AU"/>
              </w:rPr>
              <w:t>N/A</w:t>
            </w:r>
          </w:p>
        </w:tc>
        <w:tc>
          <w:tcPr>
            <w:tcW w:w="547" w:type="pct"/>
            <w:shd w:val="clear" w:color="auto" w:fill="auto"/>
            <w:noWrap/>
          </w:tcPr>
          <w:p w:rsidR="00BF4D74" w:rsidRPr="008A2917" w:rsidRDefault="00BF4D74" w:rsidP="00387896">
            <w:pPr>
              <w:pStyle w:val="TableText0"/>
              <w:jc w:val="center"/>
              <w:rPr>
                <w:b/>
                <w:bCs/>
                <w:iCs/>
                <w:szCs w:val="20"/>
                <w:lang w:eastAsia="en-AU"/>
              </w:rPr>
            </w:pPr>
            <w:r w:rsidRPr="008A2917">
              <w:rPr>
                <w:szCs w:val="20"/>
                <w:lang w:eastAsia="en-AU"/>
              </w:rPr>
              <w:t>N/A</w:t>
            </w:r>
          </w:p>
        </w:tc>
        <w:tc>
          <w:tcPr>
            <w:tcW w:w="625" w:type="pct"/>
            <w:shd w:val="clear" w:color="auto" w:fill="auto"/>
            <w:noWrap/>
          </w:tcPr>
          <w:p w:rsidR="00BF4D74" w:rsidRPr="008A2917" w:rsidRDefault="00BF4D74" w:rsidP="00387896">
            <w:pPr>
              <w:pStyle w:val="TableText0"/>
              <w:jc w:val="center"/>
              <w:rPr>
                <w:iCs/>
                <w:szCs w:val="20"/>
                <w:lang w:eastAsia="en-AU"/>
              </w:rPr>
            </w:pPr>
            <w:r w:rsidRPr="008A2917">
              <w:rPr>
                <w:szCs w:val="20"/>
                <w:lang w:eastAsia="en-AU"/>
              </w:rPr>
              <w:t>N/A</w:t>
            </w:r>
          </w:p>
        </w:tc>
        <w:tc>
          <w:tcPr>
            <w:tcW w:w="547" w:type="pct"/>
            <w:shd w:val="clear" w:color="auto" w:fill="auto"/>
            <w:noWrap/>
          </w:tcPr>
          <w:p w:rsidR="00BF4D74" w:rsidRPr="008A2917" w:rsidRDefault="00BF4D74" w:rsidP="00387896">
            <w:pPr>
              <w:pStyle w:val="TableText0"/>
              <w:jc w:val="center"/>
              <w:rPr>
                <w:iCs/>
                <w:szCs w:val="20"/>
                <w:lang w:eastAsia="en-AU"/>
              </w:rPr>
            </w:pPr>
            <w:r w:rsidRPr="008A2917">
              <w:rPr>
                <w:szCs w:val="20"/>
                <w:lang w:eastAsia="en-AU"/>
              </w:rPr>
              <w:t>N/A</w:t>
            </w:r>
          </w:p>
        </w:tc>
        <w:tc>
          <w:tcPr>
            <w:tcW w:w="625" w:type="pct"/>
            <w:shd w:val="clear" w:color="auto" w:fill="auto"/>
            <w:noWrap/>
          </w:tcPr>
          <w:p w:rsidR="00BF4D74" w:rsidRPr="008A2917" w:rsidRDefault="00BF4D74" w:rsidP="00387896">
            <w:pPr>
              <w:pStyle w:val="TableText0"/>
              <w:jc w:val="center"/>
              <w:rPr>
                <w:b/>
                <w:bCs/>
                <w:iCs/>
                <w:szCs w:val="20"/>
                <w:lang w:eastAsia="en-AU"/>
              </w:rPr>
            </w:pPr>
            <w:r w:rsidRPr="008A2917">
              <w:rPr>
                <w:szCs w:val="20"/>
                <w:lang w:eastAsia="en-AU"/>
              </w:rPr>
              <w:t>N/A</w:t>
            </w:r>
          </w:p>
        </w:tc>
        <w:tc>
          <w:tcPr>
            <w:tcW w:w="625" w:type="pct"/>
            <w:shd w:val="clear" w:color="auto" w:fill="auto"/>
            <w:noWrap/>
          </w:tcPr>
          <w:p w:rsidR="00BF4D74" w:rsidRPr="008A2917" w:rsidRDefault="00BF4D74" w:rsidP="00387896">
            <w:pPr>
              <w:pStyle w:val="TableText0"/>
              <w:jc w:val="center"/>
              <w:rPr>
                <w:iCs/>
                <w:szCs w:val="20"/>
                <w:lang w:eastAsia="en-AU"/>
              </w:rPr>
            </w:pPr>
            <w:r w:rsidRPr="008A2917">
              <w:rPr>
                <w:szCs w:val="20"/>
                <w:lang w:eastAsia="en-AU"/>
              </w:rPr>
              <w:t>N/A</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Mod; B match Mod</w:t>
            </w:r>
          </w:p>
        </w:tc>
        <w:tc>
          <w:tcPr>
            <w:tcW w:w="60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Mod; B match Low</w:t>
            </w:r>
          </w:p>
        </w:tc>
        <w:tc>
          <w:tcPr>
            <w:tcW w:w="60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Low; B match High</w:t>
            </w:r>
          </w:p>
        </w:tc>
        <w:tc>
          <w:tcPr>
            <w:tcW w:w="60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1A215D" w:rsidRDefault="001A215D" w:rsidP="00387896">
            <w:pPr>
              <w:pStyle w:val="TableText0"/>
              <w:jc w:val="center"/>
              <w:rPr>
                <w:iCs/>
                <w:szCs w:val="20"/>
                <w:highlight w:val="black"/>
                <w:lang w:eastAsia="en-AU"/>
              </w:rPr>
            </w:pPr>
            <w:r>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Low; B match Mod</w:t>
            </w:r>
          </w:p>
        </w:tc>
        <w:tc>
          <w:tcPr>
            <w:tcW w:w="60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 xml:space="preserve">A </w:t>
            </w:r>
            <w:proofErr w:type="spellStart"/>
            <w:r w:rsidRPr="008A2917">
              <w:rPr>
                <w:iCs/>
                <w:szCs w:val="20"/>
                <w:lang w:eastAsia="en-AU"/>
              </w:rPr>
              <w:t>prev</w:t>
            </w:r>
            <w:proofErr w:type="spellEnd"/>
            <w:r w:rsidRPr="008A2917">
              <w:rPr>
                <w:iCs/>
                <w:szCs w:val="20"/>
                <w:lang w:eastAsia="en-AU"/>
              </w:rPr>
              <w:t xml:space="preserve"> Low; B match Low</w:t>
            </w:r>
          </w:p>
        </w:tc>
        <w:tc>
          <w:tcPr>
            <w:tcW w:w="60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r w:rsidR="00BF4D74" w:rsidRPr="008A2917" w:rsidTr="00D03D21">
        <w:trPr>
          <w:trHeight w:val="300"/>
        </w:trPr>
        <w:tc>
          <w:tcPr>
            <w:tcW w:w="1423" w:type="pct"/>
            <w:shd w:val="clear" w:color="auto" w:fill="auto"/>
            <w:noWrap/>
            <w:hideMark/>
          </w:tcPr>
          <w:p w:rsidR="00BF4D74" w:rsidRPr="008A2917" w:rsidRDefault="00BF4D74" w:rsidP="00387896">
            <w:pPr>
              <w:pStyle w:val="TableText0"/>
              <w:rPr>
                <w:iCs/>
                <w:szCs w:val="20"/>
                <w:lang w:eastAsia="en-AU"/>
              </w:rPr>
            </w:pPr>
            <w:r w:rsidRPr="008A2917">
              <w:rPr>
                <w:iCs/>
                <w:szCs w:val="20"/>
                <w:lang w:eastAsia="en-AU"/>
              </w:rPr>
              <w:t>2002 to 2016 (</w:t>
            </w:r>
            <w:proofErr w:type="spellStart"/>
            <w:r w:rsidRPr="008A2917">
              <w:rPr>
                <w:iCs/>
                <w:szCs w:val="20"/>
                <w:lang w:eastAsia="en-AU"/>
              </w:rPr>
              <w:t>average</w:t>
            </w:r>
            <w:r w:rsidR="00C57E1F" w:rsidRPr="008A2917">
              <w:rPr>
                <w:iCs/>
                <w:szCs w:val="20"/>
                <w:vertAlign w:val="superscript"/>
                <w:lang w:eastAsia="en-AU"/>
              </w:rPr>
              <w:t>b</w:t>
            </w:r>
            <w:proofErr w:type="spellEnd"/>
            <w:r w:rsidRPr="008A2917">
              <w:rPr>
                <w:iCs/>
                <w:szCs w:val="20"/>
                <w:lang w:eastAsia="en-AU"/>
              </w:rPr>
              <w:t>)</w:t>
            </w:r>
          </w:p>
        </w:tc>
        <w:tc>
          <w:tcPr>
            <w:tcW w:w="607" w:type="pct"/>
            <w:shd w:val="clear" w:color="auto" w:fill="auto"/>
            <w:noWrap/>
          </w:tcPr>
          <w:p w:rsidR="00BF4D74" w:rsidRPr="008A2917" w:rsidRDefault="00BF4D74" w:rsidP="00387896">
            <w:pPr>
              <w:pStyle w:val="TableText0"/>
              <w:jc w:val="right"/>
              <w:rPr>
                <w:b/>
                <w:bCs/>
                <w:iCs/>
                <w:szCs w:val="20"/>
                <w:u w:val="single"/>
                <w:lang w:eastAsia="en-AU"/>
              </w:rPr>
            </w:pPr>
            <w:r w:rsidRPr="008A2917">
              <w:rPr>
                <w:b/>
                <w:bCs/>
                <w:iCs/>
                <w:szCs w:val="20"/>
                <w:u w:val="single"/>
              </w:rPr>
              <w:t>$</w:t>
            </w:r>
            <w:r w:rsidR="001A215D">
              <w:rPr>
                <w:b/>
                <w:bCs/>
                <w:iCs/>
                <w:noProof/>
                <w:color w:val="000000"/>
                <w:szCs w:val="20"/>
                <w:highlight w:val="black"/>
                <w:u w:val="single"/>
              </w:rPr>
              <w:t>''''''''''''</w:t>
            </w:r>
          </w:p>
        </w:tc>
        <w:tc>
          <w:tcPr>
            <w:tcW w:w="547"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547"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b/>
                <w:bCs/>
                <w:iCs/>
                <w:szCs w:val="20"/>
                <w:lang w:eastAsia="en-AU"/>
              </w:rPr>
            </w:pPr>
            <w:r w:rsidRPr="008A2917">
              <w:rPr>
                <w:b/>
                <w:bCs/>
                <w:iCs/>
                <w:szCs w:val="20"/>
              </w:rPr>
              <w:t>$</w:t>
            </w:r>
            <w:r w:rsidR="001A215D">
              <w:rPr>
                <w:b/>
                <w:bCs/>
                <w:iCs/>
                <w:noProof/>
                <w:color w:val="000000"/>
                <w:szCs w:val="20"/>
                <w:highlight w:val="black"/>
              </w:rPr>
              <w:t>'''''''''''''</w:t>
            </w:r>
          </w:p>
        </w:tc>
        <w:tc>
          <w:tcPr>
            <w:tcW w:w="625" w:type="pct"/>
            <w:shd w:val="clear" w:color="auto" w:fill="auto"/>
            <w:noWrap/>
          </w:tcPr>
          <w:p w:rsidR="00BF4D74" w:rsidRPr="008A2917" w:rsidRDefault="00BF4D74" w:rsidP="00387896">
            <w:pPr>
              <w:pStyle w:val="TableText0"/>
              <w:jc w:val="right"/>
              <w:rPr>
                <w:iCs/>
                <w:szCs w:val="20"/>
                <w:lang w:eastAsia="en-AU"/>
              </w:rPr>
            </w:pPr>
            <w:r w:rsidRPr="008A2917">
              <w:rPr>
                <w:iCs/>
                <w:szCs w:val="20"/>
              </w:rPr>
              <w:t>$</w:t>
            </w:r>
            <w:r w:rsidR="001A215D">
              <w:rPr>
                <w:iCs/>
                <w:noProof/>
                <w:color w:val="000000"/>
                <w:szCs w:val="20"/>
                <w:highlight w:val="black"/>
              </w:rPr>
              <w:t>'''''''''''''''''</w:t>
            </w:r>
          </w:p>
        </w:tc>
      </w:tr>
    </w:tbl>
    <w:p w:rsidR="00BF4D74" w:rsidRPr="008A2917" w:rsidRDefault="00BF4D74" w:rsidP="00387896">
      <w:pPr>
        <w:pStyle w:val="TableFooter"/>
        <w:widowControl/>
      </w:pPr>
      <w:proofErr w:type="gramStart"/>
      <w:r w:rsidRPr="008A2917">
        <w:rPr>
          <w:vertAlign w:val="superscript"/>
        </w:rPr>
        <w:t>a</w:t>
      </w:r>
      <w:proofErr w:type="gramEnd"/>
      <w:r w:rsidRPr="008A2917">
        <w:t xml:space="preserve"> Flu seasons of moderate, low and high activity were estimated from FIM12 data which include two flu seasons with variable flu incidence (0.58% and 2.96% in SD-TIV vaccinated cohorts for the two seasons). The low and high seasons of FIM12 were used as proxies for low and high activity seasons in the mode. The moderate activity season is the overall FIM12 result (1.88%).</w:t>
      </w:r>
    </w:p>
    <w:p w:rsidR="00C57E1F" w:rsidRPr="008A2917" w:rsidRDefault="00C57E1F" w:rsidP="00387896">
      <w:pPr>
        <w:pStyle w:val="TableFooter"/>
        <w:widowControl/>
        <w:rPr>
          <w:szCs w:val="18"/>
          <w:vertAlign w:val="superscript"/>
        </w:rPr>
      </w:pPr>
      <w:proofErr w:type="gramStart"/>
      <w:r w:rsidRPr="008A2917">
        <w:rPr>
          <w:szCs w:val="18"/>
          <w:vertAlign w:val="superscript"/>
        </w:rPr>
        <w:lastRenderedPageBreak/>
        <w:t xml:space="preserve">b  </w:t>
      </w:r>
      <w:r w:rsidRPr="008A2917">
        <w:t>based</w:t>
      </w:r>
      <w:proofErr w:type="gramEnd"/>
      <w:r w:rsidRPr="008A2917">
        <w:t xml:space="preserve"> on average strain distribution and average extent of matching of B strain </w:t>
      </w:r>
    </w:p>
    <w:p w:rsidR="00BF4D74" w:rsidRPr="008A2917" w:rsidRDefault="00BF4D74" w:rsidP="00387896">
      <w:pPr>
        <w:pStyle w:val="TableFooter"/>
        <w:widowControl/>
      </w:pPr>
      <w:r w:rsidRPr="008A2917">
        <w:t>IC: Incremental Cost; Mod: Moderate; N/A: Not Applicable; QALY: Quality-Adjusted Life Year.</w:t>
      </w:r>
    </w:p>
    <w:p w:rsidR="00BF4D74" w:rsidRPr="008A2917" w:rsidRDefault="00BF4D74" w:rsidP="00387896">
      <w:pPr>
        <w:pStyle w:val="TableFooter"/>
        <w:widowControl/>
      </w:pPr>
      <w:r w:rsidRPr="008A2917">
        <w:t>IC/QALY values exceeding $</w:t>
      </w:r>
      <w:r w:rsidR="001A215D">
        <w:rPr>
          <w:noProof/>
          <w:color w:val="000000"/>
          <w:highlight w:val="black"/>
        </w:rPr>
        <w:t>'''''''''''''''''</w:t>
      </w:r>
      <w:r w:rsidRPr="008A2917">
        <w:t xml:space="preserve"> as shown in bold font</w:t>
      </w:r>
      <w:r w:rsidR="008A2917">
        <w:t xml:space="preserve">. </w:t>
      </w:r>
    </w:p>
    <w:p w:rsidR="00BF4D74" w:rsidRPr="008A2917" w:rsidRDefault="00BF4D74" w:rsidP="00387896">
      <w:pPr>
        <w:pStyle w:val="TableFooter"/>
        <w:widowControl/>
      </w:pPr>
      <w:r w:rsidRPr="008A2917">
        <w:t>The Evaluator base case ICER is shown in large, bold, underlined font.</w:t>
      </w:r>
    </w:p>
    <w:p w:rsidR="00BF4D74" w:rsidRPr="008A2917" w:rsidRDefault="00BF4D74" w:rsidP="00387896">
      <w:pPr>
        <w:pStyle w:val="TableFooter"/>
        <w:widowControl/>
      </w:pPr>
      <w:r w:rsidRPr="008A2917">
        <w:t>Source: Compiled during the evaluation.</w:t>
      </w:r>
    </w:p>
    <w:p w:rsidR="007F5742" w:rsidRDefault="007F5742" w:rsidP="00387896">
      <w:pPr>
        <w:pStyle w:val="TableFooter"/>
        <w:widowControl/>
        <w:rPr>
          <w:sz w:val="16"/>
        </w:rPr>
      </w:pPr>
    </w:p>
    <w:p w:rsidR="00853B2B" w:rsidRPr="00853B2B" w:rsidRDefault="00853B2B" w:rsidP="00853B2B">
      <w:pPr>
        <w:widowControl/>
      </w:pPr>
      <w:r>
        <w:t xml:space="preserve">The redacted table shows ICERs in the range of </w:t>
      </w:r>
      <w:r w:rsidR="00040CE4">
        <w:t>dominant</w:t>
      </w:r>
      <w:r>
        <w:t xml:space="preserve"> - $200,000/QALY.</w:t>
      </w:r>
    </w:p>
    <w:p w:rsidR="00853B2B" w:rsidRPr="008A2917" w:rsidRDefault="00853B2B" w:rsidP="00387896">
      <w:pPr>
        <w:pStyle w:val="TableFooter"/>
        <w:widowControl/>
        <w:rPr>
          <w:sz w:val="16"/>
        </w:rPr>
      </w:pPr>
    </w:p>
    <w:p w:rsidR="00E62581" w:rsidRPr="008A2917" w:rsidRDefault="00987EC2" w:rsidP="00387896">
      <w:pPr>
        <w:pStyle w:val="ListParagraph"/>
        <w:widowControl/>
        <w:numPr>
          <w:ilvl w:val="1"/>
          <w:numId w:val="1"/>
        </w:numPr>
      </w:pPr>
      <w:bookmarkStart w:id="27" w:name="_Toc371170711"/>
      <w:bookmarkStart w:id="28" w:name="_Toc18942068"/>
      <w:r w:rsidRPr="008A2917">
        <w:t xml:space="preserve">Using the Newall 2008 hospitalisation rate and the moderate </w:t>
      </w:r>
      <w:r w:rsidR="00F869EF" w:rsidRPr="008A2917">
        <w:t>in</w:t>
      </w:r>
      <w:r w:rsidRPr="008A2917">
        <w:t>flu</w:t>
      </w:r>
      <w:r w:rsidR="00F869EF" w:rsidRPr="008A2917">
        <w:t>enza</w:t>
      </w:r>
      <w:r w:rsidRPr="008A2917">
        <w:t xml:space="preserve"> incidence, t</w:t>
      </w:r>
      <w:r w:rsidR="00E62581" w:rsidRPr="008A2917">
        <w:t xml:space="preserve">he ICER </w:t>
      </w:r>
      <w:r w:rsidR="003625E7" w:rsidRPr="008A2917">
        <w:t xml:space="preserve">for TIV-HD vs </w:t>
      </w:r>
      <w:proofErr w:type="spellStart"/>
      <w:r w:rsidR="003625E7" w:rsidRPr="008A2917">
        <w:t>aQIV</w:t>
      </w:r>
      <w:proofErr w:type="spellEnd"/>
      <w:r w:rsidR="003625E7" w:rsidRPr="008A2917">
        <w:t xml:space="preserve"> </w:t>
      </w:r>
      <w:r w:rsidR="00E62581" w:rsidRPr="008A2917">
        <w:t xml:space="preserve">increased by </w:t>
      </w:r>
      <w:r w:rsidRPr="008A2917">
        <w:t xml:space="preserve">approximately 33-35% for the scenario with a moderate A prevalence and a low B match </w:t>
      </w:r>
      <w:r w:rsidR="00F869EF" w:rsidRPr="008A2917">
        <w:t>(</w:t>
      </w:r>
      <w:r w:rsidRPr="008A2917">
        <w:t>$</w:t>
      </w:r>
      <w:r w:rsidR="00E1753B">
        <w:t>15,000</w:t>
      </w:r>
      <w:r w:rsidR="00F869EF" w:rsidRPr="008A2917">
        <w:t>/QALY</w:t>
      </w:r>
      <w:r w:rsidR="00E1753B">
        <w:t xml:space="preserve"> - $45,000/</w:t>
      </w:r>
      <w:proofErr w:type="spellStart"/>
      <w:r w:rsidR="00E1753B">
        <w:t>QALY</w:t>
      </w:r>
      <w:r w:rsidRPr="008A2917">
        <w:t>using</w:t>
      </w:r>
      <w:proofErr w:type="spellEnd"/>
      <w:r w:rsidRPr="008A2917">
        <w:t xml:space="preserve"> the mortality rate from Newall 2008</w:t>
      </w:r>
      <w:r w:rsidR="00F869EF" w:rsidRPr="008A2917">
        <w:t xml:space="preserve">; </w:t>
      </w:r>
      <w:r w:rsidRPr="008A2917">
        <w:t>$</w:t>
      </w:r>
      <w:r w:rsidR="00E1753B">
        <w:t>15,000</w:t>
      </w:r>
      <w:r w:rsidR="00F869EF" w:rsidRPr="008A2917">
        <w:t>/QALY</w:t>
      </w:r>
      <w:r w:rsidR="00E1753B">
        <w:t xml:space="preserve"> - $45,000/QALY</w:t>
      </w:r>
      <w:r w:rsidRPr="008A2917">
        <w:t xml:space="preserve"> using mortality rate from the Main model). This scenario was observed in 2002 and 2007. The ICER increased by 73-77% for the scenario with a low </w:t>
      </w:r>
      <w:proofErr w:type="gramStart"/>
      <w:r w:rsidRPr="008A2917">
        <w:t>A</w:t>
      </w:r>
      <w:proofErr w:type="gramEnd"/>
      <w:r w:rsidRPr="008A2917">
        <w:t xml:space="preserve"> prevalence and a moderate B match</w:t>
      </w:r>
      <w:r w:rsidR="003625E7" w:rsidRPr="008A2917">
        <w:t xml:space="preserve"> to $</w:t>
      </w:r>
      <w:r w:rsidR="00E1753B">
        <w:t>15,000/QALY</w:t>
      </w:r>
      <w:r w:rsidR="003625E7" w:rsidRPr="008A2917">
        <w:t>-$</w:t>
      </w:r>
      <w:r w:rsidR="00E1753B">
        <w:t>45,000</w:t>
      </w:r>
      <w:r w:rsidR="00F869EF" w:rsidRPr="008A2917">
        <w:t>/QALY</w:t>
      </w:r>
      <w:r w:rsidRPr="008A2917">
        <w:t>. This scenario was observed in 2015. The ICER increased by 139</w:t>
      </w:r>
      <w:r w:rsidR="003625E7" w:rsidRPr="008A2917">
        <w:t>-144</w:t>
      </w:r>
      <w:r w:rsidRPr="008A2917">
        <w:t xml:space="preserve">% for the scenario with a low </w:t>
      </w:r>
      <w:proofErr w:type="gramStart"/>
      <w:r w:rsidRPr="008A2917">
        <w:t>A</w:t>
      </w:r>
      <w:proofErr w:type="gramEnd"/>
      <w:r w:rsidRPr="008A2917">
        <w:t xml:space="preserve"> prevalence and a </w:t>
      </w:r>
      <w:r w:rsidR="003625E7" w:rsidRPr="008A2917">
        <w:t>low</w:t>
      </w:r>
      <w:r w:rsidRPr="008A2917">
        <w:t xml:space="preserve"> B match</w:t>
      </w:r>
      <w:r w:rsidR="003625E7" w:rsidRPr="008A2917">
        <w:t xml:space="preserve"> to $</w:t>
      </w:r>
      <w:r w:rsidR="00E1753B">
        <w:t>15,000</w:t>
      </w:r>
      <w:r w:rsidR="003625E7" w:rsidRPr="008A2917">
        <w:t>-$</w:t>
      </w:r>
      <w:r w:rsidR="00E1753B">
        <w:t>75,000</w:t>
      </w:r>
      <w:r w:rsidR="00F869EF" w:rsidRPr="008A2917">
        <w:t>/QALY</w:t>
      </w:r>
      <w:r w:rsidRPr="008A2917">
        <w:t>. Th</w:t>
      </w:r>
      <w:r w:rsidR="003625E7" w:rsidRPr="008A2917">
        <w:t>is scenario was observed in 2004 and 2008</w:t>
      </w:r>
      <w:r w:rsidRPr="008A2917">
        <w:t>.</w:t>
      </w:r>
    </w:p>
    <w:p w:rsidR="00CB0A5B" w:rsidRPr="008A2917" w:rsidRDefault="00534F9C" w:rsidP="00387896">
      <w:pPr>
        <w:pStyle w:val="Heading2"/>
      </w:pPr>
      <w:r w:rsidRPr="008A2917">
        <w:t>Vaccine</w:t>
      </w:r>
      <w:r w:rsidR="00CB0A5B" w:rsidRPr="008A2917">
        <w:t xml:space="preserve"> cost/patient/year</w:t>
      </w:r>
      <w:bookmarkEnd w:id="27"/>
      <w:bookmarkEnd w:id="28"/>
    </w:p>
    <w:p w:rsidR="00CB0A5B" w:rsidRPr="008A2917" w:rsidRDefault="0056771C" w:rsidP="00387896">
      <w:pPr>
        <w:pStyle w:val="ListParagraph"/>
        <w:keepNext/>
        <w:widowControl/>
        <w:numPr>
          <w:ilvl w:val="1"/>
          <w:numId w:val="1"/>
        </w:numPr>
      </w:pPr>
      <w:r w:rsidRPr="008A2917">
        <w:t>T</w:t>
      </w:r>
      <w:r w:rsidR="00CB0A5B" w:rsidRPr="008A2917">
        <w:t xml:space="preserve">he proposed price </w:t>
      </w:r>
      <w:r w:rsidR="00F03A8A" w:rsidRPr="008A2917">
        <w:t xml:space="preserve">was </w:t>
      </w:r>
      <w:r w:rsidR="00CB0A5B" w:rsidRPr="008A2917">
        <w:t>$</w:t>
      </w:r>
      <w:r w:rsidR="001A215D">
        <w:rPr>
          <w:noProof/>
          <w:color w:val="000000"/>
          <w:highlight w:val="black"/>
        </w:rPr>
        <w:t>''''''''''''</w:t>
      </w:r>
      <w:r w:rsidR="00CB0A5B" w:rsidRPr="008A2917">
        <w:t xml:space="preserve"> per dose. Table </w:t>
      </w:r>
      <w:r w:rsidR="000D5A8F" w:rsidRPr="008A2917">
        <w:t>21</w:t>
      </w:r>
      <w:r w:rsidR="00CB0A5B" w:rsidRPr="008A2917">
        <w:t xml:space="preserve"> gives the costs for all vaccines relevant to the resubmission. These costs </w:t>
      </w:r>
      <w:r w:rsidR="00F03A8A" w:rsidRPr="008A2917">
        <w:t xml:space="preserve">were </w:t>
      </w:r>
      <w:r w:rsidR="00CB0A5B" w:rsidRPr="008A2917">
        <w:t>used both in the economic and financial models.</w:t>
      </w:r>
      <w:r w:rsidR="0062339C" w:rsidRPr="008A2917">
        <w:t xml:space="preserve"> </w:t>
      </w:r>
    </w:p>
    <w:p w:rsidR="00CB0A5B" w:rsidRPr="008A2917" w:rsidRDefault="00CB0A5B" w:rsidP="00387896">
      <w:pPr>
        <w:pStyle w:val="TableHeading0"/>
        <w:keepNext w:val="0"/>
      </w:pPr>
      <w:r w:rsidRPr="008A2917">
        <w:t xml:space="preserve">Table </w:t>
      </w:r>
      <w:r w:rsidR="00727869" w:rsidRPr="008A2917">
        <w:t>2</w:t>
      </w:r>
      <w:r w:rsidR="000D5A8F" w:rsidRPr="008A2917">
        <w:t>1</w:t>
      </w:r>
      <w:r w:rsidRPr="008A2917">
        <w:t>: Vaccine costs included in the Main and Supplementary economic models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88"/>
        <w:gridCol w:w="1417"/>
        <w:gridCol w:w="992"/>
        <w:gridCol w:w="1701"/>
        <w:gridCol w:w="1596"/>
        <w:gridCol w:w="2323"/>
      </w:tblGrid>
      <w:tr w:rsidR="00CB0A5B" w:rsidRPr="008A2917" w:rsidTr="00D03D21">
        <w:trPr>
          <w:trHeight w:val="20"/>
          <w:tblHeader/>
        </w:trPr>
        <w:tc>
          <w:tcPr>
            <w:tcW w:w="548" w:type="pct"/>
            <w:shd w:val="clear" w:color="auto" w:fill="FFFFFF" w:themeFill="background1"/>
            <w:vAlign w:val="center"/>
          </w:tcPr>
          <w:p w:rsidR="00CB0A5B" w:rsidRPr="008A2917" w:rsidRDefault="00CB0A5B" w:rsidP="00387896">
            <w:pPr>
              <w:pStyle w:val="TableText0"/>
              <w:jc w:val="center"/>
              <w:rPr>
                <w:b/>
                <w:szCs w:val="20"/>
              </w:rPr>
            </w:pPr>
            <w:r w:rsidRPr="008A2917">
              <w:rPr>
                <w:b/>
                <w:szCs w:val="20"/>
              </w:rPr>
              <w:t>Vaccine</w:t>
            </w:r>
          </w:p>
        </w:tc>
        <w:tc>
          <w:tcPr>
            <w:tcW w:w="786" w:type="pct"/>
            <w:shd w:val="clear" w:color="auto" w:fill="FFFFFF" w:themeFill="background1"/>
            <w:vAlign w:val="center"/>
          </w:tcPr>
          <w:p w:rsidR="00CB0A5B" w:rsidRPr="008A2917" w:rsidRDefault="00CB0A5B" w:rsidP="00387896">
            <w:pPr>
              <w:pStyle w:val="TableText0"/>
              <w:jc w:val="center"/>
              <w:rPr>
                <w:b/>
                <w:szCs w:val="20"/>
              </w:rPr>
            </w:pPr>
            <w:r w:rsidRPr="008A2917">
              <w:rPr>
                <w:b/>
                <w:szCs w:val="20"/>
              </w:rPr>
              <w:t>Unit of measurement</w:t>
            </w:r>
          </w:p>
        </w:tc>
        <w:tc>
          <w:tcPr>
            <w:tcW w:w="550" w:type="pct"/>
            <w:shd w:val="clear" w:color="auto" w:fill="FFFFFF" w:themeFill="background1"/>
            <w:vAlign w:val="center"/>
          </w:tcPr>
          <w:p w:rsidR="00CB0A5B" w:rsidRPr="008A2917" w:rsidRDefault="00CB0A5B" w:rsidP="00387896">
            <w:pPr>
              <w:pStyle w:val="TableText0"/>
              <w:jc w:val="center"/>
              <w:rPr>
                <w:b/>
                <w:szCs w:val="20"/>
              </w:rPr>
            </w:pPr>
            <w:r w:rsidRPr="008A2917">
              <w:rPr>
                <w:b/>
                <w:szCs w:val="20"/>
              </w:rPr>
              <w:t>Unit cost (AUD)</w:t>
            </w:r>
          </w:p>
        </w:tc>
        <w:tc>
          <w:tcPr>
            <w:tcW w:w="943" w:type="pct"/>
            <w:shd w:val="clear" w:color="auto" w:fill="FFFFFF" w:themeFill="background1"/>
            <w:vAlign w:val="center"/>
          </w:tcPr>
          <w:p w:rsidR="00CB0A5B" w:rsidRPr="008A2917" w:rsidRDefault="00CB0A5B" w:rsidP="00387896">
            <w:pPr>
              <w:pStyle w:val="TableText0"/>
              <w:jc w:val="center"/>
              <w:rPr>
                <w:b/>
                <w:szCs w:val="20"/>
              </w:rPr>
            </w:pPr>
            <w:r w:rsidRPr="008A2917">
              <w:rPr>
                <w:b/>
                <w:szCs w:val="20"/>
              </w:rPr>
              <w:t>Source of unit cost</w:t>
            </w:r>
          </w:p>
        </w:tc>
        <w:tc>
          <w:tcPr>
            <w:tcW w:w="885" w:type="pct"/>
            <w:shd w:val="clear" w:color="auto" w:fill="FFFFFF" w:themeFill="background1"/>
            <w:vAlign w:val="center"/>
          </w:tcPr>
          <w:p w:rsidR="00CB0A5B" w:rsidRPr="008A2917" w:rsidRDefault="00CB0A5B" w:rsidP="00387896">
            <w:pPr>
              <w:pStyle w:val="TableText0"/>
              <w:jc w:val="center"/>
              <w:rPr>
                <w:b/>
                <w:szCs w:val="20"/>
              </w:rPr>
            </w:pPr>
            <w:r w:rsidRPr="008A2917">
              <w:rPr>
                <w:b/>
                <w:szCs w:val="20"/>
              </w:rPr>
              <w:t>Vaccine</w:t>
            </w:r>
          </w:p>
          <w:p w:rsidR="00CB0A5B" w:rsidRPr="008A2917" w:rsidRDefault="00CB0A5B" w:rsidP="00387896">
            <w:pPr>
              <w:pStyle w:val="TableText0"/>
              <w:jc w:val="center"/>
              <w:rPr>
                <w:b/>
                <w:szCs w:val="20"/>
              </w:rPr>
            </w:pPr>
            <w:r w:rsidRPr="008A2917">
              <w:rPr>
                <w:b/>
                <w:szCs w:val="20"/>
              </w:rPr>
              <w:t>Usage in models</w:t>
            </w:r>
          </w:p>
        </w:tc>
        <w:tc>
          <w:tcPr>
            <w:tcW w:w="1288" w:type="pct"/>
            <w:shd w:val="clear" w:color="auto" w:fill="FFFFFF" w:themeFill="background1"/>
            <w:vAlign w:val="center"/>
          </w:tcPr>
          <w:p w:rsidR="00CB0A5B" w:rsidRPr="008A2917" w:rsidRDefault="00CB0A5B" w:rsidP="00387896">
            <w:pPr>
              <w:pStyle w:val="TableText0"/>
              <w:jc w:val="center"/>
              <w:rPr>
                <w:b/>
                <w:szCs w:val="20"/>
              </w:rPr>
            </w:pPr>
            <w:r w:rsidRPr="008A2917">
              <w:rPr>
                <w:b/>
                <w:szCs w:val="20"/>
              </w:rPr>
              <w:t>Use in model</w:t>
            </w:r>
          </w:p>
        </w:tc>
      </w:tr>
      <w:tr w:rsidR="00CB0A5B" w:rsidRPr="008A2917" w:rsidTr="00D03D21">
        <w:trPr>
          <w:trHeight w:val="20"/>
        </w:trPr>
        <w:tc>
          <w:tcPr>
            <w:tcW w:w="548" w:type="pct"/>
            <w:shd w:val="clear" w:color="auto" w:fill="FFFFFF" w:themeFill="background1"/>
            <w:vAlign w:val="center"/>
          </w:tcPr>
          <w:p w:rsidR="00CB0A5B" w:rsidRPr="008A2917" w:rsidRDefault="00CB0A5B" w:rsidP="00387896">
            <w:pPr>
              <w:pStyle w:val="TableText0"/>
              <w:rPr>
                <w:rFonts w:eastAsia="Times New Roman" w:cs="Times New Roman"/>
                <w:szCs w:val="20"/>
              </w:rPr>
            </w:pPr>
            <w:r w:rsidRPr="008A2917">
              <w:rPr>
                <w:szCs w:val="20"/>
              </w:rPr>
              <w:t>TIV-HD</w:t>
            </w:r>
          </w:p>
        </w:tc>
        <w:tc>
          <w:tcPr>
            <w:tcW w:w="786" w:type="pct"/>
            <w:shd w:val="clear" w:color="auto" w:fill="FFFFFF" w:themeFill="background1"/>
            <w:vAlign w:val="center"/>
          </w:tcPr>
          <w:p w:rsidR="00CB0A5B" w:rsidRPr="008A2917" w:rsidRDefault="00CB0A5B" w:rsidP="00387896">
            <w:pPr>
              <w:pStyle w:val="TableText0"/>
              <w:jc w:val="center"/>
              <w:rPr>
                <w:rFonts w:eastAsia="Times New Roman" w:cs="Times New Roman"/>
                <w:szCs w:val="20"/>
              </w:rPr>
            </w:pPr>
            <w:r w:rsidRPr="008A2917">
              <w:rPr>
                <w:szCs w:val="20"/>
              </w:rPr>
              <w:t>Per dose</w:t>
            </w:r>
          </w:p>
        </w:tc>
        <w:tc>
          <w:tcPr>
            <w:tcW w:w="550" w:type="pct"/>
            <w:shd w:val="clear" w:color="auto" w:fill="FFFFFF" w:themeFill="background1"/>
            <w:vAlign w:val="center"/>
          </w:tcPr>
          <w:p w:rsidR="00CB0A5B" w:rsidRPr="008A2917" w:rsidRDefault="00CB0A5B" w:rsidP="00387896">
            <w:pPr>
              <w:pStyle w:val="TableText0"/>
              <w:jc w:val="center"/>
              <w:rPr>
                <w:rFonts w:eastAsia="Times New Roman" w:cs="Times New Roman"/>
                <w:szCs w:val="20"/>
              </w:rPr>
            </w:pPr>
            <w:r w:rsidRPr="008A2917">
              <w:rPr>
                <w:rFonts w:eastAsia="Times New Roman" w:cs="Times New Roman"/>
                <w:szCs w:val="20"/>
              </w:rPr>
              <w:t>$</w:t>
            </w:r>
            <w:r w:rsidR="001A215D">
              <w:rPr>
                <w:rFonts w:eastAsia="Times New Roman" w:cs="Times New Roman"/>
                <w:noProof/>
                <w:color w:val="000000"/>
                <w:szCs w:val="20"/>
                <w:highlight w:val="black"/>
              </w:rPr>
              <w:t>''''''''''''''</w:t>
            </w:r>
          </w:p>
        </w:tc>
        <w:tc>
          <w:tcPr>
            <w:tcW w:w="943" w:type="pct"/>
            <w:shd w:val="clear" w:color="auto" w:fill="FFFFFF" w:themeFill="background1"/>
            <w:vAlign w:val="center"/>
          </w:tcPr>
          <w:p w:rsidR="00CB0A5B" w:rsidRPr="008A2917" w:rsidRDefault="00CB0A5B" w:rsidP="00387896">
            <w:pPr>
              <w:pStyle w:val="TableText0"/>
              <w:jc w:val="center"/>
              <w:rPr>
                <w:rFonts w:eastAsia="Times New Roman" w:cs="Times New Roman"/>
                <w:szCs w:val="20"/>
              </w:rPr>
            </w:pPr>
            <w:r w:rsidRPr="008A2917">
              <w:rPr>
                <w:szCs w:val="20"/>
              </w:rPr>
              <w:t>Proposed</w:t>
            </w:r>
          </w:p>
        </w:tc>
        <w:tc>
          <w:tcPr>
            <w:tcW w:w="885" w:type="pct"/>
            <w:shd w:val="clear" w:color="auto" w:fill="FFFFFF" w:themeFill="background1"/>
            <w:vAlign w:val="center"/>
          </w:tcPr>
          <w:p w:rsidR="00CB0A5B" w:rsidRPr="008A2917" w:rsidRDefault="00CB0A5B" w:rsidP="00387896">
            <w:pPr>
              <w:pStyle w:val="TableText0"/>
              <w:jc w:val="center"/>
              <w:rPr>
                <w:szCs w:val="20"/>
              </w:rPr>
            </w:pPr>
            <w:r w:rsidRPr="008A2917">
              <w:rPr>
                <w:szCs w:val="20"/>
              </w:rPr>
              <w:t>1 dose per person</w:t>
            </w:r>
          </w:p>
        </w:tc>
        <w:tc>
          <w:tcPr>
            <w:tcW w:w="1288" w:type="pct"/>
            <w:shd w:val="clear" w:color="auto" w:fill="FFFFFF" w:themeFill="background1"/>
            <w:vAlign w:val="center"/>
          </w:tcPr>
          <w:p w:rsidR="00CB0A5B" w:rsidRPr="008A2917" w:rsidRDefault="00CB0A5B" w:rsidP="00387896">
            <w:pPr>
              <w:pStyle w:val="TableText0"/>
              <w:jc w:val="center"/>
              <w:rPr>
                <w:szCs w:val="20"/>
              </w:rPr>
            </w:pPr>
            <w:r w:rsidRPr="008A2917">
              <w:rPr>
                <w:szCs w:val="20"/>
              </w:rPr>
              <w:t>Main and Supplementary models</w:t>
            </w:r>
          </w:p>
        </w:tc>
      </w:tr>
      <w:tr w:rsidR="00CB0A5B" w:rsidRPr="008A2917" w:rsidTr="00D03D21">
        <w:trPr>
          <w:trHeight w:val="20"/>
        </w:trPr>
        <w:tc>
          <w:tcPr>
            <w:tcW w:w="548" w:type="pct"/>
            <w:shd w:val="clear" w:color="auto" w:fill="FFFFFF" w:themeFill="background1"/>
            <w:vAlign w:val="center"/>
          </w:tcPr>
          <w:p w:rsidR="00CB0A5B" w:rsidRPr="008A2917" w:rsidRDefault="00CB0A5B" w:rsidP="00387896">
            <w:pPr>
              <w:pStyle w:val="TableText0"/>
              <w:rPr>
                <w:rFonts w:cs="Arial"/>
                <w:szCs w:val="20"/>
              </w:rPr>
            </w:pPr>
            <w:r w:rsidRPr="008A2917">
              <w:rPr>
                <w:rFonts w:cs="Arial"/>
                <w:szCs w:val="20"/>
              </w:rPr>
              <w:t>QIV-SD</w:t>
            </w:r>
          </w:p>
        </w:tc>
        <w:tc>
          <w:tcPr>
            <w:tcW w:w="786" w:type="pct"/>
            <w:shd w:val="clear" w:color="auto" w:fill="FFFFFF" w:themeFill="background1"/>
            <w:vAlign w:val="center"/>
          </w:tcPr>
          <w:p w:rsidR="00CB0A5B" w:rsidRPr="008A2917" w:rsidRDefault="00CB0A5B" w:rsidP="00387896">
            <w:pPr>
              <w:pStyle w:val="TableText0"/>
              <w:jc w:val="center"/>
              <w:rPr>
                <w:rFonts w:cs="Arial"/>
                <w:szCs w:val="20"/>
              </w:rPr>
            </w:pPr>
            <w:r w:rsidRPr="008A2917">
              <w:rPr>
                <w:szCs w:val="20"/>
              </w:rPr>
              <w:t>Per dose</w:t>
            </w:r>
          </w:p>
        </w:tc>
        <w:tc>
          <w:tcPr>
            <w:tcW w:w="550" w:type="pct"/>
            <w:shd w:val="clear" w:color="auto" w:fill="auto"/>
            <w:vAlign w:val="center"/>
          </w:tcPr>
          <w:p w:rsidR="00CB0A5B" w:rsidRPr="008A2917" w:rsidRDefault="00CB0A5B" w:rsidP="00387896">
            <w:pPr>
              <w:pStyle w:val="TableText0"/>
              <w:jc w:val="center"/>
              <w:rPr>
                <w:rFonts w:cs="Arial"/>
                <w:szCs w:val="20"/>
              </w:rPr>
            </w:pPr>
            <w:r w:rsidRPr="008A2917">
              <w:rPr>
                <w:rFonts w:eastAsia="Times New Roman" w:cs="Times New Roman"/>
                <w:szCs w:val="20"/>
              </w:rPr>
              <w:t>$</w:t>
            </w:r>
            <w:r w:rsidR="001A215D">
              <w:rPr>
                <w:rFonts w:eastAsia="Times New Roman" w:cs="Times New Roman"/>
                <w:noProof/>
                <w:color w:val="000000"/>
                <w:szCs w:val="20"/>
                <w:highlight w:val="black"/>
              </w:rPr>
              <w:t>'''''''''''</w:t>
            </w:r>
          </w:p>
        </w:tc>
        <w:tc>
          <w:tcPr>
            <w:tcW w:w="943" w:type="pct"/>
            <w:shd w:val="clear" w:color="auto" w:fill="auto"/>
            <w:vAlign w:val="center"/>
          </w:tcPr>
          <w:p w:rsidR="00CB0A5B" w:rsidRPr="008A2917" w:rsidRDefault="00CB0A5B" w:rsidP="00387896">
            <w:pPr>
              <w:pStyle w:val="TableText0"/>
              <w:jc w:val="center"/>
              <w:rPr>
                <w:szCs w:val="20"/>
              </w:rPr>
            </w:pPr>
            <w:r w:rsidRPr="008A2917">
              <w:rPr>
                <w:szCs w:val="20"/>
              </w:rPr>
              <w:t>Nationally Negotiated Price</w:t>
            </w:r>
          </w:p>
        </w:tc>
        <w:tc>
          <w:tcPr>
            <w:tcW w:w="885" w:type="pct"/>
            <w:shd w:val="clear" w:color="auto" w:fill="FFFFFF" w:themeFill="background1"/>
            <w:vAlign w:val="center"/>
          </w:tcPr>
          <w:p w:rsidR="00CB0A5B" w:rsidRPr="008A2917" w:rsidRDefault="00CB0A5B" w:rsidP="00387896">
            <w:pPr>
              <w:pStyle w:val="TableText0"/>
              <w:jc w:val="center"/>
              <w:rPr>
                <w:szCs w:val="20"/>
              </w:rPr>
            </w:pPr>
            <w:r w:rsidRPr="008A2917">
              <w:rPr>
                <w:szCs w:val="20"/>
              </w:rPr>
              <w:t>1 dose per person</w:t>
            </w:r>
          </w:p>
        </w:tc>
        <w:tc>
          <w:tcPr>
            <w:tcW w:w="1288" w:type="pct"/>
            <w:shd w:val="clear" w:color="auto" w:fill="FFFFFF" w:themeFill="background1"/>
            <w:vAlign w:val="center"/>
          </w:tcPr>
          <w:p w:rsidR="00CB0A5B" w:rsidRPr="008A2917" w:rsidRDefault="00CB0A5B" w:rsidP="00387896">
            <w:pPr>
              <w:pStyle w:val="TableText0"/>
              <w:jc w:val="center"/>
              <w:rPr>
                <w:szCs w:val="20"/>
              </w:rPr>
            </w:pPr>
            <w:r w:rsidRPr="008A2917">
              <w:rPr>
                <w:szCs w:val="20"/>
              </w:rPr>
              <w:t>Main and Supplementary models</w:t>
            </w:r>
          </w:p>
        </w:tc>
      </w:tr>
      <w:tr w:rsidR="00CB0A5B" w:rsidRPr="008A2917" w:rsidTr="00D03D21">
        <w:trPr>
          <w:trHeight w:val="20"/>
        </w:trPr>
        <w:tc>
          <w:tcPr>
            <w:tcW w:w="548" w:type="pct"/>
            <w:shd w:val="clear" w:color="auto" w:fill="FFFFFF" w:themeFill="background1"/>
            <w:vAlign w:val="center"/>
          </w:tcPr>
          <w:p w:rsidR="00CB0A5B" w:rsidRPr="008A2917" w:rsidRDefault="004922B5" w:rsidP="00387896">
            <w:pPr>
              <w:pStyle w:val="TableText0"/>
              <w:rPr>
                <w:rFonts w:eastAsia="Times New Roman" w:cs="Times New Roman"/>
                <w:szCs w:val="20"/>
              </w:rPr>
            </w:pPr>
            <w:proofErr w:type="spellStart"/>
            <w:r w:rsidRPr="008A2917">
              <w:rPr>
                <w:rFonts w:eastAsia="Times New Roman" w:cs="Times New Roman"/>
                <w:szCs w:val="20"/>
              </w:rPr>
              <w:t>aTIV</w:t>
            </w:r>
            <w:proofErr w:type="spellEnd"/>
          </w:p>
        </w:tc>
        <w:tc>
          <w:tcPr>
            <w:tcW w:w="786" w:type="pct"/>
            <w:shd w:val="clear" w:color="auto" w:fill="FFFFFF" w:themeFill="background1"/>
            <w:vAlign w:val="center"/>
          </w:tcPr>
          <w:p w:rsidR="00CB0A5B" w:rsidRPr="008A2917" w:rsidRDefault="00CB0A5B" w:rsidP="00387896">
            <w:pPr>
              <w:pStyle w:val="TableText0"/>
              <w:jc w:val="center"/>
              <w:rPr>
                <w:rFonts w:eastAsia="Times New Roman" w:cs="Times New Roman"/>
                <w:szCs w:val="20"/>
              </w:rPr>
            </w:pPr>
            <w:r w:rsidRPr="008A2917">
              <w:rPr>
                <w:rFonts w:eastAsia="Times New Roman" w:cs="Times New Roman"/>
                <w:szCs w:val="20"/>
              </w:rPr>
              <w:t>Per dose</w:t>
            </w:r>
          </w:p>
        </w:tc>
        <w:tc>
          <w:tcPr>
            <w:tcW w:w="550" w:type="pct"/>
            <w:shd w:val="clear" w:color="auto" w:fill="FFFFFF" w:themeFill="background1"/>
            <w:vAlign w:val="center"/>
          </w:tcPr>
          <w:p w:rsidR="00CB0A5B" w:rsidRPr="008A2917" w:rsidRDefault="00CB0A5B" w:rsidP="00387896">
            <w:pPr>
              <w:pStyle w:val="TableText0"/>
              <w:jc w:val="center"/>
              <w:rPr>
                <w:rFonts w:eastAsia="Times New Roman" w:cs="Times New Roman"/>
                <w:szCs w:val="20"/>
              </w:rPr>
            </w:pPr>
            <w:r w:rsidRPr="008A2917">
              <w:rPr>
                <w:rFonts w:eastAsia="Times New Roman" w:cs="Times New Roman"/>
                <w:szCs w:val="20"/>
              </w:rPr>
              <w:t>$</w:t>
            </w:r>
            <w:r w:rsidR="001A215D">
              <w:rPr>
                <w:rFonts w:eastAsia="Times New Roman" w:cs="Times New Roman"/>
                <w:noProof/>
                <w:color w:val="000000"/>
                <w:szCs w:val="20"/>
                <w:highlight w:val="black"/>
              </w:rPr>
              <w:t>'''''''''''''</w:t>
            </w:r>
          </w:p>
        </w:tc>
        <w:tc>
          <w:tcPr>
            <w:tcW w:w="943" w:type="pct"/>
            <w:shd w:val="clear" w:color="auto" w:fill="FFFFFF" w:themeFill="background1"/>
            <w:vAlign w:val="center"/>
          </w:tcPr>
          <w:p w:rsidR="00CB0A5B" w:rsidRPr="008A2917" w:rsidRDefault="00CB0A5B" w:rsidP="00387896">
            <w:pPr>
              <w:pStyle w:val="TableText0"/>
              <w:jc w:val="center"/>
              <w:rPr>
                <w:rFonts w:eastAsia="Times New Roman" w:cs="Times New Roman"/>
                <w:szCs w:val="20"/>
              </w:rPr>
            </w:pPr>
            <w:r w:rsidRPr="008A2917">
              <w:rPr>
                <w:rFonts w:eastAsia="Times New Roman" w:cs="Times New Roman"/>
                <w:szCs w:val="20"/>
              </w:rPr>
              <w:t>“Proxy”</w:t>
            </w:r>
          </w:p>
        </w:tc>
        <w:tc>
          <w:tcPr>
            <w:tcW w:w="885" w:type="pct"/>
            <w:shd w:val="clear" w:color="auto" w:fill="FFFFFF" w:themeFill="background1"/>
            <w:vAlign w:val="center"/>
          </w:tcPr>
          <w:p w:rsidR="00CB0A5B" w:rsidRPr="008A2917" w:rsidRDefault="00CB0A5B" w:rsidP="00387896">
            <w:pPr>
              <w:pStyle w:val="TableText0"/>
              <w:jc w:val="center"/>
              <w:rPr>
                <w:szCs w:val="20"/>
              </w:rPr>
            </w:pPr>
            <w:r w:rsidRPr="008A2917">
              <w:rPr>
                <w:szCs w:val="20"/>
              </w:rPr>
              <w:t>1 dose per person</w:t>
            </w:r>
          </w:p>
        </w:tc>
        <w:tc>
          <w:tcPr>
            <w:tcW w:w="1288" w:type="pct"/>
            <w:shd w:val="clear" w:color="auto" w:fill="FFFFFF" w:themeFill="background1"/>
            <w:vAlign w:val="center"/>
          </w:tcPr>
          <w:p w:rsidR="00CB0A5B" w:rsidRPr="008A2917" w:rsidRDefault="00CB0A5B" w:rsidP="00387896">
            <w:pPr>
              <w:pStyle w:val="TableText0"/>
              <w:jc w:val="center"/>
              <w:rPr>
                <w:szCs w:val="20"/>
              </w:rPr>
            </w:pPr>
            <w:r w:rsidRPr="008A2917">
              <w:rPr>
                <w:szCs w:val="20"/>
              </w:rPr>
              <w:t>Supplementary model only</w:t>
            </w:r>
          </w:p>
        </w:tc>
      </w:tr>
      <w:tr w:rsidR="00CB0A5B" w:rsidRPr="008A2917" w:rsidTr="00D03D21">
        <w:trPr>
          <w:trHeight w:val="20"/>
        </w:trPr>
        <w:tc>
          <w:tcPr>
            <w:tcW w:w="548" w:type="pct"/>
            <w:shd w:val="clear" w:color="auto" w:fill="auto"/>
            <w:vAlign w:val="center"/>
          </w:tcPr>
          <w:p w:rsidR="00CB0A5B" w:rsidRPr="008A2917" w:rsidRDefault="004922B5" w:rsidP="00387896">
            <w:pPr>
              <w:pStyle w:val="TableText0"/>
              <w:rPr>
                <w:szCs w:val="20"/>
              </w:rPr>
            </w:pPr>
            <w:proofErr w:type="spellStart"/>
            <w:r w:rsidRPr="008A2917">
              <w:rPr>
                <w:szCs w:val="20"/>
              </w:rPr>
              <w:t>aQIV</w:t>
            </w:r>
            <w:proofErr w:type="spellEnd"/>
          </w:p>
        </w:tc>
        <w:tc>
          <w:tcPr>
            <w:tcW w:w="786" w:type="pct"/>
            <w:shd w:val="clear" w:color="auto" w:fill="auto"/>
            <w:vAlign w:val="center"/>
          </w:tcPr>
          <w:p w:rsidR="00CB0A5B" w:rsidRPr="008A2917" w:rsidRDefault="00CB0A5B" w:rsidP="00387896">
            <w:pPr>
              <w:pStyle w:val="TableText0"/>
              <w:jc w:val="center"/>
              <w:rPr>
                <w:rFonts w:cs="Arial"/>
                <w:szCs w:val="20"/>
              </w:rPr>
            </w:pPr>
            <w:r w:rsidRPr="008A2917">
              <w:rPr>
                <w:rFonts w:eastAsia="Times New Roman" w:cs="Times New Roman"/>
                <w:szCs w:val="20"/>
              </w:rPr>
              <w:t>Per dose</w:t>
            </w:r>
          </w:p>
        </w:tc>
        <w:tc>
          <w:tcPr>
            <w:tcW w:w="550" w:type="pct"/>
            <w:shd w:val="clear" w:color="auto" w:fill="auto"/>
            <w:vAlign w:val="center"/>
          </w:tcPr>
          <w:p w:rsidR="00CB0A5B" w:rsidRPr="008A2917" w:rsidRDefault="00CB0A5B" w:rsidP="00387896">
            <w:pPr>
              <w:pStyle w:val="TableText0"/>
              <w:jc w:val="center"/>
              <w:rPr>
                <w:szCs w:val="20"/>
              </w:rPr>
            </w:pPr>
            <w:r w:rsidRPr="008A2917">
              <w:rPr>
                <w:rFonts w:eastAsia="Times New Roman" w:cs="Times New Roman"/>
                <w:szCs w:val="20"/>
              </w:rPr>
              <w:t>$</w:t>
            </w:r>
            <w:r w:rsidR="001A215D">
              <w:rPr>
                <w:rFonts w:eastAsia="Times New Roman" w:cs="Times New Roman"/>
                <w:noProof/>
                <w:color w:val="000000"/>
                <w:szCs w:val="20"/>
                <w:highlight w:val="black"/>
              </w:rPr>
              <w:t>''''''''''''''</w:t>
            </w:r>
          </w:p>
        </w:tc>
        <w:tc>
          <w:tcPr>
            <w:tcW w:w="943" w:type="pct"/>
            <w:shd w:val="clear" w:color="auto" w:fill="FFFFFF" w:themeFill="background1"/>
            <w:vAlign w:val="center"/>
          </w:tcPr>
          <w:p w:rsidR="00CB0A5B" w:rsidRPr="008A2917" w:rsidRDefault="00CB0A5B" w:rsidP="00387896">
            <w:pPr>
              <w:pStyle w:val="TableText0"/>
              <w:jc w:val="center"/>
              <w:rPr>
                <w:szCs w:val="20"/>
              </w:rPr>
            </w:pPr>
            <w:r w:rsidRPr="008A2917">
              <w:rPr>
                <w:rFonts w:eastAsia="Times New Roman" w:cs="Times New Roman"/>
                <w:szCs w:val="20"/>
              </w:rPr>
              <w:t>“Proxy”</w:t>
            </w:r>
          </w:p>
        </w:tc>
        <w:tc>
          <w:tcPr>
            <w:tcW w:w="885" w:type="pct"/>
            <w:shd w:val="clear" w:color="auto" w:fill="FFFFFF" w:themeFill="background1"/>
            <w:vAlign w:val="center"/>
          </w:tcPr>
          <w:p w:rsidR="00CB0A5B" w:rsidRPr="008A2917" w:rsidRDefault="00CB0A5B" w:rsidP="00387896">
            <w:pPr>
              <w:pStyle w:val="TableText0"/>
              <w:jc w:val="center"/>
              <w:rPr>
                <w:szCs w:val="20"/>
              </w:rPr>
            </w:pPr>
            <w:r w:rsidRPr="008A2917">
              <w:rPr>
                <w:szCs w:val="20"/>
              </w:rPr>
              <w:t>1 dose per person</w:t>
            </w:r>
          </w:p>
        </w:tc>
        <w:tc>
          <w:tcPr>
            <w:tcW w:w="1288" w:type="pct"/>
            <w:shd w:val="clear" w:color="auto" w:fill="FFFFFF" w:themeFill="background1"/>
            <w:vAlign w:val="center"/>
          </w:tcPr>
          <w:p w:rsidR="00CB0A5B" w:rsidRPr="008A2917" w:rsidRDefault="00CB0A5B" w:rsidP="00387896">
            <w:pPr>
              <w:pStyle w:val="TableText0"/>
              <w:jc w:val="center"/>
              <w:rPr>
                <w:szCs w:val="20"/>
              </w:rPr>
            </w:pPr>
            <w:r w:rsidRPr="008A2917">
              <w:rPr>
                <w:szCs w:val="20"/>
              </w:rPr>
              <w:t>Supplementary model only</w:t>
            </w:r>
          </w:p>
        </w:tc>
      </w:tr>
    </w:tbl>
    <w:p w:rsidR="00CB0A5B" w:rsidRPr="008A2917" w:rsidRDefault="004922B5" w:rsidP="00387896">
      <w:pPr>
        <w:pStyle w:val="TableFooter"/>
        <w:widowControl/>
      </w:pPr>
      <w:proofErr w:type="spellStart"/>
      <w:proofErr w:type="gramStart"/>
      <w:r w:rsidRPr="008A2917">
        <w:t>aQIV</w:t>
      </w:r>
      <w:proofErr w:type="spellEnd"/>
      <w:proofErr w:type="gramEnd"/>
      <w:r w:rsidR="00CB0A5B" w:rsidRPr="008A2917">
        <w:t xml:space="preserve"> </w:t>
      </w:r>
      <w:proofErr w:type="spellStart"/>
      <w:r w:rsidR="00CB0A5B" w:rsidRPr="008A2917">
        <w:t>adjuvanted</w:t>
      </w:r>
      <w:proofErr w:type="spellEnd"/>
      <w:r w:rsidR="00CB0A5B" w:rsidRPr="008A2917">
        <w:t xml:space="preserve"> </w:t>
      </w:r>
      <w:proofErr w:type="spellStart"/>
      <w:r w:rsidR="00CB0A5B" w:rsidRPr="008A2917">
        <w:t>quadrivalent</w:t>
      </w:r>
      <w:proofErr w:type="spellEnd"/>
      <w:r w:rsidR="00CB0A5B" w:rsidRPr="008A2917">
        <w:t xml:space="preserve"> Influenza Vaccine standard dose; </w:t>
      </w:r>
      <w:proofErr w:type="spellStart"/>
      <w:r w:rsidRPr="008A2917">
        <w:t>aTIV</w:t>
      </w:r>
      <w:proofErr w:type="spellEnd"/>
      <w:r w:rsidR="00CB0A5B" w:rsidRPr="008A2917">
        <w:t xml:space="preserve">: </w:t>
      </w:r>
      <w:proofErr w:type="spellStart"/>
      <w:r w:rsidR="00CB0A5B" w:rsidRPr="008A2917">
        <w:t>adjuvanted</w:t>
      </w:r>
      <w:proofErr w:type="spellEnd"/>
      <w:r w:rsidR="00CB0A5B" w:rsidRPr="008A2917">
        <w:t xml:space="preserve"> trivalent Influenza Vaccine standard dose; QIV-SD: </w:t>
      </w:r>
      <w:proofErr w:type="spellStart"/>
      <w:r w:rsidR="00CB0A5B" w:rsidRPr="008A2917">
        <w:t>Quadrivalent</w:t>
      </w:r>
      <w:proofErr w:type="spellEnd"/>
      <w:r w:rsidR="00CB0A5B" w:rsidRPr="008A2917">
        <w:t xml:space="preserve"> Influenza Vaccine – Standard Dose; TIV-HD: Trivalent Influenza Vaccine – High Dose.</w:t>
      </w:r>
    </w:p>
    <w:p w:rsidR="00CB0A5B" w:rsidRPr="008A2917" w:rsidRDefault="00CB0A5B" w:rsidP="00387896">
      <w:pPr>
        <w:pStyle w:val="TableFooter"/>
        <w:widowControl/>
      </w:pPr>
      <w:r w:rsidRPr="008A2917">
        <w:t>Source: complied during this evaluation using information from Sections 3.3 and 4 in the submission.</w:t>
      </w:r>
    </w:p>
    <w:p w:rsidR="003C1577" w:rsidRPr="008A2917" w:rsidRDefault="003C1577" w:rsidP="00387896">
      <w:pPr>
        <w:pStyle w:val="TableFooter"/>
        <w:widowControl/>
        <w:rPr>
          <w:iCs/>
        </w:rPr>
      </w:pPr>
    </w:p>
    <w:p w:rsidR="00CB0A5B" w:rsidRPr="008A2917" w:rsidRDefault="00CB0A5B" w:rsidP="00387896">
      <w:pPr>
        <w:pStyle w:val="Heading2"/>
      </w:pPr>
      <w:bookmarkStart w:id="29" w:name="_Toc371170712"/>
      <w:bookmarkStart w:id="30" w:name="_Toc18942069"/>
      <w:r w:rsidRPr="008A2917">
        <w:t xml:space="preserve">Estimated </w:t>
      </w:r>
      <w:r w:rsidR="00306A19" w:rsidRPr="008A2917">
        <w:t xml:space="preserve">NIP </w:t>
      </w:r>
      <w:r w:rsidRPr="008A2917">
        <w:t>usage &amp; financial implications</w:t>
      </w:r>
      <w:bookmarkEnd w:id="29"/>
      <w:bookmarkEnd w:id="30"/>
    </w:p>
    <w:p w:rsidR="00CB0A5B" w:rsidRPr="008A2917" w:rsidRDefault="00CB0A5B" w:rsidP="00387896">
      <w:pPr>
        <w:pStyle w:val="ListParagraph"/>
        <w:keepNext/>
        <w:widowControl/>
        <w:numPr>
          <w:ilvl w:val="1"/>
          <w:numId w:val="1"/>
        </w:numPr>
      </w:pPr>
      <w:r w:rsidRPr="008A2917">
        <w:t xml:space="preserve">This submission </w:t>
      </w:r>
      <w:r w:rsidR="0062339C" w:rsidRPr="008A2917">
        <w:t xml:space="preserve">was </w:t>
      </w:r>
      <w:r w:rsidRPr="008A2917">
        <w:t>not</w:t>
      </w:r>
      <w:r w:rsidR="002824A3" w:rsidRPr="008A2917">
        <w:t xml:space="preserve"> </w:t>
      </w:r>
      <w:r w:rsidRPr="008A2917">
        <w:t xml:space="preserve">considered by DUSC. </w:t>
      </w:r>
      <w:r w:rsidRPr="008A2917">
        <w:rPr>
          <w:szCs w:val="24"/>
        </w:rPr>
        <w:t xml:space="preserve">The submission employed an epidemiological approach to estimate the financial implications from the substitution of </w:t>
      </w:r>
      <w:proofErr w:type="spellStart"/>
      <w:r w:rsidR="004922B5" w:rsidRPr="008A2917">
        <w:rPr>
          <w:szCs w:val="24"/>
        </w:rPr>
        <w:t>aTIV</w:t>
      </w:r>
      <w:proofErr w:type="spellEnd"/>
      <w:r w:rsidRPr="008A2917">
        <w:rPr>
          <w:szCs w:val="24"/>
        </w:rPr>
        <w:t xml:space="preserve"> for TIV-HD for Australians aged ≥65 years. The </w:t>
      </w:r>
      <w:r w:rsidR="00F869EF" w:rsidRPr="008A2917">
        <w:rPr>
          <w:szCs w:val="24"/>
        </w:rPr>
        <w:t>key drivers were</w:t>
      </w:r>
      <w:r w:rsidRPr="008A2917">
        <w:rPr>
          <w:szCs w:val="24"/>
        </w:rPr>
        <w:t xml:space="preserve"> costs of the vaccines, eligible population size and uptake rates.</w:t>
      </w:r>
    </w:p>
    <w:p w:rsidR="00CB0A5B" w:rsidRPr="008A2917" w:rsidRDefault="00CB0A5B" w:rsidP="00387896">
      <w:pPr>
        <w:pStyle w:val="ListParagraph"/>
        <w:keepNext/>
        <w:widowControl/>
        <w:numPr>
          <w:ilvl w:val="1"/>
          <w:numId w:val="1"/>
        </w:numPr>
        <w:rPr>
          <w:iCs/>
        </w:rPr>
      </w:pPr>
      <w:r w:rsidRPr="008A2917">
        <w:t xml:space="preserve">The previous submission assumed an uptake rate of 74.6%. The resubmission assumed an increased rate of 94.4%. </w:t>
      </w:r>
      <w:r w:rsidR="009271C6" w:rsidRPr="008A2917">
        <w:rPr>
          <w:iCs/>
        </w:rPr>
        <w:t>The evaluat</w:t>
      </w:r>
      <w:r w:rsidR="00F776DF" w:rsidRPr="008A2917">
        <w:rPr>
          <w:iCs/>
        </w:rPr>
        <w:t>ion</w:t>
      </w:r>
      <w:r w:rsidR="009271C6" w:rsidRPr="008A2917">
        <w:rPr>
          <w:iCs/>
        </w:rPr>
        <w:t xml:space="preserve"> considered this</w:t>
      </w:r>
      <w:r w:rsidRPr="008A2917">
        <w:rPr>
          <w:iCs/>
        </w:rPr>
        <w:t xml:space="preserve"> inappropriate as it assume</w:t>
      </w:r>
      <w:r w:rsidR="00F776DF" w:rsidRPr="008A2917">
        <w:rPr>
          <w:iCs/>
        </w:rPr>
        <w:t>d</w:t>
      </w:r>
      <w:r w:rsidRPr="008A2917">
        <w:rPr>
          <w:iCs/>
        </w:rPr>
        <w:t xml:space="preserve"> </w:t>
      </w:r>
      <w:r w:rsidRPr="008A2917">
        <w:rPr>
          <w:iCs/>
        </w:rPr>
        <w:lastRenderedPageBreak/>
        <w:t>a 100% substitution rate</w:t>
      </w:r>
      <w:r w:rsidR="0020529E" w:rsidRPr="008A2917">
        <w:rPr>
          <w:iCs/>
        </w:rPr>
        <w:t xml:space="preserve"> between TIV-HD and </w:t>
      </w:r>
      <w:proofErr w:type="spellStart"/>
      <w:r w:rsidR="0020529E" w:rsidRPr="008A2917">
        <w:rPr>
          <w:iCs/>
        </w:rPr>
        <w:t>aTIV</w:t>
      </w:r>
      <w:proofErr w:type="spellEnd"/>
      <w:r w:rsidRPr="008A2917">
        <w:rPr>
          <w:iCs/>
        </w:rPr>
        <w:t xml:space="preserve">, which is unlikely given </w:t>
      </w:r>
      <w:r w:rsidR="002824A3" w:rsidRPr="008A2917">
        <w:rPr>
          <w:iCs/>
        </w:rPr>
        <w:t xml:space="preserve">there are </w:t>
      </w:r>
      <w:r w:rsidRPr="008A2917">
        <w:rPr>
          <w:iCs/>
        </w:rPr>
        <w:t xml:space="preserve">several </w:t>
      </w:r>
      <w:r w:rsidR="0056771C" w:rsidRPr="008A2917">
        <w:rPr>
          <w:iCs/>
        </w:rPr>
        <w:t xml:space="preserve">potential </w:t>
      </w:r>
      <w:r w:rsidRPr="008A2917">
        <w:rPr>
          <w:iCs/>
        </w:rPr>
        <w:t>comparator vaccines</w:t>
      </w:r>
      <w:r w:rsidR="0056771C" w:rsidRPr="008A2917">
        <w:rPr>
          <w:iCs/>
        </w:rPr>
        <w:t>, including</w:t>
      </w:r>
      <w:r w:rsidRPr="008A2917">
        <w:rPr>
          <w:iCs/>
        </w:rPr>
        <w:t xml:space="preserve"> QIV-SD, </w:t>
      </w:r>
      <w:proofErr w:type="spellStart"/>
      <w:r w:rsidR="004922B5" w:rsidRPr="008A2917">
        <w:rPr>
          <w:iCs/>
        </w:rPr>
        <w:t>aTIV</w:t>
      </w:r>
      <w:proofErr w:type="spellEnd"/>
      <w:r w:rsidRPr="008A2917">
        <w:rPr>
          <w:iCs/>
        </w:rPr>
        <w:t xml:space="preserve"> and </w:t>
      </w:r>
      <w:proofErr w:type="spellStart"/>
      <w:r w:rsidR="004922B5" w:rsidRPr="008A2917">
        <w:rPr>
          <w:iCs/>
        </w:rPr>
        <w:t>aQIV</w:t>
      </w:r>
      <w:proofErr w:type="spellEnd"/>
      <w:r w:rsidRPr="008A2917">
        <w:rPr>
          <w:iCs/>
        </w:rPr>
        <w:t>.</w:t>
      </w:r>
      <w:r w:rsidR="00FC20B4" w:rsidRPr="008A2917">
        <w:rPr>
          <w:iCs/>
        </w:rPr>
        <w:t xml:space="preserve"> </w:t>
      </w:r>
    </w:p>
    <w:p w:rsidR="00FC20B4" w:rsidRPr="008A2917" w:rsidRDefault="00FC20B4" w:rsidP="00387896">
      <w:pPr>
        <w:pStyle w:val="ListParagraph"/>
        <w:keepNext/>
        <w:widowControl/>
        <w:numPr>
          <w:ilvl w:val="1"/>
          <w:numId w:val="1"/>
        </w:numPr>
        <w:rPr>
          <w:iCs/>
        </w:rPr>
      </w:pPr>
      <w:r w:rsidRPr="008A2917">
        <w:rPr>
          <w:iCs/>
        </w:rPr>
        <w:t xml:space="preserve">The PSCR </w:t>
      </w:r>
      <w:r w:rsidR="003E430B" w:rsidRPr="008A2917">
        <w:rPr>
          <w:iCs/>
        </w:rPr>
        <w:t xml:space="preserve">and Pre-PBAC Response </w:t>
      </w:r>
      <w:r w:rsidRPr="008A2917">
        <w:rPr>
          <w:iCs/>
        </w:rPr>
        <w:t xml:space="preserve">argued that given the 2019 influenza outcomes to date, there was an unmet need in those aged </w:t>
      </w:r>
      <w:r w:rsidRPr="008A2917">
        <w:rPr>
          <w:rFonts w:cs="Calibri"/>
          <w:iCs/>
        </w:rPr>
        <w:t>≥</w:t>
      </w:r>
      <w:r w:rsidRPr="008A2917">
        <w:rPr>
          <w:iCs/>
        </w:rPr>
        <w:t xml:space="preserve"> 65 years and requested the PBAC to consider subsidising TIV-HD for the whole cohort.</w:t>
      </w:r>
    </w:p>
    <w:p w:rsidR="007F5742" w:rsidRPr="008A2917" w:rsidRDefault="00CB0A5B" w:rsidP="00387896">
      <w:pPr>
        <w:pStyle w:val="ListParagraph"/>
        <w:widowControl/>
        <w:numPr>
          <w:ilvl w:val="1"/>
          <w:numId w:val="1"/>
        </w:numPr>
        <w:rPr>
          <w:rStyle w:val="CommentReference"/>
          <w:rFonts w:ascii="Calibri" w:hAnsi="Calibri"/>
          <w:b w:val="0"/>
          <w:sz w:val="24"/>
          <w:szCs w:val="22"/>
        </w:rPr>
      </w:pPr>
      <w:r w:rsidRPr="008A2917">
        <w:t xml:space="preserve">The net costs to the NIP and the Australian </w:t>
      </w:r>
      <w:r w:rsidR="002824A3" w:rsidRPr="008A2917">
        <w:t>G</w:t>
      </w:r>
      <w:r w:rsidRPr="008A2917">
        <w:t xml:space="preserve">overnment are </w:t>
      </w:r>
      <w:r w:rsidR="009271C6" w:rsidRPr="008A2917">
        <w:t xml:space="preserve">presented </w:t>
      </w:r>
      <w:r w:rsidRPr="008A2917">
        <w:t xml:space="preserve">in Table </w:t>
      </w:r>
      <w:r w:rsidR="00727869" w:rsidRPr="008A2917">
        <w:t>2</w:t>
      </w:r>
      <w:r w:rsidR="000D5A8F" w:rsidRPr="008A2917">
        <w:t>2</w:t>
      </w:r>
      <w:r w:rsidRPr="008A2917">
        <w:t>.</w:t>
      </w:r>
    </w:p>
    <w:p w:rsidR="00CB0A5B" w:rsidRPr="008A2917" w:rsidRDefault="00CB0A5B" w:rsidP="00387896">
      <w:pPr>
        <w:pStyle w:val="TableHeading0"/>
        <w:rPr>
          <w:rStyle w:val="CommentReference"/>
          <w:b/>
          <w:szCs w:val="22"/>
        </w:rPr>
      </w:pPr>
      <w:r w:rsidRPr="008A2917">
        <w:rPr>
          <w:rStyle w:val="CommentReference"/>
          <w:b/>
          <w:szCs w:val="22"/>
        </w:rPr>
        <w:t xml:space="preserve">Table </w:t>
      </w:r>
      <w:r w:rsidR="00727869" w:rsidRPr="008A2917">
        <w:rPr>
          <w:rStyle w:val="CommentReference"/>
          <w:b/>
          <w:szCs w:val="22"/>
        </w:rPr>
        <w:t>2</w:t>
      </w:r>
      <w:r w:rsidR="000D5A8F" w:rsidRPr="008A2917">
        <w:rPr>
          <w:rStyle w:val="CommentReference"/>
          <w:b/>
          <w:szCs w:val="22"/>
        </w:rPr>
        <w:t>2</w:t>
      </w:r>
      <w:r w:rsidRPr="008A2917">
        <w:rPr>
          <w:rStyle w:val="CommentReference"/>
          <w:b/>
          <w:szCs w:val="22"/>
        </w:rPr>
        <w:t xml:space="preserve">: Estimated use and financial implication for Australian </w:t>
      </w:r>
      <w:r w:rsidR="00E1126D" w:rsidRPr="008A2917">
        <w:rPr>
          <w:rStyle w:val="CommentReference"/>
          <w:b/>
          <w:szCs w:val="22"/>
        </w:rPr>
        <w:t>G</w:t>
      </w:r>
      <w:r w:rsidRPr="008A2917">
        <w:rPr>
          <w:rStyle w:val="CommentReference"/>
          <w:b/>
          <w:szCs w:val="22"/>
        </w:rPr>
        <w:t>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96"/>
        <w:gridCol w:w="1219"/>
        <w:gridCol w:w="1219"/>
        <w:gridCol w:w="1219"/>
        <w:gridCol w:w="1219"/>
        <w:gridCol w:w="1219"/>
        <w:gridCol w:w="1226"/>
      </w:tblGrid>
      <w:tr w:rsidR="00CB0A5B" w:rsidRPr="008A2917" w:rsidTr="00530440">
        <w:trPr>
          <w:trHeight w:val="66"/>
          <w:tblHeader/>
        </w:trPr>
        <w:tc>
          <w:tcPr>
            <w:tcW w:w="940" w:type="pct"/>
            <w:noWrap/>
            <w:vAlign w:val="center"/>
          </w:tcPr>
          <w:p w:rsidR="00CB0A5B" w:rsidRPr="008A2917" w:rsidRDefault="00CB0A5B" w:rsidP="00387896">
            <w:pPr>
              <w:keepNext/>
              <w:widowControl/>
              <w:jc w:val="left"/>
              <w:rPr>
                <w:rFonts w:ascii="Arial Narrow" w:hAnsi="Arial Narrow"/>
                <w:b/>
                <w:sz w:val="20"/>
                <w:szCs w:val="20"/>
              </w:rPr>
            </w:pPr>
          </w:p>
        </w:tc>
        <w:tc>
          <w:tcPr>
            <w:tcW w:w="676" w:type="pct"/>
            <w:noWrap/>
          </w:tcPr>
          <w:p w:rsidR="00CB0A5B" w:rsidRPr="008A2917" w:rsidRDefault="00CB0A5B" w:rsidP="00387896">
            <w:pPr>
              <w:keepNext/>
              <w:widowControl/>
              <w:jc w:val="right"/>
              <w:rPr>
                <w:rFonts w:ascii="Arial Narrow" w:hAnsi="Arial Narrow"/>
                <w:b/>
                <w:sz w:val="20"/>
                <w:szCs w:val="20"/>
              </w:rPr>
            </w:pPr>
            <w:r w:rsidRPr="008A2917">
              <w:rPr>
                <w:rFonts w:ascii="Arial Narrow" w:hAnsi="Arial Narrow"/>
                <w:b/>
                <w:sz w:val="20"/>
                <w:szCs w:val="20"/>
              </w:rPr>
              <w:t>2020</w:t>
            </w:r>
          </w:p>
        </w:tc>
        <w:tc>
          <w:tcPr>
            <w:tcW w:w="676" w:type="pct"/>
            <w:noWrap/>
          </w:tcPr>
          <w:p w:rsidR="00CB0A5B" w:rsidRPr="008A2917" w:rsidRDefault="00CB0A5B" w:rsidP="00387896">
            <w:pPr>
              <w:keepNext/>
              <w:widowControl/>
              <w:jc w:val="right"/>
              <w:rPr>
                <w:rFonts w:ascii="Arial Narrow" w:hAnsi="Arial Narrow"/>
                <w:b/>
                <w:sz w:val="20"/>
                <w:szCs w:val="20"/>
              </w:rPr>
            </w:pPr>
            <w:r w:rsidRPr="008A2917">
              <w:rPr>
                <w:rFonts w:ascii="Arial Narrow" w:hAnsi="Arial Narrow"/>
                <w:b/>
                <w:sz w:val="20"/>
                <w:szCs w:val="20"/>
              </w:rPr>
              <w:t>2021</w:t>
            </w:r>
          </w:p>
        </w:tc>
        <w:tc>
          <w:tcPr>
            <w:tcW w:w="676" w:type="pct"/>
            <w:noWrap/>
          </w:tcPr>
          <w:p w:rsidR="00CB0A5B" w:rsidRPr="008A2917" w:rsidRDefault="00CB0A5B" w:rsidP="00387896">
            <w:pPr>
              <w:keepNext/>
              <w:widowControl/>
              <w:jc w:val="right"/>
              <w:rPr>
                <w:rFonts w:ascii="Arial Narrow" w:hAnsi="Arial Narrow"/>
                <w:b/>
                <w:sz w:val="20"/>
                <w:szCs w:val="20"/>
              </w:rPr>
            </w:pPr>
            <w:r w:rsidRPr="008A2917">
              <w:rPr>
                <w:rFonts w:ascii="Arial Narrow" w:hAnsi="Arial Narrow"/>
                <w:b/>
                <w:sz w:val="20"/>
                <w:szCs w:val="20"/>
              </w:rPr>
              <w:t>2022</w:t>
            </w:r>
          </w:p>
        </w:tc>
        <w:tc>
          <w:tcPr>
            <w:tcW w:w="676" w:type="pct"/>
            <w:noWrap/>
          </w:tcPr>
          <w:p w:rsidR="00CB0A5B" w:rsidRPr="008A2917" w:rsidRDefault="00CB0A5B" w:rsidP="00387896">
            <w:pPr>
              <w:keepNext/>
              <w:widowControl/>
              <w:jc w:val="right"/>
              <w:rPr>
                <w:rFonts w:ascii="Arial Narrow" w:hAnsi="Arial Narrow"/>
                <w:b/>
                <w:sz w:val="20"/>
                <w:szCs w:val="20"/>
              </w:rPr>
            </w:pPr>
            <w:r w:rsidRPr="008A2917">
              <w:rPr>
                <w:rFonts w:ascii="Arial Narrow" w:hAnsi="Arial Narrow"/>
                <w:b/>
                <w:sz w:val="20"/>
                <w:szCs w:val="20"/>
              </w:rPr>
              <w:t>2023</w:t>
            </w:r>
          </w:p>
        </w:tc>
        <w:tc>
          <w:tcPr>
            <w:tcW w:w="676" w:type="pct"/>
            <w:noWrap/>
          </w:tcPr>
          <w:p w:rsidR="00CB0A5B" w:rsidRPr="008A2917" w:rsidRDefault="00CB0A5B" w:rsidP="00387896">
            <w:pPr>
              <w:keepNext/>
              <w:widowControl/>
              <w:jc w:val="right"/>
              <w:rPr>
                <w:rFonts w:ascii="Arial Narrow" w:hAnsi="Arial Narrow"/>
                <w:b/>
                <w:sz w:val="20"/>
                <w:szCs w:val="20"/>
              </w:rPr>
            </w:pPr>
            <w:r w:rsidRPr="008A2917">
              <w:rPr>
                <w:rFonts w:ascii="Arial Narrow" w:hAnsi="Arial Narrow"/>
                <w:b/>
                <w:sz w:val="20"/>
                <w:szCs w:val="20"/>
              </w:rPr>
              <w:t>2024</w:t>
            </w:r>
          </w:p>
        </w:tc>
        <w:tc>
          <w:tcPr>
            <w:tcW w:w="680" w:type="pct"/>
          </w:tcPr>
          <w:p w:rsidR="00CB0A5B" w:rsidRPr="008A2917" w:rsidRDefault="00CB0A5B" w:rsidP="00387896">
            <w:pPr>
              <w:keepNext/>
              <w:widowControl/>
              <w:jc w:val="right"/>
              <w:rPr>
                <w:rFonts w:ascii="Arial Narrow" w:hAnsi="Arial Narrow"/>
                <w:b/>
                <w:sz w:val="20"/>
                <w:szCs w:val="20"/>
              </w:rPr>
            </w:pPr>
            <w:r w:rsidRPr="008A2917">
              <w:rPr>
                <w:rFonts w:ascii="Arial Narrow" w:hAnsi="Arial Narrow"/>
                <w:b/>
                <w:sz w:val="20"/>
                <w:szCs w:val="20"/>
              </w:rPr>
              <w:t>2025</w:t>
            </w:r>
          </w:p>
        </w:tc>
      </w:tr>
      <w:tr w:rsidR="00CB0A5B" w:rsidRPr="008A2917" w:rsidTr="002F2549">
        <w:trPr>
          <w:trHeight w:val="86"/>
        </w:trPr>
        <w:tc>
          <w:tcPr>
            <w:tcW w:w="5000" w:type="pct"/>
            <w:gridSpan w:val="7"/>
            <w:noWrap/>
            <w:vAlign w:val="center"/>
          </w:tcPr>
          <w:p w:rsidR="00CB0A5B" w:rsidRPr="008A2917" w:rsidRDefault="00CB0A5B" w:rsidP="00387896">
            <w:pPr>
              <w:keepNext/>
              <w:widowControl/>
              <w:jc w:val="left"/>
              <w:rPr>
                <w:rFonts w:ascii="Arial Narrow" w:hAnsi="Arial Narrow"/>
                <w:b/>
                <w:sz w:val="20"/>
                <w:szCs w:val="20"/>
              </w:rPr>
            </w:pPr>
            <w:r w:rsidRPr="008A2917">
              <w:rPr>
                <w:rFonts w:ascii="Arial Narrow" w:hAnsi="Arial Narrow"/>
                <w:b/>
                <w:sz w:val="20"/>
                <w:szCs w:val="20"/>
              </w:rPr>
              <w:t>Costs of TIV-HD</w:t>
            </w:r>
          </w:p>
        </w:tc>
      </w:tr>
      <w:tr w:rsidR="00CB0A5B" w:rsidRPr="008A2917" w:rsidTr="00530440">
        <w:trPr>
          <w:trHeight w:val="141"/>
        </w:trPr>
        <w:tc>
          <w:tcPr>
            <w:tcW w:w="940" w:type="pct"/>
            <w:noWrap/>
            <w:vAlign w:val="center"/>
          </w:tcPr>
          <w:p w:rsidR="00CB0A5B" w:rsidRPr="008A2917" w:rsidRDefault="00CB0A5B" w:rsidP="00387896">
            <w:pPr>
              <w:widowControl/>
              <w:jc w:val="left"/>
              <w:rPr>
                <w:rFonts w:ascii="Arial Narrow" w:hAnsi="Arial Narrow"/>
                <w:sz w:val="20"/>
                <w:szCs w:val="20"/>
              </w:rPr>
            </w:pPr>
            <w:r w:rsidRPr="008A2917">
              <w:rPr>
                <w:rFonts w:ascii="Arial Narrow" w:hAnsi="Arial Narrow"/>
                <w:sz w:val="20"/>
                <w:szCs w:val="20"/>
              </w:rPr>
              <w:t>Eligible subjects</w:t>
            </w:r>
          </w:p>
        </w:tc>
        <w:tc>
          <w:tcPr>
            <w:tcW w:w="676" w:type="pct"/>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76" w:type="pct"/>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76" w:type="pct"/>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76" w:type="pct"/>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76" w:type="pct"/>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80" w:type="pct"/>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CB0A5B" w:rsidRPr="008A2917" w:rsidTr="00530440">
        <w:trPr>
          <w:trHeight w:val="141"/>
        </w:trPr>
        <w:tc>
          <w:tcPr>
            <w:tcW w:w="940" w:type="pct"/>
            <w:noWrap/>
            <w:vAlign w:val="center"/>
          </w:tcPr>
          <w:p w:rsidR="00CB0A5B" w:rsidRPr="008A2917" w:rsidRDefault="00CB0A5B" w:rsidP="00387896">
            <w:pPr>
              <w:widowControl/>
              <w:jc w:val="left"/>
              <w:rPr>
                <w:rFonts w:ascii="Arial Narrow" w:hAnsi="Arial Narrow"/>
                <w:sz w:val="20"/>
                <w:szCs w:val="20"/>
              </w:rPr>
            </w:pPr>
            <w:r w:rsidRPr="008A2917">
              <w:rPr>
                <w:rFonts w:ascii="Arial Narrow" w:hAnsi="Arial Narrow"/>
                <w:sz w:val="20"/>
                <w:szCs w:val="20"/>
              </w:rPr>
              <w:t>Uptake</w:t>
            </w:r>
          </w:p>
        </w:tc>
        <w:tc>
          <w:tcPr>
            <w:tcW w:w="676" w:type="pct"/>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94.4%</w:t>
            </w:r>
          </w:p>
        </w:tc>
        <w:tc>
          <w:tcPr>
            <w:tcW w:w="676" w:type="pct"/>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94.4%</w:t>
            </w:r>
          </w:p>
        </w:tc>
        <w:tc>
          <w:tcPr>
            <w:tcW w:w="676" w:type="pct"/>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94.4%</w:t>
            </w:r>
          </w:p>
        </w:tc>
        <w:tc>
          <w:tcPr>
            <w:tcW w:w="676" w:type="pct"/>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94.4%</w:t>
            </w:r>
          </w:p>
        </w:tc>
        <w:tc>
          <w:tcPr>
            <w:tcW w:w="676" w:type="pct"/>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94.4%</w:t>
            </w:r>
          </w:p>
        </w:tc>
        <w:tc>
          <w:tcPr>
            <w:tcW w:w="680" w:type="pct"/>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94.4%</w:t>
            </w:r>
          </w:p>
        </w:tc>
      </w:tr>
      <w:tr w:rsidR="00CB0A5B" w:rsidRPr="008A2917" w:rsidTr="00530440">
        <w:trPr>
          <w:trHeight w:val="141"/>
        </w:trPr>
        <w:tc>
          <w:tcPr>
            <w:tcW w:w="940" w:type="pct"/>
            <w:noWrap/>
            <w:vAlign w:val="center"/>
          </w:tcPr>
          <w:p w:rsidR="00CB0A5B" w:rsidRPr="008A2917" w:rsidRDefault="00CB0A5B" w:rsidP="00387896">
            <w:pPr>
              <w:widowControl/>
              <w:jc w:val="left"/>
              <w:rPr>
                <w:rFonts w:ascii="Arial Narrow" w:hAnsi="Arial Narrow"/>
                <w:b/>
                <w:i/>
                <w:sz w:val="20"/>
                <w:szCs w:val="20"/>
              </w:rPr>
            </w:pPr>
            <w:r w:rsidRPr="008A2917">
              <w:rPr>
                <w:rFonts w:ascii="Arial Narrow" w:hAnsi="Arial Narrow"/>
                <w:sz w:val="20"/>
                <w:szCs w:val="20"/>
              </w:rPr>
              <w:t>Subjects vaccinated</w:t>
            </w:r>
          </w:p>
        </w:tc>
        <w:tc>
          <w:tcPr>
            <w:tcW w:w="676" w:type="pct"/>
            <w:noWrap/>
          </w:tcPr>
          <w:p w:rsidR="00CB0A5B" w:rsidRPr="001A215D" w:rsidRDefault="001A215D" w:rsidP="00387896">
            <w:pPr>
              <w:widowControl/>
              <w:jc w:val="right"/>
              <w:rPr>
                <w:rFonts w:ascii="Arial Narrow" w:hAnsi="Arial Narrow"/>
                <w:b/>
                <w:i/>
                <w:sz w:val="20"/>
                <w:szCs w:val="20"/>
                <w:highlight w:val="black"/>
              </w:rPr>
            </w:pPr>
            <w:r>
              <w:rPr>
                <w:rFonts w:ascii="Arial Narrow" w:hAnsi="Arial Narrow"/>
                <w:noProof/>
                <w:color w:val="000000"/>
                <w:sz w:val="20"/>
                <w:szCs w:val="20"/>
                <w:highlight w:val="black"/>
              </w:rPr>
              <w:t xml:space="preserve"> '''''''''''''''''''''''' </w:t>
            </w:r>
          </w:p>
        </w:tc>
        <w:tc>
          <w:tcPr>
            <w:tcW w:w="676" w:type="pct"/>
            <w:noWrap/>
          </w:tcPr>
          <w:p w:rsidR="00CB0A5B" w:rsidRPr="001A215D" w:rsidRDefault="001A215D" w:rsidP="00387896">
            <w:pPr>
              <w:widowControl/>
              <w:jc w:val="right"/>
              <w:rPr>
                <w:rFonts w:ascii="Arial Narrow" w:hAnsi="Arial Narrow"/>
                <w:b/>
                <w:i/>
                <w:sz w:val="20"/>
                <w:szCs w:val="20"/>
                <w:highlight w:val="black"/>
              </w:rPr>
            </w:pPr>
            <w:r>
              <w:rPr>
                <w:rFonts w:ascii="Arial Narrow" w:hAnsi="Arial Narrow"/>
                <w:noProof/>
                <w:color w:val="000000"/>
                <w:sz w:val="20"/>
                <w:szCs w:val="20"/>
                <w:highlight w:val="black"/>
              </w:rPr>
              <w:t xml:space="preserve"> ''''''''''''''''''''''' </w:t>
            </w:r>
          </w:p>
        </w:tc>
        <w:tc>
          <w:tcPr>
            <w:tcW w:w="676" w:type="pct"/>
            <w:noWrap/>
          </w:tcPr>
          <w:p w:rsidR="00CB0A5B" w:rsidRPr="001A215D" w:rsidRDefault="001A215D" w:rsidP="00387896">
            <w:pPr>
              <w:widowControl/>
              <w:jc w:val="right"/>
              <w:rPr>
                <w:rFonts w:ascii="Arial Narrow" w:hAnsi="Arial Narrow"/>
                <w:b/>
                <w:i/>
                <w:sz w:val="20"/>
                <w:szCs w:val="20"/>
                <w:highlight w:val="black"/>
              </w:rPr>
            </w:pPr>
            <w:r>
              <w:rPr>
                <w:rFonts w:ascii="Arial Narrow" w:hAnsi="Arial Narrow"/>
                <w:noProof/>
                <w:color w:val="000000"/>
                <w:sz w:val="20"/>
                <w:szCs w:val="20"/>
                <w:highlight w:val="black"/>
              </w:rPr>
              <w:t xml:space="preserve"> ''''''''''''''''''''''' </w:t>
            </w:r>
          </w:p>
        </w:tc>
        <w:tc>
          <w:tcPr>
            <w:tcW w:w="676" w:type="pct"/>
            <w:noWrap/>
          </w:tcPr>
          <w:p w:rsidR="00CB0A5B" w:rsidRPr="001A215D" w:rsidRDefault="001A215D" w:rsidP="00387896">
            <w:pPr>
              <w:widowControl/>
              <w:jc w:val="right"/>
              <w:rPr>
                <w:rFonts w:ascii="Arial Narrow" w:hAnsi="Arial Narrow"/>
                <w:b/>
                <w:i/>
                <w:sz w:val="20"/>
                <w:szCs w:val="20"/>
                <w:highlight w:val="black"/>
              </w:rPr>
            </w:pPr>
            <w:r>
              <w:rPr>
                <w:rFonts w:ascii="Arial Narrow" w:hAnsi="Arial Narrow"/>
                <w:noProof/>
                <w:color w:val="000000"/>
                <w:sz w:val="20"/>
                <w:szCs w:val="20"/>
                <w:highlight w:val="black"/>
              </w:rPr>
              <w:t xml:space="preserve"> ''''''''''''''''''''''''' </w:t>
            </w:r>
          </w:p>
        </w:tc>
        <w:tc>
          <w:tcPr>
            <w:tcW w:w="676" w:type="pct"/>
            <w:noWrap/>
          </w:tcPr>
          <w:p w:rsidR="00CB0A5B" w:rsidRPr="001A215D" w:rsidRDefault="001A215D" w:rsidP="00387896">
            <w:pPr>
              <w:widowControl/>
              <w:jc w:val="right"/>
              <w:rPr>
                <w:rFonts w:ascii="Arial Narrow" w:hAnsi="Arial Narrow"/>
                <w:b/>
                <w:i/>
                <w:sz w:val="20"/>
                <w:szCs w:val="20"/>
                <w:highlight w:val="black"/>
              </w:rPr>
            </w:pPr>
            <w:r>
              <w:rPr>
                <w:rFonts w:ascii="Arial Narrow" w:hAnsi="Arial Narrow"/>
                <w:noProof/>
                <w:color w:val="000000"/>
                <w:sz w:val="20"/>
                <w:szCs w:val="20"/>
                <w:highlight w:val="black"/>
              </w:rPr>
              <w:t xml:space="preserve"> ''''''''''''''''''''''' </w:t>
            </w:r>
          </w:p>
        </w:tc>
        <w:tc>
          <w:tcPr>
            <w:tcW w:w="680" w:type="pct"/>
          </w:tcPr>
          <w:p w:rsidR="00CB0A5B" w:rsidRPr="001A215D" w:rsidRDefault="001A215D" w:rsidP="00387896">
            <w:pPr>
              <w:widowControl/>
              <w:jc w:val="right"/>
              <w:rPr>
                <w:rFonts w:ascii="Arial Narrow" w:hAnsi="Arial Narrow"/>
                <w:b/>
                <w:i/>
                <w:sz w:val="20"/>
                <w:szCs w:val="20"/>
                <w:highlight w:val="black"/>
              </w:rPr>
            </w:pPr>
            <w:r>
              <w:rPr>
                <w:rFonts w:ascii="Arial Narrow" w:hAnsi="Arial Narrow"/>
                <w:noProof/>
                <w:color w:val="000000"/>
                <w:sz w:val="20"/>
                <w:szCs w:val="20"/>
                <w:highlight w:val="black"/>
              </w:rPr>
              <w:t xml:space="preserve"> ''''''''''''''''''''''''' </w:t>
            </w:r>
          </w:p>
        </w:tc>
      </w:tr>
      <w:tr w:rsidR="00CB0A5B" w:rsidRPr="008A2917" w:rsidTr="00530440">
        <w:trPr>
          <w:trHeight w:val="141"/>
        </w:trPr>
        <w:tc>
          <w:tcPr>
            <w:tcW w:w="940" w:type="pct"/>
            <w:tcBorders>
              <w:top w:val="single" w:sz="4" w:space="0" w:color="auto"/>
              <w:left w:val="single" w:sz="4" w:space="0" w:color="auto"/>
              <w:bottom w:val="single" w:sz="4" w:space="0" w:color="auto"/>
              <w:right w:val="single" w:sz="4" w:space="0" w:color="auto"/>
            </w:tcBorders>
            <w:noWrap/>
            <w:vAlign w:val="center"/>
          </w:tcPr>
          <w:p w:rsidR="00CB0A5B" w:rsidRPr="008A2917" w:rsidRDefault="00CB0A5B" w:rsidP="00387896">
            <w:pPr>
              <w:widowControl/>
              <w:jc w:val="left"/>
              <w:rPr>
                <w:rFonts w:ascii="Arial Narrow" w:hAnsi="Arial Narrow"/>
                <w:sz w:val="20"/>
                <w:szCs w:val="20"/>
              </w:rPr>
            </w:pPr>
            <w:r w:rsidRPr="008A2917">
              <w:rPr>
                <w:rFonts w:ascii="Arial Narrow" w:hAnsi="Arial Narrow"/>
                <w:sz w:val="20"/>
                <w:szCs w:val="20"/>
              </w:rPr>
              <w:t>Doses per subject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1</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1</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1</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1</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1</w:t>
            </w:r>
          </w:p>
        </w:tc>
        <w:tc>
          <w:tcPr>
            <w:tcW w:w="680"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1</w:t>
            </w:r>
          </w:p>
        </w:tc>
      </w:tr>
      <w:tr w:rsidR="00CB0A5B" w:rsidRPr="008A2917" w:rsidTr="00530440">
        <w:trPr>
          <w:trHeight w:val="141"/>
        </w:trPr>
        <w:tc>
          <w:tcPr>
            <w:tcW w:w="940" w:type="pct"/>
            <w:tcBorders>
              <w:top w:val="single" w:sz="4" w:space="0" w:color="auto"/>
              <w:left w:val="single" w:sz="4" w:space="0" w:color="auto"/>
              <w:bottom w:val="single" w:sz="4" w:space="0" w:color="auto"/>
              <w:right w:val="single" w:sz="4" w:space="0" w:color="auto"/>
            </w:tcBorders>
            <w:noWrap/>
            <w:vAlign w:val="center"/>
          </w:tcPr>
          <w:p w:rsidR="00CB0A5B" w:rsidRPr="008A2917" w:rsidRDefault="00CB0A5B" w:rsidP="00387896">
            <w:pPr>
              <w:widowControl/>
              <w:jc w:val="left"/>
              <w:rPr>
                <w:rFonts w:ascii="Arial Narrow" w:hAnsi="Arial Narrow"/>
                <w:sz w:val="20"/>
                <w:szCs w:val="20"/>
              </w:rPr>
            </w:pPr>
            <w:r w:rsidRPr="008A2917">
              <w:rPr>
                <w:rFonts w:ascii="Arial Narrow" w:hAnsi="Arial Narrow"/>
                <w:sz w:val="20"/>
                <w:szCs w:val="20"/>
              </w:rPr>
              <w:t>Doses administered</w:t>
            </w:r>
          </w:p>
        </w:tc>
        <w:tc>
          <w:tcPr>
            <w:tcW w:w="676" w:type="pct"/>
            <w:tcBorders>
              <w:top w:val="single" w:sz="4" w:space="0" w:color="auto"/>
              <w:left w:val="single" w:sz="4" w:space="0" w:color="auto"/>
              <w:bottom w:val="single" w:sz="4" w:space="0" w:color="auto"/>
              <w:right w:val="single" w:sz="4" w:space="0" w:color="auto"/>
            </w:tcBorders>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76" w:type="pct"/>
            <w:tcBorders>
              <w:top w:val="single" w:sz="4" w:space="0" w:color="auto"/>
              <w:left w:val="single" w:sz="4" w:space="0" w:color="auto"/>
              <w:bottom w:val="single" w:sz="4" w:space="0" w:color="auto"/>
              <w:right w:val="single" w:sz="4" w:space="0" w:color="auto"/>
            </w:tcBorders>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76" w:type="pct"/>
            <w:tcBorders>
              <w:top w:val="single" w:sz="4" w:space="0" w:color="auto"/>
              <w:left w:val="single" w:sz="4" w:space="0" w:color="auto"/>
              <w:bottom w:val="single" w:sz="4" w:space="0" w:color="auto"/>
              <w:right w:val="single" w:sz="4" w:space="0" w:color="auto"/>
            </w:tcBorders>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76" w:type="pct"/>
            <w:tcBorders>
              <w:top w:val="single" w:sz="4" w:space="0" w:color="auto"/>
              <w:left w:val="single" w:sz="4" w:space="0" w:color="auto"/>
              <w:bottom w:val="single" w:sz="4" w:space="0" w:color="auto"/>
              <w:right w:val="single" w:sz="4" w:space="0" w:color="auto"/>
            </w:tcBorders>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76" w:type="pct"/>
            <w:tcBorders>
              <w:top w:val="single" w:sz="4" w:space="0" w:color="auto"/>
              <w:left w:val="single" w:sz="4" w:space="0" w:color="auto"/>
              <w:bottom w:val="single" w:sz="4" w:space="0" w:color="auto"/>
              <w:right w:val="single" w:sz="4" w:space="0" w:color="auto"/>
            </w:tcBorders>
            <w:noWrap/>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c>
          <w:tcPr>
            <w:tcW w:w="680" w:type="pct"/>
            <w:tcBorders>
              <w:top w:val="single" w:sz="4" w:space="0" w:color="auto"/>
              <w:left w:val="single" w:sz="4" w:space="0" w:color="auto"/>
              <w:bottom w:val="single" w:sz="4" w:space="0" w:color="auto"/>
              <w:right w:val="single" w:sz="4" w:space="0" w:color="auto"/>
            </w:tcBorders>
          </w:tcPr>
          <w:p w:rsidR="00CB0A5B" w:rsidRPr="001A215D" w:rsidRDefault="001A215D" w:rsidP="00387896">
            <w:pPr>
              <w:widowControl/>
              <w:jc w:val="right"/>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CB0A5B" w:rsidRPr="008A2917" w:rsidTr="00530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940" w:type="pct"/>
            <w:tcBorders>
              <w:top w:val="single" w:sz="4" w:space="0" w:color="auto"/>
              <w:left w:val="single" w:sz="4" w:space="0" w:color="auto"/>
              <w:bottom w:val="single" w:sz="4" w:space="0" w:color="auto"/>
              <w:right w:val="single" w:sz="4" w:space="0" w:color="auto"/>
            </w:tcBorders>
            <w:noWrap/>
            <w:vAlign w:val="center"/>
          </w:tcPr>
          <w:p w:rsidR="00CB0A5B" w:rsidRPr="008A2917" w:rsidRDefault="00CB0A5B" w:rsidP="00387896">
            <w:pPr>
              <w:widowControl/>
              <w:jc w:val="left"/>
              <w:rPr>
                <w:rFonts w:ascii="Arial Narrow" w:hAnsi="Arial Narrow"/>
                <w:sz w:val="20"/>
                <w:szCs w:val="20"/>
              </w:rPr>
            </w:pPr>
            <w:r w:rsidRPr="008A2917">
              <w:rPr>
                <w:rFonts w:ascii="Arial Narrow" w:hAnsi="Arial Narrow"/>
                <w:sz w:val="20"/>
                <w:szCs w:val="20"/>
              </w:rPr>
              <w:t>Cost per dose</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r>
      <w:tr w:rsidR="00CB0A5B" w:rsidRPr="008A2917" w:rsidTr="005304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940" w:type="pct"/>
            <w:tcBorders>
              <w:top w:val="single" w:sz="4" w:space="0" w:color="auto"/>
              <w:left w:val="single" w:sz="4" w:space="0" w:color="auto"/>
              <w:bottom w:val="single" w:sz="4" w:space="0" w:color="auto"/>
              <w:right w:val="single" w:sz="4" w:space="0" w:color="auto"/>
            </w:tcBorders>
            <w:noWrap/>
            <w:vAlign w:val="center"/>
          </w:tcPr>
          <w:p w:rsidR="00CB0A5B" w:rsidRPr="008A2917" w:rsidRDefault="00CB0A5B" w:rsidP="00387896">
            <w:pPr>
              <w:widowControl/>
              <w:jc w:val="left"/>
              <w:rPr>
                <w:rFonts w:ascii="Arial Narrow" w:hAnsi="Arial Narrow"/>
                <w:sz w:val="20"/>
                <w:szCs w:val="20"/>
              </w:rPr>
            </w:pPr>
            <w:r w:rsidRPr="008A2917">
              <w:rPr>
                <w:rFonts w:ascii="Arial Narrow" w:hAnsi="Arial Narrow"/>
                <w:sz w:val="20"/>
                <w:szCs w:val="20"/>
              </w:rPr>
              <w:t>Total cost NIP</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80"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r>
      <w:tr w:rsidR="00CB0A5B" w:rsidRPr="008A2917" w:rsidTr="002F2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5000" w:type="pct"/>
            <w:gridSpan w:val="7"/>
            <w:tcBorders>
              <w:top w:val="single" w:sz="4" w:space="0" w:color="auto"/>
              <w:left w:val="single" w:sz="4" w:space="0" w:color="auto"/>
              <w:bottom w:val="single" w:sz="4" w:space="0" w:color="auto"/>
              <w:right w:val="single" w:sz="4" w:space="0" w:color="auto"/>
            </w:tcBorders>
            <w:noWrap/>
            <w:vAlign w:val="center"/>
          </w:tcPr>
          <w:p w:rsidR="00CB0A5B" w:rsidRPr="008A2917" w:rsidRDefault="00CB0A5B" w:rsidP="00387896">
            <w:pPr>
              <w:widowControl/>
              <w:jc w:val="left"/>
              <w:rPr>
                <w:rFonts w:ascii="Arial Narrow" w:hAnsi="Arial Narrow"/>
                <w:sz w:val="20"/>
                <w:szCs w:val="20"/>
              </w:rPr>
            </w:pPr>
            <w:r w:rsidRPr="008A2917">
              <w:rPr>
                <w:rFonts w:ascii="Arial Narrow" w:hAnsi="Arial Narrow"/>
                <w:b/>
                <w:bCs/>
                <w:sz w:val="20"/>
                <w:szCs w:val="20"/>
              </w:rPr>
              <w:t>Estimated net cost to NIP/MBS</w:t>
            </w:r>
          </w:p>
        </w:tc>
      </w:tr>
      <w:tr w:rsidR="00CB0A5B" w:rsidRPr="008A2917" w:rsidTr="00530440">
        <w:trPr>
          <w:trHeight w:val="141"/>
        </w:trPr>
        <w:tc>
          <w:tcPr>
            <w:tcW w:w="940" w:type="pct"/>
            <w:tcBorders>
              <w:top w:val="single" w:sz="4" w:space="0" w:color="auto"/>
              <w:left w:val="single" w:sz="4" w:space="0" w:color="auto"/>
              <w:bottom w:val="single" w:sz="4" w:space="0" w:color="auto"/>
              <w:right w:val="single" w:sz="4" w:space="0" w:color="auto"/>
            </w:tcBorders>
            <w:noWrap/>
            <w:vAlign w:val="center"/>
          </w:tcPr>
          <w:p w:rsidR="00CB0A5B" w:rsidRPr="008A2917" w:rsidRDefault="00CB0A5B" w:rsidP="00387896">
            <w:pPr>
              <w:widowControl/>
              <w:jc w:val="left"/>
              <w:rPr>
                <w:rFonts w:ascii="Arial Narrow" w:hAnsi="Arial Narrow"/>
                <w:sz w:val="20"/>
                <w:szCs w:val="20"/>
              </w:rPr>
            </w:pPr>
            <w:r w:rsidRPr="008A2917">
              <w:rPr>
                <w:rFonts w:ascii="Arial Narrow" w:hAnsi="Arial Narrow"/>
                <w:sz w:val="20"/>
                <w:szCs w:val="20"/>
              </w:rPr>
              <w:t>Net cost to the NIP</w:t>
            </w:r>
          </w:p>
        </w:tc>
        <w:tc>
          <w:tcPr>
            <w:tcW w:w="676" w:type="pct"/>
            <w:tcBorders>
              <w:top w:val="single" w:sz="4" w:space="0" w:color="auto"/>
              <w:left w:val="single" w:sz="4" w:space="0" w:color="auto"/>
              <w:bottom w:val="single" w:sz="4" w:space="0" w:color="auto"/>
              <w:right w:val="single" w:sz="4" w:space="0" w:color="auto"/>
            </w:tcBorders>
            <w:noWrap/>
            <w:vAlign w:val="bottom"/>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76" w:type="pct"/>
            <w:tcBorders>
              <w:top w:val="single" w:sz="4" w:space="0" w:color="auto"/>
              <w:left w:val="single" w:sz="4" w:space="0" w:color="auto"/>
              <w:bottom w:val="single" w:sz="4" w:space="0" w:color="auto"/>
              <w:right w:val="single" w:sz="4" w:space="0" w:color="auto"/>
            </w:tcBorders>
            <w:noWrap/>
            <w:vAlign w:val="bottom"/>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76" w:type="pct"/>
            <w:tcBorders>
              <w:top w:val="single" w:sz="4" w:space="0" w:color="auto"/>
              <w:left w:val="single" w:sz="4" w:space="0" w:color="auto"/>
              <w:bottom w:val="single" w:sz="4" w:space="0" w:color="auto"/>
              <w:right w:val="single" w:sz="4" w:space="0" w:color="auto"/>
            </w:tcBorders>
            <w:noWrap/>
            <w:vAlign w:val="bottom"/>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76" w:type="pct"/>
            <w:tcBorders>
              <w:top w:val="single" w:sz="4" w:space="0" w:color="auto"/>
              <w:left w:val="single" w:sz="4" w:space="0" w:color="auto"/>
              <w:bottom w:val="single" w:sz="4" w:space="0" w:color="auto"/>
              <w:right w:val="single" w:sz="4" w:space="0" w:color="auto"/>
            </w:tcBorders>
            <w:noWrap/>
            <w:vAlign w:val="bottom"/>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76" w:type="pct"/>
            <w:tcBorders>
              <w:top w:val="single" w:sz="4" w:space="0" w:color="auto"/>
              <w:left w:val="single" w:sz="4" w:space="0" w:color="auto"/>
              <w:bottom w:val="single" w:sz="4" w:space="0" w:color="auto"/>
              <w:right w:val="single" w:sz="4" w:space="0" w:color="auto"/>
            </w:tcBorders>
            <w:noWrap/>
            <w:vAlign w:val="bottom"/>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c>
          <w:tcPr>
            <w:tcW w:w="680" w:type="pct"/>
            <w:tcBorders>
              <w:top w:val="single" w:sz="4" w:space="0" w:color="auto"/>
              <w:left w:val="single" w:sz="4" w:space="0" w:color="auto"/>
              <w:bottom w:val="single" w:sz="4" w:space="0" w:color="auto"/>
              <w:right w:val="single" w:sz="4" w:space="0" w:color="auto"/>
            </w:tcBorders>
            <w:vAlign w:val="bottom"/>
          </w:tcPr>
          <w:p w:rsidR="00CB0A5B" w:rsidRPr="008A2917" w:rsidRDefault="00CB0A5B" w:rsidP="00387896">
            <w:pPr>
              <w:widowControl/>
              <w:jc w:val="right"/>
              <w:rPr>
                <w:rFonts w:ascii="Arial Narrow" w:hAnsi="Arial Narrow"/>
                <w:sz w:val="20"/>
                <w:szCs w:val="20"/>
              </w:rPr>
            </w:pPr>
            <w:r w:rsidRPr="008A2917">
              <w:rPr>
                <w:rFonts w:ascii="Arial Narrow" w:hAnsi="Arial Narrow"/>
                <w:sz w:val="20"/>
                <w:szCs w:val="20"/>
              </w:rPr>
              <w:t xml:space="preserve"> $</w:t>
            </w:r>
            <w:r w:rsidR="001A215D">
              <w:rPr>
                <w:rFonts w:ascii="Arial Narrow" w:hAnsi="Arial Narrow"/>
                <w:noProof/>
                <w:color w:val="000000"/>
                <w:sz w:val="20"/>
                <w:szCs w:val="20"/>
                <w:highlight w:val="black"/>
              </w:rPr>
              <w:t>''''''''''''''''''''''''''</w:t>
            </w:r>
            <w:r w:rsidRPr="008A2917">
              <w:rPr>
                <w:rFonts w:ascii="Arial Narrow" w:hAnsi="Arial Narrow"/>
                <w:sz w:val="20"/>
                <w:szCs w:val="20"/>
              </w:rPr>
              <w:t xml:space="preserve"> </w:t>
            </w:r>
          </w:p>
        </w:tc>
      </w:tr>
      <w:tr w:rsidR="00CB0A5B" w:rsidRPr="008A2917" w:rsidTr="00530440">
        <w:trPr>
          <w:trHeight w:val="141"/>
        </w:trPr>
        <w:tc>
          <w:tcPr>
            <w:tcW w:w="940" w:type="pct"/>
            <w:tcBorders>
              <w:top w:val="single" w:sz="4" w:space="0" w:color="auto"/>
              <w:left w:val="single" w:sz="4" w:space="0" w:color="auto"/>
              <w:bottom w:val="single" w:sz="4" w:space="0" w:color="auto"/>
              <w:right w:val="single" w:sz="4" w:space="0" w:color="auto"/>
            </w:tcBorders>
            <w:noWrap/>
            <w:vAlign w:val="center"/>
          </w:tcPr>
          <w:p w:rsidR="00CB0A5B" w:rsidRPr="008A2917" w:rsidRDefault="00CB0A5B" w:rsidP="00387896">
            <w:pPr>
              <w:widowControl/>
              <w:jc w:val="left"/>
              <w:rPr>
                <w:rFonts w:ascii="Arial Narrow" w:hAnsi="Arial Narrow"/>
                <w:iCs/>
                <w:sz w:val="20"/>
                <w:szCs w:val="20"/>
              </w:rPr>
            </w:pPr>
            <w:r w:rsidRPr="008A2917">
              <w:rPr>
                <w:rFonts w:ascii="Arial Narrow" w:hAnsi="Arial Narrow"/>
                <w:iCs/>
                <w:sz w:val="20"/>
                <w:szCs w:val="20"/>
              </w:rPr>
              <w:t>Net cost to the MBS</w:t>
            </w:r>
            <w:r w:rsidRPr="008A2917">
              <w:rPr>
                <w:rFonts w:ascii="Arial Narrow" w:hAnsi="Arial Narrow"/>
                <w:iCs/>
                <w:sz w:val="20"/>
                <w:szCs w:val="20"/>
                <w:vertAlign w:val="superscript"/>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tcBorders>
              <w:top w:val="single" w:sz="4" w:space="0" w:color="auto"/>
              <w:left w:val="single" w:sz="4" w:space="0" w:color="auto"/>
              <w:bottom w:val="single" w:sz="4" w:space="0" w:color="auto"/>
              <w:right w:val="single" w:sz="4" w:space="0" w:color="auto"/>
            </w:tcBorders>
            <w:noWrap/>
          </w:tcPr>
          <w:p w:rsidR="00CB0A5B" w:rsidRPr="008A2917" w:rsidRDefault="00CB0A5B"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80" w:type="pct"/>
            <w:tcBorders>
              <w:top w:val="single" w:sz="4" w:space="0" w:color="auto"/>
              <w:left w:val="single" w:sz="4" w:space="0" w:color="auto"/>
              <w:bottom w:val="single" w:sz="4" w:space="0" w:color="auto"/>
              <w:right w:val="single" w:sz="4" w:space="0" w:color="auto"/>
            </w:tcBorders>
          </w:tcPr>
          <w:p w:rsidR="00CB0A5B" w:rsidRPr="008A2917" w:rsidRDefault="00CB0A5B"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r>
      <w:tr w:rsidR="004C65D3" w:rsidRPr="008A2917" w:rsidTr="004C65D3">
        <w:trPr>
          <w:trHeight w:val="141"/>
        </w:trPr>
        <w:tc>
          <w:tcPr>
            <w:tcW w:w="940" w:type="pct"/>
            <w:tcBorders>
              <w:top w:val="single" w:sz="4" w:space="0" w:color="auto"/>
              <w:left w:val="single" w:sz="4" w:space="0" w:color="auto"/>
              <w:bottom w:val="single" w:sz="4" w:space="0" w:color="auto"/>
              <w:right w:val="single" w:sz="4" w:space="0" w:color="auto"/>
            </w:tcBorders>
            <w:noWrap/>
            <w:vAlign w:val="center"/>
          </w:tcPr>
          <w:p w:rsidR="007E50CF" w:rsidRPr="008A2917" w:rsidRDefault="007E50CF" w:rsidP="00387896">
            <w:pPr>
              <w:widowControl/>
              <w:jc w:val="left"/>
              <w:rPr>
                <w:rFonts w:ascii="Arial Narrow" w:hAnsi="Arial Narrow"/>
                <w:sz w:val="20"/>
                <w:szCs w:val="20"/>
              </w:rPr>
            </w:pPr>
            <w:r w:rsidRPr="008A2917">
              <w:rPr>
                <w:rFonts w:ascii="Arial Narrow" w:hAnsi="Arial Narrow"/>
                <w:b/>
                <w:sz w:val="20"/>
                <w:szCs w:val="20"/>
              </w:rPr>
              <w:t>Net cost to government health budget</w:t>
            </w:r>
          </w:p>
        </w:tc>
        <w:tc>
          <w:tcPr>
            <w:tcW w:w="676" w:type="pct"/>
            <w:noWrap/>
            <w:vAlign w:val="bottom"/>
          </w:tcPr>
          <w:p w:rsidR="007E50CF" w:rsidRPr="008A2917" w:rsidRDefault="007E50CF"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noWrap/>
            <w:vAlign w:val="bottom"/>
          </w:tcPr>
          <w:p w:rsidR="007E50CF" w:rsidRPr="008A2917" w:rsidRDefault="007E50CF"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noWrap/>
            <w:vAlign w:val="bottom"/>
          </w:tcPr>
          <w:p w:rsidR="007E50CF" w:rsidRPr="008A2917" w:rsidRDefault="007E50CF"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noWrap/>
            <w:vAlign w:val="bottom"/>
          </w:tcPr>
          <w:p w:rsidR="007E50CF" w:rsidRPr="008A2917" w:rsidRDefault="007E50CF"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76" w:type="pct"/>
            <w:noWrap/>
            <w:vAlign w:val="bottom"/>
          </w:tcPr>
          <w:p w:rsidR="007E50CF" w:rsidRPr="008A2917" w:rsidRDefault="007E50CF"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c>
          <w:tcPr>
            <w:tcW w:w="680" w:type="pct"/>
            <w:vAlign w:val="bottom"/>
          </w:tcPr>
          <w:p w:rsidR="007E50CF" w:rsidRPr="008A2917" w:rsidRDefault="007E50CF" w:rsidP="00387896">
            <w:pPr>
              <w:widowControl/>
              <w:jc w:val="right"/>
              <w:rPr>
                <w:rFonts w:ascii="Arial Narrow" w:hAnsi="Arial Narrow"/>
                <w:i/>
                <w:iCs/>
                <w:sz w:val="20"/>
                <w:szCs w:val="20"/>
              </w:rPr>
            </w:pPr>
            <w:r w:rsidRPr="008A2917">
              <w:rPr>
                <w:rFonts w:ascii="Arial Narrow" w:hAnsi="Arial Narrow"/>
                <w:sz w:val="20"/>
                <w:szCs w:val="20"/>
              </w:rPr>
              <w:t>$</w:t>
            </w:r>
            <w:r w:rsidR="001A215D">
              <w:rPr>
                <w:rFonts w:ascii="Arial Narrow" w:hAnsi="Arial Narrow"/>
                <w:noProof/>
                <w:color w:val="000000"/>
                <w:sz w:val="20"/>
                <w:szCs w:val="20"/>
                <w:highlight w:val="black"/>
              </w:rPr>
              <w:t>'''''''''''''''''''''''''''''</w:t>
            </w:r>
          </w:p>
        </w:tc>
      </w:tr>
      <w:tr w:rsidR="007E50CF" w:rsidRPr="008A2917" w:rsidTr="007E50CF">
        <w:trPr>
          <w:trHeight w:val="141"/>
        </w:trPr>
        <w:tc>
          <w:tcPr>
            <w:tcW w:w="940" w:type="pct"/>
            <w:tcBorders>
              <w:top w:val="single" w:sz="4" w:space="0" w:color="auto"/>
              <w:left w:val="single" w:sz="4" w:space="0" w:color="auto"/>
              <w:bottom w:val="single" w:sz="4" w:space="0" w:color="auto"/>
              <w:right w:val="single" w:sz="4" w:space="0" w:color="auto"/>
            </w:tcBorders>
            <w:noWrap/>
            <w:vAlign w:val="center"/>
          </w:tcPr>
          <w:p w:rsidR="007E50CF" w:rsidRPr="008A2917" w:rsidRDefault="007E50CF" w:rsidP="00387896">
            <w:pPr>
              <w:widowControl/>
              <w:jc w:val="left"/>
              <w:rPr>
                <w:rFonts w:ascii="Arial Narrow" w:hAnsi="Arial Narrow"/>
                <w:b/>
                <w:iCs/>
                <w:sz w:val="20"/>
                <w:szCs w:val="20"/>
              </w:rPr>
            </w:pPr>
            <w:r w:rsidRPr="008A2917">
              <w:rPr>
                <w:rFonts w:ascii="Arial Narrow" w:hAnsi="Arial Narrow"/>
                <w:b/>
                <w:iCs/>
                <w:sz w:val="20"/>
                <w:szCs w:val="20"/>
              </w:rPr>
              <w:t>Net cost to government health budget</w:t>
            </w:r>
            <w:r w:rsidRPr="008A2917">
              <w:rPr>
                <w:rFonts w:ascii="Arial Narrow" w:hAnsi="Arial Narrow"/>
                <w:iCs/>
                <w:sz w:val="20"/>
                <w:szCs w:val="20"/>
                <w:vertAlign w:val="superscript"/>
              </w:rPr>
              <w:t>¥</w:t>
            </w:r>
          </w:p>
        </w:tc>
        <w:tc>
          <w:tcPr>
            <w:tcW w:w="676" w:type="pct"/>
            <w:noWrap/>
            <w:vAlign w:val="center"/>
          </w:tcPr>
          <w:p w:rsidR="007E50CF" w:rsidRPr="008A2917" w:rsidRDefault="007E50CF" w:rsidP="00387896">
            <w:pPr>
              <w:widowControl/>
              <w:jc w:val="center"/>
              <w:rPr>
                <w:rFonts w:ascii="Arial Narrow" w:hAnsi="Arial Narrow"/>
                <w:iCs/>
                <w:sz w:val="20"/>
                <w:szCs w:val="20"/>
              </w:rPr>
            </w:pPr>
            <w:r w:rsidRPr="008A2917">
              <w:rPr>
                <w:rFonts w:ascii="Arial Narrow" w:hAnsi="Arial Narrow"/>
                <w:iCs/>
                <w:sz w:val="20"/>
                <w:szCs w:val="20"/>
              </w:rPr>
              <w:t>$</w:t>
            </w:r>
            <w:r w:rsidR="001A215D">
              <w:rPr>
                <w:rFonts w:ascii="Arial Narrow" w:hAnsi="Arial Narrow"/>
                <w:iCs/>
                <w:noProof/>
                <w:color w:val="000000"/>
                <w:sz w:val="20"/>
                <w:szCs w:val="20"/>
                <w:highlight w:val="black"/>
              </w:rPr>
              <w:t>''''''''''''''''''''''''</w:t>
            </w:r>
          </w:p>
        </w:tc>
        <w:tc>
          <w:tcPr>
            <w:tcW w:w="676" w:type="pct"/>
            <w:noWrap/>
            <w:vAlign w:val="center"/>
          </w:tcPr>
          <w:p w:rsidR="007E50CF" w:rsidRPr="008A2917" w:rsidRDefault="007E50CF" w:rsidP="00387896">
            <w:pPr>
              <w:widowControl/>
              <w:jc w:val="center"/>
              <w:rPr>
                <w:rFonts w:ascii="Arial Narrow" w:hAnsi="Arial Narrow"/>
                <w:iCs/>
                <w:sz w:val="20"/>
                <w:szCs w:val="20"/>
              </w:rPr>
            </w:pPr>
            <w:r w:rsidRPr="008A2917">
              <w:rPr>
                <w:rFonts w:ascii="Arial Narrow" w:hAnsi="Arial Narrow"/>
                <w:iCs/>
                <w:sz w:val="20"/>
                <w:szCs w:val="20"/>
              </w:rPr>
              <w:t>$</w:t>
            </w:r>
            <w:r w:rsidR="001A215D">
              <w:rPr>
                <w:rFonts w:ascii="Arial Narrow" w:hAnsi="Arial Narrow"/>
                <w:iCs/>
                <w:noProof/>
                <w:color w:val="000000"/>
                <w:sz w:val="20"/>
                <w:szCs w:val="20"/>
                <w:highlight w:val="black"/>
              </w:rPr>
              <w:t>'''''''''''''''''''''''''''</w:t>
            </w:r>
          </w:p>
        </w:tc>
        <w:tc>
          <w:tcPr>
            <w:tcW w:w="676" w:type="pct"/>
            <w:noWrap/>
            <w:vAlign w:val="center"/>
          </w:tcPr>
          <w:p w:rsidR="007E50CF" w:rsidRPr="008A2917" w:rsidRDefault="007E50CF" w:rsidP="00387896">
            <w:pPr>
              <w:widowControl/>
              <w:jc w:val="center"/>
              <w:rPr>
                <w:rFonts w:ascii="Arial Narrow" w:hAnsi="Arial Narrow"/>
                <w:iCs/>
                <w:sz w:val="20"/>
                <w:szCs w:val="20"/>
              </w:rPr>
            </w:pPr>
            <w:r w:rsidRPr="008A2917">
              <w:rPr>
                <w:rFonts w:ascii="Arial Narrow" w:hAnsi="Arial Narrow"/>
                <w:iCs/>
                <w:sz w:val="20"/>
                <w:szCs w:val="20"/>
              </w:rPr>
              <w:t>$</w:t>
            </w:r>
            <w:r w:rsidR="001A215D">
              <w:rPr>
                <w:rFonts w:ascii="Arial Narrow" w:hAnsi="Arial Narrow"/>
                <w:iCs/>
                <w:noProof/>
                <w:color w:val="000000"/>
                <w:sz w:val="20"/>
                <w:szCs w:val="20"/>
                <w:highlight w:val="black"/>
              </w:rPr>
              <w:t>'''''''''''''''''''''''''''''</w:t>
            </w:r>
          </w:p>
        </w:tc>
        <w:tc>
          <w:tcPr>
            <w:tcW w:w="676" w:type="pct"/>
            <w:noWrap/>
            <w:vAlign w:val="center"/>
          </w:tcPr>
          <w:p w:rsidR="007E50CF" w:rsidRPr="008A2917" w:rsidRDefault="007E50CF" w:rsidP="00387896">
            <w:pPr>
              <w:widowControl/>
              <w:jc w:val="center"/>
              <w:rPr>
                <w:rFonts w:ascii="Arial Narrow" w:hAnsi="Arial Narrow"/>
                <w:iCs/>
                <w:sz w:val="20"/>
                <w:szCs w:val="20"/>
              </w:rPr>
            </w:pPr>
            <w:r w:rsidRPr="008A2917">
              <w:rPr>
                <w:rFonts w:ascii="Arial Narrow" w:hAnsi="Arial Narrow"/>
                <w:iCs/>
                <w:sz w:val="20"/>
                <w:szCs w:val="20"/>
              </w:rPr>
              <w:t>$</w:t>
            </w:r>
            <w:r w:rsidR="001A215D">
              <w:rPr>
                <w:rFonts w:ascii="Arial Narrow" w:hAnsi="Arial Narrow"/>
                <w:iCs/>
                <w:noProof/>
                <w:color w:val="000000"/>
                <w:sz w:val="20"/>
                <w:szCs w:val="20"/>
                <w:highlight w:val="black"/>
              </w:rPr>
              <w:t>''''''''''''''''''''''''''''</w:t>
            </w:r>
          </w:p>
        </w:tc>
        <w:tc>
          <w:tcPr>
            <w:tcW w:w="676" w:type="pct"/>
            <w:noWrap/>
            <w:vAlign w:val="center"/>
          </w:tcPr>
          <w:p w:rsidR="007E50CF" w:rsidRPr="008A2917" w:rsidRDefault="007E50CF" w:rsidP="00387896">
            <w:pPr>
              <w:widowControl/>
              <w:jc w:val="center"/>
              <w:rPr>
                <w:rFonts w:ascii="Arial Narrow" w:hAnsi="Arial Narrow"/>
                <w:iCs/>
                <w:sz w:val="20"/>
                <w:szCs w:val="20"/>
              </w:rPr>
            </w:pPr>
            <w:r w:rsidRPr="008A2917">
              <w:rPr>
                <w:rFonts w:ascii="Arial Narrow" w:hAnsi="Arial Narrow"/>
                <w:iCs/>
                <w:sz w:val="20"/>
                <w:szCs w:val="20"/>
              </w:rPr>
              <w:t>$</w:t>
            </w:r>
            <w:r w:rsidR="001A215D">
              <w:rPr>
                <w:rFonts w:ascii="Arial Narrow" w:hAnsi="Arial Narrow"/>
                <w:iCs/>
                <w:noProof/>
                <w:color w:val="000000"/>
                <w:sz w:val="20"/>
                <w:szCs w:val="20"/>
                <w:highlight w:val="black"/>
              </w:rPr>
              <w:t>''''''''''''''''''''''''''''</w:t>
            </w:r>
          </w:p>
        </w:tc>
        <w:tc>
          <w:tcPr>
            <w:tcW w:w="680" w:type="pct"/>
            <w:vAlign w:val="center"/>
          </w:tcPr>
          <w:p w:rsidR="007E50CF" w:rsidRPr="008A2917" w:rsidRDefault="007E50CF" w:rsidP="00387896">
            <w:pPr>
              <w:widowControl/>
              <w:jc w:val="center"/>
              <w:rPr>
                <w:rFonts w:ascii="Arial Narrow" w:hAnsi="Arial Narrow"/>
                <w:iCs/>
                <w:sz w:val="20"/>
                <w:szCs w:val="20"/>
              </w:rPr>
            </w:pPr>
            <w:r w:rsidRPr="008A2917">
              <w:rPr>
                <w:rFonts w:ascii="Arial Narrow" w:hAnsi="Arial Narrow"/>
                <w:iCs/>
                <w:sz w:val="20"/>
                <w:szCs w:val="20"/>
              </w:rPr>
              <w:t>$</w:t>
            </w:r>
            <w:r w:rsidR="001A215D">
              <w:rPr>
                <w:rFonts w:ascii="Arial Narrow" w:hAnsi="Arial Narrow"/>
                <w:iCs/>
                <w:noProof/>
                <w:color w:val="000000"/>
                <w:sz w:val="20"/>
                <w:szCs w:val="20"/>
                <w:highlight w:val="black"/>
              </w:rPr>
              <w:t>'''''''''''''''''''''''''''</w:t>
            </w:r>
          </w:p>
        </w:tc>
      </w:tr>
    </w:tbl>
    <w:p w:rsidR="00CB0A5B" w:rsidRPr="008A2917" w:rsidRDefault="00CB0A5B" w:rsidP="00387896">
      <w:pPr>
        <w:pStyle w:val="TableFooter"/>
        <w:widowControl/>
      </w:pPr>
      <w:r w:rsidRPr="008A2917">
        <w:rPr>
          <w:vertAlign w:val="superscript"/>
        </w:rPr>
        <w:t>¥</w:t>
      </w:r>
      <w:r w:rsidRPr="008A2917">
        <w:t xml:space="preserve"> Corrected values calculated in this evaluation. The resubmission included an error in the calculation of </w:t>
      </w:r>
      <w:r w:rsidR="008335EC" w:rsidRPr="008A2917">
        <w:t xml:space="preserve">a reduction in </w:t>
      </w:r>
      <w:r w:rsidRPr="008A2917">
        <w:t xml:space="preserve">GP </w:t>
      </w:r>
      <w:r w:rsidR="008335EC" w:rsidRPr="008A2917">
        <w:t>visits</w:t>
      </w:r>
      <w:r w:rsidR="00530440" w:rsidRPr="008A2917">
        <w:t xml:space="preserve"> and used</w:t>
      </w:r>
      <w:r w:rsidRPr="008A2917">
        <w:t xml:space="preserve"> an out of date MBS </w:t>
      </w:r>
      <w:r w:rsidR="008335EC" w:rsidRPr="008A2917">
        <w:t>Item 23 schedule fee.</w:t>
      </w:r>
    </w:p>
    <w:p w:rsidR="00CB0A5B" w:rsidRPr="008A2917" w:rsidRDefault="00CB0A5B" w:rsidP="00387896">
      <w:pPr>
        <w:pStyle w:val="TableFooter"/>
        <w:widowControl/>
      </w:pPr>
      <w:r w:rsidRPr="008A2917">
        <w:t>MBS: Medicare Benefits Schedule; NIP: National Immunisation Program; TIV-HD: Trivalent Influenza Vaccine – High Dose</w:t>
      </w:r>
    </w:p>
    <w:p w:rsidR="00CB0A5B" w:rsidRPr="008A2917" w:rsidRDefault="00CB0A5B" w:rsidP="00387896">
      <w:pPr>
        <w:pStyle w:val="TableFooter"/>
        <w:widowControl/>
      </w:pPr>
      <w:r w:rsidRPr="008A2917">
        <w:t xml:space="preserve">Source: Based on Tables 4.1, 4.2 and 4.5, p78-9 of the </w:t>
      </w:r>
      <w:r w:rsidR="0056771C" w:rsidRPr="008A2917">
        <w:t>re</w:t>
      </w:r>
      <w:r w:rsidRPr="008A2917">
        <w:t>submission.</w:t>
      </w:r>
    </w:p>
    <w:p w:rsidR="00CB0A5B" w:rsidRPr="008A2917" w:rsidRDefault="00CB0A5B" w:rsidP="00387896">
      <w:pPr>
        <w:widowControl/>
      </w:pPr>
    </w:p>
    <w:p w:rsidR="00A0441F" w:rsidRDefault="00A0441F" w:rsidP="00A0441F">
      <w:pPr>
        <w:widowControl/>
      </w:pPr>
      <w:bookmarkStart w:id="31" w:name="_Hlk17794399"/>
      <w:r>
        <w:t xml:space="preserve">The redacted table shows that at Year 6, the estimated number of subjects vaccinated was over 200,000. </w:t>
      </w:r>
    </w:p>
    <w:p w:rsidR="00A0441F" w:rsidRPr="00A0441F" w:rsidRDefault="00A0441F" w:rsidP="00A0441F">
      <w:pPr>
        <w:widowControl/>
      </w:pPr>
    </w:p>
    <w:p w:rsidR="007E50CF" w:rsidRPr="008A2917" w:rsidRDefault="007E50CF" w:rsidP="00387896">
      <w:pPr>
        <w:pStyle w:val="ListParagraph"/>
        <w:widowControl/>
        <w:numPr>
          <w:ilvl w:val="1"/>
          <w:numId w:val="1"/>
        </w:numPr>
      </w:pPr>
      <w:r w:rsidRPr="008A2917">
        <w:rPr>
          <w:iCs/>
        </w:rPr>
        <w:t xml:space="preserve">The estimated uptake rate of 94.4%, was uncertain. However, the upper bound for the uptake rate is 100%, which is only slightly </w:t>
      </w:r>
      <w:r w:rsidR="009271C6" w:rsidRPr="008A2917">
        <w:rPr>
          <w:iCs/>
        </w:rPr>
        <w:t xml:space="preserve">higher </w:t>
      </w:r>
      <w:r w:rsidRPr="008A2917">
        <w:rPr>
          <w:iCs/>
        </w:rPr>
        <w:t xml:space="preserve">than the value assumed. Hence, the overall net costs to the NIP and Australian </w:t>
      </w:r>
      <w:r w:rsidR="002824A3" w:rsidRPr="008A2917">
        <w:rPr>
          <w:iCs/>
        </w:rPr>
        <w:t>G</w:t>
      </w:r>
      <w:r w:rsidRPr="008A2917">
        <w:rPr>
          <w:iCs/>
        </w:rPr>
        <w:t xml:space="preserve">overnment are unlikely to substantially exceed </w:t>
      </w:r>
      <w:r w:rsidR="00B76713" w:rsidRPr="008A2917">
        <w:rPr>
          <w:iCs/>
        </w:rPr>
        <w:t>the values presented in Table 2</w:t>
      </w:r>
      <w:r w:rsidR="000D5A8F" w:rsidRPr="008A2917">
        <w:rPr>
          <w:iCs/>
        </w:rPr>
        <w:t>2</w:t>
      </w:r>
      <w:r w:rsidRPr="008A2917">
        <w:rPr>
          <w:iCs/>
        </w:rPr>
        <w:t>.</w:t>
      </w:r>
    </w:p>
    <w:p w:rsidR="00BD7250" w:rsidRPr="008A2917" w:rsidRDefault="00BD7250" w:rsidP="00BD7250">
      <w:pPr>
        <w:pStyle w:val="ListParagraph"/>
        <w:keepNext/>
        <w:widowControl/>
        <w:numPr>
          <w:ilvl w:val="1"/>
          <w:numId w:val="1"/>
        </w:numPr>
      </w:pPr>
      <w:r w:rsidRPr="008A2917">
        <w:t xml:space="preserve">The cost to the NIP from TIV-HD as proposed </w:t>
      </w:r>
      <w:r w:rsidR="00176B0A" w:rsidRPr="008A2917">
        <w:t xml:space="preserve">in the resubmission </w:t>
      </w:r>
      <w:r w:rsidRPr="008A2917">
        <w:t>was likely to exceed $</w:t>
      </w:r>
      <w:r w:rsidR="00853B2B">
        <w:t>100</w:t>
      </w:r>
      <w:r w:rsidRPr="008A2917">
        <w:t>million per year in year 6, with a net cost to Government in year 6 of $</w:t>
      </w:r>
      <w:r w:rsidR="00853B2B">
        <w:t>60 - $100</w:t>
      </w:r>
      <w:r w:rsidR="00853B2B" w:rsidRPr="008A2917">
        <w:t xml:space="preserve"> </w:t>
      </w:r>
      <w:r w:rsidRPr="008A2917">
        <w:t>million</w:t>
      </w:r>
      <w:r w:rsidR="008A2917">
        <w:t xml:space="preserve">. </w:t>
      </w:r>
    </w:p>
    <w:p w:rsidR="00CB0A5B" w:rsidRPr="008A2917" w:rsidRDefault="00CB0A5B" w:rsidP="00387896">
      <w:pPr>
        <w:pStyle w:val="ListParagraph"/>
        <w:widowControl/>
        <w:numPr>
          <w:ilvl w:val="1"/>
          <w:numId w:val="1"/>
        </w:numPr>
      </w:pPr>
      <w:r w:rsidRPr="008A2917">
        <w:t xml:space="preserve">A comparison of net costs to the NIP and the Australian </w:t>
      </w:r>
      <w:r w:rsidR="00E1126D" w:rsidRPr="008A2917">
        <w:t>G</w:t>
      </w:r>
      <w:r w:rsidRPr="008A2917">
        <w:t>overnment between the previous submission and resubmission are given in Table 2</w:t>
      </w:r>
      <w:r w:rsidR="000D5A8F" w:rsidRPr="008A2917">
        <w:t>3</w:t>
      </w:r>
      <w:r w:rsidRPr="008A2917">
        <w:t>.</w:t>
      </w:r>
    </w:p>
    <w:p w:rsidR="00CB0A5B" w:rsidRPr="008A2917" w:rsidRDefault="00CB0A5B" w:rsidP="00387896">
      <w:pPr>
        <w:pStyle w:val="TableHeading0"/>
        <w:rPr>
          <w:rStyle w:val="CommentReference"/>
          <w:b/>
          <w:szCs w:val="22"/>
        </w:rPr>
      </w:pPr>
      <w:bookmarkStart w:id="32" w:name="_Toc18942070"/>
      <w:r w:rsidRPr="008A2917">
        <w:rPr>
          <w:rStyle w:val="CommentReference"/>
          <w:b/>
          <w:szCs w:val="22"/>
        </w:rPr>
        <w:lastRenderedPageBreak/>
        <w:t>Table 2</w:t>
      </w:r>
      <w:r w:rsidR="000D5A8F" w:rsidRPr="008A2917">
        <w:rPr>
          <w:rStyle w:val="CommentReference"/>
          <w:b/>
          <w:szCs w:val="22"/>
        </w:rPr>
        <w:t>3</w:t>
      </w:r>
      <w:r w:rsidRPr="008A2917">
        <w:rPr>
          <w:rStyle w:val="CommentReference"/>
          <w:b/>
          <w:szCs w:val="22"/>
        </w:rPr>
        <w:t xml:space="preserve">: Comparison of net costs to the NIP and Australian </w:t>
      </w:r>
      <w:r w:rsidR="00E1126D" w:rsidRPr="008A2917">
        <w:rPr>
          <w:rStyle w:val="CommentReference"/>
          <w:b/>
          <w:szCs w:val="22"/>
        </w:rPr>
        <w:t>G</w:t>
      </w:r>
      <w:r w:rsidRPr="008A2917">
        <w:rPr>
          <w:rStyle w:val="CommentReference"/>
          <w:b/>
          <w:szCs w:val="22"/>
        </w:rPr>
        <w:t>overnment between the previous submission and resubmission</w:t>
      </w:r>
      <w:bookmarkEnd w:id="32"/>
    </w:p>
    <w:tbl>
      <w:tblPr>
        <w:tblStyle w:val="TableGrid"/>
        <w:tblW w:w="8981" w:type="dxa"/>
        <w:tblLayout w:type="fixed"/>
        <w:tblLook w:val="04A0" w:firstRow="1" w:lastRow="0" w:firstColumn="1" w:lastColumn="0" w:noHBand="0" w:noVBand="1"/>
        <w:tblCaption w:val="Table 23: Comparison of net costs to the NIP and Australian Government between the previous submission and resubmission"/>
      </w:tblPr>
      <w:tblGrid>
        <w:gridCol w:w="1752"/>
        <w:gridCol w:w="1129"/>
        <w:gridCol w:w="1220"/>
        <w:gridCol w:w="1220"/>
        <w:gridCol w:w="1220"/>
        <w:gridCol w:w="1220"/>
        <w:gridCol w:w="1220"/>
      </w:tblGrid>
      <w:tr w:rsidR="00CB0A5B" w:rsidRPr="008A2917" w:rsidTr="00D114CA">
        <w:trPr>
          <w:cantSplit/>
          <w:trHeight w:val="20"/>
          <w:tblHeader/>
        </w:trPr>
        <w:tc>
          <w:tcPr>
            <w:tcW w:w="1752" w:type="dxa"/>
          </w:tcPr>
          <w:p w:rsidR="00CB0A5B" w:rsidRPr="008A2917" w:rsidRDefault="00CB0A5B" w:rsidP="00387896">
            <w:pPr>
              <w:pStyle w:val="TableHeading0"/>
            </w:pPr>
            <w:r w:rsidRPr="008A2917">
              <w:t>Parameter</w:t>
            </w:r>
          </w:p>
        </w:tc>
        <w:tc>
          <w:tcPr>
            <w:tcW w:w="1129" w:type="dxa"/>
          </w:tcPr>
          <w:p w:rsidR="00CB0A5B" w:rsidRPr="008A2917" w:rsidRDefault="00CB0A5B" w:rsidP="00387896">
            <w:pPr>
              <w:pStyle w:val="TableHeading0"/>
              <w:jc w:val="center"/>
            </w:pPr>
            <w:r w:rsidRPr="008A2917">
              <w:t>Year 1</w:t>
            </w:r>
          </w:p>
        </w:tc>
        <w:tc>
          <w:tcPr>
            <w:tcW w:w="1220" w:type="dxa"/>
          </w:tcPr>
          <w:p w:rsidR="00CB0A5B" w:rsidRPr="008A2917" w:rsidRDefault="00CB0A5B" w:rsidP="00387896">
            <w:pPr>
              <w:pStyle w:val="TableHeading0"/>
              <w:jc w:val="center"/>
            </w:pPr>
            <w:r w:rsidRPr="008A2917">
              <w:t>Year 2</w:t>
            </w:r>
          </w:p>
        </w:tc>
        <w:tc>
          <w:tcPr>
            <w:tcW w:w="1220" w:type="dxa"/>
          </w:tcPr>
          <w:p w:rsidR="00CB0A5B" w:rsidRPr="008A2917" w:rsidRDefault="00CB0A5B" w:rsidP="00387896">
            <w:pPr>
              <w:pStyle w:val="TableHeading0"/>
              <w:jc w:val="center"/>
            </w:pPr>
            <w:r w:rsidRPr="008A2917">
              <w:t>Year 3</w:t>
            </w:r>
          </w:p>
        </w:tc>
        <w:tc>
          <w:tcPr>
            <w:tcW w:w="1220" w:type="dxa"/>
          </w:tcPr>
          <w:p w:rsidR="00CB0A5B" w:rsidRPr="008A2917" w:rsidRDefault="00CB0A5B" w:rsidP="00387896">
            <w:pPr>
              <w:pStyle w:val="TableHeading0"/>
              <w:jc w:val="center"/>
            </w:pPr>
            <w:r w:rsidRPr="008A2917">
              <w:t>Year 4</w:t>
            </w:r>
          </w:p>
        </w:tc>
        <w:tc>
          <w:tcPr>
            <w:tcW w:w="1220" w:type="dxa"/>
          </w:tcPr>
          <w:p w:rsidR="00CB0A5B" w:rsidRPr="008A2917" w:rsidRDefault="00CB0A5B" w:rsidP="00387896">
            <w:pPr>
              <w:pStyle w:val="TableHeading0"/>
              <w:jc w:val="center"/>
            </w:pPr>
            <w:r w:rsidRPr="008A2917">
              <w:t>Year 5</w:t>
            </w:r>
          </w:p>
        </w:tc>
        <w:tc>
          <w:tcPr>
            <w:tcW w:w="1220" w:type="dxa"/>
          </w:tcPr>
          <w:p w:rsidR="00CB0A5B" w:rsidRPr="008A2917" w:rsidRDefault="00CB0A5B" w:rsidP="00387896">
            <w:pPr>
              <w:pStyle w:val="TableHeading0"/>
              <w:jc w:val="center"/>
            </w:pPr>
            <w:r w:rsidRPr="008A2917">
              <w:t>Year 6</w:t>
            </w:r>
          </w:p>
        </w:tc>
      </w:tr>
      <w:tr w:rsidR="00CB0A5B" w:rsidRPr="008A2917" w:rsidTr="002F2549">
        <w:trPr>
          <w:cantSplit/>
          <w:trHeight w:val="20"/>
        </w:trPr>
        <w:tc>
          <w:tcPr>
            <w:tcW w:w="8981" w:type="dxa"/>
            <w:gridSpan w:val="7"/>
          </w:tcPr>
          <w:p w:rsidR="00CB0A5B" w:rsidRPr="008A2917" w:rsidRDefault="00CB0A5B" w:rsidP="00387896">
            <w:pPr>
              <w:pStyle w:val="TableText0"/>
            </w:pPr>
            <w:r w:rsidRPr="008A2917">
              <w:t>Net cost to NIP</w:t>
            </w:r>
          </w:p>
        </w:tc>
      </w:tr>
      <w:tr w:rsidR="00CB0A5B" w:rsidRPr="008A2917" w:rsidTr="002F2549">
        <w:trPr>
          <w:cantSplit/>
          <w:trHeight w:val="20"/>
        </w:trPr>
        <w:tc>
          <w:tcPr>
            <w:tcW w:w="1752" w:type="dxa"/>
          </w:tcPr>
          <w:p w:rsidR="00CB0A5B" w:rsidRPr="008A2917" w:rsidRDefault="00530440" w:rsidP="00387896">
            <w:pPr>
              <w:pStyle w:val="TableText0"/>
            </w:pPr>
            <w:r w:rsidRPr="008A2917">
              <w:t>P</w:t>
            </w:r>
            <w:r w:rsidR="00CB0A5B" w:rsidRPr="008A2917">
              <w:t xml:space="preserve">revious </w:t>
            </w:r>
            <w:proofErr w:type="spellStart"/>
            <w:r w:rsidR="00CB0A5B" w:rsidRPr="008A2917">
              <w:t>submission</w:t>
            </w:r>
            <w:r w:rsidR="00CB0A5B" w:rsidRPr="008A2917">
              <w:rPr>
                <w:vertAlign w:val="superscript"/>
              </w:rPr>
              <w:t>a</w:t>
            </w:r>
            <w:proofErr w:type="spellEnd"/>
          </w:p>
        </w:tc>
        <w:tc>
          <w:tcPr>
            <w:tcW w:w="1129"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1A215D" w:rsidRDefault="001A215D" w:rsidP="00387896">
            <w:pPr>
              <w:pStyle w:val="TableText0"/>
              <w:jc w:val="right"/>
              <w:rPr>
                <w:highlight w:val="black"/>
              </w:rPr>
            </w:pPr>
            <w:r>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r>
      <w:tr w:rsidR="00CB0A5B" w:rsidRPr="008A2917" w:rsidTr="002F2549">
        <w:trPr>
          <w:cantSplit/>
          <w:trHeight w:val="20"/>
        </w:trPr>
        <w:tc>
          <w:tcPr>
            <w:tcW w:w="1752" w:type="dxa"/>
          </w:tcPr>
          <w:p w:rsidR="00CB0A5B" w:rsidRPr="008A2917" w:rsidRDefault="00CB0A5B" w:rsidP="00387896">
            <w:pPr>
              <w:pStyle w:val="TableText0"/>
            </w:pPr>
            <w:r w:rsidRPr="008A2917">
              <w:t>Resubmission</w:t>
            </w:r>
          </w:p>
        </w:tc>
        <w:tc>
          <w:tcPr>
            <w:tcW w:w="1129"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c>
          <w:tcPr>
            <w:tcW w:w="1220" w:type="dxa"/>
            <w:vAlign w:val="center"/>
          </w:tcPr>
          <w:p w:rsidR="00CB0A5B" w:rsidRPr="008A2917" w:rsidRDefault="00CB0A5B" w:rsidP="00387896">
            <w:pPr>
              <w:pStyle w:val="TableText0"/>
              <w:jc w:val="right"/>
            </w:pPr>
            <w:r w:rsidRPr="008A2917">
              <w:t>$</w:t>
            </w:r>
            <w:r w:rsidR="001A215D">
              <w:rPr>
                <w:noProof/>
                <w:color w:val="000000"/>
                <w:highlight w:val="black"/>
              </w:rPr>
              <w:t>''''''''''''''''''''''''''</w:t>
            </w:r>
          </w:p>
        </w:tc>
      </w:tr>
      <w:tr w:rsidR="00CB0A5B" w:rsidRPr="008A2917" w:rsidTr="002F2549">
        <w:trPr>
          <w:cantSplit/>
          <w:trHeight w:val="20"/>
        </w:trPr>
        <w:tc>
          <w:tcPr>
            <w:tcW w:w="8981" w:type="dxa"/>
            <w:gridSpan w:val="7"/>
          </w:tcPr>
          <w:p w:rsidR="00CB0A5B" w:rsidRPr="008A2917" w:rsidRDefault="00CB0A5B" w:rsidP="00387896">
            <w:pPr>
              <w:pStyle w:val="TableText0"/>
            </w:pPr>
            <w:r w:rsidRPr="008A2917">
              <w:t xml:space="preserve">Net cost to Australian </w:t>
            </w:r>
            <w:r w:rsidR="00E1126D" w:rsidRPr="008A2917">
              <w:t>G</w:t>
            </w:r>
            <w:r w:rsidRPr="008A2917">
              <w:t>overnment</w:t>
            </w:r>
          </w:p>
        </w:tc>
      </w:tr>
      <w:tr w:rsidR="00CB0A5B" w:rsidRPr="008A2917" w:rsidTr="002F2549">
        <w:trPr>
          <w:cantSplit/>
          <w:trHeight w:val="20"/>
        </w:trPr>
        <w:tc>
          <w:tcPr>
            <w:tcW w:w="1752" w:type="dxa"/>
          </w:tcPr>
          <w:p w:rsidR="00CB0A5B" w:rsidRPr="008A2917" w:rsidRDefault="00530440" w:rsidP="00387896">
            <w:pPr>
              <w:pStyle w:val="TableText0"/>
            </w:pPr>
            <w:r w:rsidRPr="008A2917">
              <w:t>P</w:t>
            </w:r>
            <w:r w:rsidR="00CB0A5B" w:rsidRPr="008A2917">
              <w:t xml:space="preserve">revious </w:t>
            </w:r>
            <w:proofErr w:type="spellStart"/>
            <w:r w:rsidR="00CB0A5B" w:rsidRPr="008A2917">
              <w:t>submission</w:t>
            </w:r>
            <w:r w:rsidR="00CB0A5B" w:rsidRPr="008A2917">
              <w:rPr>
                <w:vertAlign w:val="superscript"/>
              </w:rPr>
              <w:t>b</w:t>
            </w:r>
            <w:proofErr w:type="spellEnd"/>
          </w:p>
        </w:tc>
        <w:tc>
          <w:tcPr>
            <w:tcW w:w="1129" w:type="dxa"/>
            <w:vAlign w:val="center"/>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vAlign w:val="center"/>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vAlign w:val="center"/>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vAlign w:val="center"/>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vAlign w:val="center"/>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vAlign w:val="center"/>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r>
      <w:tr w:rsidR="00CB0A5B" w:rsidRPr="008A2917" w:rsidTr="002F2549">
        <w:trPr>
          <w:cantSplit/>
          <w:trHeight w:val="20"/>
        </w:trPr>
        <w:tc>
          <w:tcPr>
            <w:tcW w:w="1752" w:type="dxa"/>
          </w:tcPr>
          <w:p w:rsidR="00CB0A5B" w:rsidRPr="008A2917" w:rsidRDefault="00CB0A5B" w:rsidP="00387896">
            <w:pPr>
              <w:pStyle w:val="TableText0"/>
            </w:pPr>
            <w:proofErr w:type="spellStart"/>
            <w:r w:rsidRPr="008A2917">
              <w:t>Resubmission</w:t>
            </w:r>
            <w:r w:rsidRPr="008A2917">
              <w:rPr>
                <w:vertAlign w:val="superscript"/>
              </w:rPr>
              <w:t>c</w:t>
            </w:r>
            <w:proofErr w:type="spellEnd"/>
          </w:p>
        </w:tc>
        <w:tc>
          <w:tcPr>
            <w:tcW w:w="1129" w:type="dxa"/>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c>
          <w:tcPr>
            <w:tcW w:w="1220" w:type="dxa"/>
          </w:tcPr>
          <w:p w:rsidR="00CB0A5B" w:rsidRPr="008A2917" w:rsidRDefault="00CB0A5B" w:rsidP="00387896">
            <w:pPr>
              <w:pStyle w:val="TableText0"/>
              <w:jc w:val="right"/>
              <w:rPr>
                <w:iCs/>
              </w:rPr>
            </w:pPr>
            <w:r w:rsidRPr="008A2917">
              <w:rPr>
                <w:iCs/>
              </w:rPr>
              <w:t>$</w:t>
            </w:r>
            <w:r w:rsidR="001A215D">
              <w:rPr>
                <w:iCs/>
                <w:noProof/>
                <w:color w:val="000000"/>
                <w:highlight w:val="black"/>
              </w:rPr>
              <w:t>'''''''''''''''''''''''''</w:t>
            </w:r>
          </w:p>
        </w:tc>
      </w:tr>
    </w:tbl>
    <w:p w:rsidR="00CB0A5B" w:rsidRPr="008A2917" w:rsidRDefault="00CB0A5B" w:rsidP="00387896">
      <w:pPr>
        <w:pStyle w:val="TableFooter"/>
        <w:widowControl/>
        <w:rPr>
          <w:iCs/>
          <w:szCs w:val="18"/>
        </w:rPr>
      </w:pPr>
      <w:proofErr w:type="gramStart"/>
      <w:r w:rsidRPr="008A2917">
        <w:rPr>
          <w:iCs/>
          <w:szCs w:val="18"/>
          <w:vertAlign w:val="superscript"/>
        </w:rPr>
        <w:t>a</w:t>
      </w:r>
      <w:proofErr w:type="gramEnd"/>
      <w:r w:rsidRPr="008A2917">
        <w:rPr>
          <w:iCs/>
          <w:szCs w:val="18"/>
        </w:rPr>
        <w:t xml:space="preserve"> data extracted from July 2018 financial impact model in this resubmission.</w:t>
      </w:r>
    </w:p>
    <w:p w:rsidR="00CB0A5B" w:rsidRPr="008A2917" w:rsidRDefault="00CB0A5B" w:rsidP="00387896">
      <w:pPr>
        <w:pStyle w:val="TableFooter"/>
        <w:widowControl/>
        <w:rPr>
          <w:iCs/>
          <w:szCs w:val="18"/>
        </w:rPr>
      </w:pPr>
      <w:proofErr w:type="gramStart"/>
      <w:r w:rsidRPr="008A2917">
        <w:rPr>
          <w:iCs/>
          <w:szCs w:val="18"/>
          <w:vertAlign w:val="superscript"/>
        </w:rPr>
        <w:t>b</w:t>
      </w:r>
      <w:proofErr w:type="gramEnd"/>
      <w:r w:rsidRPr="008A2917">
        <w:rPr>
          <w:iCs/>
          <w:szCs w:val="18"/>
        </w:rPr>
        <w:t xml:space="preserve"> data extracted from July 2018 financial impact model in this resubmission </w:t>
      </w:r>
      <w:r w:rsidRPr="008A2917">
        <w:rPr>
          <w:szCs w:val="18"/>
        </w:rPr>
        <w:t>and corrected during this evaluation</w:t>
      </w:r>
      <w:r w:rsidRPr="008A2917">
        <w:rPr>
          <w:iCs/>
          <w:szCs w:val="18"/>
        </w:rPr>
        <w:t>.</w:t>
      </w:r>
    </w:p>
    <w:p w:rsidR="00CB0A5B" w:rsidRPr="008A2917" w:rsidRDefault="00CB0A5B" w:rsidP="00387896">
      <w:pPr>
        <w:pStyle w:val="TableFooter"/>
        <w:widowControl/>
        <w:rPr>
          <w:iCs/>
          <w:szCs w:val="18"/>
        </w:rPr>
      </w:pPr>
      <w:proofErr w:type="gramStart"/>
      <w:r w:rsidRPr="008A2917">
        <w:rPr>
          <w:iCs/>
          <w:szCs w:val="18"/>
          <w:vertAlign w:val="superscript"/>
        </w:rPr>
        <w:t>c</w:t>
      </w:r>
      <w:proofErr w:type="gramEnd"/>
      <w:r w:rsidRPr="008A2917">
        <w:rPr>
          <w:iCs/>
          <w:szCs w:val="18"/>
        </w:rPr>
        <w:t xml:space="preserve"> </w:t>
      </w:r>
      <w:r w:rsidRPr="008A2917">
        <w:rPr>
          <w:szCs w:val="18"/>
        </w:rPr>
        <w:t>Corrected values calculated in this evaluation.</w:t>
      </w:r>
    </w:p>
    <w:p w:rsidR="00CB0A5B" w:rsidRPr="008A2917" w:rsidRDefault="00CB0A5B" w:rsidP="00387896">
      <w:pPr>
        <w:pStyle w:val="TableFooter"/>
        <w:widowControl/>
      </w:pPr>
      <w:r w:rsidRPr="008A2917">
        <w:t>NIP: National Immunisation Program.</w:t>
      </w:r>
    </w:p>
    <w:p w:rsidR="00CB0A5B" w:rsidRPr="008A2917" w:rsidRDefault="00CB0A5B" w:rsidP="00387896">
      <w:pPr>
        <w:pStyle w:val="TableFooter"/>
        <w:widowControl/>
      </w:pPr>
      <w:r w:rsidRPr="008A2917">
        <w:t xml:space="preserve">Source: </w:t>
      </w:r>
      <w:r w:rsidRPr="008A2917">
        <w:rPr>
          <w:iCs/>
        </w:rPr>
        <w:t>Compiled during this evaluation from Section 4 of the previous submission and Table 4.5, p79 of the resubmission.</w:t>
      </w:r>
    </w:p>
    <w:bookmarkEnd w:id="31"/>
    <w:p w:rsidR="00CB0A5B" w:rsidRPr="008A2917" w:rsidRDefault="00CB0A5B" w:rsidP="00387896">
      <w:pPr>
        <w:widowControl/>
      </w:pPr>
    </w:p>
    <w:p w:rsidR="00B77255" w:rsidRPr="00C62B93" w:rsidRDefault="0020529E" w:rsidP="00C62B93">
      <w:pPr>
        <w:rPr>
          <w:rFonts w:asciiTheme="minorHAnsi" w:hAnsiTheme="minorHAnsi"/>
          <w:i/>
        </w:rPr>
      </w:pPr>
      <w:r w:rsidRPr="008A2917">
        <w:rPr>
          <w:rFonts w:asciiTheme="minorHAnsi" w:hAnsiTheme="minorHAnsi"/>
          <w:i/>
        </w:rPr>
        <w:t>For more detail on PBAC’s view, see section 7 PBAC outcome.</w:t>
      </w:r>
    </w:p>
    <w:p w:rsidR="00695F2D" w:rsidRPr="008A2917" w:rsidRDefault="00695F2D" w:rsidP="00C62B93">
      <w:pPr>
        <w:pStyle w:val="PBACHeading1"/>
        <w:spacing w:before="240" w:after="120"/>
      </w:pPr>
      <w:r w:rsidRPr="008A2917">
        <w:t>PBAC Outcome</w:t>
      </w:r>
    </w:p>
    <w:p w:rsidR="00A02666" w:rsidRPr="008A2917" w:rsidRDefault="00A02666" w:rsidP="00F47513">
      <w:pPr>
        <w:pStyle w:val="ListParagraph"/>
        <w:widowControl/>
        <w:numPr>
          <w:ilvl w:val="1"/>
          <w:numId w:val="1"/>
        </w:numPr>
        <w:rPr>
          <w:rFonts w:asciiTheme="minorHAnsi" w:hAnsiTheme="minorHAnsi"/>
          <w:bCs/>
          <w:szCs w:val="24"/>
        </w:rPr>
      </w:pPr>
      <w:r w:rsidRPr="008A2917">
        <w:rPr>
          <w:rFonts w:asciiTheme="minorHAnsi" w:hAnsiTheme="minorHAnsi"/>
          <w:bCs/>
          <w:szCs w:val="24"/>
        </w:rPr>
        <w:t>The PBAC recommended an increase in the price of inactivated trivalent influenza vaccin</w:t>
      </w:r>
      <w:r w:rsidR="00D76698" w:rsidRPr="008A2917">
        <w:rPr>
          <w:rFonts w:asciiTheme="minorHAnsi" w:hAnsiTheme="minorHAnsi"/>
          <w:bCs/>
          <w:szCs w:val="24"/>
        </w:rPr>
        <w:t>e (</w:t>
      </w:r>
      <w:proofErr w:type="spellStart"/>
      <w:r w:rsidR="00D76698" w:rsidRPr="008A2917">
        <w:rPr>
          <w:rFonts w:asciiTheme="minorHAnsi" w:hAnsiTheme="minorHAnsi"/>
          <w:bCs/>
          <w:szCs w:val="24"/>
        </w:rPr>
        <w:t>Fluzone</w:t>
      </w:r>
      <w:proofErr w:type="spellEnd"/>
      <w:r w:rsidRPr="008A2917">
        <w:rPr>
          <w:rFonts w:asciiTheme="minorHAnsi" w:hAnsiTheme="minorHAnsi"/>
          <w:bCs/>
          <w:szCs w:val="24"/>
        </w:rPr>
        <w:t xml:space="preserve"> High-Dose, TIV-HD), on the</w:t>
      </w:r>
      <w:r w:rsidRPr="008A2917">
        <w:rPr>
          <w:rFonts w:asciiTheme="minorHAnsi" w:hAnsiTheme="minorHAnsi"/>
          <w:bCs/>
          <w:i/>
          <w:szCs w:val="24"/>
        </w:rPr>
        <w:t xml:space="preserve"> National Health (Immunisation Program – Designated Vaccines) Determination 2014 (No.1)</w:t>
      </w:r>
      <w:r w:rsidRPr="008A2917">
        <w:rPr>
          <w:rFonts w:asciiTheme="minorHAnsi" w:hAnsiTheme="minorHAnsi"/>
          <w:bCs/>
          <w:szCs w:val="24"/>
        </w:rPr>
        <w:t xml:space="preserve"> (the Determination), for active immunisation against influenza in adults aged ≥65 years. Th</w:t>
      </w:r>
      <w:r w:rsidR="004662D4" w:rsidRPr="008A2917">
        <w:rPr>
          <w:rFonts w:asciiTheme="minorHAnsi" w:hAnsiTheme="minorHAnsi"/>
          <w:bCs/>
          <w:szCs w:val="24"/>
        </w:rPr>
        <w:t>e PBAC recommendation</w:t>
      </w:r>
      <w:r w:rsidRPr="008A2917">
        <w:rPr>
          <w:rFonts w:asciiTheme="minorHAnsi" w:hAnsiTheme="minorHAnsi"/>
          <w:bCs/>
          <w:szCs w:val="24"/>
        </w:rPr>
        <w:t xml:space="preserve"> was on the basis </w:t>
      </w:r>
      <w:r w:rsidR="00111F12" w:rsidRPr="008A2917">
        <w:rPr>
          <w:rFonts w:asciiTheme="minorHAnsi" w:hAnsiTheme="minorHAnsi"/>
          <w:bCs/>
          <w:szCs w:val="24"/>
        </w:rPr>
        <w:t>that, on balance,</w:t>
      </w:r>
      <w:r w:rsidRPr="008A2917">
        <w:rPr>
          <w:rFonts w:asciiTheme="minorHAnsi" w:hAnsiTheme="minorHAnsi"/>
          <w:bCs/>
          <w:szCs w:val="24"/>
        </w:rPr>
        <w:t xml:space="preserve"> TIV-HD </w:t>
      </w:r>
      <w:r w:rsidR="00111F12" w:rsidRPr="008A2917">
        <w:rPr>
          <w:rFonts w:asciiTheme="minorHAnsi" w:hAnsiTheme="minorHAnsi"/>
          <w:bCs/>
          <w:szCs w:val="24"/>
        </w:rPr>
        <w:t xml:space="preserve">was </w:t>
      </w:r>
      <w:r w:rsidR="004662D4" w:rsidRPr="008A2917">
        <w:rPr>
          <w:rFonts w:asciiTheme="minorHAnsi" w:hAnsiTheme="minorHAnsi"/>
          <w:bCs/>
          <w:szCs w:val="24"/>
        </w:rPr>
        <w:t>at least as effective</w:t>
      </w:r>
      <w:r w:rsidRPr="008A2917">
        <w:rPr>
          <w:rFonts w:asciiTheme="minorHAnsi" w:hAnsiTheme="minorHAnsi"/>
          <w:bCs/>
          <w:szCs w:val="24"/>
        </w:rPr>
        <w:t xml:space="preserve"> </w:t>
      </w:r>
      <w:r w:rsidR="00111F12" w:rsidRPr="008A2917">
        <w:rPr>
          <w:rFonts w:asciiTheme="minorHAnsi" w:hAnsiTheme="minorHAnsi"/>
          <w:bCs/>
          <w:szCs w:val="24"/>
        </w:rPr>
        <w:t xml:space="preserve">as </w:t>
      </w:r>
      <w:proofErr w:type="spellStart"/>
      <w:r w:rsidRPr="008A2917">
        <w:rPr>
          <w:rFonts w:asciiTheme="minorHAnsi" w:hAnsiTheme="minorHAnsi"/>
          <w:bCs/>
          <w:szCs w:val="24"/>
        </w:rPr>
        <w:t>adjuvanted</w:t>
      </w:r>
      <w:proofErr w:type="spellEnd"/>
      <w:r w:rsidRPr="008A2917">
        <w:rPr>
          <w:rFonts w:asciiTheme="minorHAnsi" w:hAnsiTheme="minorHAnsi"/>
          <w:bCs/>
          <w:szCs w:val="24"/>
        </w:rPr>
        <w:t xml:space="preserve"> </w:t>
      </w:r>
      <w:proofErr w:type="spellStart"/>
      <w:r w:rsidRPr="008A2917">
        <w:rPr>
          <w:rFonts w:asciiTheme="minorHAnsi" w:hAnsiTheme="minorHAnsi"/>
          <w:bCs/>
          <w:szCs w:val="24"/>
        </w:rPr>
        <w:t>quadrivalent</w:t>
      </w:r>
      <w:proofErr w:type="spellEnd"/>
      <w:r w:rsidRPr="008A2917">
        <w:rPr>
          <w:rFonts w:asciiTheme="minorHAnsi" w:hAnsiTheme="minorHAnsi"/>
          <w:bCs/>
          <w:szCs w:val="24"/>
        </w:rPr>
        <w:t xml:space="preserve"> influenza vaccine (</w:t>
      </w:r>
      <w:proofErr w:type="spellStart"/>
      <w:r w:rsidRPr="008A2917">
        <w:rPr>
          <w:rFonts w:asciiTheme="minorHAnsi" w:hAnsiTheme="minorHAnsi"/>
          <w:bCs/>
          <w:szCs w:val="24"/>
        </w:rPr>
        <w:t>Fluad</w:t>
      </w:r>
      <w:proofErr w:type="spellEnd"/>
      <w:r w:rsidRPr="008A2917">
        <w:rPr>
          <w:rFonts w:asciiTheme="minorHAnsi" w:hAnsiTheme="minorHAnsi"/>
          <w:bCs/>
          <w:szCs w:val="24"/>
        </w:rPr>
        <w:t xml:space="preserve"> Quad, </w:t>
      </w:r>
      <w:proofErr w:type="spellStart"/>
      <w:r w:rsidRPr="008A2917">
        <w:rPr>
          <w:rFonts w:asciiTheme="minorHAnsi" w:hAnsiTheme="minorHAnsi"/>
          <w:bCs/>
          <w:szCs w:val="24"/>
        </w:rPr>
        <w:t>aQIV</w:t>
      </w:r>
      <w:proofErr w:type="spellEnd"/>
      <w:r w:rsidRPr="008A2917">
        <w:rPr>
          <w:rFonts w:asciiTheme="minorHAnsi" w:hAnsiTheme="minorHAnsi"/>
          <w:bCs/>
          <w:szCs w:val="24"/>
        </w:rPr>
        <w:t xml:space="preserve">). The PBAC considered </w:t>
      </w:r>
      <w:r w:rsidR="00111F12" w:rsidRPr="008A2917">
        <w:rPr>
          <w:rFonts w:asciiTheme="minorHAnsi" w:hAnsiTheme="minorHAnsi"/>
          <w:bCs/>
          <w:szCs w:val="24"/>
        </w:rPr>
        <w:t>a</w:t>
      </w:r>
      <w:r w:rsidRPr="008A2917">
        <w:rPr>
          <w:rFonts w:asciiTheme="minorHAnsi" w:hAnsiTheme="minorHAnsi"/>
          <w:bCs/>
          <w:szCs w:val="24"/>
        </w:rPr>
        <w:t xml:space="preserve"> claim of superiority </w:t>
      </w:r>
      <w:r w:rsidR="00A634C5" w:rsidRPr="008A2917">
        <w:rPr>
          <w:rFonts w:asciiTheme="minorHAnsi" w:hAnsiTheme="minorHAnsi"/>
          <w:bCs/>
          <w:szCs w:val="24"/>
        </w:rPr>
        <w:t>vs</w:t>
      </w:r>
      <w:r w:rsidRPr="008A2917">
        <w:rPr>
          <w:rFonts w:asciiTheme="minorHAnsi" w:hAnsiTheme="minorHAnsi"/>
          <w:bCs/>
          <w:szCs w:val="24"/>
        </w:rPr>
        <w:t xml:space="preserve"> </w:t>
      </w:r>
      <w:proofErr w:type="spellStart"/>
      <w:r w:rsidRPr="008A2917">
        <w:rPr>
          <w:rFonts w:asciiTheme="minorHAnsi" w:hAnsiTheme="minorHAnsi"/>
          <w:bCs/>
          <w:szCs w:val="24"/>
        </w:rPr>
        <w:t>aQIV</w:t>
      </w:r>
      <w:proofErr w:type="spellEnd"/>
      <w:r w:rsidRPr="008A2917">
        <w:rPr>
          <w:rFonts w:asciiTheme="minorHAnsi" w:hAnsiTheme="minorHAnsi"/>
          <w:bCs/>
          <w:szCs w:val="24"/>
        </w:rPr>
        <w:t xml:space="preserve"> </w:t>
      </w:r>
      <w:r w:rsidR="00F723AD" w:rsidRPr="008A2917">
        <w:rPr>
          <w:rFonts w:asciiTheme="minorHAnsi" w:hAnsiTheme="minorHAnsi"/>
          <w:bCs/>
          <w:szCs w:val="24"/>
        </w:rPr>
        <w:t>could not be</w:t>
      </w:r>
      <w:r w:rsidRPr="008A2917">
        <w:rPr>
          <w:rFonts w:asciiTheme="minorHAnsi" w:hAnsiTheme="minorHAnsi"/>
          <w:bCs/>
          <w:szCs w:val="24"/>
        </w:rPr>
        <w:t xml:space="preserve"> adequately supported by the clinical evidence presented</w:t>
      </w:r>
      <w:r w:rsidR="00111F12" w:rsidRPr="008A2917">
        <w:rPr>
          <w:rFonts w:asciiTheme="minorHAnsi" w:hAnsiTheme="minorHAnsi"/>
          <w:bCs/>
          <w:szCs w:val="24"/>
        </w:rPr>
        <w:t xml:space="preserve"> and therefore a </w:t>
      </w:r>
      <w:r w:rsidR="00111F12" w:rsidRPr="008A2917">
        <w:t xml:space="preserve">cost-minimisation approach in which TIV-HD was the same price as </w:t>
      </w:r>
      <w:proofErr w:type="spellStart"/>
      <w:r w:rsidR="00111F12" w:rsidRPr="008A2917">
        <w:t>aQIV</w:t>
      </w:r>
      <w:proofErr w:type="spellEnd"/>
      <w:r w:rsidR="00111F12" w:rsidRPr="008A2917">
        <w:t xml:space="preserve"> </w:t>
      </w:r>
      <w:r w:rsidR="00125B19">
        <w:rPr>
          <w:noProof/>
          <w:color w:val="000000"/>
          <w:highlight w:val="black"/>
        </w:rPr>
        <w:t>'''''''''''</w:t>
      </w:r>
      <w:r w:rsidR="00D915FD">
        <w:t xml:space="preserve"> </w:t>
      </w:r>
      <w:r w:rsidR="00111F12" w:rsidRPr="008A2917">
        <w:t>would be appropriate</w:t>
      </w:r>
      <w:r w:rsidRPr="008A2917">
        <w:rPr>
          <w:rFonts w:asciiTheme="minorHAnsi" w:hAnsiTheme="minorHAnsi"/>
          <w:bCs/>
          <w:szCs w:val="24"/>
        </w:rPr>
        <w:t>.</w:t>
      </w:r>
    </w:p>
    <w:p w:rsidR="00DD739C" w:rsidRPr="008A2917" w:rsidRDefault="00DD739C" w:rsidP="00695F2D">
      <w:pPr>
        <w:numPr>
          <w:ilvl w:val="1"/>
          <w:numId w:val="1"/>
        </w:numPr>
        <w:spacing w:after="120"/>
        <w:rPr>
          <w:rFonts w:asciiTheme="minorHAnsi" w:hAnsiTheme="minorHAnsi"/>
          <w:bCs/>
        </w:rPr>
      </w:pPr>
      <w:r w:rsidRPr="008A2917">
        <w:rPr>
          <w:rFonts w:asciiTheme="minorHAnsi" w:hAnsiTheme="minorHAnsi"/>
          <w:bCs/>
        </w:rPr>
        <w:t xml:space="preserve">The PBAC </w:t>
      </w:r>
      <w:r w:rsidR="001219BE" w:rsidRPr="008A2917">
        <w:rPr>
          <w:rFonts w:asciiTheme="minorHAnsi" w:hAnsiTheme="minorHAnsi"/>
          <w:bCs/>
        </w:rPr>
        <w:t>reaffirmed</w:t>
      </w:r>
      <w:r w:rsidR="00A4343C" w:rsidRPr="008A2917">
        <w:rPr>
          <w:rFonts w:asciiTheme="minorHAnsi" w:hAnsiTheme="minorHAnsi"/>
          <w:bCs/>
        </w:rPr>
        <w:t xml:space="preserve"> its July 2018</w:t>
      </w:r>
      <w:r w:rsidRPr="008A2917">
        <w:rPr>
          <w:rFonts w:asciiTheme="minorHAnsi" w:hAnsiTheme="minorHAnsi"/>
          <w:bCs/>
        </w:rPr>
        <w:t xml:space="preserve"> advice</w:t>
      </w:r>
      <w:r w:rsidR="00FF0221" w:rsidRPr="008A2917">
        <w:rPr>
          <w:rStyle w:val="FootnoteReference"/>
          <w:rFonts w:asciiTheme="minorHAnsi" w:hAnsiTheme="minorHAnsi"/>
          <w:bCs/>
        </w:rPr>
        <w:footnoteReference w:id="6"/>
      </w:r>
      <w:r w:rsidRPr="008A2917">
        <w:rPr>
          <w:rFonts w:asciiTheme="minorHAnsi" w:hAnsiTheme="minorHAnsi"/>
          <w:bCs/>
        </w:rPr>
        <w:t xml:space="preserve"> that </w:t>
      </w:r>
      <w:r w:rsidR="001219BE" w:rsidRPr="008A2917">
        <w:rPr>
          <w:rFonts w:asciiTheme="minorHAnsi" w:hAnsiTheme="minorHAnsi"/>
          <w:bCs/>
        </w:rPr>
        <w:t xml:space="preserve">the proposed clinical place for TIV-HD was appropriate, </w:t>
      </w:r>
      <w:r w:rsidR="001219BE" w:rsidRPr="008A2917">
        <w:rPr>
          <w:rFonts w:asciiTheme="minorHAnsi" w:hAnsiTheme="minorHAnsi"/>
          <w:bCs/>
          <w:szCs w:val="24"/>
        </w:rPr>
        <w:t xml:space="preserve">noting the high incidence of influenza, high mortality and hospitalisation rates associated with influenza in the proposed population, as well as the typically lower vaccine effectiveness observed in this population. </w:t>
      </w:r>
    </w:p>
    <w:p w:rsidR="00E26BB3" w:rsidRPr="008A2917" w:rsidRDefault="002F518E" w:rsidP="00F47513">
      <w:pPr>
        <w:numPr>
          <w:ilvl w:val="1"/>
          <w:numId w:val="1"/>
        </w:numPr>
        <w:spacing w:after="120"/>
        <w:rPr>
          <w:rFonts w:asciiTheme="minorHAnsi" w:hAnsiTheme="minorHAnsi"/>
          <w:bCs/>
          <w:szCs w:val="24"/>
        </w:rPr>
      </w:pPr>
      <w:r w:rsidRPr="008A2917">
        <w:rPr>
          <w:rFonts w:asciiTheme="minorHAnsi" w:hAnsiTheme="minorHAnsi"/>
          <w:bCs/>
          <w:szCs w:val="24"/>
        </w:rPr>
        <w:t xml:space="preserve">The PBAC considered that the proposed comparator, </w:t>
      </w:r>
      <w:proofErr w:type="spellStart"/>
      <w:r w:rsidRPr="008A2917">
        <w:rPr>
          <w:rFonts w:asciiTheme="minorHAnsi" w:hAnsiTheme="minorHAnsi"/>
          <w:bCs/>
          <w:szCs w:val="24"/>
        </w:rPr>
        <w:t>quadrivalent</w:t>
      </w:r>
      <w:proofErr w:type="spellEnd"/>
      <w:r w:rsidRPr="008A2917">
        <w:rPr>
          <w:rFonts w:asciiTheme="minorHAnsi" w:hAnsiTheme="minorHAnsi"/>
          <w:bCs/>
          <w:szCs w:val="24"/>
        </w:rPr>
        <w:t xml:space="preserve"> influenza vaccine (QIV-SD), was a less appropriate main comparator</w:t>
      </w:r>
      <w:r w:rsidR="00C032FC" w:rsidRPr="008A2917">
        <w:rPr>
          <w:rFonts w:asciiTheme="minorHAnsi" w:hAnsiTheme="minorHAnsi"/>
          <w:bCs/>
          <w:szCs w:val="24"/>
        </w:rPr>
        <w:t xml:space="preserve"> given that</w:t>
      </w:r>
      <w:r w:rsidR="0051241C" w:rsidRPr="008A2917">
        <w:rPr>
          <w:rFonts w:asciiTheme="minorHAnsi" w:hAnsiTheme="minorHAnsi"/>
          <w:bCs/>
          <w:szCs w:val="24"/>
        </w:rPr>
        <w:t xml:space="preserve"> </w:t>
      </w:r>
      <w:proofErr w:type="spellStart"/>
      <w:r w:rsidR="00C032FC" w:rsidRPr="008A2917">
        <w:rPr>
          <w:rFonts w:asciiTheme="minorHAnsi" w:hAnsiTheme="minorHAnsi"/>
          <w:bCs/>
          <w:szCs w:val="24"/>
        </w:rPr>
        <w:t>aQIV</w:t>
      </w:r>
      <w:proofErr w:type="spellEnd"/>
      <w:r w:rsidR="00C032FC" w:rsidRPr="008A2917">
        <w:rPr>
          <w:rFonts w:asciiTheme="minorHAnsi" w:hAnsiTheme="minorHAnsi"/>
          <w:bCs/>
          <w:szCs w:val="24"/>
        </w:rPr>
        <w:t xml:space="preserve"> </w:t>
      </w:r>
      <w:r w:rsidR="00CE7BF5" w:rsidRPr="008A2917">
        <w:rPr>
          <w:rFonts w:asciiTheme="minorHAnsi" w:hAnsiTheme="minorHAnsi"/>
          <w:bCs/>
          <w:szCs w:val="24"/>
        </w:rPr>
        <w:t xml:space="preserve">was recommended </w:t>
      </w:r>
      <w:r w:rsidR="00C032FC" w:rsidRPr="008A2917">
        <w:rPr>
          <w:rFonts w:asciiTheme="minorHAnsi" w:hAnsiTheme="minorHAnsi"/>
          <w:bCs/>
          <w:szCs w:val="24"/>
        </w:rPr>
        <w:t>for listing on the NIP in August 2019</w:t>
      </w:r>
      <w:r w:rsidR="003B1B3F" w:rsidRPr="008A2917">
        <w:rPr>
          <w:rFonts w:asciiTheme="minorHAnsi" w:hAnsiTheme="minorHAnsi"/>
          <w:bCs/>
          <w:szCs w:val="24"/>
        </w:rPr>
        <w:t xml:space="preserve"> and the high utilisation of </w:t>
      </w:r>
      <w:proofErr w:type="spellStart"/>
      <w:r w:rsidR="003B1B3F" w:rsidRPr="008A2917">
        <w:rPr>
          <w:rFonts w:asciiTheme="minorHAnsi" w:hAnsiTheme="minorHAnsi"/>
          <w:bCs/>
          <w:szCs w:val="24"/>
        </w:rPr>
        <w:t>aTIV</w:t>
      </w:r>
      <w:proofErr w:type="spellEnd"/>
      <w:r w:rsidR="003B1B3F" w:rsidRPr="008A2917">
        <w:rPr>
          <w:rFonts w:asciiTheme="minorHAnsi" w:hAnsiTheme="minorHAnsi"/>
          <w:bCs/>
          <w:szCs w:val="24"/>
        </w:rPr>
        <w:t xml:space="preserve"> in 2019 was expected to transfer to </w:t>
      </w:r>
      <w:proofErr w:type="spellStart"/>
      <w:r w:rsidR="003B1B3F" w:rsidRPr="008A2917">
        <w:rPr>
          <w:rFonts w:asciiTheme="minorHAnsi" w:hAnsiTheme="minorHAnsi"/>
          <w:bCs/>
          <w:szCs w:val="24"/>
        </w:rPr>
        <w:t>aQIV</w:t>
      </w:r>
      <w:proofErr w:type="spellEnd"/>
      <w:r w:rsidR="00EC6B7C" w:rsidRPr="008A2917">
        <w:rPr>
          <w:rFonts w:asciiTheme="minorHAnsi" w:hAnsiTheme="minorHAnsi"/>
          <w:bCs/>
          <w:szCs w:val="24"/>
        </w:rPr>
        <w:t xml:space="preserve"> from 2020</w:t>
      </w:r>
      <w:r w:rsidR="00E26BB3" w:rsidRPr="008A2917">
        <w:rPr>
          <w:rFonts w:asciiTheme="minorHAnsi" w:hAnsiTheme="minorHAnsi"/>
          <w:bCs/>
          <w:szCs w:val="24"/>
        </w:rPr>
        <w:t xml:space="preserve">. Accordingly, the PBAC considered </w:t>
      </w:r>
      <w:proofErr w:type="spellStart"/>
      <w:r w:rsidR="00E26BB3" w:rsidRPr="008A2917">
        <w:rPr>
          <w:rFonts w:asciiTheme="minorHAnsi" w:hAnsiTheme="minorHAnsi"/>
          <w:bCs/>
          <w:szCs w:val="24"/>
        </w:rPr>
        <w:t>aQIV</w:t>
      </w:r>
      <w:proofErr w:type="spellEnd"/>
      <w:r w:rsidR="006E7723" w:rsidRPr="008A2917">
        <w:rPr>
          <w:rFonts w:asciiTheme="minorHAnsi" w:hAnsiTheme="minorHAnsi"/>
          <w:bCs/>
          <w:szCs w:val="24"/>
        </w:rPr>
        <w:t xml:space="preserve"> would be the vaccine most </w:t>
      </w:r>
      <w:r w:rsidR="009B54AD" w:rsidRPr="008A2917">
        <w:rPr>
          <w:rFonts w:asciiTheme="minorHAnsi" w:hAnsiTheme="minorHAnsi"/>
          <w:bCs/>
          <w:szCs w:val="24"/>
        </w:rPr>
        <w:t xml:space="preserve">commonly </w:t>
      </w:r>
      <w:r w:rsidR="00CE7BF5" w:rsidRPr="008A2917">
        <w:rPr>
          <w:rFonts w:asciiTheme="minorHAnsi" w:hAnsiTheme="minorHAnsi"/>
          <w:bCs/>
          <w:szCs w:val="24"/>
        </w:rPr>
        <w:t xml:space="preserve">replaced </w:t>
      </w:r>
      <w:r w:rsidR="006E7723" w:rsidRPr="008A2917">
        <w:rPr>
          <w:rFonts w:asciiTheme="minorHAnsi" w:hAnsiTheme="minorHAnsi"/>
          <w:bCs/>
          <w:szCs w:val="24"/>
        </w:rPr>
        <w:t>by TIV</w:t>
      </w:r>
      <w:r w:rsidR="00CE7BF5" w:rsidRPr="008A2917">
        <w:rPr>
          <w:rFonts w:asciiTheme="minorHAnsi" w:hAnsiTheme="minorHAnsi"/>
          <w:bCs/>
          <w:szCs w:val="24"/>
        </w:rPr>
        <w:t>-HD</w:t>
      </w:r>
      <w:r w:rsidR="003B1B3F" w:rsidRPr="008A2917">
        <w:rPr>
          <w:rFonts w:asciiTheme="minorHAnsi" w:hAnsiTheme="minorHAnsi"/>
          <w:bCs/>
          <w:szCs w:val="24"/>
        </w:rPr>
        <w:t xml:space="preserve"> and </w:t>
      </w:r>
      <w:r w:rsidR="00CE7BF5" w:rsidRPr="008A2917">
        <w:rPr>
          <w:rFonts w:asciiTheme="minorHAnsi" w:hAnsiTheme="minorHAnsi"/>
          <w:bCs/>
          <w:szCs w:val="24"/>
        </w:rPr>
        <w:t>thus the</w:t>
      </w:r>
      <w:r w:rsidR="003B1B3F" w:rsidRPr="008A2917">
        <w:rPr>
          <w:rFonts w:asciiTheme="minorHAnsi" w:hAnsiTheme="minorHAnsi"/>
          <w:bCs/>
          <w:szCs w:val="24"/>
        </w:rPr>
        <w:t xml:space="preserve"> main comparator.</w:t>
      </w:r>
    </w:p>
    <w:p w:rsidR="00A4343C" w:rsidRPr="008A2917" w:rsidRDefault="002F43B9" w:rsidP="00A4343C">
      <w:pPr>
        <w:pStyle w:val="ListParagraph"/>
        <w:widowControl/>
        <w:numPr>
          <w:ilvl w:val="1"/>
          <w:numId w:val="1"/>
        </w:numPr>
      </w:pPr>
      <w:r w:rsidRPr="008A2917">
        <w:rPr>
          <w:rFonts w:asciiTheme="minorHAnsi" w:hAnsiTheme="minorHAnsi"/>
          <w:bCs/>
        </w:rPr>
        <w:lastRenderedPageBreak/>
        <w:t xml:space="preserve">The PBAC noted that </w:t>
      </w:r>
      <w:r w:rsidRPr="008A2917">
        <w:t xml:space="preserve">no studies were identified that compared TIV-HD to </w:t>
      </w:r>
      <w:proofErr w:type="spellStart"/>
      <w:r w:rsidRPr="008A2917">
        <w:t>aQIV</w:t>
      </w:r>
      <w:proofErr w:type="spellEnd"/>
      <w:r w:rsidRPr="008A2917">
        <w:t>.</w:t>
      </w:r>
      <w:r w:rsidRPr="008A2917">
        <w:rPr>
          <w:rFonts w:asciiTheme="minorHAnsi" w:hAnsiTheme="minorHAnsi"/>
          <w:bCs/>
        </w:rPr>
        <w:t xml:space="preserve"> </w:t>
      </w:r>
      <w:r w:rsidR="00A4343C" w:rsidRPr="008A2917">
        <w:rPr>
          <w:rFonts w:asciiTheme="minorHAnsi" w:hAnsiTheme="minorHAnsi"/>
          <w:bCs/>
        </w:rPr>
        <w:t xml:space="preserve">The PBAC noted </w:t>
      </w:r>
      <w:r w:rsidR="00DF606C" w:rsidRPr="008A2917">
        <w:rPr>
          <w:rFonts w:asciiTheme="minorHAnsi" w:hAnsiTheme="minorHAnsi"/>
          <w:bCs/>
        </w:rPr>
        <w:t>it had previously considered</w:t>
      </w:r>
      <w:r w:rsidR="00A4343C" w:rsidRPr="008A2917">
        <w:rPr>
          <w:rFonts w:asciiTheme="minorHAnsi" w:hAnsiTheme="minorHAnsi"/>
          <w:bCs/>
        </w:rPr>
        <w:t xml:space="preserve"> </w:t>
      </w:r>
      <w:r w:rsidR="00A4343C" w:rsidRPr="008A2917">
        <w:rPr>
          <w:rFonts w:cs="Calibri"/>
          <w:snapToGrid/>
          <w:szCs w:val="24"/>
          <w:lang w:eastAsia="en-AU"/>
        </w:rPr>
        <w:t>the two large randomised controlled trials</w:t>
      </w:r>
      <w:r w:rsidR="00DF606C" w:rsidRPr="008A2917">
        <w:rPr>
          <w:rFonts w:cs="Calibri"/>
          <w:snapToGrid/>
          <w:szCs w:val="24"/>
          <w:lang w:eastAsia="en-AU"/>
        </w:rPr>
        <w:t xml:space="preserve"> relied on for this resubmission (FIM12 and </w:t>
      </w:r>
      <w:proofErr w:type="spellStart"/>
      <w:r w:rsidR="00DF606C" w:rsidRPr="008A2917">
        <w:t>Gravenstein</w:t>
      </w:r>
      <w:proofErr w:type="spellEnd"/>
      <w:r w:rsidR="00DF606C" w:rsidRPr="008A2917">
        <w:t xml:space="preserve">) </w:t>
      </w:r>
      <w:r w:rsidR="00BD10D0" w:rsidRPr="008A2917">
        <w:t>which</w:t>
      </w:r>
      <w:r w:rsidR="00A4343C" w:rsidRPr="008A2917">
        <w:rPr>
          <w:rFonts w:cs="Calibri"/>
          <w:snapToGrid/>
          <w:szCs w:val="24"/>
          <w:lang w:eastAsia="en-AU"/>
        </w:rPr>
        <w:t xml:space="preserve"> compar</w:t>
      </w:r>
      <w:r w:rsidR="00DF606C" w:rsidRPr="008A2917">
        <w:rPr>
          <w:rFonts w:cs="Calibri"/>
          <w:snapToGrid/>
          <w:szCs w:val="24"/>
          <w:lang w:eastAsia="en-AU"/>
        </w:rPr>
        <w:t>ed hospitalisations for</w:t>
      </w:r>
      <w:r w:rsidR="00A4343C" w:rsidRPr="008A2917">
        <w:rPr>
          <w:rFonts w:cs="Calibri"/>
          <w:snapToGrid/>
          <w:szCs w:val="24"/>
          <w:lang w:eastAsia="en-AU"/>
        </w:rPr>
        <w:t xml:space="preserve"> TIV-HD to TIV-SD. The resubmission </w:t>
      </w:r>
      <w:r w:rsidR="00D37CF1" w:rsidRPr="008A2917">
        <w:rPr>
          <w:rFonts w:cs="Calibri"/>
          <w:snapToGrid/>
          <w:szCs w:val="24"/>
          <w:lang w:eastAsia="en-AU"/>
        </w:rPr>
        <w:t>also presented</w:t>
      </w:r>
      <w:r w:rsidR="00CB016B" w:rsidRPr="008A2917">
        <w:rPr>
          <w:rFonts w:cs="Calibri"/>
          <w:snapToGrid/>
          <w:szCs w:val="24"/>
          <w:lang w:eastAsia="en-AU"/>
        </w:rPr>
        <w:t xml:space="preserve"> an observational study </w:t>
      </w:r>
      <w:r w:rsidR="00BD10D0" w:rsidRPr="008A2917">
        <w:rPr>
          <w:rFonts w:cs="Calibri"/>
          <w:snapToGrid/>
          <w:szCs w:val="24"/>
          <w:lang w:eastAsia="en-AU"/>
        </w:rPr>
        <w:t>(</w:t>
      </w:r>
      <w:proofErr w:type="spellStart"/>
      <w:r w:rsidR="00BD10D0" w:rsidRPr="008A2917">
        <w:rPr>
          <w:rFonts w:cs="Calibri"/>
          <w:snapToGrid/>
          <w:szCs w:val="24"/>
          <w:lang w:eastAsia="en-AU"/>
        </w:rPr>
        <w:t>Izurieta</w:t>
      </w:r>
      <w:proofErr w:type="spellEnd"/>
      <w:r w:rsidR="00BD10D0" w:rsidRPr="008A2917">
        <w:rPr>
          <w:rFonts w:cs="Calibri"/>
          <w:snapToGrid/>
          <w:szCs w:val="24"/>
          <w:lang w:eastAsia="en-AU"/>
        </w:rPr>
        <w:t xml:space="preserve">) </w:t>
      </w:r>
      <w:r w:rsidR="00CB016B" w:rsidRPr="008A2917">
        <w:rPr>
          <w:rFonts w:cs="Calibri"/>
          <w:snapToGrid/>
          <w:szCs w:val="24"/>
          <w:lang w:eastAsia="en-AU"/>
        </w:rPr>
        <w:t xml:space="preserve">comparing cell-cultured QIV and egg-based QIV-SD, TIV-HD, </w:t>
      </w:r>
      <w:proofErr w:type="spellStart"/>
      <w:r w:rsidR="00CB016B" w:rsidRPr="008A2917">
        <w:rPr>
          <w:rFonts w:cs="Calibri"/>
          <w:snapToGrid/>
          <w:szCs w:val="24"/>
          <w:lang w:eastAsia="en-AU"/>
        </w:rPr>
        <w:t>aTIV</w:t>
      </w:r>
      <w:proofErr w:type="spellEnd"/>
      <w:r w:rsidR="00CB016B" w:rsidRPr="008A2917">
        <w:rPr>
          <w:rFonts w:cs="Calibri"/>
          <w:snapToGrid/>
          <w:szCs w:val="24"/>
          <w:lang w:eastAsia="en-AU"/>
        </w:rPr>
        <w:t xml:space="preserve"> and TIV-SD over one US season </w:t>
      </w:r>
      <w:r w:rsidR="00D37CF1" w:rsidRPr="008A2917">
        <w:rPr>
          <w:rFonts w:cs="Calibri"/>
          <w:snapToGrid/>
          <w:szCs w:val="24"/>
          <w:lang w:eastAsia="en-AU"/>
        </w:rPr>
        <w:t xml:space="preserve">to inform the comparison of TIV-HD to </w:t>
      </w:r>
      <w:proofErr w:type="spellStart"/>
      <w:r w:rsidR="00D37CF1" w:rsidRPr="008A2917">
        <w:rPr>
          <w:rFonts w:cs="Calibri"/>
          <w:snapToGrid/>
          <w:szCs w:val="24"/>
          <w:lang w:eastAsia="en-AU"/>
        </w:rPr>
        <w:t>aTIV</w:t>
      </w:r>
      <w:proofErr w:type="spellEnd"/>
      <w:r w:rsidR="00CB016B" w:rsidRPr="008A2917">
        <w:rPr>
          <w:rFonts w:cs="Calibri"/>
          <w:snapToGrid/>
          <w:szCs w:val="24"/>
          <w:lang w:eastAsia="en-AU"/>
        </w:rPr>
        <w:t xml:space="preserve">. The PBAC noted that the evaluation identified an additional study </w:t>
      </w:r>
      <w:r w:rsidR="00BD10D0" w:rsidRPr="008A2917">
        <w:rPr>
          <w:rFonts w:cs="Calibri"/>
          <w:snapToGrid/>
          <w:szCs w:val="24"/>
          <w:lang w:eastAsia="en-AU"/>
        </w:rPr>
        <w:t>(</w:t>
      </w:r>
      <w:proofErr w:type="spellStart"/>
      <w:r w:rsidR="00BD10D0" w:rsidRPr="008A2917">
        <w:rPr>
          <w:rFonts w:cs="Calibri"/>
          <w:snapToGrid/>
          <w:szCs w:val="24"/>
          <w:lang w:eastAsia="en-AU"/>
        </w:rPr>
        <w:t>Mannino</w:t>
      </w:r>
      <w:proofErr w:type="spellEnd"/>
      <w:r w:rsidR="00BD10D0" w:rsidRPr="008A2917">
        <w:rPr>
          <w:rFonts w:cs="Calibri"/>
          <w:snapToGrid/>
          <w:szCs w:val="24"/>
          <w:lang w:eastAsia="en-AU"/>
        </w:rPr>
        <w:t xml:space="preserve">) </w:t>
      </w:r>
      <w:r w:rsidR="00CB016B" w:rsidRPr="008A2917">
        <w:rPr>
          <w:rFonts w:cs="Calibri"/>
          <w:snapToGrid/>
          <w:szCs w:val="24"/>
          <w:lang w:eastAsia="en-AU"/>
        </w:rPr>
        <w:t xml:space="preserve">relevant to consideration </w:t>
      </w:r>
      <w:r w:rsidR="00176B0A" w:rsidRPr="008A2917">
        <w:rPr>
          <w:rFonts w:cs="Calibri"/>
          <w:snapToGrid/>
          <w:szCs w:val="24"/>
          <w:lang w:eastAsia="en-AU"/>
        </w:rPr>
        <w:t>which</w:t>
      </w:r>
      <w:r w:rsidR="00CB016B" w:rsidRPr="008A2917">
        <w:rPr>
          <w:rFonts w:cs="Calibri"/>
          <w:snapToGrid/>
          <w:szCs w:val="24"/>
          <w:lang w:eastAsia="en-AU"/>
        </w:rPr>
        <w:t xml:space="preserve"> compared </w:t>
      </w:r>
      <w:proofErr w:type="spellStart"/>
      <w:r w:rsidR="00CB016B" w:rsidRPr="008A2917">
        <w:rPr>
          <w:rFonts w:cs="Calibri"/>
          <w:snapToGrid/>
          <w:szCs w:val="24"/>
          <w:lang w:eastAsia="en-AU"/>
        </w:rPr>
        <w:t>aTIV</w:t>
      </w:r>
      <w:proofErr w:type="spellEnd"/>
      <w:r w:rsidR="00CB016B" w:rsidRPr="008A2917">
        <w:rPr>
          <w:rFonts w:cs="Calibri"/>
          <w:snapToGrid/>
          <w:szCs w:val="24"/>
          <w:lang w:eastAsia="en-AU"/>
        </w:rPr>
        <w:t xml:space="preserve"> to TIV-SD</w:t>
      </w:r>
      <w:r w:rsidR="003B1B3F" w:rsidRPr="008A2917">
        <w:rPr>
          <w:rFonts w:cs="Calibri"/>
          <w:snapToGrid/>
          <w:szCs w:val="24"/>
          <w:lang w:eastAsia="en-AU"/>
        </w:rPr>
        <w:t xml:space="preserve">, </w:t>
      </w:r>
      <w:r w:rsidR="00BD10D0" w:rsidRPr="008A2917">
        <w:rPr>
          <w:rFonts w:cs="Calibri"/>
          <w:snapToGrid/>
          <w:szCs w:val="24"/>
          <w:lang w:eastAsia="en-AU"/>
        </w:rPr>
        <w:t xml:space="preserve">in </w:t>
      </w:r>
      <w:r w:rsidR="003B1B3F" w:rsidRPr="008A2917">
        <w:rPr>
          <w:rFonts w:cs="Calibri"/>
          <w:snapToGrid/>
          <w:szCs w:val="24"/>
          <w:lang w:eastAsia="en-AU"/>
        </w:rPr>
        <w:t>a prospective population-based cohort study</w:t>
      </w:r>
      <w:r w:rsidR="00CB016B" w:rsidRPr="008A2917">
        <w:rPr>
          <w:rFonts w:cs="Calibri"/>
          <w:snapToGrid/>
          <w:szCs w:val="24"/>
          <w:lang w:eastAsia="en-AU"/>
        </w:rPr>
        <w:t>.</w:t>
      </w:r>
      <w:r w:rsidR="0051241C" w:rsidRPr="008A2917">
        <w:rPr>
          <w:rFonts w:cs="Calibri"/>
          <w:snapToGrid/>
          <w:szCs w:val="24"/>
          <w:lang w:eastAsia="en-AU"/>
        </w:rPr>
        <w:t xml:space="preserve"> </w:t>
      </w:r>
    </w:p>
    <w:p w:rsidR="007E058E" w:rsidRPr="008A2917" w:rsidRDefault="0061070B" w:rsidP="0040289E">
      <w:pPr>
        <w:numPr>
          <w:ilvl w:val="1"/>
          <w:numId w:val="1"/>
        </w:numPr>
        <w:spacing w:after="120"/>
        <w:rPr>
          <w:i/>
          <w:szCs w:val="24"/>
        </w:rPr>
      </w:pPr>
      <w:r w:rsidRPr="008A2917">
        <w:t>The</w:t>
      </w:r>
      <w:r w:rsidR="003A1796" w:rsidRPr="008A2917">
        <w:rPr>
          <w:rFonts w:asciiTheme="minorHAnsi" w:hAnsiTheme="minorHAnsi"/>
          <w:bCs/>
          <w:szCs w:val="24"/>
        </w:rPr>
        <w:t xml:space="preserve"> PBAC </w:t>
      </w:r>
      <w:r w:rsidRPr="008A2917">
        <w:rPr>
          <w:rFonts w:asciiTheme="minorHAnsi" w:hAnsiTheme="minorHAnsi"/>
          <w:bCs/>
          <w:szCs w:val="24"/>
        </w:rPr>
        <w:t>recalled</w:t>
      </w:r>
      <w:r w:rsidR="003A1796" w:rsidRPr="008A2917">
        <w:rPr>
          <w:rFonts w:asciiTheme="minorHAnsi" w:hAnsiTheme="minorHAnsi"/>
          <w:bCs/>
          <w:szCs w:val="24"/>
        </w:rPr>
        <w:t xml:space="preserve"> its </w:t>
      </w:r>
      <w:r w:rsidRPr="008A2917">
        <w:rPr>
          <w:rFonts w:asciiTheme="minorHAnsi" w:hAnsiTheme="minorHAnsi"/>
          <w:bCs/>
          <w:szCs w:val="24"/>
        </w:rPr>
        <w:t>previous</w:t>
      </w:r>
      <w:r w:rsidR="003A1796" w:rsidRPr="008A2917">
        <w:rPr>
          <w:rFonts w:asciiTheme="minorHAnsi" w:hAnsiTheme="minorHAnsi"/>
          <w:bCs/>
          <w:szCs w:val="24"/>
        </w:rPr>
        <w:t xml:space="preserve"> </w:t>
      </w:r>
      <w:r w:rsidR="00F45097" w:rsidRPr="008A2917">
        <w:rPr>
          <w:rFonts w:asciiTheme="minorHAnsi" w:hAnsiTheme="minorHAnsi"/>
          <w:bCs/>
          <w:szCs w:val="24"/>
        </w:rPr>
        <w:t>conclusions</w:t>
      </w:r>
      <w:r w:rsidR="003A1796" w:rsidRPr="008A2917">
        <w:rPr>
          <w:rFonts w:asciiTheme="minorHAnsi" w:hAnsiTheme="minorHAnsi"/>
          <w:bCs/>
          <w:szCs w:val="24"/>
        </w:rPr>
        <w:t xml:space="preserve"> that</w:t>
      </w:r>
      <w:r w:rsidR="00D71C21" w:rsidRPr="008A2917">
        <w:rPr>
          <w:rStyle w:val="FootnoteReference"/>
          <w:rFonts w:asciiTheme="minorHAnsi" w:hAnsiTheme="minorHAnsi"/>
          <w:bCs/>
          <w:szCs w:val="24"/>
        </w:rPr>
        <w:footnoteReference w:id="7"/>
      </w:r>
      <w:r w:rsidR="007E058E" w:rsidRPr="008A2917">
        <w:rPr>
          <w:rFonts w:asciiTheme="minorHAnsi" w:hAnsiTheme="minorHAnsi"/>
          <w:bCs/>
          <w:szCs w:val="24"/>
        </w:rPr>
        <w:t>:</w:t>
      </w:r>
    </w:p>
    <w:p w:rsidR="007E058E" w:rsidRPr="008A2917" w:rsidRDefault="003A1796" w:rsidP="0070150A">
      <w:pPr>
        <w:pStyle w:val="Intextbulletpoints"/>
        <w:widowControl/>
        <w:rPr>
          <w:lang w:val="en-AU"/>
        </w:rPr>
      </w:pPr>
      <w:r w:rsidRPr="008A2917">
        <w:rPr>
          <w:rFonts w:asciiTheme="minorHAnsi" w:hAnsiTheme="minorHAnsi"/>
          <w:bCs/>
          <w:lang w:val="en-AU"/>
        </w:rPr>
        <w:t xml:space="preserve"> </w:t>
      </w:r>
      <w:r w:rsidR="00694A8C" w:rsidRPr="008A2917">
        <w:rPr>
          <w:rFonts w:asciiTheme="minorHAnsi" w:hAnsiTheme="minorHAnsi"/>
          <w:bCs/>
          <w:lang w:val="en-AU"/>
        </w:rPr>
        <w:t xml:space="preserve">TIV-HD </w:t>
      </w:r>
      <w:r w:rsidR="00D71C21" w:rsidRPr="008A2917">
        <w:rPr>
          <w:rFonts w:asciiTheme="minorHAnsi" w:hAnsiTheme="minorHAnsi"/>
          <w:bCs/>
          <w:lang w:val="en-AU"/>
        </w:rPr>
        <w:t>had</w:t>
      </w:r>
      <w:r w:rsidR="001358DF" w:rsidRPr="008A2917">
        <w:rPr>
          <w:rFonts w:asciiTheme="minorHAnsi" w:hAnsiTheme="minorHAnsi"/>
          <w:bCs/>
          <w:lang w:val="en-AU"/>
        </w:rPr>
        <w:t xml:space="preserve"> demo</w:t>
      </w:r>
      <w:r w:rsidR="00A634C5" w:rsidRPr="008A2917">
        <w:rPr>
          <w:rFonts w:asciiTheme="minorHAnsi" w:hAnsiTheme="minorHAnsi"/>
          <w:bCs/>
          <w:lang w:val="en-AU"/>
        </w:rPr>
        <w:t>n</w:t>
      </w:r>
      <w:r w:rsidR="001358DF" w:rsidRPr="008A2917">
        <w:rPr>
          <w:rFonts w:asciiTheme="minorHAnsi" w:hAnsiTheme="minorHAnsi"/>
          <w:bCs/>
          <w:lang w:val="en-AU"/>
        </w:rPr>
        <w:t>strated</w:t>
      </w:r>
      <w:r w:rsidR="00D71C21" w:rsidRPr="008A2917">
        <w:rPr>
          <w:rFonts w:asciiTheme="minorHAnsi" w:hAnsiTheme="minorHAnsi"/>
          <w:bCs/>
          <w:lang w:val="en-AU"/>
        </w:rPr>
        <w:t xml:space="preserve"> benefit</w:t>
      </w:r>
      <w:r w:rsidR="001358DF" w:rsidRPr="008A2917">
        <w:rPr>
          <w:rFonts w:asciiTheme="minorHAnsi" w:hAnsiTheme="minorHAnsi"/>
          <w:bCs/>
          <w:lang w:val="en-AU"/>
        </w:rPr>
        <w:t>s</w:t>
      </w:r>
      <w:r w:rsidR="00D71C21" w:rsidRPr="008A2917">
        <w:rPr>
          <w:rFonts w:asciiTheme="minorHAnsi" w:hAnsiTheme="minorHAnsi"/>
          <w:bCs/>
          <w:lang w:val="en-AU"/>
        </w:rPr>
        <w:t xml:space="preserve"> over TIV-SD; and</w:t>
      </w:r>
    </w:p>
    <w:p w:rsidR="007E058E" w:rsidRPr="008A2917" w:rsidRDefault="007E058E" w:rsidP="0070150A">
      <w:pPr>
        <w:pStyle w:val="Intextbulletpoints"/>
        <w:widowControl/>
        <w:rPr>
          <w:lang w:val="en-AU"/>
        </w:rPr>
      </w:pPr>
      <w:r w:rsidRPr="008A2917">
        <w:rPr>
          <w:lang w:val="en-AU"/>
        </w:rPr>
        <w:t xml:space="preserve">TIV-HD </w:t>
      </w:r>
      <w:r w:rsidR="00D71C21" w:rsidRPr="008A2917">
        <w:rPr>
          <w:lang w:val="en-AU"/>
        </w:rPr>
        <w:t>wa</w:t>
      </w:r>
      <w:r w:rsidRPr="008A2917">
        <w:rPr>
          <w:lang w:val="en-AU"/>
        </w:rPr>
        <w:t xml:space="preserve">s likely to be superior to QIV-SD in the target population on average, </w:t>
      </w:r>
      <w:r w:rsidR="00D71C21" w:rsidRPr="008A2917">
        <w:rPr>
          <w:lang w:val="en-AU"/>
        </w:rPr>
        <w:t xml:space="preserve">however </w:t>
      </w:r>
      <w:r w:rsidRPr="008A2917">
        <w:rPr>
          <w:lang w:val="en-AU"/>
        </w:rPr>
        <w:t xml:space="preserve">the Committee was not confident of the size of any additional benefit of TIV-HD given the </w:t>
      </w:r>
      <w:r w:rsidR="0061070B" w:rsidRPr="008A2917">
        <w:rPr>
          <w:lang w:val="en-AU"/>
        </w:rPr>
        <w:t>loss of the additional B strain</w:t>
      </w:r>
      <w:r w:rsidR="00D71C21" w:rsidRPr="008A2917">
        <w:rPr>
          <w:lang w:val="en-AU"/>
        </w:rPr>
        <w:t>.</w:t>
      </w:r>
    </w:p>
    <w:p w:rsidR="00D37CF1" w:rsidRPr="008A2917" w:rsidRDefault="0021698A" w:rsidP="00D76698">
      <w:pPr>
        <w:numPr>
          <w:ilvl w:val="1"/>
          <w:numId w:val="1"/>
        </w:numPr>
        <w:spacing w:after="120"/>
        <w:rPr>
          <w:rFonts w:asciiTheme="minorHAnsi" w:hAnsiTheme="minorHAnsi"/>
          <w:bCs/>
        </w:rPr>
      </w:pPr>
      <w:r w:rsidRPr="008A2917">
        <w:rPr>
          <w:rFonts w:asciiTheme="minorHAnsi" w:hAnsiTheme="minorHAnsi"/>
          <w:bCs/>
        </w:rPr>
        <w:t xml:space="preserve">The PBAC </w:t>
      </w:r>
      <w:r w:rsidR="0056355A" w:rsidRPr="008A2917">
        <w:rPr>
          <w:rFonts w:asciiTheme="minorHAnsi" w:hAnsiTheme="minorHAnsi"/>
          <w:bCs/>
        </w:rPr>
        <w:t xml:space="preserve">considered that the </w:t>
      </w:r>
      <w:proofErr w:type="spellStart"/>
      <w:r w:rsidR="0056355A" w:rsidRPr="008A2917">
        <w:rPr>
          <w:rFonts w:asciiTheme="minorHAnsi" w:hAnsiTheme="minorHAnsi"/>
          <w:bCs/>
        </w:rPr>
        <w:t>rVE</w:t>
      </w:r>
      <w:proofErr w:type="spellEnd"/>
      <w:r w:rsidR="0056355A" w:rsidRPr="008A2917">
        <w:rPr>
          <w:rFonts w:asciiTheme="minorHAnsi" w:hAnsiTheme="minorHAnsi"/>
          <w:bCs/>
        </w:rPr>
        <w:t xml:space="preserve"> based on </w:t>
      </w:r>
      <w:proofErr w:type="spellStart"/>
      <w:r w:rsidR="0056355A" w:rsidRPr="008A2917">
        <w:rPr>
          <w:rFonts w:asciiTheme="minorHAnsi" w:hAnsiTheme="minorHAnsi"/>
          <w:bCs/>
        </w:rPr>
        <w:t>Izurieta</w:t>
      </w:r>
      <w:proofErr w:type="spellEnd"/>
      <w:r w:rsidR="0056355A" w:rsidRPr="008A2917">
        <w:rPr>
          <w:rFonts w:asciiTheme="minorHAnsi" w:hAnsiTheme="minorHAnsi"/>
          <w:bCs/>
        </w:rPr>
        <w:t xml:space="preserve"> was imprecise, however</w:t>
      </w:r>
      <w:r w:rsidR="00176B0A" w:rsidRPr="008A2917">
        <w:t xml:space="preserve"> the results </w:t>
      </w:r>
      <w:r w:rsidR="0056355A" w:rsidRPr="008A2917">
        <w:t>from</w:t>
      </w:r>
      <w:r w:rsidR="00176B0A" w:rsidRPr="008A2917">
        <w:t xml:space="preserve"> FIM12 with the scenario analyses </w:t>
      </w:r>
      <w:r w:rsidR="007E22F1" w:rsidRPr="008A2917">
        <w:t xml:space="preserve">in the economic model </w:t>
      </w:r>
      <w:r w:rsidR="00176B0A" w:rsidRPr="008A2917">
        <w:t>in the resubmission adequately supported the claim of superiority of TIV-HD over QIV-SD</w:t>
      </w:r>
      <w:r w:rsidR="00E95957" w:rsidRPr="008A2917">
        <w:t xml:space="preserve"> as </w:t>
      </w:r>
      <w:r w:rsidR="00D37CF1" w:rsidRPr="008A2917">
        <w:t xml:space="preserve">uncertainty around </w:t>
      </w:r>
      <w:r w:rsidR="00E95957" w:rsidRPr="008A2917">
        <w:t xml:space="preserve">the impact of the lost B strain </w:t>
      </w:r>
      <w:r w:rsidR="00D37CF1" w:rsidRPr="008A2917">
        <w:t xml:space="preserve">had been </w:t>
      </w:r>
      <w:r w:rsidR="0056355A" w:rsidRPr="008A2917">
        <w:t xml:space="preserve">sufficiently </w:t>
      </w:r>
      <w:r w:rsidR="00D37CF1" w:rsidRPr="008A2917">
        <w:t>resolved</w:t>
      </w:r>
      <w:r w:rsidR="008A2917">
        <w:t xml:space="preserve">. </w:t>
      </w:r>
    </w:p>
    <w:p w:rsidR="00F13862" w:rsidRPr="008A2917" w:rsidRDefault="00D37CF1" w:rsidP="00D37CF1">
      <w:pPr>
        <w:numPr>
          <w:ilvl w:val="1"/>
          <w:numId w:val="1"/>
        </w:numPr>
        <w:spacing w:after="120"/>
      </w:pPr>
      <w:r w:rsidRPr="008A2917">
        <w:t>The PBAC a</w:t>
      </w:r>
      <w:r w:rsidR="00886D05" w:rsidRPr="008A2917">
        <w:t>ccept</w:t>
      </w:r>
      <w:r w:rsidRPr="008A2917">
        <w:t>ed</w:t>
      </w:r>
      <w:r w:rsidR="00886D05" w:rsidRPr="008A2917">
        <w:t xml:space="preserve"> that the data for TIV-HD vs TIV-SD is of better quality than the data for </w:t>
      </w:r>
      <w:proofErr w:type="spellStart"/>
      <w:r w:rsidR="00886D05" w:rsidRPr="008A2917">
        <w:t>aTIV</w:t>
      </w:r>
      <w:proofErr w:type="spellEnd"/>
      <w:r w:rsidR="00886D05" w:rsidRPr="008A2917">
        <w:t xml:space="preserve"> vs TIV-SD, but that </w:t>
      </w:r>
      <w:r w:rsidR="00C15233" w:rsidRPr="008A2917">
        <w:t xml:space="preserve">the comparative effectiveness </w:t>
      </w:r>
      <w:r w:rsidR="00B36164" w:rsidRPr="008A2917">
        <w:t xml:space="preserve">of TIV-HD and </w:t>
      </w:r>
      <w:proofErr w:type="spellStart"/>
      <w:r w:rsidR="00B36164" w:rsidRPr="008A2917">
        <w:t>aTIV</w:t>
      </w:r>
      <w:proofErr w:type="spellEnd"/>
      <w:r w:rsidR="00B36164" w:rsidRPr="008A2917">
        <w:t xml:space="preserve"> </w:t>
      </w:r>
      <w:r w:rsidR="00C15233" w:rsidRPr="008A2917">
        <w:t>was</w:t>
      </w:r>
      <w:r w:rsidR="00886D05" w:rsidRPr="008A2917">
        <w:t xml:space="preserve"> </w:t>
      </w:r>
      <w:r w:rsidR="00D1591C" w:rsidRPr="008A2917">
        <w:t xml:space="preserve">nonetheless </w:t>
      </w:r>
      <w:r w:rsidR="00886D05" w:rsidRPr="008A2917">
        <w:t xml:space="preserve">uncertain, noting the </w:t>
      </w:r>
      <w:r w:rsidR="00B36164" w:rsidRPr="008A2917">
        <w:t>benefit</w:t>
      </w:r>
      <w:r w:rsidR="00886D05" w:rsidRPr="008A2917">
        <w:t xml:space="preserve"> of </w:t>
      </w:r>
      <w:proofErr w:type="spellStart"/>
      <w:r w:rsidR="00886D05" w:rsidRPr="008A2917">
        <w:t>aTIV</w:t>
      </w:r>
      <w:proofErr w:type="spellEnd"/>
      <w:r w:rsidR="00886D05" w:rsidRPr="008A2917">
        <w:t xml:space="preserve"> over TIV-SD for influenza hospitalisati</w:t>
      </w:r>
      <w:r w:rsidR="00C15233" w:rsidRPr="008A2917">
        <w:t xml:space="preserve">ons in </w:t>
      </w:r>
      <w:proofErr w:type="spellStart"/>
      <w:r w:rsidR="00C15233" w:rsidRPr="008A2917">
        <w:t>Mannino</w:t>
      </w:r>
      <w:proofErr w:type="spellEnd"/>
      <w:r w:rsidR="00C15233" w:rsidRPr="008A2917">
        <w:t xml:space="preserve"> was comparable (</w:t>
      </w:r>
      <w:r w:rsidR="0056355A" w:rsidRPr="008A2917">
        <w:t>17-</w:t>
      </w:r>
      <w:r w:rsidR="00886D05" w:rsidRPr="008A2917">
        <w:t>25%)</w:t>
      </w:r>
      <w:r w:rsidR="00EE5051" w:rsidRPr="008A2917">
        <w:rPr>
          <w:rStyle w:val="FootnoteReference"/>
        </w:rPr>
        <w:footnoteReference w:id="8"/>
      </w:r>
      <w:r w:rsidR="00C15233" w:rsidRPr="008A2917">
        <w:t xml:space="preserve"> to that of </w:t>
      </w:r>
      <w:r w:rsidR="00AA493C" w:rsidRPr="008A2917">
        <w:t xml:space="preserve">TIV-HD over TIV-SD in </w:t>
      </w:r>
      <w:r w:rsidR="009B54AD" w:rsidRPr="008A2917">
        <w:t xml:space="preserve">FIM12 </w:t>
      </w:r>
      <w:r w:rsidR="00C15233" w:rsidRPr="008A2917">
        <w:t>(24.2%).</w:t>
      </w:r>
      <w:r w:rsidR="00EC6B7C" w:rsidRPr="008A2917">
        <w:t xml:space="preserve"> </w:t>
      </w:r>
    </w:p>
    <w:p w:rsidR="00EE5051" w:rsidRPr="008A2917" w:rsidRDefault="00B516BE" w:rsidP="0040289E">
      <w:pPr>
        <w:widowControl/>
        <w:numPr>
          <w:ilvl w:val="1"/>
          <w:numId w:val="1"/>
        </w:numPr>
        <w:spacing w:after="120"/>
        <w:rPr>
          <w:rFonts w:asciiTheme="minorHAnsi" w:hAnsiTheme="minorHAnsi"/>
          <w:bCs/>
          <w:szCs w:val="24"/>
        </w:rPr>
      </w:pPr>
      <w:r w:rsidRPr="008A2917">
        <w:rPr>
          <w:rFonts w:asciiTheme="minorHAnsi" w:hAnsiTheme="minorHAnsi"/>
          <w:bCs/>
        </w:rPr>
        <w:t xml:space="preserve">The PBAC </w:t>
      </w:r>
      <w:r w:rsidR="00EE5051" w:rsidRPr="008A2917">
        <w:rPr>
          <w:rFonts w:asciiTheme="minorHAnsi" w:hAnsiTheme="minorHAnsi"/>
          <w:bCs/>
        </w:rPr>
        <w:t xml:space="preserve">considered that superiority of TIV-HD over </w:t>
      </w:r>
      <w:proofErr w:type="spellStart"/>
      <w:r w:rsidR="00EE5051" w:rsidRPr="008A2917">
        <w:rPr>
          <w:rFonts w:asciiTheme="minorHAnsi" w:hAnsiTheme="minorHAnsi"/>
          <w:bCs/>
        </w:rPr>
        <w:t>aQIV</w:t>
      </w:r>
      <w:proofErr w:type="spellEnd"/>
      <w:r w:rsidRPr="008A2917">
        <w:rPr>
          <w:rFonts w:asciiTheme="minorHAnsi" w:hAnsiTheme="minorHAnsi"/>
          <w:bCs/>
        </w:rPr>
        <w:t xml:space="preserve"> </w:t>
      </w:r>
      <w:r w:rsidR="00EE5051" w:rsidRPr="008A2917">
        <w:rPr>
          <w:rFonts w:asciiTheme="minorHAnsi" w:hAnsiTheme="minorHAnsi"/>
          <w:bCs/>
        </w:rPr>
        <w:t>could not be adequately supported</w:t>
      </w:r>
      <w:r w:rsidR="003409D4" w:rsidRPr="008A2917">
        <w:rPr>
          <w:rFonts w:asciiTheme="minorHAnsi" w:hAnsiTheme="minorHAnsi"/>
          <w:bCs/>
        </w:rPr>
        <w:t xml:space="preserve">, however </w:t>
      </w:r>
      <w:r w:rsidR="00EE5051" w:rsidRPr="008A2917">
        <w:rPr>
          <w:rFonts w:asciiTheme="minorHAnsi" w:hAnsiTheme="minorHAnsi"/>
          <w:bCs/>
        </w:rPr>
        <w:t xml:space="preserve">on balance TIV-HD was likely to be </w:t>
      </w:r>
      <w:r w:rsidR="00EE5051" w:rsidRPr="008A2917">
        <w:rPr>
          <w:rFonts w:asciiTheme="minorHAnsi" w:hAnsiTheme="minorHAnsi"/>
          <w:bCs/>
          <w:szCs w:val="24"/>
        </w:rPr>
        <w:t xml:space="preserve">at least as effective as </w:t>
      </w:r>
      <w:proofErr w:type="spellStart"/>
      <w:r w:rsidR="00EE5051" w:rsidRPr="008A2917">
        <w:rPr>
          <w:rFonts w:asciiTheme="minorHAnsi" w:hAnsiTheme="minorHAnsi"/>
          <w:bCs/>
          <w:szCs w:val="24"/>
        </w:rPr>
        <w:t>aQIV</w:t>
      </w:r>
      <w:proofErr w:type="spellEnd"/>
      <w:r w:rsidR="008A2917">
        <w:rPr>
          <w:rFonts w:asciiTheme="minorHAnsi" w:hAnsiTheme="minorHAnsi"/>
          <w:bCs/>
        </w:rPr>
        <w:t xml:space="preserve">. </w:t>
      </w:r>
      <w:r w:rsidR="00EE5051" w:rsidRPr="008A2917">
        <w:rPr>
          <w:rFonts w:asciiTheme="minorHAnsi" w:hAnsiTheme="minorHAnsi"/>
          <w:bCs/>
        </w:rPr>
        <w:t>Based on a cost-minim</w:t>
      </w:r>
      <w:r w:rsidR="0021216A" w:rsidRPr="008A2917">
        <w:rPr>
          <w:rFonts w:asciiTheme="minorHAnsi" w:hAnsiTheme="minorHAnsi"/>
          <w:bCs/>
        </w:rPr>
        <w:t>i</w:t>
      </w:r>
      <w:r w:rsidR="00EE5051" w:rsidRPr="008A2917">
        <w:rPr>
          <w:rFonts w:asciiTheme="minorHAnsi" w:hAnsiTheme="minorHAnsi"/>
          <w:bCs/>
        </w:rPr>
        <w:t>sation approach, t</w:t>
      </w:r>
      <w:r w:rsidR="00EE5051" w:rsidRPr="008A2917">
        <w:rPr>
          <w:rFonts w:asciiTheme="minorHAnsi" w:hAnsiTheme="minorHAnsi"/>
          <w:bCs/>
          <w:szCs w:val="24"/>
        </w:rPr>
        <w:t xml:space="preserve">he PBAC considered the relevant equi-effective doses to be one dose of TIV-HD 0.5 mL and one dose of </w:t>
      </w:r>
      <w:proofErr w:type="spellStart"/>
      <w:r w:rsidR="00EE5051" w:rsidRPr="008A2917">
        <w:rPr>
          <w:rFonts w:asciiTheme="minorHAnsi" w:hAnsiTheme="minorHAnsi"/>
          <w:bCs/>
          <w:szCs w:val="24"/>
        </w:rPr>
        <w:t>aQIV</w:t>
      </w:r>
      <w:proofErr w:type="spellEnd"/>
      <w:r w:rsidR="00EE5051" w:rsidRPr="008A2917">
        <w:rPr>
          <w:rFonts w:asciiTheme="minorHAnsi" w:hAnsiTheme="minorHAnsi"/>
          <w:bCs/>
          <w:szCs w:val="24"/>
        </w:rPr>
        <w:t xml:space="preserve"> 0.5 </w:t>
      </w:r>
      <w:proofErr w:type="spellStart"/>
      <w:r w:rsidR="00EE5051" w:rsidRPr="008A2917">
        <w:rPr>
          <w:rFonts w:asciiTheme="minorHAnsi" w:hAnsiTheme="minorHAnsi"/>
          <w:bCs/>
          <w:szCs w:val="24"/>
        </w:rPr>
        <w:t>mL.</w:t>
      </w:r>
      <w:proofErr w:type="spellEnd"/>
    </w:p>
    <w:p w:rsidR="00B516BE" w:rsidRPr="008A2917" w:rsidRDefault="00B516BE" w:rsidP="0040289E">
      <w:pPr>
        <w:widowControl/>
        <w:numPr>
          <w:ilvl w:val="1"/>
          <w:numId w:val="1"/>
        </w:numPr>
        <w:spacing w:after="120"/>
        <w:rPr>
          <w:rFonts w:asciiTheme="minorHAnsi" w:hAnsiTheme="minorHAnsi"/>
          <w:bCs/>
          <w:szCs w:val="24"/>
        </w:rPr>
      </w:pPr>
      <w:r w:rsidRPr="008A2917">
        <w:rPr>
          <w:rFonts w:asciiTheme="minorHAnsi" w:hAnsiTheme="minorHAnsi"/>
          <w:bCs/>
        </w:rPr>
        <w:t>The PBAC</w:t>
      </w:r>
      <w:r w:rsidR="005E5D6A" w:rsidRPr="008A2917">
        <w:rPr>
          <w:rFonts w:asciiTheme="minorHAnsi" w:hAnsiTheme="minorHAnsi"/>
          <w:bCs/>
        </w:rPr>
        <w:t xml:space="preserve"> also</w:t>
      </w:r>
      <w:r w:rsidRPr="008A2917">
        <w:rPr>
          <w:rFonts w:asciiTheme="minorHAnsi" w:hAnsiTheme="minorHAnsi"/>
          <w:bCs/>
        </w:rPr>
        <w:t xml:space="preserve"> reaffirmed its July 2018 advice</w:t>
      </w:r>
      <w:r w:rsidR="00FF0221" w:rsidRPr="008A2917">
        <w:rPr>
          <w:rStyle w:val="FootnoteReference"/>
          <w:rFonts w:asciiTheme="minorHAnsi" w:hAnsiTheme="minorHAnsi"/>
          <w:bCs/>
        </w:rPr>
        <w:footnoteReference w:id="9"/>
      </w:r>
      <w:r w:rsidRPr="008A2917">
        <w:rPr>
          <w:rFonts w:asciiTheme="minorHAnsi" w:hAnsiTheme="minorHAnsi"/>
          <w:bCs/>
        </w:rPr>
        <w:t xml:space="preserve"> that the claim of acceptable comparative safety </w:t>
      </w:r>
      <w:r w:rsidR="00FF0221" w:rsidRPr="008A2917">
        <w:rPr>
          <w:rFonts w:asciiTheme="minorHAnsi" w:hAnsiTheme="minorHAnsi"/>
          <w:bCs/>
        </w:rPr>
        <w:t xml:space="preserve">of TIV-HD </w:t>
      </w:r>
      <w:r w:rsidR="00A634C5" w:rsidRPr="008A2917">
        <w:rPr>
          <w:rFonts w:asciiTheme="minorHAnsi" w:hAnsiTheme="minorHAnsi"/>
          <w:bCs/>
        </w:rPr>
        <w:t>vs</w:t>
      </w:r>
      <w:r w:rsidR="00FF0221" w:rsidRPr="008A2917">
        <w:rPr>
          <w:rFonts w:asciiTheme="minorHAnsi" w:hAnsiTheme="minorHAnsi"/>
          <w:bCs/>
        </w:rPr>
        <w:t xml:space="preserve"> QIV-SD </w:t>
      </w:r>
      <w:r w:rsidRPr="008A2917">
        <w:rPr>
          <w:rFonts w:asciiTheme="minorHAnsi" w:hAnsiTheme="minorHAnsi"/>
          <w:bCs/>
        </w:rPr>
        <w:t>was reasonable</w:t>
      </w:r>
      <w:r w:rsidR="008A2917">
        <w:rPr>
          <w:rFonts w:asciiTheme="minorHAnsi" w:hAnsiTheme="minorHAnsi"/>
          <w:bCs/>
        </w:rPr>
        <w:t xml:space="preserve">. </w:t>
      </w:r>
      <w:r w:rsidRPr="008A2917">
        <w:rPr>
          <w:rFonts w:asciiTheme="minorHAnsi" w:hAnsiTheme="minorHAnsi"/>
          <w:bCs/>
        </w:rPr>
        <w:t xml:space="preserve">The PBAC </w:t>
      </w:r>
      <w:r w:rsidR="003E0AA1" w:rsidRPr="008A2917">
        <w:rPr>
          <w:rFonts w:asciiTheme="minorHAnsi" w:hAnsiTheme="minorHAnsi"/>
          <w:bCs/>
        </w:rPr>
        <w:t xml:space="preserve">considered that the rates of adverse events presented in the qualitative comparison of adverse events </w:t>
      </w:r>
      <w:r w:rsidR="009E23DB" w:rsidRPr="008A2917">
        <w:rPr>
          <w:rFonts w:asciiTheme="minorHAnsi" w:hAnsiTheme="minorHAnsi"/>
          <w:bCs/>
        </w:rPr>
        <w:t>were reasonable for an influenza vaccine in the proposed population</w:t>
      </w:r>
      <w:r w:rsidR="005E5D6A" w:rsidRPr="008A2917">
        <w:rPr>
          <w:rFonts w:asciiTheme="minorHAnsi" w:hAnsiTheme="minorHAnsi"/>
          <w:bCs/>
        </w:rPr>
        <w:t xml:space="preserve">. On this basis </w:t>
      </w:r>
      <w:r w:rsidR="009E23DB" w:rsidRPr="008A2917">
        <w:rPr>
          <w:rFonts w:asciiTheme="minorHAnsi" w:hAnsiTheme="minorHAnsi"/>
          <w:bCs/>
        </w:rPr>
        <w:t xml:space="preserve">the PBAC considered that TIV-HD was </w:t>
      </w:r>
      <w:r w:rsidR="005E5D6A" w:rsidRPr="008A2917">
        <w:rPr>
          <w:rFonts w:asciiTheme="minorHAnsi" w:hAnsiTheme="minorHAnsi"/>
          <w:bCs/>
        </w:rPr>
        <w:t xml:space="preserve">likely to be </w:t>
      </w:r>
      <w:r w:rsidR="009E23DB" w:rsidRPr="008A2917">
        <w:rPr>
          <w:rFonts w:asciiTheme="minorHAnsi" w:hAnsiTheme="minorHAnsi"/>
          <w:bCs/>
        </w:rPr>
        <w:t xml:space="preserve">non-inferior in safety to </w:t>
      </w:r>
      <w:proofErr w:type="spellStart"/>
      <w:r w:rsidR="009E23DB" w:rsidRPr="008A2917">
        <w:rPr>
          <w:rFonts w:asciiTheme="minorHAnsi" w:hAnsiTheme="minorHAnsi"/>
          <w:bCs/>
        </w:rPr>
        <w:t>aQIV</w:t>
      </w:r>
      <w:proofErr w:type="spellEnd"/>
      <w:r w:rsidR="009E23DB" w:rsidRPr="008A2917">
        <w:rPr>
          <w:rFonts w:asciiTheme="minorHAnsi" w:hAnsiTheme="minorHAnsi"/>
          <w:bCs/>
        </w:rPr>
        <w:t xml:space="preserve">, noting that </w:t>
      </w:r>
      <w:r w:rsidRPr="008A2917">
        <w:rPr>
          <w:rFonts w:asciiTheme="minorHAnsi" w:hAnsiTheme="minorHAnsi"/>
          <w:bCs/>
          <w:szCs w:val="24"/>
        </w:rPr>
        <w:t>although there was an increased frequency of injection site reactions, these were mild to moderate in nature</w:t>
      </w:r>
      <w:r w:rsidR="003E0AA1" w:rsidRPr="008A2917">
        <w:rPr>
          <w:rFonts w:asciiTheme="minorHAnsi" w:hAnsiTheme="minorHAnsi"/>
          <w:bCs/>
          <w:szCs w:val="24"/>
        </w:rPr>
        <w:t xml:space="preserve"> and well managed</w:t>
      </w:r>
      <w:r w:rsidRPr="008A2917">
        <w:rPr>
          <w:rFonts w:asciiTheme="minorHAnsi" w:hAnsiTheme="minorHAnsi"/>
          <w:bCs/>
          <w:szCs w:val="24"/>
        </w:rPr>
        <w:t xml:space="preserve">. </w:t>
      </w:r>
    </w:p>
    <w:p w:rsidR="0049477A" w:rsidRPr="008A2917" w:rsidRDefault="00592B51" w:rsidP="006052FF">
      <w:pPr>
        <w:numPr>
          <w:ilvl w:val="1"/>
          <w:numId w:val="1"/>
        </w:numPr>
        <w:spacing w:after="120"/>
        <w:rPr>
          <w:rFonts w:asciiTheme="minorHAnsi" w:hAnsiTheme="minorHAnsi"/>
          <w:bCs/>
        </w:rPr>
      </w:pPr>
      <w:r w:rsidRPr="008A2917">
        <w:rPr>
          <w:rFonts w:asciiTheme="minorHAnsi" w:hAnsiTheme="minorHAnsi"/>
          <w:bCs/>
        </w:rPr>
        <w:t xml:space="preserve">The PBAC </w:t>
      </w:r>
      <w:r w:rsidR="00823931" w:rsidRPr="008A2917">
        <w:rPr>
          <w:rFonts w:asciiTheme="minorHAnsi" w:hAnsiTheme="minorHAnsi"/>
          <w:bCs/>
        </w:rPr>
        <w:t>agreed with the ESC that</w:t>
      </w:r>
      <w:r w:rsidRPr="008A2917">
        <w:rPr>
          <w:rFonts w:asciiTheme="minorHAnsi" w:hAnsiTheme="minorHAnsi"/>
          <w:bCs/>
        </w:rPr>
        <w:t xml:space="preserve"> the supplementary </w:t>
      </w:r>
      <w:r w:rsidR="0021216A" w:rsidRPr="008A2917">
        <w:rPr>
          <w:rFonts w:asciiTheme="minorHAnsi" w:hAnsiTheme="minorHAnsi"/>
          <w:bCs/>
        </w:rPr>
        <w:t xml:space="preserve">economic </w:t>
      </w:r>
      <w:r w:rsidRPr="008A2917">
        <w:rPr>
          <w:rFonts w:asciiTheme="minorHAnsi" w:hAnsiTheme="minorHAnsi"/>
          <w:bCs/>
        </w:rPr>
        <w:t xml:space="preserve">model </w:t>
      </w:r>
      <w:r w:rsidR="00823931" w:rsidRPr="008A2917">
        <w:rPr>
          <w:rFonts w:asciiTheme="minorHAnsi" w:hAnsiTheme="minorHAnsi"/>
          <w:bCs/>
        </w:rPr>
        <w:t>was</w:t>
      </w:r>
      <w:r w:rsidRPr="008A2917">
        <w:rPr>
          <w:rFonts w:asciiTheme="minorHAnsi" w:hAnsiTheme="minorHAnsi"/>
          <w:bCs/>
        </w:rPr>
        <w:t xml:space="preserve"> the most </w:t>
      </w:r>
      <w:r w:rsidRPr="008A2917">
        <w:rPr>
          <w:rFonts w:asciiTheme="minorHAnsi" w:hAnsiTheme="minorHAnsi"/>
          <w:bCs/>
        </w:rPr>
        <w:lastRenderedPageBreak/>
        <w:t xml:space="preserve">appropriate for consideration as it </w:t>
      </w:r>
      <w:r w:rsidR="00823931" w:rsidRPr="008A2917">
        <w:rPr>
          <w:rFonts w:asciiTheme="minorHAnsi" w:hAnsiTheme="minorHAnsi"/>
          <w:bCs/>
        </w:rPr>
        <w:t>included</w:t>
      </w:r>
      <w:r w:rsidRPr="008A2917">
        <w:rPr>
          <w:rFonts w:asciiTheme="minorHAnsi" w:hAnsiTheme="minorHAnsi"/>
          <w:bCs/>
        </w:rPr>
        <w:t xml:space="preserve"> comparison against</w:t>
      </w:r>
      <w:r w:rsidR="006052FF" w:rsidRPr="008A2917">
        <w:rPr>
          <w:rFonts w:asciiTheme="minorHAnsi" w:hAnsiTheme="minorHAnsi"/>
          <w:bCs/>
        </w:rPr>
        <w:t xml:space="preserve"> </w:t>
      </w:r>
      <w:proofErr w:type="spellStart"/>
      <w:r w:rsidR="006052FF" w:rsidRPr="008A2917">
        <w:rPr>
          <w:rFonts w:asciiTheme="minorHAnsi" w:hAnsiTheme="minorHAnsi"/>
          <w:bCs/>
        </w:rPr>
        <w:t>aTIV</w:t>
      </w:r>
      <w:proofErr w:type="spellEnd"/>
      <w:r w:rsidR="006052FF" w:rsidRPr="008A2917">
        <w:rPr>
          <w:rFonts w:asciiTheme="minorHAnsi" w:hAnsiTheme="minorHAnsi"/>
          <w:bCs/>
        </w:rPr>
        <w:t xml:space="preserve"> and </w:t>
      </w:r>
      <w:proofErr w:type="spellStart"/>
      <w:r w:rsidR="006052FF" w:rsidRPr="008A2917">
        <w:rPr>
          <w:rFonts w:asciiTheme="minorHAnsi" w:hAnsiTheme="minorHAnsi"/>
          <w:bCs/>
        </w:rPr>
        <w:t>aQIV</w:t>
      </w:r>
      <w:proofErr w:type="spellEnd"/>
      <w:r w:rsidR="006052FF" w:rsidRPr="008A2917">
        <w:rPr>
          <w:rFonts w:asciiTheme="minorHAnsi" w:hAnsiTheme="minorHAnsi"/>
          <w:bCs/>
        </w:rPr>
        <w:t xml:space="preserve"> and appropriately</w:t>
      </w:r>
      <w:r w:rsidR="00823931" w:rsidRPr="008A2917">
        <w:rPr>
          <w:rFonts w:asciiTheme="minorHAnsi" w:hAnsiTheme="minorHAnsi"/>
          <w:bCs/>
        </w:rPr>
        <w:t xml:space="preserve"> incorporated PBAC</w:t>
      </w:r>
      <w:r w:rsidR="006052FF" w:rsidRPr="008A2917">
        <w:rPr>
          <w:rFonts w:asciiTheme="minorHAnsi" w:hAnsiTheme="minorHAnsi"/>
          <w:bCs/>
        </w:rPr>
        <w:t>’s July 2018 concerns</w:t>
      </w:r>
      <w:r w:rsidR="0021216A" w:rsidRPr="008A2917">
        <w:rPr>
          <w:rFonts w:asciiTheme="minorHAnsi" w:hAnsiTheme="minorHAnsi"/>
          <w:bCs/>
        </w:rPr>
        <w:t xml:space="preserve">. However, given a superior benefit over </w:t>
      </w:r>
      <w:proofErr w:type="spellStart"/>
      <w:r w:rsidR="0021216A" w:rsidRPr="008A2917">
        <w:rPr>
          <w:rFonts w:asciiTheme="minorHAnsi" w:hAnsiTheme="minorHAnsi"/>
          <w:bCs/>
        </w:rPr>
        <w:t>aQIV</w:t>
      </w:r>
      <w:proofErr w:type="spellEnd"/>
      <w:r w:rsidR="0021216A" w:rsidRPr="008A2917">
        <w:rPr>
          <w:rFonts w:asciiTheme="minorHAnsi" w:hAnsiTheme="minorHAnsi"/>
          <w:bCs/>
        </w:rPr>
        <w:t xml:space="preserve"> could </w:t>
      </w:r>
      <w:r w:rsidR="0053116F">
        <w:rPr>
          <w:rFonts w:asciiTheme="minorHAnsi" w:hAnsiTheme="minorHAnsi"/>
          <w:bCs/>
        </w:rPr>
        <w:t xml:space="preserve">not </w:t>
      </w:r>
      <w:r w:rsidR="0021216A" w:rsidRPr="008A2917">
        <w:rPr>
          <w:rFonts w:asciiTheme="minorHAnsi" w:hAnsiTheme="minorHAnsi"/>
          <w:bCs/>
        </w:rPr>
        <w:t xml:space="preserve">be adequately supported, the cost-utility analysis could not be used to inform a price for TIV-HD higher than </w:t>
      </w:r>
      <w:proofErr w:type="spellStart"/>
      <w:r w:rsidR="0021216A" w:rsidRPr="008A2917">
        <w:rPr>
          <w:rFonts w:asciiTheme="minorHAnsi" w:hAnsiTheme="minorHAnsi"/>
          <w:bCs/>
        </w:rPr>
        <w:t>aQIV</w:t>
      </w:r>
      <w:proofErr w:type="spellEnd"/>
      <w:r w:rsidR="008A2917">
        <w:rPr>
          <w:rFonts w:asciiTheme="minorHAnsi" w:hAnsiTheme="minorHAnsi"/>
          <w:bCs/>
        </w:rPr>
        <w:t xml:space="preserve">. </w:t>
      </w:r>
    </w:p>
    <w:p w:rsidR="008564F6" w:rsidRPr="008A2917" w:rsidRDefault="008564F6" w:rsidP="008564F6">
      <w:pPr>
        <w:numPr>
          <w:ilvl w:val="1"/>
          <w:numId w:val="1"/>
        </w:numPr>
        <w:spacing w:after="120"/>
        <w:rPr>
          <w:rFonts w:asciiTheme="minorHAnsi" w:hAnsiTheme="minorHAnsi"/>
          <w:bCs/>
        </w:rPr>
      </w:pPr>
      <w:r w:rsidRPr="008A2917">
        <w:rPr>
          <w:rFonts w:asciiTheme="minorHAnsi" w:hAnsiTheme="minorHAnsi"/>
          <w:bCs/>
        </w:rPr>
        <w:t xml:space="preserve">The PBAC noted that the submission proposed a stepped implementation, starting with residents of </w:t>
      </w:r>
      <w:r w:rsidR="00CD79CA" w:rsidRPr="008A2917">
        <w:rPr>
          <w:rFonts w:asciiTheme="minorHAnsi" w:hAnsiTheme="minorHAnsi"/>
          <w:bCs/>
        </w:rPr>
        <w:t>aged care facilities</w:t>
      </w:r>
      <w:r w:rsidRPr="008A2917">
        <w:rPr>
          <w:rFonts w:asciiTheme="minorHAnsi" w:hAnsiTheme="minorHAnsi"/>
          <w:bCs/>
        </w:rPr>
        <w:t xml:space="preserve"> to reduce expenditure in the first year of implementation</w:t>
      </w:r>
      <w:r w:rsidR="008A2917">
        <w:rPr>
          <w:rFonts w:asciiTheme="minorHAnsi" w:hAnsiTheme="minorHAnsi"/>
          <w:bCs/>
        </w:rPr>
        <w:t xml:space="preserve">. </w:t>
      </w:r>
      <w:r w:rsidRPr="008A2917">
        <w:rPr>
          <w:rFonts w:asciiTheme="minorHAnsi" w:hAnsiTheme="minorHAnsi"/>
          <w:bCs/>
        </w:rPr>
        <w:t xml:space="preserve">The PBAC considered that </w:t>
      </w:r>
      <w:r w:rsidR="00205A5E" w:rsidRPr="008A2917">
        <w:rPr>
          <w:rFonts w:asciiTheme="minorHAnsi" w:hAnsiTheme="minorHAnsi"/>
          <w:bCs/>
        </w:rPr>
        <w:t xml:space="preserve">insufficient evidence of an improved benefit in this group had been presented, that </w:t>
      </w:r>
      <w:r w:rsidRPr="008A2917">
        <w:rPr>
          <w:rFonts w:asciiTheme="minorHAnsi" w:hAnsiTheme="minorHAnsi"/>
          <w:bCs/>
        </w:rPr>
        <w:t xml:space="preserve">it would not be feasible to implement </w:t>
      </w:r>
      <w:r w:rsidR="00205A5E" w:rsidRPr="008A2917">
        <w:rPr>
          <w:rFonts w:asciiTheme="minorHAnsi" w:hAnsiTheme="minorHAnsi"/>
          <w:bCs/>
        </w:rPr>
        <w:t xml:space="preserve">this approach </w:t>
      </w:r>
      <w:r w:rsidRPr="008A2917">
        <w:rPr>
          <w:rFonts w:asciiTheme="minorHAnsi" w:hAnsiTheme="minorHAnsi"/>
          <w:bCs/>
        </w:rPr>
        <w:t>under the N</w:t>
      </w:r>
      <w:r w:rsidR="00205A5E" w:rsidRPr="008A2917">
        <w:rPr>
          <w:rFonts w:asciiTheme="minorHAnsi" w:hAnsiTheme="minorHAnsi"/>
          <w:bCs/>
        </w:rPr>
        <w:t xml:space="preserve">IP and accordingly </w:t>
      </w:r>
      <w:r w:rsidR="00942A88" w:rsidRPr="008A2917">
        <w:rPr>
          <w:rFonts w:asciiTheme="minorHAnsi" w:hAnsiTheme="minorHAnsi"/>
          <w:bCs/>
        </w:rPr>
        <w:t>PBAC did not support this</w:t>
      </w:r>
      <w:r w:rsidRPr="008A2917">
        <w:rPr>
          <w:rFonts w:asciiTheme="minorHAnsi" w:hAnsiTheme="minorHAnsi"/>
          <w:bCs/>
        </w:rPr>
        <w:t xml:space="preserve"> approach</w:t>
      </w:r>
      <w:r w:rsidR="00942A88" w:rsidRPr="008A2917">
        <w:rPr>
          <w:rFonts w:asciiTheme="minorHAnsi" w:hAnsiTheme="minorHAnsi"/>
          <w:bCs/>
        </w:rPr>
        <w:t xml:space="preserve"> to implementation</w:t>
      </w:r>
      <w:r w:rsidRPr="008A2917">
        <w:rPr>
          <w:rFonts w:asciiTheme="minorHAnsi" w:hAnsiTheme="minorHAnsi"/>
          <w:bCs/>
        </w:rPr>
        <w:t>.</w:t>
      </w:r>
    </w:p>
    <w:p w:rsidR="00592B51" w:rsidRPr="008A2917" w:rsidRDefault="00592B51" w:rsidP="00695F2D">
      <w:pPr>
        <w:numPr>
          <w:ilvl w:val="1"/>
          <w:numId w:val="1"/>
        </w:numPr>
        <w:spacing w:after="120"/>
      </w:pPr>
      <w:r w:rsidRPr="008A2917">
        <w:rPr>
          <w:rFonts w:asciiTheme="minorHAnsi" w:hAnsiTheme="minorHAnsi"/>
          <w:bCs/>
        </w:rPr>
        <w:t xml:space="preserve">The PBAC considered the </w:t>
      </w:r>
      <w:r w:rsidR="004C2392" w:rsidRPr="008A2917">
        <w:rPr>
          <w:rFonts w:asciiTheme="minorHAnsi" w:hAnsiTheme="minorHAnsi"/>
          <w:bCs/>
        </w:rPr>
        <w:t>substitution</w:t>
      </w:r>
      <w:r w:rsidRPr="008A2917">
        <w:rPr>
          <w:rFonts w:asciiTheme="minorHAnsi" w:hAnsiTheme="minorHAnsi"/>
          <w:bCs/>
        </w:rPr>
        <w:t xml:space="preserve"> ra</w:t>
      </w:r>
      <w:r w:rsidR="004C2392" w:rsidRPr="008A2917">
        <w:rPr>
          <w:rFonts w:asciiTheme="minorHAnsi" w:hAnsiTheme="minorHAnsi"/>
          <w:bCs/>
        </w:rPr>
        <w:t>te estimate</w:t>
      </w:r>
      <w:r w:rsidRPr="008A2917">
        <w:rPr>
          <w:rFonts w:asciiTheme="minorHAnsi" w:hAnsiTheme="minorHAnsi"/>
          <w:bCs/>
        </w:rPr>
        <w:t xml:space="preserve"> </w:t>
      </w:r>
      <w:r w:rsidR="004C2392" w:rsidRPr="008A2917">
        <w:rPr>
          <w:rFonts w:asciiTheme="minorHAnsi" w:hAnsiTheme="minorHAnsi"/>
          <w:bCs/>
        </w:rPr>
        <w:t xml:space="preserve">of 100% between TIV-HD and </w:t>
      </w:r>
      <w:proofErr w:type="spellStart"/>
      <w:r w:rsidR="004C2392" w:rsidRPr="008A2917">
        <w:rPr>
          <w:rFonts w:asciiTheme="minorHAnsi" w:hAnsiTheme="minorHAnsi"/>
          <w:bCs/>
        </w:rPr>
        <w:t>aTIV</w:t>
      </w:r>
      <w:proofErr w:type="spellEnd"/>
      <w:r w:rsidR="004C2392" w:rsidRPr="008A2917">
        <w:rPr>
          <w:rFonts w:asciiTheme="minorHAnsi" w:hAnsiTheme="minorHAnsi"/>
          <w:bCs/>
        </w:rPr>
        <w:t xml:space="preserve"> </w:t>
      </w:r>
      <w:r w:rsidR="0021216A" w:rsidRPr="008A2917">
        <w:rPr>
          <w:rFonts w:asciiTheme="minorHAnsi" w:hAnsiTheme="minorHAnsi"/>
          <w:bCs/>
        </w:rPr>
        <w:t xml:space="preserve">in the financial estimates </w:t>
      </w:r>
      <w:r w:rsidRPr="008A2917">
        <w:rPr>
          <w:rFonts w:asciiTheme="minorHAnsi" w:hAnsiTheme="minorHAnsi"/>
          <w:bCs/>
        </w:rPr>
        <w:t>may b</w:t>
      </w:r>
      <w:r w:rsidR="004C2392" w:rsidRPr="008A2917">
        <w:rPr>
          <w:rFonts w:asciiTheme="minorHAnsi" w:hAnsiTheme="minorHAnsi"/>
          <w:bCs/>
        </w:rPr>
        <w:t xml:space="preserve">e overestimated as it ignored the potential availability of </w:t>
      </w:r>
      <w:proofErr w:type="spellStart"/>
      <w:r w:rsidR="004C2392" w:rsidRPr="008A2917">
        <w:rPr>
          <w:rFonts w:asciiTheme="minorHAnsi" w:hAnsiTheme="minorHAnsi"/>
          <w:bCs/>
        </w:rPr>
        <w:t>aQIV</w:t>
      </w:r>
      <w:proofErr w:type="spellEnd"/>
      <w:r w:rsidR="008A2917">
        <w:rPr>
          <w:rFonts w:asciiTheme="minorHAnsi" w:hAnsiTheme="minorHAnsi"/>
          <w:bCs/>
        </w:rPr>
        <w:t xml:space="preserve">. </w:t>
      </w:r>
      <w:r w:rsidR="00F776DF" w:rsidRPr="008A2917">
        <w:rPr>
          <w:rFonts w:asciiTheme="minorHAnsi" w:hAnsiTheme="minorHAnsi"/>
          <w:bCs/>
        </w:rPr>
        <w:t xml:space="preserve">The PBAC noted the request for TIV-HD to be subsidised for the whole NIP cohort, however noted that its role was to provide advice to the Minister on the comparative cost-effectiveness of TIV-HD </w:t>
      </w:r>
      <w:r w:rsidR="00FA1353" w:rsidRPr="008A2917">
        <w:rPr>
          <w:rFonts w:asciiTheme="minorHAnsi" w:hAnsiTheme="minorHAnsi"/>
          <w:bCs/>
        </w:rPr>
        <w:t xml:space="preserve">and that </w:t>
      </w:r>
      <w:r w:rsidR="00F776DF" w:rsidRPr="008A2917">
        <w:rPr>
          <w:rFonts w:asciiTheme="minorHAnsi" w:hAnsiTheme="minorHAnsi"/>
          <w:bCs/>
        </w:rPr>
        <w:t>determination of market share arrangements for NIP vaccines</w:t>
      </w:r>
      <w:r w:rsidR="00FA1353" w:rsidRPr="008A2917">
        <w:rPr>
          <w:rFonts w:asciiTheme="minorHAnsi" w:hAnsiTheme="minorHAnsi"/>
          <w:bCs/>
        </w:rPr>
        <w:t xml:space="preserve"> was outside of its remit</w:t>
      </w:r>
      <w:r w:rsidR="00F776DF" w:rsidRPr="008A2917">
        <w:rPr>
          <w:rFonts w:asciiTheme="minorHAnsi" w:hAnsiTheme="minorHAnsi"/>
          <w:bCs/>
        </w:rPr>
        <w:t>.</w:t>
      </w:r>
    </w:p>
    <w:p w:rsidR="00E26BB3" w:rsidRPr="008A2917" w:rsidRDefault="00E26BB3" w:rsidP="00E26BB3">
      <w:pPr>
        <w:numPr>
          <w:ilvl w:val="1"/>
          <w:numId w:val="1"/>
        </w:numPr>
        <w:spacing w:after="120"/>
        <w:rPr>
          <w:rFonts w:asciiTheme="minorHAnsi" w:hAnsiTheme="minorHAnsi" w:cstheme="minorHAnsi"/>
          <w:bCs/>
          <w:i/>
        </w:rPr>
      </w:pPr>
      <w:r w:rsidRPr="008A2917">
        <w:rPr>
          <w:rFonts w:asciiTheme="minorHAnsi" w:hAnsiTheme="minorHAnsi" w:cstheme="minorHAnsi"/>
          <w:bCs/>
        </w:rPr>
        <w:t xml:space="preserve">The PBAC noted that this submission is not eligible for independent review as independent review </w:t>
      </w:r>
      <w:r w:rsidR="007E058E" w:rsidRPr="008A2917">
        <w:rPr>
          <w:rFonts w:asciiTheme="minorHAnsi" w:hAnsiTheme="minorHAnsi" w:cstheme="minorHAnsi"/>
          <w:bCs/>
        </w:rPr>
        <w:t>is only relevant to PBS listing and because it was a positive recommendation.</w:t>
      </w:r>
    </w:p>
    <w:p w:rsidR="00695F2D" w:rsidRPr="0056520D" w:rsidRDefault="00695F2D" w:rsidP="0056520D">
      <w:pPr>
        <w:rPr>
          <w:b/>
          <w:i/>
        </w:rPr>
      </w:pPr>
      <w:r w:rsidRPr="0056520D">
        <w:rPr>
          <w:b/>
        </w:rPr>
        <w:t>Outcome:</w:t>
      </w:r>
    </w:p>
    <w:p w:rsidR="009F2EE6" w:rsidRPr="0053027A" w:rsidRDefault="00695F2D" w:rsidP="00942A88">
      <w:pPr>
        <w:rPr>
          <w:rFonts w:asciiTheme="minorHAnsi" w:hAnsiTheme="minorHAnsi"/>
          <w:bCs/>
        </w:rPr>
      </w:pPr>
      <w:r w:rsidRPr="008A2917">
        <w:rPr>
          <w:rFonts w:asciiTheme="minorHAnsi" w:hAnsiTheme="minorHAnsi"/>
          <w:bCs/>
        </w:rPr>
        <w:t>Re</w:t>
      </w:r>
      <w:r w:rsidR="00A02666" w:rsidRPr="008A2917">
        <w:rPr>
          <w:rFonts w:asciiTheme="minorHAnsi" w:hAnsiTheme="minorHAnsi"/>
          <w:bCs/>
        </w:rPr>
        <w:t>commended</w:t>
      </w:r>
    </w:p>
    <w:p w:rsidR="00695F2D" w:rsidRPr="0053027A" w:rsidRDefault="00695F2D" w:rsidP="0053027A">
      <w:pPr>
        <w:pStyle w:val="PBACHeading1"/>
        <w:spacing w:before="240" w:after="120"/>
      </w:pPr>
      <w:r w:rsidRPr="008A2917">
        <w:t>Recommend</w:t>
      </w:r>
      <w:r w:rsidRPr="0053027A">
        <w:t>ed listing</w:t>
      </w:r>
    </w:p>
    <w:p w:rsidR="00695F2D" w:rsidRPr="008A2917" w:rsidRDefault="00695F2D" w:rsidP="00CC54AC">
      <w:pPr>
        <w:numPr>
          <w:ilvl w:val="1"/>
          <w:numId w:val="1"/>
        </w:numPr>
        <w:spacing w:after="120"/>
        <w:rPr>
          <w:rFonts w:asciiTheme="minorHAnsi" w:hAnsiTheme="minorHAnsi"/>
          <w:bCs/>
        </w:rPr>
      </w:pPr>
      <w:r w:rsidRPr="008A2917">
        <w:rPr>
          <w:rFonts w:asciiTheme="minorHAnsi" w:hAnsiTheme="minorHAnsi"/>
          <w:bCs/>
        </w:rPr>
        <w:t xml:space="preserve">Amend </w:t>
      </w:r>
      <w:r w:rsidR="007E22F1" w:rsidRPr="008A2917">
        <w:rPr>
          <w:rFonts w:asciiTheme="minorHAnsi" w:hAnsiTheme="minorHAnsi"/>
          <w:bCs/>
        </w:rPr>
        <w:t xml:space="preserve">price in </w:t>
      </w:r>
      <w:r w:rsidRPr="008A2917">
        <w:rPr>
          <w:rFonts w:asciiTheme="minorHAnsi" w:hAnsiTheme="minorHAnsi"/>
          <w:bCs/>
        </w:rPr>
        <w:t>existing listing:</w:t>
      </w:r>
    </w:p>
    <w:p w:rsidR="00CC54AC" w:rsidRPr="008A2917" w:rsidRDefault="00CC54AC" w:rsidP="00CC54AC">
      <w:pPr>
        <w:keepNext/>
        <w:widowControl/>
        <w:rPr>
          <w:rStyle w:val="CommentReference"/>
        </w:rPr>
      </w:pPr>
    </w:p>
    <w:p w:rsidR="00CC54AC" w:rsidRPr="008A2917" w:rsidRDefault="00CC54AC" w:rsidP="00CC54AC">
      <w:pPr>
        <w:keepNext/>
        <w:widowControl/>
        <w:rPr>
          <w:rStyle w:val="CommentReference"/>
        </w:rPr>
      </w:pPr>
    </w:p>
    <w:tbl>
      <w:tblPr>
        <w:tblW w:w="5000" w:type="pct"/>
        <w:tblCellMar>
          <w:left w:w="28" w:type="dxa"/>
          <w:right w:w="28" w:type="dxa"/>
        </w:tblCellMar>
        <w:tblLook w:val="0000" w:firstRow="0" w:lastRow="0" w:firstColumn="0" w:lastColumn="0" w:noHBand="0" w:noVBand="0"/>
      </w:tblPr>
      <w:tblGrid>
        <w:gridCol w:w="2266"/>
        <w:gridCol w:w="1136"/>
        <w:gridCol w:w="1094"/>
        <w:gridCol w:w="850"/>
        <w:gridCol w:w="657"/>
        <w:gridCol w:w="1498"/>
        <w:gridCol w:w="1526"/>
      </w:tblGrid>
      <w:tr w:rsidR="00CC54AC" w:rsidRPr="008A2917" w:rsidTr="006B5DF0">
        <w:trPr>
          <w:gridAfter w:val="1"/>
          <w:wAfter w:w="845" w:type="pct"/>
          <w:cantSplit/>
          <w:trHeight w:val="463"/>
        </w:trPr>
        <w:tc>
          <w:tcPr>
            <w:tcW w:w="1884" w:type="pct"/>
            <w:gridSpan w:val="2"/>
            <w:tcBorders>
              <w:top w:val="single" w:sz="4" w:space="0" w:color="auto"/>
              <w:bottom w:val="single" w:sz="4" w:space="0" w:color="auto"/>
            </w:tcBorders>
            <w:vAlign w:val="center"/>
          </w:tcPr>
          <w:p w:rsidR="00CC54AC" w:rsidRPr="008A2917" w:rsidRDefault="00CC54AC" w:rsidP="006B5DF0">
            <w:pPr>
              <w:keepNext/>
              <w:widowControl/>
              <w:jc w:val="left"/>
              <w:rPr>
                <w:rFonts w:ascii="Arial Narrow" w:hAnsi="Arial Narrow"/>
                <w:b/>
                <w:sz w:val="20"/>
              </w:rPr>
            </w:pPr>
            <w:r w:rsidRPr="008A2917">
              <w:rPr>
                <w:rFonts w:ascii="Arial Narrow" w:hAnsi="Arial Narrow"/>
                <w:b/>
                <w:sz w:val="20"/>
              </w:rPr>
              <w:t>Name, Restriction,</w:t>
            </w:r>
          </w:p>
          <w:p w:rsidR="00CC54AC" w:rsidRPr="008A2917" w:rsidRDefault="00CC54AC" w:rsidP="006B5DF0">
            <w:pPr>
              <w:keepNext/>
              <w:widowControl/>
              <w:jc w:val="left"/>
              <w:rPr>
                <w:rFonts w:ascii="Arial Narrow" w:hAnsi="Arial Narrow"/>
                <w:b/>
                <w:sz w:val="20"/>
              </w:rPr>
            </w:pPr>
            <w:r w:rsidRPr="008A2917">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CC54AC" w:rsidRPr="008A2917" w:rsidRDefault="00CC54AC" w:rsidP="006B5DF0">
            <w:pPr>
              <w:keepNext/>
              <w:widowControl/>
              <w:jc w:val="center"/>
              <w:rPr>
                <w:rFonts w:ascii="Arial Narrow" w:hAnsi="Arial Narrow"/>
                <w:b/>
                <w:sz w:val="20"/>
              </w:rPr>
            </w:pPr>
            <w:r w:rsidRPr="008A2917">
              <w:rPr>
                <w:rFonts w:ascii="Arial Narrow" w:hAnsi="Arial Narrow"/>
                <w:b/>
                <w:sz w:val="20"/>
              </w:rPr>
              <w:t>Max.</w:t>
            </w:r>
          </w:p>
          <w:p w:rsidR="00CC54AC" w:rsidRPr="008A2917" w:rsidRDefault="00CC54AC" w:rsidP="006B5DF0">
            <w:pPr>
              <w:keepNext/>
              <w:widowControl/>
              <w:jc w:val="center"/>
              <w:rPr>
                <w:rFonts w:ascii="Arial Narrow" w:hAnsi="Arial Narrow"/>
                <w:b/>
                <w:sz w:val="20"/>
              </w:rPr>
            </w:pPr>
            <w:proofErr w:type="spellStart"/>
            <w:r w:rsidRPr="008A2917">
              <w:rPr>
                <w:rFonts w:ascii="Arial Narrow" w:hAnsi="Arial Narrow"/>
                <w:b/>
                <w:sz w:val="20"/>
              </w:rPr>
              <w:t>Qty</w:t>
            </w:r>
            <w:proofErr w:type="spellEnd"/>
          </w:p>
        </w:tc>
        <w:tc>
          <w:tcPr>
            <w:tcW w:w="471" w:type="pct"/>
            <w:tcBorders>
              <w:top w:val="single" w:sz="4" w:space="0" w:color="auto"/>
              <w:bottom w:val="single" w:sz="4" w:space="0" w:color="auto"/>
            </w:tcBorders>
            <w:vAlign w:val="center"/>
          </w:tcPr>
          <w:p w:rsidR="00CC54AC" w:rsidRPr="008A2917" w:rsidRDefault="00CC54AC" w:rsidP="006B5DF0">
            <w:pPr>
              <w:keepNext/>
              <w:widowControl/>
              <w:jc w:val="center"/>
              <w:rPr>
                <w:rFonts w:ascii="Arial Narrow" w:hAnsi="Arial Narrow"/>
                <w:b/>
                <w:sz w:val="20"/>
              </w:rPr>
            </w:pPr>
            <w:r w:rsidRPr="008A2917">
              <w:rPr>
                <w:rFonts w:ascii="Arial Narrow" w:hAnsi="Arial Narrow" w:cs="Times New Roman"/>
                <w:b/>
                <w:sz w:val="20"/>
              </w:rPr>
              <w:t>№</w:t>
            </w:r>
            <w:r w:rsidRPr="008A2917">
              <w:rPr>
                <w:rFonts w:ascii="Arial Narrow" w:hAnsi="Arial Narrow"/>
                <w:b/>
                <w:sz w:val="20"/>
              </w:rPr>
              <w:t>.of</w:t>
            </w:r>
          </w:p>
          <w:p w:rsidR="00CC54AC" w:rsidRPr="008A2917" w:rsidRDefault="00CC54AC" w:rsidP="006B5DF0">
            <w:pPr>
              <w:keepNext/>
              <w:widowControl/>
              <w:jc w:val="center"/>
              <w:rPr>
                <w:rFonts w:ascii="Arial Narrow" w:hAnsi="Arial Narrow"/>
                <w:b/>
                <w:sz w:val="20"/>
              </w:rPr>
            </w:pPr>
            <w:proofErr w:type="spellStart"/>
            <w:r w:rsidRPr="008A2917">
              <w:rPr>
                <w:rFonts w:ascii="Arial Narrow" w:hAnsi="Arial Narrow"/>
                <w:b/>
                <w:sz w:val="20"/>
              </w:rPr>
              <w:t>Rpts</w:t>
            </w:r>
            <w:proofErr w:type="spellEnd"/>
          </w:p>
        </w:tc>
        <w:tc>
          <w:tcPr>
            <w:tcW w:w="1194" w:type="pct"/>
            <w:gridSpan w:val="2"/>
            <w:tcBorders>
              <w:top w:val="single" w:sz="4" w:space="0" w:color="auto"/>
              <w:bottom w:val="single" w:sz="4" w:space="0" w:color="auto"/>
            </w:tcBorders>
            <w:vAlign w:val="center"/>
          </w:tcPr>
          <w:p w:rsidR="00CC54AC" w:rsidRPr="008A2917" w:rsidRDefault="00CC54AC" w:rsidP="006B5DF0">
            <w:pPr>
              <w:keepNext/>
              <w:widowControl/>
              <w:jc w:val="center"/>
              <w:rPr>
                <w:rFonts w:ascii="Arial Narrow" w:hAnsi="Arial Narrow"/>
                <w:b/>
                <w:sz w:val="20"/>
              </w:rPr>
            </w:pPr>
            <w:r w:rsidRPr="008A2917">
              <w:rPr>
                <w:rFonts w:ascii="Arial Narrow" w:hAnsi="Arial Narrow"/>
                <w:b/>
                <w:sz w:val="20"/>
              </w:rPr>
              <w:t>Proprietary Name and Manufacturer</w:t>
            </w:r>
          </w:p>
        </w:tc>
      </w:tr>
      <w:tr w:rsidR="00CC54AC" w:rsidRPr="008A2917" w:rsidTr="006B5DF0">
        <w:trPr>
          <w:gridAfter w:val="1"/>
          <w:wAfter w:w="845" w:type="pct"/>
          <w:cantSplit/>
          <w:trHeight w:val="567"/>
        </w:trPr>
        <w:tc>
          <w:tcPr>
            <w:tcW w:w="1884" w:type="pct"/>
            <w:gridSpan w:val="2"/>
            <w:vAlign w:val="center"/>
          </w:tcPr>
          <w:p w:rsidR="00CC54AC" w:rsidRPr="008A2917" w:rsidRDefault="00CC54AC" w:rsidP="006B5DF0">
            <w:pPr>
              <w:keepNext/>
              <w:widowControl/>
              <w:jc w:val="left"/>
              <w:rPr>
                <w:rFonts w:ascii="Arial Narrow" w:hAnsi="Arial Narrow"/>
                <w:sz w:val="20"/>
              </w:rPr>
            </w:pPr>
            <w:r w:rsidRPr="008A2917">
              <w:rPr>
                <w:rFonts w:ascii="Arial Narrow" w:hAnsi="Arial Narrow"/>
                <w:sz w:val="20"/>
              </w:rPr>
              <w:t>INACTIVATED TRIVALENT INFLUENZA VACCINE (SPLIT VIRION), 0.5ML, INJECTION, PREFILLED SYRINGE</w:t>
            </w:r>
          </w:p>
        </w:tc>
        <w:tc>
          <w:tcPr>
            <w:tcW w:w="606" w:type="pct"/>
            <w:vAlign w:val="center"/>
          </w:tcPr>
          <w:p w:rsidR="00CC54AC" w:rsidRPr="008A2917" w:rsidRDefault="00CC54AC" w:rsidP="006B5DF0">
            <w:pPr>
              <w:keepNext/>
              <w:widowControl/>
              <w:jc w:val="center"/>
              <w:rPr>
                <w:rFonts w:ascii="Arial Narrow" w:hAnsi="Arial Narrow"/>
                <w:sz w:val="20"/>
              </w:rPr>
            </w:pPr>
          </w:p>
          <w:p w:rsidR="00CC54AC" w:rsidRPr="008A2917" w:rsidRDefault="00CC54AC" w:rsidP="006B5DF0">
            <w:pPr>
              <w:keepNext/>
              <w:widowControl/>
              <w:jc w:val="center"/>
              <w:rPr>
                <w:rFonts w:ascii="Arial Narrow" w:hAnsi="Arial Narrow"/>
                <w:sz w:val="20"/>
              </w:rPr>
            </w:pPr>
            <w:r w:rsidRPr="008A2917">
              <w:rPr>
                <w:rFonts w:ascii="Arial Narrow" w:hAnsi="Arial Narrow"/>
                <w:sz w:val="20"/>
              </w:rPr>
              <w:t>1</w:t>
            </w:r>
          </w:p>
        </w:tc>
        <w:tc>
          <w:tcPr>
            <w:tcW w:w="471" w:type="pct"/>
            <w:vAlign w:val="center"/>
          </w:tcPr>
          <w:p w:rsidR="00CC54AC" w:rsidRPr="008A2917" w:rsidRDefault="00CC54AC" w:rsidP="006B5DF0">
            <w:pPr>
              <w:keepNext/>
              <w:widowControl/>
              <w:jc w:val="center"/>
              <w:rPr>
                <w:rFonts w:ascii="Arial Narrow" w:hAnsi="Arial Narrow"/>
                <w:sz w:val="20"/>
              </w:rPr>
            </w:pPr>
          </w:p>
          <w:p w:rsidR="00CC54AC" w:rsidRPr="008A2917" w:rsidRDefault="00CC54AC" w:rsidP="006B5DF0">
            <w:pPr>
              <w:keepNext/>
              <w:widowControl/>
              <w:jc w:val="center"/>
              <w:rPr>
                <w:rFonts w:ascii="Arial Narrow" w:hAnsi="Arial Narrow"/>
                <w:sz w:val="20"/>
              </w:rPr>
            </w:pPr>
            <w:r w:rsidRPr="008A2917">
              <w:rPr>
                <w:rFonts w:ascii="Arial Narrow" w:hAnsi="Arial Narrow"/>
                <w:sz w:val="20"/>
              </w:rPr>
              <w:t>0</w:t>
            </w:r>
          </w:p>
        </w:tc>
        <w:tc>
          <w:tcPr>
            <w:tcW w:w="364" w:type="pct"/>
            <w:vAlign w:val="center"/>
          </w:tcPr>
          <w:p w:rsidR="00CC54AC" w:rsidRPr="008A2917" w:rsidRDefault="00CC54AC" w:rsidP="006B5DF0">
            <w:pPr>
              <w:keepNext/>
              <w:widowControl/>
              <w:jc w:val="center"/>
              <w:rPr>
                <w:rFonts w:ascii="Arial Narrow" w:hAnsi="Arial Narrow"/>
                <w:sz w:val="20"/>
              </w:rPr>
            </w:pPr>
            <w:proofErr w:type="spellStart"/>
            <w:r w:rsidRPr="008A2917">
              <w:rPr>
                <w:rFonts w:ascii="Arial Narrow" w:hAnsi="Arial Narrow"/>
                <w:sz w:val="20"/>
              </w:rPr>
              <w:t>Fluzone</w:t>
            </w:r>
            <w:proofErr w:type="spellEnd"/>
            <w:r w:rsidRPr="008A2917">
              <w:rPr>
                <w:rFonts w:ascii="Arial Narrow" w:hAnsi="Arial Narrow"/>
                <w:sz w:val="20"/>
              </w:rPr>
              <w:t xml:space="preserve"> High-Dose</w:t>
            </w:r>
          </w:p>
        </w:tc>
        <w:tc>
          <w:tcPr>
            <w:tcW w:w="830" w:type="pct"/>
            <w:vAlign w:val="center"/>
          </w:tcPr>
          <w:p w:rsidR="00CC54AC" w:rsidRPr="008A2917" w:rsidRDefault="00CC54AC" w:rsidP="006B5DF0">
            <w:pPr>
              <w:keepNext/>
              <w:widowControl/>
              <w:jc w:val="center"/>
              <w:rPr>
                <w:rFonts w:ascii="Arial Narrow" w:hAnsi="Arial Narrow"/>
                <w:sz w:val="20"/>
              </w:rPr>
            </w:pPr>
            <w:r w:rsidRPr="008A2917">
              <w:rPr>
                <w:rFonts w:ascii="Arial Narrow" w:hAnsi="Arial Narrow"/>
                <w:sz w:val="20"/>
              </w:rPr>
              <w:t>Sanofi-Aventis Australia Pty Ltd</w:t>
            </w:r>
          </w:p>
        </w:tc>
      </w:tr>
      <w:tr w:rsidR="00CC54AC" w:rsidRPr="008A2917" w:rsidTr="00CC5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5" w:type="pct"/>
            <w:tcBorders>
              <w:top w:val="single" w:sz="4" w:space="0" w:color="auto"/>
              <w:left w:val="single" w:sz="4" w:space="0" w:color="auto"/>
              <w:bottom w:val="single" w:sz="4" w:space="0" w:color="auto"/>
              <w:right w:val="single" w:sz="4" w:space="0" w:color="auto"/>
            </w:tcBorders>
            <w:hideMark/>
          </w:tcPr>
          <w:p w:rsidR="00CC54AC" w:rsidRPr="008A2917" w:rsidRDefault="00CC54AC" w:rsidP="006B5DF0">
            <w:pPr>
              <w:pStyle w:val="Tabletext"/>
              <w:rPr>
                <w:lang w:eastAsia="en-AU"/>
              </w:rPr>
            </w:pPr>
            <w:r w:rsidRPr="008A2917">
              <w:rPr>
                <w:lang w:eastAsia="en-AU"/>
              </w:rPr>
              <w:t>Category/Program:</w:t>
            </w:r>
          </w:p>
        </w:tc>
        <w:tc>
          <w:tcPr>
            <w:tcW w:w="3745" w:type="pct"/>
            <w:gridSpan w:val="6"/>
            <w:tcBorders>
              <w:top w:val="single" w:sz="4" w:space="0" w:color="auto"/>
              <w:left w:val="single" w:sz="4" w:space="0" w:color="auto"/>
              <w:bottom w:val="single" w:sz="4" w:space="0" w:color="auto"/>
              <w:right w:val="single" w:sz="4" w:space="0" w:color="auto"/>
            </w:tcBorders>
          </w:tcPr>
          <w:p w:rsidR="00CC54AC" w:rsidRPr="008A2917" w:rsidRDefault="00CC54AC" w:rsidP="006B5DF0">
            <w:pPr>
              <w:pStyle w:val="Tabletext"/>
              <w:rPr>
                <w:lang w:eastAsia="en-AU"/>
              </w:rPr>
            </w:pPr>
            <w:r w:rsidRPr="008A2917">
              <w:rPr>
                <w:lang w:eastAsia="en-AU"/>
              </w:rPr>
              <w:t>NIP</w:t>
            </w:r>
          </w:p>
        </w:tc>
      </w:tr>
      <w:tr w:rsidR="00CC54AC" w:rsidRPr="008A2917" w:rsidTr="00CC5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5" w:type="pct"/>
            <w:tcBorders>
              <w:top w:val="single" w:sz="4" w:space="0" w:color="auto"/>
              <w:left w:val="single" w:sz="4" w:space="0" w:color="auto"/>
              <w:bottom w:val="single" w:sz="4" w:space="0" w:color="auto"/>
              <w:right w:val="single" w:sz="4" w:space="0" w:color="auto"/>
            </w:tcBorders>
            <w:hideMark/>
          </w:tcPr>
          <w:p w:rsidR="00CC54AC" w:rsidRPr="008A2917" w:rsidRDefault="00CC54AC" w:rsidP="006B5DF0">
            <w:pPr>
              <w:pStyle w:val="Tabletext"/>
              <w:rPr>
                <w:lang w:eastAsia="en-AU"/>
              </w:rPr>
            </w:pPr>
            <w:r w:rsidRPr="008A2917">
              <w:rPr>
                <w:lang w:eastAsia="en-AU"/>
              </w:rPr>
              <w:t>NIP indication:</w:t>
            </w:r>
          </w:p>
        </w:tc>
        <w:tc>
          <w:tcPr>
            <w:tcW w:w="3745" w:type="pct"/>
            <w:gridSpan w:val="6"/>
            <w:tcBorders>
              <w:top w:val="single" w:sz="4" w:space="0" w:color="auto"/>
              <w:left w:val="single" w:sz="4" w:space="0" w:color="auto"/>
              <w:bottom w:val="single" w:sz="4" w:space="0" w:color="auto"/>
              <w:right w:val="single" w:sz="4" w:space="0" w:color="auto"/>
            </w:tcBorders>
          </w:tcPr>
          <w:p w:rsidR="00CC54AC" w:rsidRPr="008A2917" w:rsidRDefault="00CC54AC" w:rsidP="006B5DF0">
            <w:pPr>
              <w:pStyle w:val="Tabletext"/>
              <w:rPr>
                <w:lang w:eastAsia="en-AU"/>
              </w:rPr>
            </w:pPr>
            <w:r w:rsidRPr="008A2917">
              <w:rPr>
                <w:lang w:eastAsia="en-AU"/>
              </w:rPr>
              <w:t xml:space="preserve">A single injection against influenza disease caused by influenza virus types A and B contained in the vaccine for use in persons </w:t>
            </w:r>
            <w:r w:rsidRPr="008A2917">
              <w:t>≥</w:t>
            </w:r>
            <w:r w:rsidRPr="008A2917">
              <w:rPr>
                <w:lang w:eastAsia="en-AU"/>
              </w:rPr>
              <w:t xml:space="preserve"> 65 years of age.</w:t>
            </w:r>
          </w:p>
        </w:tc>
      </w:tr>
    </w:tbl>
    <w:p w:rsidR="00695F2D" w:rsidRPr="0053027A" w:rsidRDefault="00CC54AC" w:rsidP="0053027A">
      <w:pPr>
        <w:pStyle w:val="TableFooter"/>
        <w:widowControl/>
      </w:pPr>
      <w:r w:rsidRPr="008A2917">
        <w:t>NIP: National Immunisation Program</w:t>
      </w:r>
    </w:p>
    <w:p w:rsidR="00C62B93" w:rsidRPr="00C62B93" w:rsidRDefault="00C62B93" w:rsidP="0053027A">
      <w:pPr>
        <w:pStyle w:val="PBACHeading1"/>
        <w:spacing w:before="240" w:after="120"/>
      </w:pPr>
      <w:r w:rsidRPr="00C62B93">
        <w:t>Context for Decision</w:t>
      </w:r>
    </w:p>
    <w:p w:rsidR="008F44A4" w:rsidRPr="006F6C5E" w:rsidRDefault="00117492" w:rsidP="00C80D28">
      <w:pPr>
        <w:widowControl/>
        <w:rPr>
          <w:rFonts w:asciiTheme="minorHAnsi" w:hAnsiTheme="minorHAnsi"/>
          <w:snapToGrid/>
          <w:szCs w:val="24"/>
          <w:lang w:eastAsia="en-AU"/>
        </w:rPr>
      </w:pPr>
      <w:r w:rsidRPr="00117492">
        <w:rPr>
          <w:rFonts w:asciiTheme="minorHAnsi" w:hAnsiTheme="minorHAnsi"/>
          <w:snapToGrid/>
          <w:szCs w:val="24"/>
          <w:lang w:eastAsia="en-AU"/>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w:t>
      </w:r>
      <w:r w:rsidRPr="00117492">
        <w:rPr>
          <w:rFonts w:asciiTheme="minorHAnsi" w:hAnsiTheme="minorHAnsi"/>
          <w:snapToGrid/>
          <w:szCs w:val="24"/>
          <w:lang w:eastAsia="en-AU"/>
        </w:rPr>
        <w:lastRenderedPageBreak/>
        <w:t>necessarily represent a final PBAC view about the merits of the medicine or the circumstances in which it should be made available through the PBS. The PBAC welcomes applications containing new information at any time.</w:t>
      </w:r>
    </w:p>
    <w:p w:rsidR="0053027A" w:rsidRPr="0053027A" w:rsidRDefault="0053027A" w:rsidP="0053027A">
      <w:pPr>
        <w:pStyle w:val="PBACHeading1"/>
        <w:spacing w:before="240" w:after="120"/>
      </w:pPr>
      <w:r w:rsidRPr="0053027A">
        <w:t>Sponsor’s Comment</w:t>
      </w:r>
    </w:p>
    <w:p w:rsidR="0053027A" w:rsidRPr="008A2917" w:rsidRDefault="00031F3E" w:rsidP="00C80D28">
      <w:pPr>
        <w:widowControl/>
        <w:rPr>
          <w:b/>
        </w:rPr>
      </w:pPr>
      <w:r w:rsidRPr="00031F3E">
        <w:rPr>
          <w:rFonts w:asciiTheme="minorHAnsi" w:hAnsiTheme="minorHAnsi"/>
          <w:bCs/>
          <w:snapToGrid/>
          <w:szCs w:val="24"/>
          <w:lang w:val="en-GB" w:eastAsia="en-AU"/>
        </w:rPr>
        <w:t xml:space="preserve">Sanofi acknowledges the positive recommendation from the Pharmaceutical Benefits Advisory Committee (PBAC) for </w:t>
      </w:r>
      <w:proofErr w:type="spellStart"/>
      <w:r w:rsidRPr="00031F3E">
        <w:rPr>
          <w:rFonts w:asciiTheme="minorHAnsi" w:hAnsiTheme="minorHAnsi"/>
          <w:bCs/>
          <w:snapToGrid/>
          <w:szCs w:val="24"/>
          <w:lang w:val="en-GB" w:eastAsia="en-AU"/>
        </w:rPr>
        <w:t>Fluzone</w:t>
      </w:r>
      <w:proofErr w:type="spellEnd"/>
      <w:r w:rsidRPr="00031F3E">
        <w:rPr>
          <w:rFonts w:asciiTheme="minorHAnsi" w:hAnsiTheme="minorHAnsi"/>
          <w:bCs/>
          <w:snapToGrid/>
          <w:szCs w:val="24"/>
          <w:lang w:val="en-GB" w:eastAsia="en-AU"/>
        </w:rPr>
        <w:t xml:space="preserve"> High-Dose. We will continue to work with all relevant stakeholders so they recognise the burden of influenza in older Australians and the value of </w:t>
      </w:r>
      <w:proofErr w:type="spellStart"/>
      <w:r w:rsidRPr="00031F3E">
        <w:rPr>
          <w:rFonts w:asciiTheme="minorHAnsi" w:hAnsiTheme="minorHAnsi"/>
          <w:bCs/>
          <w:snapToGrid/>
          <w:szCs w:val="24"/>
          <w:lang w:val="en-GB" w:eastAsia="en-AU"/>
        </w:rPr>
        <w:t>Fluzone</w:t>
      </w:r>
      <w:proofErr w:type="spellEnd"/>
      <w:r w:rsidRPr="00031F3E">
        <w:rPr>
          <w:rFonts w:asciiTheme="minorHAnsi" w:hAnsiTheme="minorHAnsi"/>
          <w:bCs/>
          <w:snapToGrid/>
          <w:szCs w:val="24"/>
          <w:lang w:val="en-GB" w:eastAsia="en-AU"/>
        </w:rPr>
        <w:t xml:space="preserve"> High-Dose for this part of our community.</w:t>
      </w:r>
    </w:p>
    <w:sectPr w:rsidR="0053027A" w:rsidRPr="008A2917" w:rsidSect="00E2135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96168" w16cid:durableId="2156BD7E"/>
  <w16cid:commentId w16cid:paraId="667FDE67" w16cid:durableId="2156BB8D"/>
  <w16cid:commentId w16cid:paraId="031E2677" w16cid:durableId="2156BB8E"/>
  <w16cid:commentId w16cid:paraId="41E40534" w16cid:durableId="2156BF06"/>
  <w16cid:commentId w16cid:paraId="7BB70356" w16cid:durableId="2156BB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8D" w:rsidRDefault="00E3288D" w:rsidP="00124A51">
      <w:r>
        <w:separator/>
      </w:r>
    </w:p>
    <w:p w:rsidR="00E3288D" w:rsidRDefault="00E3288D"/>
  </w:endnote>
  <w:endnote w:type="continuationSeparator" w:id="0">
    <w:p w:rsidR="00E3288D" w:rsidRDefault="00E3288D" w:rsidP="00124A51">
      <w:r>
        <w:continuationSeparator/>
      </w:r>
    </w:p>
    <w:p w:rsidR="00E3288D" w:rsidRDefault="00E32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Times New Roman"/>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8D" w:rsidRDefault="00E32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8364"/>
      <w:docPartObj>
        <w:docPartGallery w:val="Page Numbers (Bottom of Page)"/>
        <w:docPartUnique/>
      </w:docPartObj>
    </w:sdtPr>
    <w:sdtEndPr>
      <w:rPr>
        <w:b/>
        <w:noProof/>
      </w:rPr>
    </w:sdtEndPr>
    <w:sdtContent>
      <w:p w:rsidR="00E3288D" w:rsidRDefault="00E3288D">
        <w:pPr>
          <w:pStyle w:val="Footer"/>
          <w:jc w:val="center"/>
        </w:pPr>
      </w:p>
      <w:p w:rsidR="00E3288D" w:rsidRPr="00F67341" w:rsidRDefault="00E3288D">
        <w:pPr>
          <w:pStyle w:val="Footer"/>
          <w:jc w:val="center"/>
          <w:rPr>
            <w:b/>
          </w:rPr>
        </w:pPr>
        <w:r w:rsidRPr="00F67341">
          <w:rPr>
            <w:b/>
          </w:rPr>
          <w:fldChar w:fldCharType="begin"/>
        </w:r>
        <w:r w:rsidRPr="00F67341">
          <w:rPr>
            <w:b/>
          </w:rPr>
          <w:instrText xml:space="preserve"> PAGE   \* MERGEFORMAT </w:instrText>
        </w:r>
        <w:r w:rsidRPr="00F67341">
          <w:rPr>
            <w:b/>
          </w:rPr>
          <w:fldChar w:fldCharType="separate"/>
        </w:r>
        <w:r w:rsidR="00D114CA">
          <w:rPr>
            <w:b/>
            <w:noProof/>
          </w:rPr>
          <w:t>13</w:t>
        </w:r>
        <w:r w:rsidRPr="00F67341">
          <w:rPr>
            <w:b/>
            <w:noProof/>
          </w:rPr>
          <w:fldChar w:fldCharType="end"/>
        </w:r>
      </w:p>
    </w:sdtContent>
  </w:sdt>
  <w:p w:rsidR="00E3288D" w:rsidRDefault="00E3288D" w:rsidP="00EF732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8D" w:rsidRDefault="00E32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8D" w:rsidRDefault="00E3288D" w:rsidP="00124A51">
      <w:r>
        <w:separator/>
      </w:r>
    </w:p>
    <w:p w:rsidR="00E3288D" w:rsidRDefault="00E3288D"/>
  </w:footnote>
  <w:footnote w:type="continuationSeparator" w:id="0">
    <w:p w:rsidR="00E3288D" w:rsidRDefault="00E3288D" w:rsidP="00124A51">
      <w:r>
        <w:continuationSeparator/>
      </w:r>
    </w:p>
    <w:p w:rsidR="00E3288D" w:rsidRDefault="00E3288D"/>
  </w:footnote>
  <w:footnote w:id="1">
    <w:p w:rsidR="00E3288D" w:rsidRPr="00DD4558" w:rsidRDefault="00E3288D" w:rsidP="008F6727">
      <w:pPr>
        <w:pStyle w:val="FootnoteText"/>
      </w:pPr>
      <w:r w:rsidRPr="00DD4558">
        <w:rPr>
          <w:rStyle w:val="FootnoteReference"/>
        </w:rPr>
        <w:footnoteRef/>
      </w:r>
      <w:r w:rsidRPr="00DD4558">
        <w:t xml:space="preserve"> Department of Health</w:t>
      </w:r>
      <w:r>
        <w:t xml:space="preserve"> (March 2019)</w:t>
      </w:r>
      <w:r w:rsidRPr="00DD4558">
        <w:t xml:space="preserve">, 2019 influenza vaccines – Statement from the Chief Medical Officer, </w:t>
      </w:r>
      <w:hyperlink r:id="rId1" w:history="1">
        <w:r w:rsidRPr="00DD4558">
          <w:rPr>
            <w:rStyle w:val="Hyperlink"/>
          </w:rPr>
          <w:t>https://beta.health.gov.au/news/2019-influenza-vaccines</w:t>
        </w:r>
      </w:hyperlink>
    </w:p>
  </w:footnote>
  <w:footnote w:id="2">
    <w:p w:rsidR="00E3288D" w:rsidRPr="008F7066" w:rsidRDefault="00E3288D" w:rsidP="00EA1E4E">
      <w:pPr>
        <w:pStyle w:val="FootnoteText"/>
        <w:rPr>
          <w:lang w:val="en-US"/>
        </w:rPr>
      </w:pPr>
      <w:r>
        <w:rPr>
          <w:rStyle w:val="FootnoteReference"/>
        </w:rPr>
        <w:footnoteRef/>
      </w:r>
      <w:r>
        <w:t xml:space="preserve"> </w:t>
      </w:r>
      <w:proofErr w:type="spellStart"/>
      <w:r w:rsidRPr="008F7066">
        <w:t>Mannino</w:t>
      </w:r>
      <w:proofErr w:type="spellEnd"/>
      <w:r w:rsidRPr="008F7066">
        <w:t xml:space="preserve">, S. M., Villa, M., </w:t>
      </w:r>
      <w:proofErr w:type="spellStart"/>
      <w:r w:rsidRPr="008F7066">
        <w:t>Apolone</w:t>
      </w:r>
      <w:proofErr w:type="spellEnd"/>
      <w:r w:rsidRPr="008F7066">
        <w:t xml:space="preserve">, G., Weiss, N. S., </w:t>
      </w:r>
      <w:proofErr w:type="spellStart"/>
      <w:r w:rsidRPr="008F7066">
        <w:t>Groth</w:t>
      </w:r>
      <w:proofErr w:type="spellEnd"/>
      <w:r w:rsidRPr="008F7066">
        <w:t xml:space="preserve">, N., Aquino, I., &amp; et al. (2012). Effectiveness of </w:t>
      </w:r>
      <w:proofErr w:type="spellStart"/>
      <w:r w:rsidRPr="008F7066">
        <w:t>adjuvanted</w:t>
      </w:r>
      <w:proofErr w:type="spellEnd"/>
      <w:r w:rsidRPr="008F7066">
        <w:t xml:space="preserve"> influenza vaccination in elderly subjects in northern Italy. </w:t>
      </w:r>
      <w:r w:rsidRPr="00306D67">
        <w:rPr>
          <w:i/>
          <w:iCs/>
        </w:rPr>
        <w:t xml:space="preserve">Am J </w:t>
      </w:r>
      <w:proofErr w:type="spellStart"/>
      <w:r w:rsidRPr="00306D67">
        <w:rPr>
          <w:i/>
          <w:iCs/>
        </w:rPr>
        <w:t>Epidemiol</w:t>
      </w:r>
      <w:proofErr w:type="spellEnd"/>
      <w:r w:rsidRPr="008F7066">
        <w:t>, 176(6), 527-</w:t>
      </w:r>
      <w:proofErr w:type="gramStart"/>
      <w:r w:rsidRPr="008F7066">
        <w:t>533.</w:t>
      </w:r>
      <w:proofErr w:type="gramEnd"/>
    </w:p>
  </w:footnote>
  <w:footnote w:id="3">
    <w:p w:rsidR="00E3288D" w:rsidRPr="00AD50D3" w:rsidRDefault="00E3288D" w:rsidP="00D03D21">
      <w:pPr>
        <w:pStyle w:val="TableFooter"/>
        <w:rPr>
          <w:lang w:val="en-US"/>
        </w:rPr>
      </w:pPr>
      <w:r>
        <w:rPr>
          <w:rStyle w:val="FootnoteReference"/>
        </w:rPr>
        <w:footnoteRef/>
      </w:r>
      <w:r>
        <w:t xml:space="preserve"> </w:t>
      </w:r>
      <w:r w:rsidRPr="00AD50D3">
        <w:t>C</w:t>
      </w:r>
      <w:r>
        <w:t>lements</w:t>
      </w:r>
      <w:r w:rsidRPr="00AD50D3">
        <w:t xml:space="preserve">, K. M., </w:t>
      </w:r>
      <w:r>
        <w:t>Meier</w:t>
      </w:r>
      <w:r w:rsidRPr="00AD50D3">
        <w:t xml:space="preserve">, G., </w:t>
      </w:r>
      <w:proofErr w:type="spellStart"/>
      <w:r w:rsidRPr="00AD50D3">
        <w:t>M</w:t>
      </w:r>
      <w:r>
        <w:t>c</w:t>
      </w:r>
      <w:r w:rsidRPr="00AD50D3">
        <w:t>G</w:t>
      </w:r>
      <w:r>
        <w:t>arry</w:t>
      </w:r>
      <w:proofErr w:type="spellEnd"/>
      <w:r w:rsidRPr="00AD50D3">
        <w:t xml:space="preserve">, </w:t>
      </w:r>
      <w:r w:rsidRPr="002D616A">
        <w:t xml:space="preserve">L. J., </w:t>
      </w:r>
      <w:proofErr w:type="spellStart"/>
      <w:r w:rsidRPr="002D616A">
        <w:t>Pruttivarasin</w:t>
      </w:r>
      <w:proofErr w:type="spellEnd"/>
      <w:r w:rsidRPr="002D616A">
        <w:t xml:space="preserve">, N. &amp; </w:t>
      </w:r>
      <w:proofErr w:type="spellStart"/>
      <w:r w:rsidRPr="002D616A">
        <w:t>Misurski</w:t>
      </w:r>
      <w:proofErr w:type="spellEnd"/>
      <w:r w:rsidRPr="002D616A">
        <w:t xml:space="preserve">, D. A. 2014. Cost-effectiveness analysis of universal influenza vaccination with </w:t>
      </w:r>
      <w:proofErr w:type="spellStart"/>
      <w:r w:rsidRPr="002D616A">
        <w:t>quadrivalent</w:t>
      </w:r>
      <w:proofErr w:type="spellEnd"/>
      <w:r w:rsidRPr="002D616A">
        <w:t xml:space="preserve"> inactivated vaccine in the United States. </w:t>
      </w:r>
      <w:r w:rsidRPr="002D616A">
        <w:rPr>
          <w:iCs/>
        </w:rPr>
        <w:t xml:space="preserve">Hum </w:t>
      </w:r>
      <w:proofErr w:type="spellStart"/>
      <w:r w:rsidRPr="002D616A">
        <w:rPr>
          <w:iCs/>
        </w:rPr>
        <w:t>Vaccin</w:t>
      </w:r>
      <w:proofErr w:type="spellEnd"/>
      <w:r w:rsidRPr="002D616A">
        <w:rPr>
          <w:iCs/>
        </w:rPr>
        <w:t xml:space="preserve"> </w:t>
      </w:r>
      <w:proofErr w:type="spellStart"/>
      <w:r w:rsidRPr="002D616A">
        <w:rPr>
          <w:iCs/>
        </w:rPr>
        <w:t>Immunother</w:t>
      </w:r>
      <w:proofErr w:type="spellEnd"/>
      <w:r w:rsidRPr="002D616A">
        <w:t>, 10, 1171-1180.</w:t>
      </w:r>
    </w:p>
  </w:footnote>
  <w:footnote w:id="4">
    <w:p w:rsidR="00E3288D" w:rsidRPr="003D124A" w:rsidRDefault="00E3288D" w:rsidP="00D03D21">
      <w:pPr>
        <w:pStyle w:val="TableFooter"/>
        <w:rPr>
          <w:lang w:val="en-US"/>
        </w:rPr>
      </w:pPr>
      <w:r>
        <w:rPr>
          <w:rStyle w:val="FootnoteReference"/>
        </w:rPr>
        <w:footnoteRef/>
      </w:r>
      <w:r>
        <w:t xml:space="preserve"> </w:t>
      </w:r>
      <w:r>
        <w:rPr>
          <w:lang w:val="en-US"/>
        </w:rPr>
        <w:t xml:space="preserve">Newall AT, Wood JG, </w:t>
      </w:r>
      <w:proofErr w:type="spellStart"/>
      <w:r>
        <w:rPr>
          <w:lang w:val="en-US"/>
        </w:rPr>
        <w:t>MacIntyre</w:t>
      </w:r>
      <w:proofErr w:type="spellEnd"/>
      <w:r>
        <w:rPr>
          <w:lang w:val="en-US"/>
        </w:rPr>
        <w:t xml:space="preserve"> CR (2008) </w:t>
      </w:r>
      <w:r w:rsidRPr="003D124A">
        <w:rPr>
          <w:lang w:val="en-US"/>
        </w:rPr>
        <w:t xml:space="preserve">Influenza-related </w:t>
      </w:r>
      <w:proofErr w:type="spellStart"/>
      <w:r w:rsidRPr="003D124A">
        <w:rPr>
          <w:lang w:val="en-US"/>
        </w:rPr>
        <w:t>hospitalisation</w:t>
      </w:r>
      <w:proofErr w:type="spellEnd"/>
      <w:r w:rsidRPr="003D124A">
        <w:rPr>
          <w:lang w:val="en-US"/>
        </w:rPr>
        <w:t xml:space="preserve"> and death in</w:t>
      </w:r>
      <w:r>
        <w:rPr>
          <w:lang w:val="en-US"/>
        </w:rPr>
        <w:t xml:space="preserve"> </w:t>
      </w:r>
      <w:r w:rsidRPr="003D124A">
        <w:rPr>
          <w:lang w:val="en-US"/>
        </w:rPr>
        <w:t>Australians aged 50 years and older</w:t>
      </w:r>
      <w:r>
        <w:rPr>
          <w:lang w:val="en-US"/>
        </w:rPr>
        <w:t>. Vaccine 26, 2135-2141.</w:t>
      </w:r>
    </w:p>
  </w:footnote>
  <w:footnote w:id="5">
    <w:p w:rsidR="00E3288D" w:rsidRDefault="00E3288D" w:rsidP="00D03D21">
      <w:pPr>
        <w:pStyle w:val="TableFooter"/>
      </w:pPr>
      <w:r w:rsidRPr="00712A49">
        <w:rPr>
          <w:rStyle w:val="FootnoteReference"/>
        </w:rPr>
        <w:footnoteRef/>
      </w:r>
      <w:proofErr w:type="spellStart"/>
      <w:r>
        <w:t>Tricco</w:t>
      </w:r>
      <w:proofErr w:type="spellEnd"/>
      <w:r>
        <w:t xml:space="preserve"> A. C., Chit, A., </w:t>
      </w:r>
      <w:proofErr w:type="spellStart"/>
      <w:r>
        <w:t>Soobiah</w:t>
      </w:r>
      <w:proofErr w:type="spellEnd"/>
      <w:r>
        <w:t xml:space="preserve">, C., Hallett, D., </w:t>
      </w:r>
      <w:proofErr w:type="spellStart"/>
      <w:r>
        <w:t>Meirer</w:t>
      </w:r>
      <w:proofErr w:type="spellEnd"/>
      <w:r>
        <w:t xml:space="preserve">, G., Chen, M.H., </w:t>
      </w:r>
      <w:proofErr w:type="spellStart"/>
      <w:r>
        <w:t>Tashkandi</w:t>
      </w:r>
      <w:proofErr w:type="spellEnd"/>
      <w:r>
        <w:t xml:space="preserve">, M., </w:t>
      </w:r>
      <w:proofErr w:type="spellStart"/>
      <w:r>
        <w:t>Bauch</w:t>
      </w:r>
      <w:proofErr w:type="spellEnd"/>
      <w:r>
        <w:t>, C. T., Loeb, M. (2013),</w:t>
      </w:r>
      <w:r w:rsidRPr="00712A49">
        <w:t xml:space="preserve"> </w:t>
      </w:r>
      <w:proofErr w:type="gramStart"/>
      <w:r w:rsidRPr="00712A49">
        <w:t>Compar</w:t>
      </w:r>
      <w:r>
        <w:t>ing</w:t>
      </w:r>
      <w:proofErr w:type="gramEnd"/>
      <w:r>
        <w:t xml:space="preserve"> influenza vaccine efficacy a</w:t>
      </w:r>
      <w:r w:rsidRPr="00712A49">
        <w:t xml:space="preserve">gainst mismatched and matched strains: a systematic review and meta-analysis. </w:t>
      </w:r>
      <w:r w:rsidRPr="00712A49">
        <w:rPr>
          <w:i/>
        </w:rPr>
        <w:t>BMC Medicine</w:t>
      </w:r>
      <w:r>
        <w:t>, 11(153)</w:t>
      </w:r>
    </w:p>
  </w:footnote>
  <w:footnote w:id="6">
    <w:p w:rsidR="00E3288D" w:rsidRPr="00E359AF" w:rsidRDefault="00E3288D">
      <w:pPr>
        <w:pStyle w:val="FootnoteText"/>
        <w:rPr>
          <w:highlight w:val="yellow"/>
        </w:rPr>
      </w:pPr>
      <w:r>
        <w:rPr>
          <w:rStyle w:val="FootnoteReference"/>
        </w:rPr>
        <w:t>6</w:t>
      </w:r>
      <w:r>
        <w:t xml:space="preserve"> </w:t>
      </w:r>
      <w:r w:rsidRPr="002C27BC">
        <w:t>Public Summary Document</w:t>
      </w:r>
      <w:r>
        <w:t xml:space="preserve"> – Trivalent I</w:t>
      </w:r>
      <w:r w:rsidRPr="007F512E">
        <w:t>nfluenza Vaccine (</w:t>
      </w:r>
      <w:r>
        <w:t>high dose</w:t>
      </w:r>
      <w:r w:rsidRPr="007F512E">
        <w:t xml:space="preserve">) </w:t>
      </w:r>
      <w:r w:rsidRPr="002C27BC">
        <w:t>(</w:t>
      </w:r>
      <w:proofErr w:type="spellStart"/>
      <w:r>
        <w:t>Fluzone</w:t>
      </w:r>
      <w:proofErr w:type="spellEnd"/>
      <w:r w:rsidRPr="002C27BC">
        <w:t>®</w:t>
      </w:r>
      <w:r>
        <w:t xml:space="preserve"> High-Dose), July 2018 PBAC meeting, paragraph 7.2</w:t>
      </w:r>
    </w:p>
  </w:footnote>
  <w:footnote w:id="7">
    <w:p w:rsidR="00E3288D" w:rsidRDefault="00E3288D" w:rsidP="00D71C21">
      <w:pPr>
        <w:pStyle w:val="FootnoteText"/>
      </w:pPr>
      <w:r w:rsidRPr="00E95957">
        <w:rPr>
          <w:rStyle w:val="FootnoteReference"/>
        </w:rPr>
        <w:footnoteRef/>
      </w:r>
      <w:r w:rsidRPr="00E95957">
        <w:t xml:space="preserve"> Public Summary Document – Trivalent Influenza Vaccine (high dose) (</w:t>
      </w:r>
      <w:proofErr w:type="spellStart"/>
      <w:r w:rsidRPr="00E95957">
        <w:t>Fluzone</w:t>
      </w:r>
      <w:proofErr w:type="spellEnd"/>
      <w:r w:rsidRPr="00E95957">
        <w:t xml:space="preserve">® High-Dose), July 2018 PBAC meeting, paragraph 7.5, </w:t>
      </w:r>
    </w:p>
  </w:footnote>
  <w:footnote w:id="8">
    <w:p w:rsidR="00E3288D" w:rsidRDefault="00E3288D">
      <w:pPr>
        <w:pStyle w:val="FootnoteText"/>
      </w:pPr>
      <w:r>
        <w:rPr>
          <w:rStyle w:val="FootnoteReference"/>
        </w:rPr>
        <w:footnoteRef/>
      </w:r>
      <w:r>
        <w:t xml:space="preserve">  </w:t>
      </w:r>
      <w:r w:rsidRPr="0049477A">
        <w:t>Public Summary Document</w:t>
      </w:r>
      <w:r>
        <w:t xml:space="preserve">, </w:t>
      </w:r>
      <w:hyperlink r:id="rId2" w:tooltip="Inactivated influenza vaccine (surface antigen), adjuvanted, suspension for injection, 15mcg in 0.5mL, Fluad® - March 2018" w:history="1">
        <w:r w:rsidRPr="00F71C73">
          <w:t>Inactivated influenza vaccine</w:t>
        </w:r>
        <w:r>
          <w:t xml:space="preserve"> (surface antigen), </w:t>
        </w:r>
        <w:proofErr w:type="spellStart"/>
        <w:r>
          <w:t>adjuvanted</w:t>
        </w:r>
        <w:proofErr w:type="spellEnd"/>
        <w:r w:rsidRPr="00F71C73">
          <w:t xml:space="preserve"> </w:t>
        </w:r>
        <w:r>
          <w:t>(</w:t>
        </w:r>
        <w:proofErr w:type="spellStart"/>
        <w:r w:rsidRPr="00F71C73">
          <w:t>Fluad</w:t>
        </w:r>
        <w:proofErr w:type="spellEnd"/>
        <w:r w:rsidRPr="00F71C73">
          <w:t>®</w:t>
        </w:r>
        <w:r>
          <w:t>),</w:t>
        </w:r>
        <w:r w:rsidRPr="00F71C73">
          <w:t xml:space="preserve"> </w:t>
        </w:r>
        <w:r>
          <w:t>July 2019</w:t>
        </w:r>
      </w:hyperlink>
    </w:p>
  </w:footnote>
  <w:footnote w:id="9">
    <w:p w:rsidR="00E3288D" w:rsidRDefault="00E3288D">
      <w:pPr>
        <w:pStyle w:val="FootnoteText"/>
      </w:pPr>
      <w:r>
        <w:rPr>
          <w:rStyle w:val="FootnoteReference"/>
        </w:rPr>
        <w:footnoteRef/>
      </w:r>
      <w:r>
        <w:t xml:space="preserve"> </w:t>
      </w:r>
      <w:r w:rsidRPr="00E95957">
        <w:t>Public Summary Document – Trivalent Influenza Vaccine (high dose) (</w:t>
      </w:r>
      <w:proofErr w:type="spellStart"/>
      <w:r w:rsidRPr="00E95957">
        <w:t>Fluzone</w:t>
      </w:r>
      <w:proofErr w:type="spellEnd"/>
      <w:r w:rsidRPr="00E95957">
        <w:t xml:space="preserve">® High-Dose), July 2018 </w:t>
      </w:r>
      <w:r>
        <w:t>PBAC meeting, paragraph 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8D" w:rsidRDefault="00E32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8D" w:rsidRPr="00F67341" w:rsidRDefault="00E3288D" w:rsidP="00F67341">
    <w:pPr>
      <w:pStyle w:val="Footer"/>
      <w:jc w:val="center"/>
      <w:rPr>
        <w:rFonts w:asciiTheme="minorHAnsi" w:hAnsiTheme="minorHAnsi" w:cstheme="minorHAnsi"/>
        <w:i/>
      </w:rPr>
    </w:pPr>
    <w:r>
      <w:rPr>
        <w:rFonts w:asciiTheme="minorHAnsi" w:hAnsiTheme="minorHAnsi" w:cstheme="minorHAnsi"/>
        <w:i/>
      </w:rPr>
      <w:t>Public Summary Document</w:t>
    </w:r>
    <w:r w:rsidRPr="00F67341">
      <w:rPr>
        <w:rFonts w:asciiTheme="minorHAnsi" w:hAnsiTheme="minorHAnsi" w:cstheme="minorHAnsi"/>
        <w:i/>
      </w:rPr>
      <w:t xml:space="preserve"> - November 2019 PBAC meeting </w:t>
    </w:r>
  </w:p>
  <w:p w:rsidR="00E3288D" w:rsidRPr="00F67341" w:rsidRDefault="00E3288D" w:rsidP="00F67341">
    <w:pPr>
      <w:pStyle w:val="Foot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8D" w:rsidRDefault="00E32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025"/>
    <w:multiLevelType w:val="hybridMultilevel"/>
    <w:tmpl w:val="0902FC36"/>
    <w:lvl w:ilvl="0" w:tplc="5B0C6A0E">
      <w:start w:val="1"/>
      <w:numFmt w:val="bullet"/>
      <w:lvlText w:val="•"/>
      <w:lvlJc w:val="left"/>
      <w:pPr>
        <w:tabs>
          <w:tab w:val="num" w:pos="720"/>
        </w:tabs>
        <w:ind w:left="720" w:hanging="360"/>
      </w:pPr>
      <w:rPr>
        <w:rFonts w:ascii="Arial" w:hAnsi="Arial" w:hint="default"/>
      </w:rPr>
    </w:lvl>
    <w:lvl w:ilvl="1" w:tplc="3A2AB6FC" w:tentative="1">
      <w:start w:val="1"/>
      <w:numFmt w:val="bullet"/>
      <w:lvlText w:val="•"/>
      <w:lvlJc w:val="left"/>
      <w:pPr>
        <w:tabs>
          <w:tab w:val="num" w:pos="1440"/>
        </w:tabs>
        <w:ind w:left="1440" w:hanging="360"/>
      </w:pPr>
      <w:rPr>
        <w:rFonts w:ascii="Arial" w:hAnsi="Arial" w:hint="default"/>
      </w:rPr>
    </w:lvl>
    <w:lvl w:ilvl="2" w:tplc="769229FC" w:tentative="1">
      <w:start w:val="1"/>
      <w:numFmt w:val="bullet"/>
      <w:lvlText w:val="•"/>
      <w:lvlJc w:val="left"/>
      <w:pPr>
        <w:tabs>
          <w:tab w:val="num" w:pos="2160"/>
        </w:tabs>
        <w:ind w:left="2160" w:hanging="360"/>
      </w:pPr>
      <w:rPr>
        <w:rFonts w:ascii="Arial" w:hAnsi="Arial" w:hint="default"/>
      </w:rPr>
    </w:lvl>
    <w:lvl w:ilvl="3" w:tplc="27FC6460" w:tentative="1">
      <w:start w:val="1"/>
      <w:numFmt w:val="bullet"/>
      <w:lvlText w:val="•"/>
      <w:lvlJc w:val="left"/>
      <w:pPr>
        <w:tabs>
          <w:tab w:val="num" w:pos="2880"/>
        </w:tabs>
        <w:ind w:left="2880" w:hanging="360"/>
      </w:pPr>
      <w:rPr>
        <w:rFonts w:ascii="Arial" w:hAnsi="Arial" w:hint="default"/>
      </w:rPr>
    </w:lvl>
    <w:lvl w:ilvl="4" w:tplc="5752434E" w:tentative="1">
      <w:start w:val="1"/>
      <w:numFmt w:val="bullet"/>
      <w:lvlText w:val="•"/>
      <w:lvlJc w:val="left"/>
      <w:pPr>
        <w:tabs>
          <w:tab w:val="num" w:pos="3600"/>
        </w:tabs>
        <w:ind w:left="3600" w:hanging="360"/>
      </w:pPr>
      <w:rPr>
        <w:rFonts w:ascii="Arial" w:hAnsi="Arial" w:hint="default"/>
      </w:rPr>
    </w:lvl>
    <w:lvl w:ilvl="5" w:tplc="56CADD70" w:tentative="1">
      <w:start w:val="1"/>
      <w:numFmt w:val="bullet"/>
      <w:lvlText w:val="•"/>
      <w:lvlJc w:val="left"/>
      <w:pPr>
        <w:tabs>
          <w:tab w:val="num" w:pos="4320"/>
        </w:tabs>
        <w:ind w:left="4320" w:hanging="360"/>
      </w:pPr>
      <w:rPr>
        <w:rFonts w:ascii="Arial" w:hAnsi="Arial" w:hint="default"/>
      </w:rPr>
    </w:lvl>
    <w:lvl w:ilvl="6" w:tplc="C08C6CEC" w:tentative="1">
      <w:start w:val="1"/>
      <w:numFmt w:val="bullet"/>
      <w:lvlText w:val="•"/>
      <w:lvlJc w:val="left"/>
      <w:pPr>
        <w:tabs>
          <w:tab w:val="num" w:pos="5040"/>
        </w:tabs>
        <w:ind w:left="5040" w:hanging="360"/>
      </w:pPr>
      <w:rPr>
        <w:rFonts w:ascii="Arial" w:hAnsi="Arial" w:hint="default"/>
      </w:rPr>
    </w:lvl>
    <w:lvl w:ilvl="7" w:tplc="F564C534" w:tentative="1">
      <w:start w:val="1"/>
      <w:numFmt w:val="bullet"/>
      <w:lvlText w:val="•"/>
      <w:lvlJc w:val="left"/>
      <w:pPr>
        <w:tabs>
          <w:tab w:val="num" w:pos="5760"/>
        </w:tabs>
        <w:ind w:left="5760" w:hanging="360"/>
      </w:pPr>
      <w:rPr>
        <w:rFonts w:ascii="Arial" w:hAnsi="Arial" w:hint="default"/>
      </w:rPr>
    </w:lvl>
    <w:lvl w:ilvl="8" w:tplc="0CAA45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0C7655"/>
    <w:multiLevelType w:val="hybridMultilevel"/>
    <w:tmpl w:val="F4B8C46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2" w15:restartNumberingAfterBreak="0">
    <w:nsid w:val="420B6ECC"/>
    <w:multiLevelType w:val="hybridMultilevel"/>
    <w:tmpl w:val="8F227534"/>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3" w15:restartNumberingAfterBreak="0">
    <w:nsid w:val="48245C6B"/>
    <w:multiLevelType w:val="hybridMultilevel"/>
    <w:tmpl w:val="4532EFD8"/>
    <w:lvl w:ilvl="0" w:tplc="E97837D4">
      <w:start w:val="1"/>
      <w:numFmt w:val="bullet"/>
      <w:pStyle w:val="Intextbulletpoints"/>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5AF060FA"/>
    <w:multiLevelType w:val="multilevel"/>
    <w:tmpl w:val="25FC8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67A3445"/>
    <w:multiLevelType w:val="hybridMultilevel"/>
    <w:tmpl w:val="CD606618"/>
    <w:lvl w:ilvl="0" w:tplc="1A12996C">
      <w:start w:val="1"/>
      <w:numFmt w:val="bullet"/>
      <w:lvlText w:val="•"/>
      <w:lvlJc w:val="left"/>
      <w:pPr>
        <w:tabs>
          <w:tab w:val="num" w:pos="720"/>
        </w:tabs>
        <w:ind w:left="720" w:hanging="360"/>
      </w:pPr>
      <w:rPr>
        <w:rFonts w:ascii="Arial" w:hAnsi="Arial" w:hint="default"/>
      </w:rPr>
    </w:lvl>
    <w:lvl w:ilvl="1" w:tplc="3F2AB810" w:tentative="1">
      <w:start w:val="1"/>
      <w:numFmt w:val="bullet"/>
      <w:lvlText w:val="•"/>
      <w:lvlJc w:val="left"/>
      <w:pPr>
        <w:tabs>
          <w:tab w:val="num" w:pos="1440"/>
        </w:tabs>
        <w:ind w:left="1440" w:hanging="360"/>
      </w:pPr>
      <w:rPr>
        <w:rFonts w:ascii="Arial" w:hAnsi="Arial" w:hint="default"/>
      </w:rPr>
    </w:lvl>
    <w:lvl w:ilvl="2" w:tplc="BDA4E6EE" w:tentative="1">
      <w:start w:val="1"/>
      <w:numFmt w:val="bullet"/>
      <w:lvlText w:val="•"/>
      <w:lvlJc w:val="left"/>
      <w:pPr>
        <w:tabs>
          <w:tab w:val="num" w:pos="2160"/>
        </w:tabs>
        <w:ind w:left="2160" w:hanging="360"/>
      </w:pPr>
      <w:rPr>
        <w:rFonts w:ascii="Arial" w:hAnsi="Arial" w:hint="default"/>
      </w:rPr>
    </w:lvl>
    <w:lvl w:ilvl="3" w:tplc="F71A3E92" w:tentative="1">
      <w:start w:val="1"/>
      <w:numFmt w:val="bullet"/>
      <w:lvlText w:val="•"/>
      <w:lvlJc w:val="left"/>
      <w:pPr>
        <w:tabs>
          <w:tab w:val="num" w:pos="2880"/>
        </w:tabs>
        <w:ind w:left="2880" w:hanging="360"/>
      </w:pPr>
      <w:rPr>
        <w:rFonts w:ascii="Arial" w:hAnsi="Arial" w:hint="default"/>
      </w:rPr>
    </w:lvl>
    <w:lvl w:ilvl="4" w:tplc="DABAD598" w:tentative="1">
      <w:start w:val="1"/>
      <w:numFmt w:val="bullet"/>
      <w:lvlText w:val="•"/>
      <w:lvlJc w:val="left"/>
      <w:pPr>
        <w:tabs>
          <w:tab w:val="num" w:pos="3600"/>
        </w:tabs>
        <w:ind w:left="3600" w:hanging="360"/>
      </w:pPr>
      <w:rPr>
        <w:rFonts w:ascii="Arial" w:hAnsi="Arial" w:hint="default"/>
      </w:rPr>
    </w:lvl>
    <w:lvl w:ilvl="5" w:tplc="B678C870" w:tentative="1">
      <w:start w:val="1"/>
      <w:numFmt w:val="bullet"/>
      <w:lvlText w:val="•"/>
      <w:lvlJc w:val="left"/>
      <w:pPr>
        <w:tabs>
          <w:tab w:val="num" w:pos="4320"/>
        </w:tabs>
        <w:ind w:left="4320" w:hanging="360"/>
      </w:pPr>
      <w:rPr>
        <w:rFonts w:ascii="Arial" w:hAnsi="Arial" w:hint="default"/>
      </w:rPr>
    </w:lvl>
    <w:lvl w:ilvl="6" w:tplc="F2DEE2D8" w:tentative="1">
      <w:start w:val="1"/>
      <w:numFmt w:val="bullet"/>
      <w:lvlText w:val="•"/>
      <w:lvlJc w:val="left"/>
      <w:pPr>
        <w:tabs>
          <w:tab w:val="num" w:pos="5040"/>
        </w:tabs>
        <w:ind w:left="5040" w:hanging="360"/>
      </w:pPr>
      <w:rPr>
        <w:rFonts w:ascii="Arial" w:hAnsi="Arial" w:hint="default"/>
      </w:rPr>
    </w:lvl>
    <w:lvl w:ilvl="7" w:tplc="2DD49BEA" w:tentative="1">
      <w:start w:val="1"/>
      <w:numFmt w:val="bullet"/>
      <w:lvlText w:val="•"/>
      <w:lvlJc w:val="left"/>
      <w:pPr>
        <w:tabs>
          <w:tab w:val="num" w:pos="5760"/>
        </w:tabs>
        <w:ind w:left="5760" w:hanging="360"/>
      </w:pPr>
      <w:rPr>
        <w:rFonts w:ascii="Arial" w:hAnsi="Arial" w:hint="default"/>
      </w:rPr>
    </w:lvl>
    <w:lvl w:ilvl="8" w:tplc="09F8E7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62295D"/>
    <w:multiLevelType w:val="hybridMultilevel"/>
    <w:tmpl w:val="72A48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84D033C"/>
    <w:multiLevelType w:val="multilevel"/>
    <w:tmpl w:val="9220482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Calibri" w:hAnsi="Calibri" w:cs="Calibr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7"/>
  </w:num>
  <w:num w:numId="4">
    <w:abstractNumId w:val="3"/>
  </w:num>
  <w:num w:numId="5">
    <w:abstractNumId w:val="4"/>
  </w:num>
  <w:num w:numId="6">
    <w:abstractNumId w:val="1"/>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0MzOyNLcwN7IwMrNQ0lEKTi0uzszPAykwqQUAvarlCywAAAA="/>
  </w:docVars>
  <w:rsids>
    <w:rsidRoot w:val="00E65E79"/>
    <w:rsid w:val="00000790"/>
    <w:rsid w:val="0000110B"/>
    <w:rsid w:val="0000216A"/>
    <w:rsid w:val="000032A4"/>
    <w:rsid w:val="00003499"/>
    <w:rsid w:val="000039B7"/>
    <w:rsid w:val="000043D1"/>
    <w:rsid w:val="000053EF"/>
    <w:rsid w:val="00006421"/>
    <w:rsid w:val="000067C3"/>
    <w:rsid w:val="00007309"/>
    <w:rsid w:val="00007337"/>
    <w:rsid w:val="00011085"/>
    <w:rsid w:val="000116B1"/>
    <w:rsid w:val="00012360"/>
    <w:rsid w:val="00012852"/>
    <w:rsid w:val="00012E91"/>
    <w:rsid w:val="00013247"/>
    <w:rsid w:val="00014429"/>
    <w:rsid w:val="000148C9"/>
    <w:rsid w:val="00014DF2"/>
    <w:rsid w:val="00014FDD"/>
    <w:rsid w:val="00015886"/>
    <w:rsid w:val="000162EF"/>
    <w:rsid w:val="000163B7"/>
    <w:rsid w:val="0001650D"/>
    <w:rsid w:val="0002017D"/>
    <w:rsid w:val="00020A8F"/>
    <w:rsid w:val="0002225F"/>
    <w:rsid w:val="0002262A"/>
    <w:rsid w:val="0002365D"/>
    <w:rsid w:val="00023763"/>
    <w:rsid w:val="000248F5"/>
    <w:rsid w:val="00026EA1"/>
    <w:rsid w:val="00027B1E"/>
    <w:rsid w:val="00027DAB"/>
    <w:rsid w:val="000303AC"/>
    <w:rsid w:val="00031F3E"/>
    <w:rsid w:val="00032B10"/>
    <w:rsid w:val="00033369"/>
    <w:rsid w:val="00033863"/>
    <w:rsid w:val="00034635"/>
    <w:rsid w:val="0003557B"/>
    <w:rsid w:val="000357EB"/>
    <w:rsid w:val="00035DC0"/>
    <w:rsid w:val="00036829"/>
    <w:rsid w:val="000403CE"/>
    <w:rsid w:val="00040895"/>
    <w:rsid w:val="00040CE4"/>
    <w:rsid w:val="00040E17"/>
    <w:rsid w:val="00041560"/>
    <w:rsid w:val="00042832"/>
    <w:rsid w:val="00042DA8"/>
    <w:rsid w:val="00043AF5"/>
    <w:rsid w:val="00043C37"/>
    <w:rsid w:val="00044F8E"/>
    <w:rsid w:val="00045017"/>
    <w:rsid w:val="0004551E"/>
    <w:rsid w:val="00045A2B"/>
    <w:rsid w:val="0004698F"/>
    <w:rsid w:val="00047301"/>
    <w:rsid w:val="00050E05"/>
    <w:rsid w:val="00051350"/>
    <w:rsid w:val="00051F42"/>
    <w:rsid w:val="00052188"/>
    <w:rsid w:val="00052299"/>
    <w:rsid w:val="000526CA"/>
    <w:rsid w:val="00052854"/>
    <w:rsid w:val="000530DE"/>
    <w:rsid w:val="000530F4"/>
    <w:rsid w:val="000539D0"/>
    <w:rsid w:val="00054621"/>
    <w:rsid w:val="000546D7"/>
    <w:rsid w:val="0005544D"/>
    <w:rsid w:val="00055520"/>
    <w:rsid w:val="000561AF"/>
    <w:rsid w:val="000561ED"/>
    <w:rsid w:val="0005773C"/>
    <w:rsid w:val="00060576"/>
    <w:rsid w:val="00060A61"/>
    <w:rsid w:val="000621BC"/>
    <w:rsid w:val="00062637"/>
    <w:rsid w:val="0006268C"/>
    <w:rsid w:val="00062711"/>
    <w:rsid w:val="00062BD2"/>
    <w:rsid w:val="00063116"/>
    <w:rsid w:val="000639BB"/>
    <w:rsid w:val="0006421E"/>
    <w:rsid w:val="00066360"/>
    <w:rsid w:val="00067A4E"/>
    <w:rsid w:val="00070223"/>
    <w:rsid w:val="000705D6"/>
    <w:rsid w:val="00071248"/>
    <w:rsid w:val="00071B1F"/>
    <w:rsid w:val="000720B9"/>
    <w:rsid w:val="00073732"/>
    <w:rsid w:val="000737F7"/>
    <w:rsid w:val="00073C9A"/>
    <w:rsid w:val="00074266"/>
    <w:rsid w:val="0007472E"/>
    <w:rsid w:val="00074BE6"/>
    <w:rsid w:val="0007672F"/>
    <w:rsid w:val="00076952"/>
    <w:rsid w:val="00077402"/>
    <w:rsid w:val="000774F0"/>
    <w:rsid w:val="00080909"/>
    <w:rsid w:val="000812CA"/>
    <w:rsid w:val="0008222D"/>
    <w:rsid w:val="0008258D"/>
    <w:rsid w:val="00082E93"/>
    <w:rsid w:val="00082F31"/>
    <w:rsid w:val="00083E99"/>
    <w:rsid w:val="00085175"/>
    <w:rsid w:val="000851C1"/>
    <w:rsid w:val="000856C5"/>
    <w:rsid w:val="000857A1"/>
    <w:rsid w:val="00087A7B"/>
    <w:rsid w:val="00090968"/>
    <w:rsid w:val="00090C5E"/>
    <w:rsid w:val="00090C7E"/>
    <w:rsid w:val="00090CA0"/>
    <w:rsid w:val="00092600"/>
    <w:rsid w:val="0009262B"/>
    <w:rsid w:val="00092DE7"/>
    <w:rsid w:val="00093310"/>
    <w:rsid w:val="0009445C"/>
    <w:rsid w:val="00094F40"/>
    <w:rsid w:val="000950C1"/>
    <w:rsid w:val="000955FE"/>
    <w:rsid w:val="00095FE5"/>
    <w:rsid w:val="00096284"/>
    <w:rsid w:val="000973DE"/>
    <w:rsid w:val="00097AFD"/>
    <w:rsid w:val="00097FC6"/>
    <w:rsid w:val="000A003F"/>
    <w:rsid w:val="000A0BDA"/>
    <w:rsid w:val="000A1AA7"/>
    <w:rsid w:val="000A3F45"/>
    <w:rsid w:val="000A44B8"/>
    <w:rsid w:val="000A5D5F"/>
    <w:rsid w:val="000A5F86"/>
    <w:rsid w:val="000A6E60"/>
    <w:rsid w:val="000A756E"/>
    <w:rsid w:val="000A7B26"/>
    <w:rsid w:val="000A7B68"/>
    <w:rsid w:val="000A7D08"/>
    <w:rsid w:val="000B0319"/>
    <w:rsid w:val="000B0670"/>
    <w:rsid w:val="000B070B"/>
    <w:rsid w:val="000B07A9"/>
    <w:rsid w:val="000B0E75"/>
    <w:rsid w:val="000B246F"/>
    <w:rsid w:val="000B4242"/>
    <w:rsid w:val="000B43CE"/>
    <w:rsid w:val="000B4E23"/>
    <w:rsid w:val="000B6CAC"/>
    <w:rsid w:val="000B6E4D"/>
    <w:rsid w:val="000B6E97"/>
    <w:rsid w:val="000B70B1"/>
    <w:rsid w:val="000B7239"/>
    <w:rsid w:val="000B7612"/>
    <w:rsid w:val="000B7AF5"/>
    <w:rsid w:val="000C1BC6"/>
    <w:rsid w:val="000C1C9C"/>
    <w:rsid w:val="000C22D0"/>
    <w:rsid w:val="000C2631"/>
    <w:rsid w:val="000C296C"/>
    <w:rsid w:val="000C3736"/>
    <w:rsid w:val="000C3DF9"/>
    <w:rsid w:val="000C499A"/>
    <w:rsid w:val="000C511D"/>
    <w:rsid w:val="000C6713"/>
    <w:rsid w:val="000C6E96"/>
    <w:rsid w:val="000C734D"/>
    <w:rsid w:val="000D15C5"/>
    <w:rsid w:val="000D1951"/>
    <w:rsid w:val="000D1BFC"/>
    <w:rsid w:val="000D1CFC"/>
    <w:rsid w:val="000D281A"/>
    <w:rsid w:val="000D326A"/>
    <w:rsid w:val="000D3F0C"/>
    <w:rsid w:val="000D404B"/>
    <w:rsid w:val="000D4C37"/>
    <w:rsid w:val="000D51FB"/>
    <w:rsid w:val="000D55AB"/>
    <w:rsid w:val="000D5A2D"/>
    <w:rsid w:val="000D5A8F"/>
    <w:rsid w:val="000D60F5"/>
    <w:rsid w:val="000D68A7"/>
    <w:rsid w:val="000D6B38"/>
    <w:rsid w:val="000D78A4"/>
    <w:rsid w:val="000E0160"/>
    <w:rsid w:val="000E03F5"/>
    <w:rsid w:val="000E05B0"/>
    <w:rsid w:val="000E135D"/>
    <w:rsid w:val="000E1927"/>
    <w:rsid w:val="000E204D"/>
    <w:rsid w:val="000E3A9F"/>
    <w:rsid w:val="000E43C6"/>
    <w:rsid w:val="000E5E81"/>
    <w:rsid w:val="000E6779"/>
    <w:rsid w:val="000F00BA"/>
    <w:rsid w:val="000F1023"/>
    <w:rsid w:val="000F1A6E"/>
    <w:rsid w:val="000F1FB6"/>
    <w:rsid w:val="000F21AD"/>
    <w:rsid w:val="000F30A3"/>
    <w:rsid w:val="000F316A"/>
    <w:rsid w:val="000F32FE"/>
    <w:rsid w:val="000F3C74"/>
    <w:rsid w:val="000F3DE1"/>
    <w:rsid w:val="000F41A2"/>
    <w:rsid w:val="000F4BB8"/>
    <w:rsid w:val="000F4CB6"/>
    <w:rsid w:val="000F5EA6"/>
    <w:rsid w:val="000F7127"/>
    <w:rsid w:val="000F721A"/>
    <w:rsid w:val="0010017F"/>
    <w:rsid w:val="00100C48"/>
    <w:rsid w:val="00100F8A"/>
    <w:rsid w:val="00101710"/>
    <w:rsid w:val="001019A6"/>
    <w:rsid w:val="0010271F"/>
    <w:rsid w:val="00103689"/>
    <w:rsid w:val="0010530E"/>
    <w:rsid w:val="00105730"/>
    <w:rsid w:val="00105AE2"/>
    <w:rsid w:val="00106B80"/>
    <w:rsid w:val="00106F6B"/>
    <w:rsid w:val="00107348"/>
    <w:rsid w:val="00107975"/>
    <w:rsid w:val="001079CB"/>
    <w:rsid w:val="00107E0E"/>
    <w:rsid w:val="00110096"/>
    <w:rsid w:val="0011032E"/>
    <w:rsid w:val="00110948"/>
    <w:rsid w:val="00111ECC"/>
    <w:rsid w:val="00111F12"/>
    <w:rsid w:val="001129D5"/>
    <w:rsid w:val="00112A77"/>
    <w:rsid w:val="00112C29"/>
    <w:rsid w:val="0011348B"/>
    <w:rsid w:val="00113FCC"/>
    <w:rsid w:val="001144B9"/>
    <w:rsid w:val="0011538A"/>
    <w:rsid w:val="00115658"/>
    <w:rsid w:val="00115715"/>
    <w:rsid w:val="00115982"/>
    <w:rsid w:val="00115FF8"/>
    <w:rsid w:val="00116C53"/>
    <w:rsid w:val="00117492"/>
    <w:rsid w:val="001201C4"/>
    <w:rsid w:val="0012080B"/>
    <w:rsid w:val="00121799"/>
    <w:rsid w:val="001219BE"/>
    <w:rsid w:val="001222FC"/>
    <w:rsid w:val="001224C8"/>
    <w:rsid w:val="001225B8"/>
    <w:rsid w:val="00124A51"/>
    <w:rsid w:val="00125030"/>
    <w:rsid w:val="001259C3"/>
    <w:rsid w:val="00125B19"/>
    <w:rsid w:val="00125D37"/>
    <w:rsid w:val="00126621"/>
    <w:rsid w:val="001301E9"/>
    <w:rsid w:val="00131ABF"/>
    <w:rsid w:val="00131D82"/>
    <w:rsid w:val="00132641"/>
    <w:rsid w:val="00132856"/>
    <w:rsid w:val="00132C88"/>
    <w:rsid w:val="0013366F"/>
    <w:rsid w:val="00133D36"/>
    <w:rsid w:val="001340FC"/>
    <w:rsid w:val="0013415F"/>
    <w:rsid w:val="0013445B"/>
    <w:rsid w:val="001358DF"/>
    <w:rsid w:val="00135D2B"/>
    <w:rsid w:val="0013602D"/>
    <w:rsid w:val="0013628E"/>
    <w:rsid w:val="00137645"/>
    <w:rsid w:val="00137D83"/>
    <w:rsid w:val="0014015A"/>
    <w:rsid w:val="00140E99"/>
    <w:rsid w:val="0014239B"/>
    <w:rsid w:val="00142A93"/>
    <w:rsid w:val="00142AD8"/>
    <w:rsid w:val="00142CB3"/>
    <w:rsid w:val="00142FA8"/>
    <w:rsid w:val="00143DE9"/>
    <w:rsid w:val="00144400"/>
    <w:rsid w:val="00144885"/>
    <w:rsid w:val="0014505E"/>
    <w:rsid w:val="00145540"/>
    <w:rsid w:val="001456B0"/>
    <w:rsid w:val="0014659D"/>
    <w:rsid w:val="0014742F"/>
    <w:rsid w:val="00147BD7"/>
    <w:rsid w:val="00150168"/>
    <w:rsid w:val="00150480"/>
    <w:rsid w:val="001519D6"/>
    <w:rsid w:val="00151C68"/>
    <w:rsid w:val="001522FA"/>
    <w:rsid w:val="00152642"/>
    <w:rsid w:val="00153403"/>
    <w:rsid w:val="001534D0"/>
    <w:rsid w:val="00154745"/>
    <w:rsid w:val="00154A09"/>
    <w:rsid w:val="00157130"/>
    <w:rsid w:val="001576B1"/>
    <w:rsid w:val="00157F3C"/>
    <w:rsid w:val="00160A4C"/>
    <w:rsid w:val="00162913"/>
    <w:rsid w:val="00162DB2"/>
    <w:rsid w:val="0016317D"/>
    <w:rsid w:val="00163EFF"/>
    <w:rsid w:val="001647FD"/>
    <w:rsid w:val="00165448"/>
    <w:rsid w:val="001661FB"/>
    <w:rsid w:val="0016784D"/>
    <w:rsid w:val="00170DFD"/>
    <w:rsid w:val="001715DD"/>
    <w:rsid w:val="00172582"/>
    <w:rsid w:val="00172A7E"/>
    <w:rsid w:val="00173565"/>
    <w:rsid w:val="001736CB"/>
    <w:rsid w:val="00173B07"/>
    <w:rsid w:val="00173C29"/>
    <w:rsid w:val="001753EF"/>
    <w:rsid w:val="00175A25"/>
    <w:rsid w:val="0017623C"/>
    <w:rsid w:val="00176B0A"/>
    <w:rsid w:val="0018068F"/>
    <w:rsid w:val="00181072"/>
    <w:rsid w:val="00181880"/>
    <w:rsid w:val="00181A70"/>
    <w:rsid w:val="00181A8A"/>
    <w:rsid w:val="00181D9C"/>
    <w:rsid w:val="0018325C"/>
    <w:rsid w:val="00184178"/>
    <w:rsid w:val="001842BE"/>
    <w:rsid w:val="0018432D"/>
    <w:rsid w:val="00184963"/>
    <w:rsid w:val="00184964"/>
    <w:rsid w:val="00186040"/>
    <w:rsid w:val="00186AD4"/>
    <w:rsid w:val="0018752F"/>
    <w:rsid w:val="00187E44"/>
    <w:rsid w:val="00190E62"/>
    <w:rsid w:val="00191264"/>
    <w:rsid w:val="001920DE"/>
    <w:rsid w:val="0019228A"/>
    <w:rsid w:val="00193868"/>
    <w:rsid w:val="00193BA7"/>
    <w:rsid w:val="00194025"/>
    <w:rsid w:val="0019417D"/>
    <w:rsid w:val="001942C6"/>
    <w:rsid w:val="00194815"/>
    <w:rsid w:val="001950B4"/>
    <w:rsid w:val="00195159"/>
    <w:rsid w:val="00195222"/>
    <w:rsid w:val="00195A2C"/>
    <w:rsid w:val="00196313"/>
    <w:rsid w:val="001975D8"/>
    <w:rsid w:val="00197D37"/>
    <w:rsid w:val="001A10E6"/>
    <w:rsid w:val="001A1C8C"/>
    <w:rsid w:val="001A1DCD"/>
    <w:rsid w:val="001A215D"/>
    <w:rsid w:val="001A2BFC"/>
    <w:rsid w:val="001A310A"/>
    <w:rsid w:val="001A43FA"/>
    <w:rsid w:val="001A4F01"/>
    <w:rsid w:val="001A59FB"/>
    <w:rsid w:val="001A5DFC"/>
    <w:rsid w:val="001A6354"/>
    <w:rsid w:val="001A7766"/>
    <w:rsid w:val="001A7AE8"/>
    <w:rsid w:val="001A7F9E"/>
    <w:rsid w:val="001B0379"/>
    <w:rsid w:val="001B07B7"/>
    <w:rsid w:val="001B0ECC"/>
    <w:rsid w:val="001B185F"/>
    <w:rsid w:val="001B204E"/>
    <w:rsid w:val="001B214A"/>
    <w:rsid w:val="001B28A0"/>
    <w:rsid w:val="001B3443"/>
    <w:rsid w:val="001B3A2E"/>
    <w:rsid w:val="001B3F91"/>
    <w:rsid w:val="001B43F6"/>
    <w:rsid w:val="001B45B9"/>
    <w:rsid w:val="001B4C55"/>
    <w:rsid w:val="001B4D20"/>
    <w:rsid w:val="001B6109"/>
    <w:rsid w:val="001B612E"/>
    <w:rsid w:val="001C1195"/>
    <w:rsid w:val="001C257B"/>
    <w:rsid w:val="001C2A9B"/>
    <w:rsid w:val="001C2CCF"/>
    <w:rsid w:val="001C2D36"/>
    <w:rsid w:val="001C2F89"/>
    <w:rsid w:val="001C3130"/>
    <w:rsid w:val="001C31CB"/>
    <w:rsid w:val="001C4299"/>
    <w:rsid w:val="001C4968"/>
    <w:rsid w:val="001C507C"/>
    <w:rsid w:val="001C566A"/>
    <w:rsid w:val="001C5F94"/>
    <w:rsid w:val="001C61D7"/>
    <w:rsid w:val="001C6E66"/>
    <w:rsid w:val="001D0238"/>
    <w:rsid w:val="001D0457"/>
    <w:rsid w:val="001D079B"/>
    <w:rsid w:val="001D2AA9"/>
    <w:rsid w:val="001D2C3D"/>
    <w:rsid w:val="001D2EAA"/>
    <w:rsid w:val="001D4544"/>
    <w:rsid w:val="001D5BA4"/>
    <w:rsid w:val="001D6251"/>
    <w:rsid w:val="001D69A6"/>
    <w:rsid w:val="001D6C47"/>
    <w:rsid w:val="001D7AAC"/>
    <w:rsid w:val="001D7BFD"/>
    <w:rsid w:val="001E2211"/>
    <w:rsid w:val="001E238E"/>
    <w:rsid w:val="001E2395"/>
    <w:rsid w:val="001E2483"/>
    <w:rsid w:val="001E25C0"/>
    <w:rsid w:val="001E2B1E"/>
    <w:rsid w:val="001E3072"/>
    <w:rsid w:val="001E30D4"/>
    <w:rsid w:val="001E38D1"/>
    <w:rsid w:val="001E4445"/>
    <w:rsid w:val="001E4567"/>
    <w:rsid w:val="001E46AE"/>
    <w:rsid w:val="001E52EB"/>
    <w:rsid w:val="001E61D2"/>
    <w:rsid w:val="001E740C"/>
    <w:rsid w:val="001E7AEB"/>
    <w:rsid w:val="001E7FCF"/>
    <w:rsid w:val="001F0BAF"/>
    <w:rsid w:val="001F1235"/>
    <w:rsid w:val="001F1CB3"/>
    <w:rsid w:val="001F38B5"/>
    <w:rsid w:val="001F3EBD"/>
    <w:rsid w:val="001F46E1"/>
    <w:rsid w:val="001F5597"/>
    <w:rsid w:val="001F5982"/>
    <w:rsid w:val="001F7361"/>
    <w:rsid w:val="00200279"/>
    <w:rsid w:val="002011B0"/>
    <w:rsid w:val="00201446"/>
    <w:rsid w:val="0020209E"/>
    <w:rsid w:val="002022EC"/>
    <w:rsid w:val="00203181"/>
    <w:rsid w:val="00203783"/>
    <w:rsid w:val="0020385F"/>
    <w:rsid w:val="00203A18"/>
    <w:rsid w:val="00203C69"/>
    <w:rsid w:val="00204E8D"/>
    <w:rsid w:val="00204F16"/>
    <w:rsid w:val="0020529E"/>
    <w:rsid w:val="00205A5E"/>
    <w:rsid w:val="00207021"/>
    <w:rsid w:val="0020732F"/>
    <w:rsid w:val="002075B0"/>
    <w:rsid w:val="00207D00"/>
    <w:rsid w:val="002105C1"/>
    <w:rsid w:val="00210616"/>
    <w:rsid w:val="00210734"/>
    <w:rsid w:val="0021216A"/>
    <w:rsid w:val="00212796"/>
    <w:rsid w:val="00212DD5"/>
    <w:rsid w:val="00214413"/>
    <w:rsid w:val="002144E9"/>
    <w:rsid w:val="00215CC2"/>
    <w:rsid w:val="00216365"/>
    <w:rsid w:val="00216454"/>
    <w:rsid w:val="0021653D"/>
    <w:rsid w:val="0021698A"/>
    <w:rsid w:val="00216CD5"/>
    <w:rsid w:val="00217A2B"/>
    <w:rsid w:val="00220BBA"/>
    <w:rsid w:val="00220BF5"/>
    <w:rsid w:val="00221CEE"/>
    <w:rsid w:val="002227CB"/>
    <w:rsid w:val="00222EB8"/>
    <w:rsid w:val="00223B49"/>
    <w:rsid w:val="00223CA1"/>
    <w:rsid w:val="00224DD4"/>
    <w:rsid w:val="002255FB"/>
    <w:rsid w:val="00225D58"/>
    <w:rsid w:val="00227415"/>
    <w:rsid w:val="0023031E"/>
    <w:rsid w:val="002309CC"/>
    <w:rsid w:val="0023190B"/>
    <w:rsid w:val="0023209F"/>
    <w:rsid w:val="00232904"/>
    <w:rsid w:val="00232909"/>
    <w:rsid w:val="00233844"/>
    <w:rsid w:val="0023629D"/>
    <w:rsid w:val="00236E13"/>
    <w:rsid w:val="00237255"/>
    <w:rsid w:val="00240F35"/>
    <w:rsid w:val="00240F69"/>
    <w:rsid w:val="00241BAC"/>
    <w:rsid w:val="002424AF"/>
    <w:rsid w:val="00242814"/>
    <w:rsid w:val="002439DC"/>
    <w:rsid w:val="00243FF2"/>
    <w:rsid w:val="00244DC8"/>
    <w:rsid w:val="002453D4"/>
    <w:rsid w:val="0024557C"/>
    <w:rsid w:val="002458BA"/>
    <w:rsid w:val="00246273"/>
    <w:rsid w:val="0024636C"/>
    <w:rsid w:val="002464EA"/>
    <w:rsid w:val="00246A8E"/>
    <w:rsid w:val="00247925"/>
    <w:rsid w:val="00250587"/>
    <w:rsid w:val="00250CA4"/>
    <w:rsid w:val="00251410"/>
    <w:rsid w:val="002521D8"/>
    <w:rsid w:val="0025302D"/>
    <w:rsid w:val="00253DAA"/>
    <w:rsid w:val="002540C5"/>
    <w:rsid w:val="00254D35"/>
    <w:rsid w:val="00254DCF"/>
    <w:rsid w:val="00255005"/>
    <w:rsid w:val="00255093"/>
    <w:rsid w:val="0025534B"/>
    <w:rsid w:val="00255BB7"/>
    <w:rsid w:val="00255E6E"/>
    <w:rsid w:val="00257541"/>
    <w:rsid w:val="00257F20"/>
    <w:rsid w:val="002607D3"/>
    <w:rsid w:val="00260B6E"/>
    <w:rsid w:val="00260C57"/>
    <w:rsid w:val="0026111C"/>
    <w:rsid w:val="00262A1A"/>
    <w:rsid w:val="00262A87"/>
    <w:rsid w:val="00262FBC"/>
    <w:rsid w:val="00263C34"/>
    <w:rsid w:val="00263FA5"/>
    <w:rsid w:val="00264B37"/>
    <w:rsid w:val="00264C2A"/>
    <w:rsid w:val="00264D26"/>
    <w:rsid w:val="00265389"/>
    <w:rsid w:val="00265770"/>
    <w:rsid w:val="00266298"/>
    <w:rsid w:val="00267642"/>
    <w:rsid w:val="00267AEA"/>
    <w:rsid w:val="00267BB2"/>
    <w:rsid w:val="002700E6"/>
    <w:rsid w:val="00271F34"/>
    <w:rsid w:val="00272613"/>
    <w:rsid w:val="002727FA"/>
    <w:rsid w:val="0027294B"/>
    <w:rsid w:val="0027313B"/>
    <w:rsid w:val="00273AAB"/>
    <w:rsid w:val="00273C11"/>
    <w:rsid w:val="002758EE"/>
    <w:rsid w:val="00275C5A"/>
    <w:rsid w:val="00276411"/>
    <w:rsid w:val="002768E3"/>
    <w:rsid w:val="00277252"/>
    <w:rsid w:val="0027759E"/>
    <w:rsid w:val="00280D55"/>
    <w:rsid w:val="00280E03"/>
    <w:rsid w:val="00281014"/>
    <w:rsid w:val="00281601"/>
    <w:rsid w:val="002818B0"/>
    <w:rsid w:val="002823A6"/>
    <w:rsid w:val="002824A3"/>
    <w:rsid w:val="00282C87"/>
    <w:rsid w:val="00283BBC"/>
    <w:rsid w:val="00284285"/>
    <w:rsid w:val="00285AC8"/>
    <w:rsid w:val="00286626"/>
    <w:rsid w:val="0029215C"/>
    <w:rsid w:val="00292B10"/>
    <w:rsid w:val="002930AA"/>
    <w:rsid w:val="0029640C"/>
    <w:rsid w:val="00296E51"/>
    <w:rsid w:val="00297675"/>
    <w:rsid w:val="00297C20"/>
    <w:rsid w:val="002A07A0"/>
    <w:rsid w:val="002A11F9"/>
    <w:rsid w:val="002A14AB"/>
    <w:rsid w:val="002A1507"/>
    <w:rsid w:val="002A1A52"/>
    <w:rsid w:val="002A1AEC"/>
    <w:rsid w:val="002A214D"/>
    <w:rsid w:val="002A2313"/>
    <w:rsid w:val="002A2F50"/>
    <w:rsid w:val="002A31E7"/>
    <w:rsid w:val="002A3CE6"/>
    <w:rsid w:val="002A3EF5"/>
    <w:rsid w:val="002A43EF"/>
    <w:rsid w:val="002A5702"/>
    <w:rsid w:val="002A5C5D"/>
    <w:rsid w:val="002A652D"/>
    <w:rsid w:val="002B02CB"/>
    <w:rsid w:val="002B09A4"/>
    <w:rsid w:val="002B1407"/>
    <w:rsid w:val="002B17B5"/>
    <w:rsid w:val="002B1C1F"/>
    <w:rsid w:val="002B23F9"/>
    <w:rsid w:val="002B2AE1"/>
    <w:rsid w:val="002B2DA8"/>
    <w:rsid w:val="002B33AA"/>
    <w:rsid w:val="002B3EAD"/>
    <w:rsid w:val="002B4261"/>
    <w:rsid w:val="002B432F"/>
    <w:rsid w:val="002B5BE1"/>
    <w:rsid w:val="002B62B3"/>
    <w:rsid w:val="002B6754"/>
    <w:rsid w:val="002B6CCE"/>
    <w:rsid w:val="002B7555"/>
    <w:rsid w:val="002B793A"/>
    <w:rsid w:val="002B7AEF"/>
    <w:rsid w:val="002C029F"/>
    <w:rsid w:val="002C08C6"/>
    <w:rsid w:val="002C0A3A"/>
    <w:rsid w:val="002C0F25"/>
    <w:rsid w:val="002C1EA7"/>
    <w:rsid w:val="002C217A"/>
    <w:rsid w:val="002C2510"/>
    <w:rsid w:val="002C2775"/>
    <w:rsid w:val="002C27C1"/>
    <w:rsid w:val="002C28E9"/>
    <w:rsid w:val="002C29C7"/>
    <w:rsid w:val="002C336A"/>
    <w:rsid w:val="002C3ED9"/>
    <w:rsid w:val="002C4A52"/>
    <w:rsid w:val="002C5099"/>
    <w:rsid w:val="002C50AA"/>
    <w:rsid w:val="002C5889"/>
    <w:rsid w:val="002C595B"/>
    <w:rsid w:val="002C6348"/>
    <w:rsid w:val="002C71CE"/>
    <w:rsid w:val="002C79D8"/>
    <w:rsid w:val="002C7A4F"/>
    <w:rsid w:val="002D0DF5"/>
    <w:rsid w:val="002D1394"/>
    <w:rsid w:val="002D1625"/>
    <w:rsid w:val="002D1836"/>
    <w:rsid w:val="002D215D"/>
    <w:rsid w:val="002D2EDA"/>
    <w:rsid w:val="002D3AA8"/>
    <w:rsid w:val="002D4A1F"/>
    <w:rsid w:val="002D577C"/>
    <w:rsid w:val="002D5845"/>
    <w:rsid w:val="002D5E77"/>
    <w:rsid w:val="002D616A"/>
    <w:rsid w:val="002D6338"/>
    <w:rsid w:val="002D64B5"/>
    <w:rsid w:val="002D6F04"/>
    <w:rsid w:val="002D7176"/>
    <w:rsid w:val="002E0771"/>
    <w:rsid w:val="002E0986"/>
    <w:rsid w:val="002E15B9"/>
    <w:rsid w:val="002E1831"/>
    <w:rsid w:val="002E211E"/>
    <w:rsid w:val="002E2158"/>
    <w:rsid w:val="002E25FD"/>
    <w:rsid w:val="002E2F58"/>
    <w:rsid w:val="002E6659"/>
    <w:rsid w:val="002E6883"/>
    <w:rsid w:val="002E75C2"/>
    <w:rsid w:val="002E7722"/>
    <w:rsid w:val="002F07BA"/>
    <w:rsid w:val="002F0DA9"/>
    <w:rsid w:val="002F1329"/>
    <w:rsid w:val="002F15A7"/>
    <w:rsid w:val="002F1E8F"/>
    <w:rsid w:val="002F2549"/>
    <w:rsid w:val="002F2D83"/>
    <w:rsid w:val="002F3AA6"/>
    <w:rsid w:val="002F43B9"/>
    <w:rsid w:val="002F459E"/>
    <w:rsid w:val="002F518E"/>
    <w:rsid w:val="002F542B"/>
    <w:rsid w:val="002F559C"/>
    <w:rsid w:val="002F59E0"/>
    <w:rsid w:val="002F643C"/>
    <w:rsid w:val="002F71C0"/>
    <w:rsid w:val="002F721F"/>
    <w:rsid w:val="002F796D"/>
    <w:rsid w:val="00301017"/>
    <w:rsid w:val="00301423"/>
    <w:rsid w:val="0030155F"/>
    <w:rsid w:val="00302300"/>
    <w:rsid w:val="003023EA"/>
    <w:rsid w:val="003025E4"/>
    <w:rsid w:val="00302726"/>
    <w:rsid w:val="0030276A"/>
    <w:rsid w:val="00303B78"/>
    <w:rsid w:val="00303DFA"/>
    <w:rsid w:val="00304A91"/>
    <w:rsid w:val="00305628"/>
    <w:rsid w:val="0030587B"/>
    <w:rsid w:val="003058E4"/>
    <w:rsid w:val="00306A19"/>
    <w:rsid w:val="00306D67"/>
    <w:rsid w:val="00306D98"/>
    <w:rsid w:val="00306E07"/>
    <w:rsid w:val="00306F30"/>
    <w:rsid w:val="0030786C"/>
    <w:rsid w:val="0031031A"/>
    <w:rsid w:val="00310981"/>
    <w:rsid w:val="00311440"/>
    <w:rsid w:val="003117CD"/>
    <w:rsid w:val="00311DE9"/>
    <w:rsid w:val="003121C6"/>
    <w:rsid w:val="003125DA"/>
    <w:rsid w:val="00314010"/>
    <w:rsid w:val="003142E9"/>
    <w:rsid w:val="00315498"/>
    <w:rsid w:val="00316157"/>
    <w:rsid w:val="0031740F"/>
    <w:rsid w:val="0032070E"/>
    <w:rsid w:val="00321166"/>
    <w:rsid w:val="00322107"/>
    <w:rsid w:val="00322675"/>
    <w:rsid w:val="00322846"/>
    <w:rsid w:val="00324754"/>
    <w:rsid w:val="00325EEF"/>
    <w:rsid w:val="0032645D"/>
    <w:rsid w:val="00326DA7"/>
    <w:rsid w:val="003270E4"/>
    <w:rsid w:val="00330500"/>
    <w:rsid w:val="00330F5C"/>
    <w:rsid w:val="00332E95"/>
    <w:rsid w:val="0033401E"/>
    <w:rsid w:val="00334F3B"/>
    <w:rsid w:val="00335324"/>
    <w:rsid w:val="003363CD"/>
    <w:rsid w:val="003366C9"/>
    <w:rsid w:val="003368FF"/>
    <w:rsid w:val="00336A56"/>
    <w:rsid w:val="003371B0"/>
    <w:rsid w:val="00337872"/>
    <w:rsid w:val="00337C60"/>
    <w:rsid w:val="00340538"/>
    <w:rsid w:val="003409D4"/>
    <w:rsid w:val="00340DF1"/>
    <w:rsid w:val="003410BC"/>
    <w:rsid w:val="00341AF9"/>
    <w:rsid w:val="00341BAA"/>
    <w:rsid w:val="0034299E"/>
    <w:rsid w:val="00342CAA"/>
    <w:rsid w:val="00343238"/>
    <w:rsid w:val="00344098"/>
    <w:rsid w:val="00344143"/>
    <w:rsid w:val="00346046"/>
    <w:rsid w:val="003468D4"/>
    <w:rsid w:val="003469FD"/>
    <w:rsid w:val="00347051"/>
    <w:rsid w:val="00347BB0"/>
    <w:rsid w:val="00350880"/>
    <w:rsid w:val="00351078"/>
    <w:rsid w:val="0035118B"/>
    <w:rsid w:val="003517F9"/>
    <w:rsid w:val="00352C2C"/>
    <w:rsid w:val="00353A0E"/>
    <w:rsid w:val="00354229"/>
    <w:rsid w:val="0035459E"/>
    <w:rsid w:val="00354825"/>
    <w:rsid w:val="003553BB"/>
    <w:rsid w:val="00355A33"/>
    <w:rsid w:val="00355B47"/>
    <w:rsid w:val="0035620E"/>
    <w:rsid w:val="00357399"/>
    <w:rsid w:val="00357B18"/>
    <w:rsid w:val="0036030C"/>
    <w:rsid w:val="00361DE8"/>
    <w:rsid w:val="00361FFD"/>
    <w:rsid w:val="003624C4"/>
    <w:rsid w:val="003625E7"/>
    <w:rsid w:val="00362DC9"/>
    <w:rsid w:val="00363A57"/>
    <w:rsid w:val="00363B5C"/>
    <w:rsid w:val="00363DCA"/>
    <w:rsid w:val="00363F73"/>
    <w:rsid w:val="003644AC"/>
    <w:rsid w:val="003644D0"/>
    <w:rsid w:val="003654AC"/>
    <w:rsid w:val="00365B0B"/>
    <w:rsid w:val="00365E11"/>
    <w:rsid w:val="0036776A"/>
    <w:rsid w:val="00367984"/>
    <w:rsid w:val="00370785"/>
    <w:rsid w:val="00370868"/>
    <w:rsid w:val="003710CF"/>
    <w:rsid w:val="00371F60"/>
    <w:rsid w:val="00371FB2"/>
    <w:rsid w:val="003725FD"/>
    <w:rsid w:val="0037358A"/>
    <w:rsid w:val="00373F52"/>
    <w:rsid w:val="00375051"/>
    <w:rsid w:val="003750F6"/>
    <w:rsid w:val="003754A3"/>
    <w:rsid w:val="003760FC"/>
    <w:rsid w:val="003762D8"/>
    <w:rsid w:val="0037634C"/>
    <w:rsid w:val="00376B83"/>
    <w:rsid w:val="0037754E"/>
    <w:rsid w:val="003809F2"/>
    <w:rsid w:val="003825A4"/>
    <w:rsid w:val="00382B87"/>
    <w:rsid w:val="0038340B"/>
    <w:rsid w:val="0038365C"/>
    <w:rsid w:val="0038369B"/>
    <w:rsid w:val="00383B78"/>
    <w:rsid w:val="0038492E"/>
    <w:rsid w:val="003849B8"/>
    <w:rsid w:val="0038528E"/>
    <w:rsid w:val="00385A9D"/>
    <w:rsid w:val="00385EF7"/>
    <w:rsid w:val="00386287"/>
    <w:rsid w:val="00386EC5"/>
    <w:rsid w:val="00387896"/>
    <w:rsid w:val="00387FD2"/>
    <w:rsid w:val="003902B1"/>
    <w:rsid w:val="00390C73"/>
    <w:rsid w:val="0039161C"/>
    <w:rsid w:val="003923E2"/>
    <w:rsid w:val="00393406"/>
    <w:rsid w:val="00393AA0"/>
    <w:rsid w:val="00394041"/>
    <w:rsid w:val="003966D7"/>
    <w:rsid w:val="00396896"/>
    <w:rsid w:val="00396D2A"/>
    <w:rsid w:val="00396FD0"/>
    <w:rsid w:val="003A01E2"/>
    <w:rsid w:val="003A0E90"/>
    <w:rsid w:val="003A1796"/>
    <w:rsid w:val="003A1960"/>
    <w:rsid w:val="003A1A7A"/>
    <w:rsid w:val="003A2392"/>
    <w:rsid w:val="003A2831"/>
    <w:rsid w:val="003A28B0"/>
    <w:rsid w:val="003A324F"/>
    <w:rsid w:val="003A3ED1"/>
    <w:rsid w:val="003A4002"/>
    <w:rsid w:val="003A53DF"/>
    <w:rsid w:val="003A5500"/>
    <w:rsid w:val="003A5C62"/>
    <w:rsid w:val="003A6584"/>
    <w:rsid w:val="003A782D"/>
    <w:rsid w:val="003B0FE5"/>
    <w:rsid w:val="003B170A"/>
    <w:rsid w:val="003B1B3F"/>
    <w:rsid w:val="003B2597"/>
    <w:rsid w:val="003B4BD6"/>
    <w:rsid w:val="003B5B61"/>
    <w:rsid w:val="003C00A4"/>
    <w:rsid w:val="003C1561"/>
    <w:rsid w:val="003C1577"/>
    <w:rsid w:val="003C1654"/>
    <w:rsid w:val="003C2AD0"/>
    <w:rsid w:val="003C3562"/>
    <w:rsid w:val="003C3753"/>
    <w:rsid w:val="003C452D"/>
    <w:rsid w:val="003C4C4C"/>
    <w:rsid w:val="003C586F"/>
    <w:rsid w:val="003C62CF"/>
    <w:rsid w:val="003C77F4"/>
    <w:rsid w:val="003C7D19"/>
    <w:rsid w:val="003D0907"/>
    <w:rsid w:val="003D0D81"/>
    <w:rsid w:val="003D124A"/>
    <w:rsid w:val="003D1828"/>
    <w:rsid w:val="003D1DE4"/>
    <w:rsid w:val="003D2422"/>
    <w:rsid w:val="003D39A1"/>
    <w:rsid w:val="003D3C49"/>
    <w:rsid w:val="003D3FBF"/>
    <w:rsid w:val="003D4A30"/>
    <w:rsid w:val="003D4A3F"/>
    <w:rsid w:val="003D4AF3"/>
    <w:rsid w:val="003D55AF"/>
    <w:rsid w:val="003D5EC6"/>
    <w:rsid w:val="003D7776"/>
    <w:rsid w:val="003D79BB"/>
    <w:rsid w:val="003D7B70"/>
    <w:rsid w:val="003D7C98"/>
    <w:rsid w:val="003E0543"/>
    <w:rsid w:val="003E0AA1"/>
    <w:rsid w:val="003E2223"/>
    <w:rsid w:val="003E2367"/>
    <w:rsid w:val="003E2749"/>
    <w:rsid w:val="003E2D6A"/>
    <w:rsid w:val="003E38EB"/>
    <w:rsid w:val="003E3F67"/>
    <w:rsid w:val="003E3FB6"/>
    <w:rsid w:val="003E430B"/>
    <w:rsid w:val="003E47C3"/>
    <w:rsid w:val="003E5914"/>
    <w:rsid w:val="003E6247"/>
    <w:rsid w:val="003E668E"/>
    <w:rsid w:val="003E687B"/>
    <w:rsid w:val="003E783A"/>
    <w:rsid w:val="003E7BA7"/>
    <w:rsid w:val="003E7E93"/>
    <w:rsid w:val="003F0BE1"/>
    <w:rsid w:val="003F0F20"/>
    <w:rsid w:val="003F1A35"/>
    <w:rsid w:val="003F2867"/>
    <w:rsid w:val="003F304D"/>
    <w:rsid w:val="003F4001"/>
    <w:rsid w:val="003F4156"/>
    <w:rsid w:val="003F53F4"/>
    <w:rsid w:val="003F55D2"/>
    <w:rsid w:val="00400B29"/>
    <w:rsid w:val="00401013"/>
    <w:rsid w:val="0040116F"/>
    <w:rsid w:val="004015A0"/>
    <w:rsid w:val="00401CB6"/>
    <w:rsid w:val="0040231D"/>
    <w:rsid w:val="0040289E"/>
    <w:rsid w:val="00402EB3"/>
    <w:rsid w:val="00403537"/>
    <w:rsid w:val="00404031"/>
    <w:rsid w:val="004049EB"/>
    <w:rsid w:val="00404A76"/>
    <w:rsid w:val="0040504B"/>
    <w:rsid w:val="004052E5"/>
    <w:rsid w:val="00405CF7"/>
    <w:rsid w:val="00406E39"/>
    <w:rsid w:val="00407AF7"/>
    <w:rsid w:val="0041005D"/>
    <w:rsid w:val="00410708"/>
    <w:rsid w:val="00410EC7"/>
    <w:rsid w:val="00411832"/>
    <w:rsid w:val="00411B39"/>
    <w:rsid w:val="004123EC"/>
    <w:rsid w:val="00413A1E"/>
    <w:rsid w:val="00414476"/>
    <w:rsid w:val="0041497D"/>
    <w:rsid w:val="00414C2E"/>
    <w:rsid w:val="004151CF"/>
    <w:rsid w:val="00416364"/>
    <w:rsid w:val="0041643A"/>
    <w:rsid w:val="0041764D"/>
    <w:rsid w:val="0041773D"/>
    <w:rsid w:val="00417B61"/>
    <w:rsid w:val="00420AA6"/>
    <w:rsid w:val="00420B9F"/>
    <w:rsid w:val="00422064"/>
    <w:rsid w:val="00422260"/>
    <w:rsid w:val="00423808"/>
    <w:rsid w:val="0042413F"/>
    <w:rsid w:val="00425CDD"/>
    <w:rsid w:val="00426A90"/>
    <w:rsid w:val="00426A99"/>
    <w:rsid w:val="00426BA6"/>
    <w:rsid w:val="004275AD"/>
    <w:rsid w:val="0042769C"/>
    <w:rsid w:val="0042778F"/>
    <w:rsid w:val="00427895"/>
    <w:rsid w:val="00427C83"/>
    <w:rsid w:val="00430A28"/>
    <w:rsid w:val="004315A6"/>
    <w:rsid w:val="00431813"/>
    <w:rsid w:val="004319F8"/>
    <w:rsid w:val="00431E55"/>
    <w:rsid w:val="004321F6"/>
    <w:rsid w:val="00432F25"/>
    <w:rsid w:val="00433044"/>
    <w:rsid w:val="00433F87"/>
    <w:rsid w:val="00435FE1"/>
    <w:rsid w:val="0043635C"/>
    <w:rsid w:val="004375B9"/>
    <w:rsid w:val="00440C9A"/>
    <w:rsid w:val="00442438"/>
    <w:rsid w:val="004428D0"/>
    <w:rsid w:val="004434B9"/>
    <w:rsid w:val="00443913"/>
    <w:rsid w:val="004443A7"/>
    <w:rsid w:val="0044442C"/>
    <w:rsid w:val="00444789"/>
    <w:rsid w:val="00445941"/>
    <w:rsid w:val="0044597F"/>
    <w:rsid w:val="00445D01"/>
    <w:rsid w:val="004464EB"/>
    <w:rsid w:val="004467DA"/>
    <w:rsid w:val="00446B49"/>
    <w:rsid w:val="00446F0D"/>
    <w:rsid w:val="00446F55"/>
    <w:rsid w:val="00447B7E"/>
    <w:rsid w:val="00447D26"/>
    <w:rsid w:val="00447D72"/>
    <w:rsid w:val="004527C8"/>
    <w:rsid w:val="004540EC"/>
    <w:rsid w:val="004559CB"/>
    <w:rsid w:val="00455D45"/>
    <w:rsid w:val="00455D66"/>
    <w:rsid w:val="00456B1C"/>
    <w:rsid w:val="00456EBE"/>
    <w:rsid w:val="00460BAB"/>
    <w:rsid w:val="00461050"/>
    <w:rsid w:val="00461575"/>
    <w:rsid w:val="00461858"/>
    <w:rsid w:val="00461B2A"/>
    <w:rsid w:val="00461C5A"/>
    <w:rsid w:val="004624BC"/>
    <w:rsid w:val="004629CF"/>
    <w:rsid w:val="00462C8A"/>
    <w:rsid w:val="00463D02"/>
    <w:rsid w:val="00464595"/>
    <w:rsid w:val="00465A9D"/>
    <w:rsid w:val="004662D4"/>
    <w:rsid w:val="00466385"/>
    <w:rsid w:val="00467CCF"/>
    <w:rsid w:val="00467E4F"/>
    <w:rsid w:val="00467EAD"/>
    <w:rsid w:val="00470177"/>
    <w:rsid w:val="00470E72"/>
    <w:rsid w:val="004728BD"/>
    <w:rsid w:val="00472A79"/>
    <w:rsid w:val="00472F39"/>
    <w:rsid w:val="00473CBE"/>
    <w:rsid w:val="00473F19"/>
    <w:rsid w:val="004743E5"/>
    <w:rsid w:val="004744D2"/>
    <w:rsid w:val="004745F8"/>
    <w:rsid w:val="00475E22"/>
    <w:rsid w:val="00476479"/>
    <w:rsid w:val="0048067A"/>
    <w:rsid w:val="0048088E"/>
    <w:rsid w:val="00480F15"/>
    <w:rsid w:val="00481266"/>
    <w:rsid w:val="00482232"/>
    <w:rsid w:val="00482720"/>
    <w:rsid w:val="004829D3"/>
    <w:rsid w:val="004833B7"/>
    <w:rsid w:val="004835E7"/>
    <w:rsid w:val="00484CC8"/>
    <w:rsid w:val="004867E2"/>
    <w:rsid w:val="0048693C"/>
    <w:rsid w:val="00486C4A"/>
    <w:rsid w:val="00486CBF"/>
    <w:rsid w:val="004904BE"/>
    <w:rsid w:val="00490D02"/>
    <w:rsid w:val="00491378"/>
    <w:rsid w:val="00491B3A"/>
    <w:rsid w:val="00492149"/>
    <w:rsid w:val="004922B5"/>
    <w:rsid w:val="00492CFD"/>
    <w:rsid w:val="00492DA5"/>
    <w:rsid w:val="0049382B"/>
    <w:rsid w:val="004941FF"/>
    <w:rsid w:val="0049477A"/>
    <w:rsid w:val="00494DD5"/>
    <w:rsid w:val="004962D2"/>
    <w:rsid w:val="004A021E"/>
    <w:rsid w:val="004A0DA1"/>
    <w:rsid w:val="004A1142"/>
    <w:rsid w:val="004A1793"/>
    <w:rsid w:val="004A1C15"/>
    <w:rsid w:val="004A2428"/>
    <w:rsid w:val="004A2901"/>
    <w:rsid w:val="004A34E4"/>
    <w:rsid w:val="004A406D"/>
    <w:rsid w:val="004A52E9"/>
    <w:rsid w:val="004A58E7"/>
    <w:rsid w:val="004A6597"/>
    <w:rsid w:val="004A692C"/>
    <w:rsid w:val="004A7109"/>
    <w:rsid w:val="004A7848"/>
    <w:rsid w:val="004B1317"/>
    <w:rsid w:val="004B1CB4"/>
    <w:rsid w:val="004B2B3B"/>
    <w:rsid w:val="004B2F18"/>
    <w:rsid w:val="004B3336"/>
    <w:rsid w:val="004B3DDB"/>
    <w:rsid w:val="004B3E86"/>
    <w:rsid w:val="004B44FD"/>
    <w:rsid w:val="004B577C"/>
    <w:rsid w:val="004B5CFC"/>
    <w:rsid w:val="004B6618"/>
    <w:rsid w:val="004B6C84"/>
    <w:rsid w:val="004B774D"/>
    <w:rsid w:val="004C0177"/>
    <w:rsid w:val="004C05C4"/>
    <w:rsid w:val="004C1374"/>
    <w:rsid w:val="004C2392"/>
    <w:rsid w:val="004C4911"/>
    <w:rsid w:val="004C4AED"/>
    <w:rsid w:val="004C4CDB"/>
    <w:rsid w:val="004C560E"/>
    <w:rsid w:val="004C64F3"/>
    <w:rsid w:val="004C65D3"/>
    <w:rsid w:val="004C6682"/>
    <w:rsid w:val="004C71AE"/>
    <w:rsid w:val="004D0EE8"/>
    <w:rsid w:val="004D1C7E"/>
    <w:rsid w:val="004D26B2"/>
    <w:rsid w:val="004D2C2D"/>
    <w:rsid w:val="004D304B"/>
    <w:rsid w:val="004D6FEE"/>
    <w:rsid w:val="004D6FF9"/>
    <w:rsid w:val="004D7227"/>
    <w:rsid w:val="004E0E7F"/>
    <w:rsid w:val="004E0EB8"/>
    <w:rsid w:val="004E1216"/>
    <w:rsid w:val="004E2ADC"/>
    <w:rsid w:val="004E2CBB"/>
    <w:rsid w:val="004E43B2"/>
    <w:rsid w:val="004E4825"/>
    <w:rsid w:val="004E5F3B"/>
    <w:rsid w:val="004E6694"/>
    <w:rsid w:val="004F0212"/>
    <w:rsid w:val="004F045A"/>
    <w:rsid w:val="004F0E74"/>
    <w:rsid w:val="004F12A3"/>
    <w:rsid w:val="004F1D02"/>
    <w:rsid w:val="004F226D"/>
    <w:rsid w:val="004F2679"/>
    <w:rsid w:val="004F2CD7"/>
    <w:rsid w:val="004F2F21"/>
    <w:rsid w:val="004F301B"/>
    <w:rsid w:val="004F3800"/>
    <w:rsid w:val="004F3D75"/>
    <w:rsid w:val="004F52B3"/>
    <w:rsid w:val="004F5409"/>
    <w:rsid w:val="004F54B0"/>
    <w:rsid w:val="004F58E8"/>
    <w:rsid w:val="004F5D64"/>
    <w:rsid w:val="004F5FFB"/>
    <w:rsid w:val="004F61D2"/>
    <w:rsid w:val="004F6554"/>
    <w:rsid w:val="004F6913"/>
    <w:rsid w:val="004F6AA6"/>
    <w:rsid w:val="004F6EA8"/>
    <w:rsid w:val="004F7865"/>
    <w:rsid w:val="00500AA1"/>
    <w:rsid w:val="00500EF7"/>
    <w:rsid w:val="005013ED"/>
    <w:rsid w:val="0050219B"/>
    <w:rsid w:val="005022FC"/>
    <w:rsid w:val="00502C2A"/>
    <w:rsid w:val="0050337B"/>
    <w:rsid w:val="00503F17"/>
    <w:rsid w:val="0050473C"/>
    <w:rsid w:val="00505A15"/>
    <w:rsid w:val="00506928"/>
    <w:rsid w:val="00507C72"/>
    <w:rsid w:val="00507E97"/>
    <w:rsid w:val="0051241C"/>
    <w:rsid w:val="00514BA3"/>
    <w:rsid w:val="005152B5"/>
    <w:rsid w:val="00515384"/>
    <w:rsid w:val="005156EB"/>
    <w:rsid w:val="005157D6"/>
    <w:rsid w:val="005160F0"/>
    <w:rsid w:val="00516272"/>
    <w:rsid w:val="00521206"/>
    <w:rsid w:val="00521319"/>
    <w:rsid w:val="00521F62"/>
    <w:rsid w:val="00522BC8"/>
    <w:rsid w:val="00523809"/>
    <w:rsid w:val="00523C28"/>
    <w:rsid w:val="00524264"/>
    <w:rsid w:val="0052431D"/>
    <w:rsid w:val="005248CB"/>
    <w:rsid w:val="00525302"/>
    <w:rsid w:val="00525894"/>
    <w:rsid w:val="005261C2"/>
    <w:rsid w:val="005300AA"/>
    <w:rsid w:val="0053027A"/>
    <w:rsid w:val="00530301"/>
    <w:rsid w:val="005303D9"/>
    <w:rsid w:val="00530440"/>
    <w:rsid w:val="00530B18"/>
    <w:rsid w:val="00530F5E"/>
    <w:rsid w:val="0053116F"/>
    <w:rsid w:val="00531573"/>
    <w:rsid w:val="0053159A"/>
    <w:rsid w:val="00531857"/>
    <w:rsid w:val="005323F1"/>
    <w:rsid w:val="005333CC"/>
    <w:rsid w:val="00533AA6"/>
    <w:rsid w:val="00533D20"/>
    <w:rsid w:val="00534B16"/>
    <w:rsid w:val="00534F9C"/>
    <w:rsid w:val="00536E5A"/>
    <w:rsid w:val="00536F42"/>
    <w:rsid w:val="00537182"/>
    <w:rsid w:val="00537EE2"/>
    <w:rsid w:val="00540E81"/>
    <w:rsid w:val="00541525"/>
    <w:rsid w:val="00542743"/>
    <w:rsid w:val="00542997"/>
    <w:rsid w:val="00542C2D"/>
    <w:rsid w:val="00545151"/>
    <w:rsid w:val="00545255"/>
    <w:rsid w:val="0054546D"/>
    <w:rsid w:val="00546439"/>
    <w:rsid w:val="005474B4"/>
    <w:rsid w:val="00547A12"/>
    <w:rsid w:val="00550324"/>
    <w:rsid w:val="00550ADB"/>
    <w:rsid w:val="00550C0C"/>
    <w:rsid w:val="005516C3"/>
    <w:rsid w:val="00551985"/>
    <w:rsid w:val="00552BD3"/>
    <w:rsid w:val="005541AB"/>
    <w:rsid w:val="00554480"/>
    <w:rsid w:val="00555109"/>
    <w:rsid w:val="0055566B"/>
    <w:rsid w:val="005559DC"/>
    <w:rsid w:val="00556247"/>
    <w:rsid w:val="0055697A"/>
    <w:rsid w:val="00556983"/>
    <w:rsid w:val="00556F1B"/>
    <w:rsid w:val="00557341"/>
    <w:rsid w:val="00557B22"/>
    <w:rsid w:val="00560C08"/>
    <w:rsid w:val="00560D12"/>
    <w:rsid w:val="00562215"/>
    <w:rsid w:val="0056245C"/>
    <w:rsid w:val="0056355A"/>
    <w:rsid w:val="00564B3A"/>
    <w:rsid w:val="0056520D"/>
    <w:rsid w:val="005653D9"/>
    <w:rsid w:val="005654EB"/>
    <w:rsid w:val="005662D7"/>
    <w:rsid w:val="0056696F"/>
    <w:rsid w:val="005675AB"/>
    <w:rsid w:val="0056771C"/>
    <w:rsid w:val="005678DB"/>
    <w:rsid w:val="005719AE"/>
    <w:rsid w:val="00572269"/>
    <w:rsid w:val="0057244A"/>
    <w:rsid w:val="00573385"/>
    <w:rsid w:val="0057359A"/>
    <w:rsid w:val="00575C85"/>
    <w:rsid w:val="00575CC5"/>
    <w:rsid w:val="00575D8D"/>
    <w:rsid w:val="00575F35"/>
    <w:rsid w:val="00576972"/>
    <w:rsid w:val="0058138D"/>
    <w:rsid w:val="00581F70"/>
    <w:rsid w:val="0058260B"/>
    <w:rsid w:val="00582B0F"/>
    <w:rsid w:val="00583699"/>
    <w:rsid w:val="00583CEB"/>
    <w:rsid w:val="00585CDD"/>
    <w:rsid w:val="00586512"/>
    <w:rsid w:val="00586FE3"/>
    <w:rsid w:val="00587058"/>
    <w:rsid w:val="00591957"/>
    <w:rsid w:val="00591DE6"/>
    <w:rsid w:val="00592B51"/>
    <w:rsid w:val="005938FF"/>
    <w:rsid w:val="0059408A"/>
    <w:rsid w:val="0059475D"/>
    <w:rsid w:val="00594CB4"/>
    <w:rsid w:val="0059610F"/>
    <w:rsid w:val="00596173"/>
    <w:rsid w:val="005965DE"/>
    <w:rsid w:val="00597BF9"/>
    <w:rsid w:val="005A1C86"/>
    <w:rsid w:val="005A373D"/>
    <w:rsid w:val="005A4AE7"/>
    <w:rsid w:val="005A4C78"/>
    <w:rsid w:val="005A52AF"/>
    <w:rsid w:val="005A6041"/>
    <w:rsid w:val="005A66DD"/>
    <w:rsid w:val="005A6738"/>
    <w:rsid w:val="005A74F6"/>
    <w:rsid w:val="005A7EA3"/>
    <w:rsid w:val="005B035B"/>
    <w:rsid w:val="005B0B97"/>
    <w:rsid w:val="005B0D1B"/>
    <w:rsid w:val="005B1603"/>
    <w:rsid w:val="005B1E75"/>
    <w:rsid w:val="005B2198"/>
    <w:rsid w:val="005B2534"/>
    <w:rsid w:val="005B2CC0"/>
    <w:rsid w:val="005B2CCF"/>
    <w:rsid w:val="005B3467"/>
    <w:rsid w:val="005B35D4"/>
    <w:rsid w:val="005B3F9B"/>
    <w:rsid w:val="005B43DE"/>
    <w:rsid w:val="005B45F3"/>
    <w:rsid w:val="005B4E82"/>
    <w:rsid w:val="005B4EDD"/>
    <w:rsid w:val="005B53AA"/>
    <w:rsid w:val="005B5857"/>
    <w:rsid w:val="005B5E14"/>
    <w:rsid w:val="005B7403"/>
    <w:rsid w:val="005B77E9"/>
    <w:rsid w:val="005C0656"/>
    <w:rsid w:val="005C0E3E"/>
    <w:rsid w:val="005C1256"/>
    <w:rsid w:val="005C1B83"/>
    <w:rsid w:val="005C1CFF"/>
    <w:rsid w:val="005C2036"/>
    <w:rsid w:val="005C2D55"/>
    <w:rsid w:val="005C346B"/>
    <w:rsid w:val="005C3709"/>
    <w:rsid w:val="005C4018"/>
    <w:rsid w:val="005C4CDB"/>
    <w:rsid w:val="005C5F72"/>
    <w:rsid w:val="005C7A94"/>
    <w:rsid w:val="005D044D"/>
    <w:rsid w:val="005D0ABD"/>
    <w:rsid w:val="005D0F3A"/>
    <w:rsid w:val="005D18AD"/>
    <w:rsid w:val="005D1CC6"/>
    <w:rsid w:val="005D239C"/>
    <w:rsid w:val="005D23E1"/>
    <w:rsid w:val="005D26B0"/>
    <w:rsid w:val="005D26B4"/>
    <w:rsid w:val="005D34C7"/>
    <w:rsid w:val="005D358D"/>
    <w:rsid w:val="005D35C3"/>
    <w:rsid w:val="005D4BA6"/>
    <w:rsid w:val="005D769D"/>
    <w:rsid w:val="005E0CD5"/>
    <w:rsid w:val="005E1997"/>
    <w:rsid w:val="005E2BCE"/>
    <w:rsid w:val="005E3334"/>
    <w:rsid w:val="005E4FA7"/>
    <w:rsid w:val="005E57B6"/>
    <w:rsid w:val="005E5D6A"/>
    <w:rsid w:val="005E68FE"/>
    <w:rsid w:val="005E6CBC"/>
    <w:rsid w:val="005E73C0"/>
    <w:rsid w:val="005E7991"/>
    <w:rsid w:val="005F1240"/>
    <w:rsid w:val="005F251A"/>
    <w:rsid w:val="005F26BD"/>
    <w:rsid w:val="005F2706"/>
    <w:rsid w:val="005F2758"/>
    <w:rsid w:val="005F3024"/>
    <w:rsid w:val="005F4E00"/>
    <w:rsid w:val="005F65F7"/>
    <w:rsid w:val="005F6A8F"/>
    <w:rsid w:val="005F6C7B"/>
    <w:rsid w:val="005F6ED0"/>
    <w:rsid w:val="005F7856"/>
    <w:rsid w:val="005F7AFD"/>
    <w:rsid w:val="005F7DA1"/>
    <w:rsid w:val="00600E13"/>
    <w:rsid w:val="00601A49"/>
    <w:rsid w:val="00603DB9"/>
    <w:rsid w:val="006052FF"/>
    <w:rsid w:val="00605684"/>
    <w:rsid w:val="00606B3B"/>
    <w:rsid w:val="006073DE"/>
    <w:rsid w:val="00607669"/>
    <w:rsid w:val="00607961"/>
    <w:rsid w:val="00607AFD"/>
    <w:rsid w:val="00607C03"/>
    <w:rsid w:val="0061070B"/>
    <w:rsid w:val="0061211E"/>
    <w:rsid w:val="006129A1"/>
    <w:rsid w:val="00612F97"/>
    <w:rsid w:val="0061345D"/>
    <w:rsid w:val="00613940"/>
    <w:rsid w:val="00616802"/>
    <w:rsid w:val="00617E12"/>
    <w:rsid w:val="00621477"/>
    <w:rsid w:val="00621E65"/>
    <w:rsid w:val="006222F9"/>
    <w:rsid w:val="006223FA"/>
    <w:rsid w:val="0062277F"/>
    <w:rsid w:val="0062339C"/>
    <w:rsid w:val="00623710"/>
    <w:rsid w:val="00623C42"/>
    <w:rsid w:val="006240E7"/>
    <w:rsid w:val="00624150"/>
    <w:rsid w:val="00625126"/>
    <w:rsid w:val="00625271"/>
    <w:rsid w:val="00627F22"/>
    <w:rsid w:val="006304A8"/>
    <w:rsid w:val="00630A87"/>
    <w:rsid w:val="00630C80"/>
    <w:rsid w:val="0063107D"/>
    <w:rsid w:val="0063158F"/>
    <w:rsid w:val="00631649"/>
    <w:rsid w:val="00631D6B"/>
    <w:rsid w:val="00631E4F"/>
    <w:rsid w:val="00632CCD"/>
    <w:rsid w:val="006330A1"/>
    <w:rsid w:val="0063319C"/>
    <w:rsid w:val="00633A32"/>
    <w:rsid w:val="0063479F"/>
    <w:rsid w:val="006353F0"/>
    <w:rsid w:val="006364A1"/>
    <w:rsid w:val="0063677C"/>
    <w:rsid w:val="00637BFD"/>
    <w:rsid w:val="00640435"/>
    <w:rsid w:val="006406D9"/>
    <w:rsid w:val="00641706"/>
    <w:rsid w:val="0064174E"/>
    <w:rsid w:val="00641C4E"/>
    <w:rsid w:val="00641E3A"/>
    <w:rsid w:val="0064290F"/>
    <w:rsid w:val="0064420C"/>
    <w:rsid w:val="00644823"/>
    <w:rsid w:val="00645077"/>
    <w:rsid w:val="00645624"/>
    <w:rsid w:val="00645753"/>
    <w:rsid w:val="006459FF"/>
    <w:rsid w:val="006460C5"/>
    <w:rsid w:val="006471CC"/>
    <w:rsid w:val="006472A5"/>
    <w:rsid w:val="0064782C"/>
    <w:rsid w:val="00647DEE"/>
    <w:rsid w:val="00647ED4"/>
    <w:rsid w:val="0065079F"/>
    <w:rsid w:val="006520ED"/>
    <w:rsid w:val="006528B0"/>
    <w:rsid w:val="0065296A"/>
    <w:rsid w:val="0065379F"/>
    <w:rsid w:val="00655999"/>
    <w:rsid w:val="00657162"/>
    <w:rsid w:val="006576B1"/>
    <w:rsid w:val="00660442"/>
    <w:rsid w:val="00660ECD"/>
    <w:rsid w:val="00661C6B"/>
    <w:rsid w:val="00661CE2"/>
    <w:rsid w:val="00661DFF"/>
    <w:rsid w:val="00662207"/>
    <w:rsid w:val="00662861"/>
    <w:rsid w:val="006634D7"/>
    <w:rsid w:val="006638BF"/>
    <w:rsid w:val="00663A5D"/>
    <w:rsid w:val="00663D6C"/>
    <w:rsid w:val="00663F25"/>
    <w:rsid w:val="00664F4E"/>
    <w:rsid w:val="00665A37"/>
    <w:rsid w:val="00665C24"/>
    <w:rsid w:val="00665D8F"/>
    <w:rsid w:val="00666726"/>
    <w:rsid w:val="00666AA4"/>
    <w:rsid w:val="00666FCC"/>
    <w:rsid w:val="006675E1"/>
    <w:rsid w:val="006724B6"/>
    <w:rsid w:val="006733F6"/>
    <w:rsid w:val="00673D35"/>
    <w:rsid w:val="00673F5E"/>
    <w:rsid w:val="00674332"/>
    <w:rsid w:val="006748CD"/>
    <w:rsid w:val="00674E42"/>
    <w:rsid w:val="0067615F"/>
    <w:rsid w:val="00676167"/>
    <w:rsid w:val="00676557"/>
    <w:rsid w:val="00676978"/>
    <w:rsid w:val="00676C68"/>
    <w:rsid w:val="006770D0"/>
    <w:rsid w:val="00677171"/>
    <w:rsid w:val="006811BE"/>
    <w:rsid w:val="00681479"/>
    <w:rsid w:val="00682050"/>
    <w:rsid w:val="00682112"/>
    <w:rsid w:val="00684EFA"/>
    <w:rsid w:val="00685E3C"/>
    <w:rsid w:val="006862BF"/>
    <w:rsid w:val="006865F0"/>
    <w:rsid w:val="00686957"/>
    <w:rsid w:val="00686B74"/>
    <w:rsid w:val="006872BA"/>
    <w:rsid w:val="00691648"/>
    <w:rsid w:val="006917D7"/>
    <w:rsid w:val="006931A6"/>
    <w:rsid w:val="00693B30"/>
    <w:rsid w:val="00693B4C"/>
    <w:rsid w:val="00693B55"/>
    <w:rsid w:val="006944C8"/>
    <w:rsid w:val="00694943"/>
    <w:rsid w:val="00694A8C"/>
    <w:rsid w:val="00694F44"/>
    <w:rsid w:val="00695E8E"/>
    <w:rsid w:val="00695F2D"/>
    <w:rsid w:val="0069723E"/>
    <w:rsid w:val="006973F5"/>
    <w:rsid w:val="006977BA"/>
    <w:rsid w:val="00697961"/>
    <w:rsid w:val="006A0194"/>
    <w:rsid w:val="006A0BB8"/>
    <w:rsid w:val="006A2507"/>
    <w:rsid w:val="006A34BD"/>
    <w:rsid w:val="006A3AF5"/>
    <w:rsid w:val="006A4E1F"/>
    <w:rsid w:val="006A4FCF"/>
    <w:rsid w:val="006A5020"/>
    <w:rsid w:val="006A530D"/>
    <w:rsid w:val="006A53DB"/>
    <w:rsid w:val="006A5E91"/>
    <w:rsid w:val="006A7E5F"/>
    <w:rsid w:val="006B1064"/>
    <w:rsid w:val="006B1209"/>
    <w:rsid w:val="006B1920"/>
    <w:rsid w:val="006B19BF"/>
    <w:rsid w:val="006B1C39"/>
    <w:rsid w:val="006B261B"/>
    <w:rsid w:val="006B276E"/>
    <w:rsid w:val="006B2C90"/>
    <w:rsid w:val="006B3368"/>
    <w:rsid w:val="006B4ED3"/>
    <w:rsid w:val="006B524C"/>
    <w:rsid w:val="006B5DF0"/>
    <w:rsid w:val="006B6747"/>
    <w:rsid w:val="006B6DD0"/>
    <w:rsid w:val="006B764E"/>
    <w:rsid w:val="006C0A2F"/>
    <w:rsid w:val="006C0F56"/>
    <w:rsid w:val="006C1D88"/>
    <w:rsid w:val="006C27F3"/>
    <w:rsid w:val="006C2A8E"/>
    <w:rsid w:val="006C2ED5"/>
    <w:rsid w:val="006C30E5"/>
    <w:rsid w:val="006C5D32"/>
    <w:rsid w:val="006D0218"/>
    <w:rsid w:val="006D0B24"/>
    <w:rsid w:val="006D19C9"/>
    <w:rsid w:val="006D2093"/>
    <w:rsid w:val="006D329F"/>
    <w:rsid w:val="006D338C"/>
    <w:rsid w:val="006D3C7D"/>
    <w:rsid w:val="006D5D5F"/>
    <w:rsid w:val="006D68F4"/>
    <w:rsid w:val="006D7151"/>
    <w:rsid w:val="006D7EDF"/>
    <w:rsid w:val="006E216F"/>
    <w:rsid w:val="006E2E29"/>
    <w:rsid w:val="006E363B"/>
    <w:rsid w:val="006E37AC"/>
    <w:rsid w:val="006E4D28"/>
    <w:rsid w:val="006E545B"/>
    <w:rsid w:val="006E54C0"/>
    <w:rsid w:val="006E5E1E"/>
    <w:rsid w:val="006E5EC3"/>
    <w:rsid w:val="006E6826"/>
    <w:rsid w:val="006E7723"/>
    <w:rsid w:val="006E7CFB"/>
    <w:rsid w:val="006F2D00"/>
    <w:rsid w:val="006F306C"/>
    <w:rsid w:val="006F32B4"/>
    <w:rsid w:val="006F394E"/>
    <w:rsid w:val="006F3BA9"/>
    <w:rsid w:val="006F55D6"/>
    <w:rsid w:val="006F5AF2"/>
    <w:rsid w:val="006F63A5"/>
    <w:rsid w:val="006F6510"/>
    <w:rsid w:val="006F6A20"/>
    <w:rsid w:val="006F6C5E"/>
    <w:rsid w:val="006F79B2"/>
    <w:rsid w:val="007003EB"/>
    <w:rsid w:val="007006D3"/>
    <w:rsid w:val="00700FD3"/>
    <w:rsid w:val="0070142B"/>
    <w:rsid w:val="0070150A"/>
    <w:rsid w:val="00701774"/>
    <w:rsid w:val="00701852"/>
    <w:rsid w:val="0070276E"/>
    <w:rsid w:val="00702AD0"/>
    <w:rsid w:val="00702B83"/>
    <w:rsid w:val="00702F8F"/>
    <w:rsid w:val="00703FB2"/>
    <w:rsid w:val="0070435F"/>
    <w:rsid w:val="00705E42"/>
    <w:rsid w:val="00707669"/>
    <w:rsid w:val="00710B51"/>
    <w:rsid w:val="00711007"/>
    <w:rsid w:val="0071154B"/>
    <w:rsid w:val="00711890"/>
    <w:rsid w:val="00711A36"/>
    <w:rsid w:val="00711F7F"/>
    <w:rsid w:val="00712A49"/>
    <w:rsid w:val="00712A5A"/>
    <w:rsid w:val="00713D79"/>
    <w:rsid w:val="00714A27"/>
    <w:rsid w:val="0071529C"/>
    <w:rsid w:val="00715A00"/>
    <w:rsid w:val="00715B43"/>
    <w:rsid w:val="00715FEC"/>
    <w:rsid w:val="00716BA2"/>
    <w:rsid w:val="00717021"/>
    <w:rsid w:val="007172AD"/>
    <w:rsid w:val="00717527"/>
    <w:rsid w:val="0072005B"/>
    <w:rsid w:val="007209BC"/>
    <w:rsid w:val="00722009"/>
    <w:rsid w:val="007221C4"/>
    <w:rsid w:val="00722B1B"/>
    <w:rsid w:val="0072416F"/>
    <w:rsid w:val="0072535D"/>
    <w:rsid w:val="00725609"/>
    <w:rsid w:val="007257A8"/>
    <w:rsid w:val="00725BDD"/>
    <w:rsid w:val="007268B1"/>
    <w:rsid w:val="00727869"/>
    <w:rsid w:val="00727C94"/>
    <w:rsid w:val="00730ACD"/>
    <w:rsid w:val="0073154D"/>
    <w:rsid w:val="00731EAE"/>
    <w:rsid w:val="0073277D"/>
    <w:rsid w:val="00732BC1"/>
    <w:rsid w:val="007332B1"/>
    <w:rsid w:val="00735033"/>
    <w:rsid w:val="00735328"/>
    <w:rsid w:val="0073685B"/>
    <w:rsid w:val="00737277"/>
    <w:rsid w:val="007373BE"/>
    <w:rsid w:val="00737790"/>
    <w:rsid w:val="00742215"/>
    <w:rsid w:val="00743844"/>
    <w:rsid w:val="0074521E"/>
    <w:rsid w:val="007455E5"/>
    <w:rsid w:val="00745EBA"/>
    <w:rsid w:val="007467DE"/>
    <w:rsid w:val="00746841"/>
    <w:rsid w:val="00746A60"/>
    <w:rsid w:val="007472F0"/>
    <w:rsid w:val="00750934"/>
    <w:rsid w:val="00750E45"/>
    <w:rsid w:val="00751271"/>
    <w:rsid w:val="00752142"/>
    <w:rsid w:val="007523F9"/>
    <w:rsid w:val="007529F9"/>
    <w:rsid w:val="00752F88"/>
    <w:rsid w:val="0075492B"/>
    <w:rsid w:val="007550AB"/>
    <w:rsid w:val="007573E8"/>
    <w:rsid w:val="00757590"/>
    <w:rsid w:val="00757B86"/>
    <w:rsid w:val="00757CE8"/>
    <w:rsid w:val="0076020D"/>
    <w:rsid w:val="00760C4E"/>
    <w:rsid w:val="00761B13"/>
    <w:rsid w:val="00762A5B"/>
    <w:rsid w:val="00763EBE"/>
    <w:rsid w:val="0076508F"/>
    <w:rsid w:val="00765B1A"/>
    <w:rsid w:val="00765C51"/>
    <w:rsid w:val="00766EB5"/>
    <w:rsid w:val="00767055"/>
    <w:rsid w:val="00767612"/>
    <w:rsid w:val="007707F4"/>
    <w:rsid w:val="00770D14"/>
    <w:rsid w:val="00770DCF"/>
    <w:rsid w:val="0077116C"/>
    <w:rsid w:val="0077190A"/>
    <w:rsid w:val="00772052"/>
    <w:rsid w:val="00772753"/>
    <w:rsid w:val="00772E02"/>
    <w:rsid w:val="00773AFF"/>
    <w:rsid w:val="0077492E"/>
    <w:rsid w:val="00774FAE"/>
    <w:rsid w:val="00775824"/>
    <w:rsid w:val="00775F3D"/>
    <w:rsid w:val="0077651A"/>
    <w:rsid w:val="00776C20"/>
    <w:rsid w:val="00776CAE"/>
    <w:rsid w:val="007779B5"/>
    <w:rsid w:val="0078046D"/>
    <w:rsid w:val="00780DB4"/>
    <w:rsid w:val="00781648"/>
    <w:rsid w:val="007822FF"/>
    <w:rsid w:val="00782471"/>
    <w:rsid w:val="00783379"/>
    <w:rsid w:val="007839FF"/>
    <w:rsid w:val="00783A27"/>
    <w:rsid w:val="007843F2"/>
    <w:rsid w:val="00786381"/>
    <w:rsid w:val="00786A15"/>
    <w:rsid w:val="0079141C"/>
    <w:rsid w:val="0079149E"/>
    <w:rsid w:val="00791558"/>
    <w:rsid w:val="00791EC2"/>
    <w:rsid w:val="007922C2"/>
    <w:rsid w:val="00792E9C"/>
    <w:rsid w:val="00792EA2"/>
    <w:rsid w:val="00792F36"/>
    <w:rsid w:val="007935FA"/>
    <w:rsid w:val="00793608"/>
    <w:rsid w:val="00796488"/>
    <w:rsid w:val="00797AA4"/>
    <w:rsid w:val="007A0A12"/>
    <w:rsid w:val="007A132D"/>
    <w:rsid w:val="007A1B33"/>
    <w:rsid w:val="007A1E26"/>
    <w:rsid w:val="007A272C"/>
    <w:rsid w:val="007A3401"/>
    <w:rsid w:val="007A47E5"/>
    <w:rsid w:val="007A58F1"/>
    <w:rsid w:val="007A5FA3"/>
    <w:rsid w:val="007A6347"/>
    <w:rsid w:val="007A6CA2"/>
    <w:rsid w:val="007A6F4C"/>
    <w:rsid w:val="007A7130"/>
    <w:rsid w:val="007B08F7"/>
    <w:rsid w:val="007B0D68"/>
    <w:rsid w:val="007B0F8B"/>
    <w:rsid w:val="007B18FB"/>
    <w:rsid w:val="007B2184"/>
    <w:rsid w:val="007B251D"/>
    <w:rsid w:val="007B2C1C"/>
    <w:rsid w:val="007B3240"/>
    <w:rsid w:val="007B4A0B"/>
    <w:rsid w:val="007B4F58"/>
    <w:rsid w:val="007B528D"/>
    <w:rsid w:val="007B5643"/>
    <w:rsid w:val="007B5AC6"/>
    <w:rsid w:val="007B5E15"/>
    <w:rsid w:val="007B72C4"/>
    <w:rsid w:val="007B7618"/>
    <w:rsid w:val="007B77D1"/>
    <w:rsid w:val="007C018B"/>
    <w:rsid w:val="007C117A"/>
    <w:rsid w:val="007C1AD3"/>
    <w:rsid w:val="007C1CD9"/>
    <w:rsid w:val="007C361D"/>
    <w:rsid w:val="007C45F7"/>
    <w:rsid w:val="007C480D"/>
    <w:rsid w:val="007C4B84"/>
    <w:rsid w:val="007C5514"/>
    <w:rsid w:val="007C76B9"/>
    <w:rsid w:val="007D004F"/>
    <w:rsid w:val="007D0776"/>
    <w:rsid w:val="007D0B38"/>
    <w:rsid w:val="007D196B"/>
    <w:rsid w:val="007D2449"/>
    <w:rsid w:val="007D4692"/>
    <w:rsid w:val="007D48CD"/>
    <w:rsid w:val="007D5284"/>
    <w:rsid w:val="007D5440"/>
    <w:rsid w:val="007D682C"/>
    <w:rsid w:val="007D736F"/>
    <w:rsid w:val="007D77D3"/>
    <w:rsid w:val="007E058E"/>
    <w:rsid w:val="007E2048"/>
    <w:rsid w:val="007E22F1"/>
    <w:rsid w:val="007E2FCC"/>
    <w:rsid w:val="007E3DD6"/>
    <w:rsid w:val="007E43DF"/>
    <w:rsid w:val="007E4AE3"/>
    <w:rsid w:val="007E50CF"/>
    <w:rsid w:val="007E57A1"/>
    <w:rsid w:val="007E60FA"/>
    <w:rsid w:val="007E68F1"/>
    <w:rsid w:val="007E6E98"/>
    <w:rsid w:val="007E6F52"/>
    <w:rsid w:val="007E7550"/>
    <w:rsid w:val="007E7993"/>
    <w:rsid w:val="007E7EA4"/>
    <w:rsid w:val="007F0085"/>
    <w:rsid w:val="007F0992"/>
    <w:rsid w:val="007F1017"/>
    <w:rsid w:val="007F159F"/>
    <w:rsid w:val="007F2E81"/>
    <w:rsid w:val="007F3C4F"/>
    <w:rsid w:val="007F433F"/>
    <w:rsid w:val="007F4742"/>
    <w:rsid w:val="007F4949"/>
    <w:rsid w:val="007F4A3F"/>
    <w:rsid w:val="007F4A61"/>
    <w:rsid w:val="007F4EAE"/>
    <w:rsid w:val="007F5742"/>
    <w:rsid w:val="007F61C2"/>
    <w:rsid w:val="007F6BB8"/>
    <w:rsid w:val="007F73B2"/>
    <w:rsid w:val="007F7BF5"/>
    <w:rsid w:val="0080031D"/>
    <w:rsid w:val="008004B2"/>
    <w:rsid w:val="0080066F"/>
    <w:rsid w:val="00801608"/>
    <w:rsid w:val="00803012"/>
    <w:rsid w:val="00803F14"/>
    <w:rsid w:val="00804DC1"/>
    <w:rsid w:val="00804E38"/>
    <w:rsid w:val="00805142"/>
    <w:rsid w:val="00805673"/>
    <w:rsid w:val="00805ADE"/>
    <w:rsid w:val="00806AF1"/>
    <w:rsid w:val="00807A8B"/>
    <w:rsid w:val="00807EF7"/>
    <w:rsid w:val="00810548"/>
    <w:rsid w:val="00811383"/>
    <w:rsid w:val="00811E03"/>
    <w:rsid w:val="008120E9"/>
    <w:rsid w:val="00812149"/>
    <w:rsid w:val="008121E8"/>
    <w:rsid w:val="008127DA"/>
    <w:rsid w:val="00812807"/>
    <w:rsid w:val="00812CAC"/>
    <w:rsid w:val="00813562"/>
    <w:rsid w:val="00813A51"/>
    <w:rsid w:val="00813DC3"/>
    <w:rsid w:val="00815903"/>
    <w:rsid w:val="00815C5B"/>
    <w:rsid w:val="00815D64"/>
    <w:rsid w:val="00815E03"/>
    <w:rsid w:val="008166EF"/>
    <w:rsid w:val="008172D0"/>
    <w:rsid w:val="008175F9"/>
    <w:rsid w:val="00817D27"/>
    <w:rsid w:val="00820B8F"/>
    <w:rsid w:val="008214EC"/>
    <w:rsid w:val="00821795"/>
    <w:rsid w:val="0082219B"/>
    <w:rsid w:val="00822479"/>
    <w:rsid w:val="008224CC"/>
    <w:rsid w:val="00822EBF"/>
    <w:rsid w:val="0082365C"/>
    <w:rsid w:val="00823931"/>
    <w:rsid w:val="00823E7E"/>
    <w:rsid w:val="0082411E"/>
    <w:rsid w:val="008244F0"/>
    <w:rsid w:val="008245BC"/>
    <w:rsid w:val="00824BBF"/>
    <w:rsid w:val="00825751"/>
    <w:rsid w:val="00826245"/>
    <w:rsid w:val="008264EB"/>
    <w:rsid w:val="00826B04"/>
    <w:rsid w:val="00826C44"/>
    <w:rsid w:val="0083078E"/>
    <w:rsid w:val="00831B0C"/>
    <w:rsid w:val="00831C32"/>
    <w:rsid w:val="008321CB"/>
    <w:rsid w:val="008335EC"/>
    <w:rsid w:val="008336FC"/>
    <w:rsid w:val="00833B05"/>
    <w:rsid w:val="00834013"/>
    <w:rsid w:val="008345CB"/>
    <w:rsid w:val="00834F78"/>
    <w:rsid w:val="008362B4"/>
    <w:rsid w:val="008364BD"/>
    <w:rsid w:val="008365F1"/>
    <w:rsid w:val="0083777C"/>
    <w:rsid w:val="008401AE"/>
    <w:rsid w:val="0084029B"/>
    <w:rsid w:val="00840CA2"/>
    <w:rsid w:val="00840E8F"/>
    <w:rsid w:val="008419D8"/>
    <w:rsid w:val="00841A58"/>
    <w:rsid w:val="0084374F"/>
    <w:rsid w:val="00843E5E"/>
    <w:rsid w:val="00844F9C"/>
    <w:rsid w:val="008455E8"/>
    <w:rsid w:val="00846EC7"/>
    <w:rsid w:val="00847DF5"/>
    <w:rsid w:val="00847F53"/>
    <w:rsid w:val="00847F9B"/>
    <w:rsid w:val="00851C40"/>
    <w:rsid w:val="0085243D"/>
    <w:rsid w:val="0085309D"/>
    <w:rsid w:val="008536B8"/>
    <w:rsid w:val="00853B2B"/>
    <w:rsid w:val="0085454E"/>
    <w:rsid w:val="00855B03"/>
    <w:rsid w:val="0085617F"/>
    <w:rsid w:val="008564F6"/>
    <w:rsid w:val="008565D2"/>
    <w:rsid w:val="00856897"/>
    <w:rsid w:val="00856E9A"/>
    <w:rsid w:val="008573F8"/>
    <w:rsid w:val="00857802"/>
    <w:rsid w:val="00857B6E"/>
    <w:rsid w:val="0086003E"/>
    <w:rsid w:val="00860403"/>
    <w:rsid w:val="00860417"/>
    <w:rsid w:val="0086075D"/>
    <w:rsid w:val="00860A71"/>
    <w:rsid w:val="0086151A"/>
    <w:rsid w:val="00861900"/>
    <w:rsid w:val="00862121"/>
    <w:rsid w:val="00862502"/>
    <w:rsid w:val="00862D80"/>
    <w:rsid w:val="00863919"/>
    <w:rsid w:val="00864F19"/>
    <w:rsid w:val="008654D6"/>
    <w:rsid w:val="008660D4"/>
    <w:rsid w:val="00866EDA"/>
    <w:rsid w:val="008670C2"/>
    <w:rsid w:val="00867825"/>
    <w:rsid w:val="00871FA9"/>
    <w:rsid w:val="008726E7"/>
    <w:rsid w:val="008728E9"/>
    <w:rsid w:val="00872B24"/>
    <w:rsid w:val="0087362B"/>
    <w:rsid w:val="008744C7"/>
    <w:rsid w:val="00874612"/>
    <w:rsid w:val="00875FF5"/>
    <w:rsid w:val="0087792D"/>
    <w:rsid w:val="00877C29"/>
    <w:rsid w:val="00877E13"/>
    <w:rsid w:val="00882874"/>
    <w:rsid w:val="00883787"/>
    <w:rsid w:val="008839D9"/>
    <w:rsid w:val="00883B00"/>
    <w:rsid w:val="00884AE0"/>
    <w:rsid w:val="00884CD1"/>
    <w:rsid w:val="008852B6"/>
    <w:rsid w:val="008866FC"/>
    <w:rsid w:val="00886CD2"/>
    <w:rsid w:val="00886D05"/>
    <w:rsid w:val="008872EC"/>
    <w:rsid w:val="00887341"/>
    <w:rsid w:val="0088779A"/>
    <w:rsid w:val="0089196B"/>
    <w:rsid w:val="00891A7F"/>
    <w:rsid w:val="00891B4A"/>
    <w:rsid w:val="00891D26"/>
    <w:rsid w:val="008923EE"/>
    <w:rsid w:val="00892A36"/>
    <w:rsid w:val="00893239"/>
    <w:rsid w:val="00893680"/>
    <w:rsid w:val="00894489"/>
    <w:rsid w:val="008957B9"/>
    <w:rsid w:val="00895B5A"/>
    <w:rsid w:val="00895FD3"/>
    <w:rsid w:val="008963A5"/>
    <w:rsid w:val="008968E7"/>
    <w:rsid w:val="00897B8F"/>
    <w:rsid w:val="008A0BC6"/>
    <w:rsid w:val="008A1725"/>
    <w:rsid w:val="008A197A"/>
    <w:rsid w:val="008A2917"/>
    <w:rsid w:val="008A3213"/>
    <w:rsid w:val="008A3363"/>
    <w:rsid w:val="008A3371"/>
    <w:rsid w:val="008A3C3E"/>
    <w:rsid w:val="008A4F4E"/>
    <w:rsid w:val="008A59E3"/>
    <w:rsid w:val="008A5EF3"/>
    <w:rsid w:val="008A6233"/>
    <w:rsid w:val="008A6458"/>
    <w:rsid w:val="008A67FA"/>
    <w:rsid w:val="008A7687"/>
    <w:rsid w:val="008A79B4"/>
    <w:rsid w:val="008A79DE"/>
    <w:rsid w:val="008B06B5"/>
    <w:rsid w:val="008B1757"/>
    <w:rsid w:val="008B1B04"/>
    <w:rsid w:val="008B3577"/>
    <w:rsid w:val="008B36AB"/>
    <w:rsid w:val="008B3C4D"/>
    <w:rsid w:val="008B4474"/>
    <w:rsid w:val="008B4758"/>
    <w:rsid w:val="008B47FF"/>
    <w:rsid w:val="008B679B"/>
    <w:rsid w:val="008B6B29"/>
    <w:rsid w:val="008B6BE0"/>
    <w:rsid w:val="008B7D7E"/>
    <w:rsid w:val="008C0884"/>
    <w:rsid w:val="008C0EE3"/>
    <w:rsid w:val="008C1B72"/>
    <w:rsid w:val="008C4385"/>
    <w:rsid w:val="008C43AF"/>
    <w:rsid w:val="008C4A58"/>
    <w:rsid w:val="008C6956"/>
    <w:rsid w:val="008C6C3C"/>
    <w:rsid w:val="008C7ECB"/>
    <w:rsid w:val="008D07E8"/>
    <w:rsid w:val="008D2DBF"/>
    <w:rsid w:val="008D35CD"/>
    <w:rsid w:val="008D407A"/>
    <w:rsid w:val="008D4105"/>
    <w:rsid w:val="008D46B4"/>
    <w:rsid w:val="008D4755"/>
    <w:rsid w:val="008D4C3D"/>
    <w:rsid w:val="008D5379"/>
    <w:rsid w:val="008D6323"/>
    <w:rsid w:val="008D6E92"/>
    <w:rsid w:val="008D6F7F"/>
    <w:rsid w:val="008D7E97"/>
    <w:rsid w:val="008E0D3C"/>
    <w:rsid w:val="008E1B9E"/>
    <w:rsid w:val="008E2776"/>
    <w:rsid w:val="008E37C5"/>
    <w:rsid w:val="008E4793"/>
    <w:rsid w:val="008E4A64"/>
    <w:rsid w:val="008E55AB"/>
    <w:rsid w:val="008E691E"/>
    <w:rsid w:val="008E6AAB"/>
    <w:rsid w:val="008E782B"/>
    <w:rsid w:val="008F01A6"/>
    <w:rsid w:val="008F0220"/>
    <w:rsid w:val="008F0C66"/>
    <w:rsid w:val="008F120A"/>
    <w:rsid w:val="008F13DE"/>
    <w:rsid w:val="008F1475"/>
    <w:rsid w:val="008F1836"/>
    <w:rsid w:val="008F1D71"/>
    <w:rsid w:val="008F20D2"/>
    <w:rsid w:val="008F27E0"/>
    <w:rsid w:val="008F44A4"/>
    <w:rsid w:val="008F48EB"/>
    <w:rsid w:val="008F4DE0"/>
    <w:rsid w:val="008F4E5D"/>
    <w:rsid w:val="008F4F0B"/>
    <w:rsid w:val="008F5203"/>
    <w:rsid w:val="008F5B84"/>
    <w:rsid w:val="008F5F41"/>
    <w:rsid w:val="008F6727"/>
    <w:rsid w:val="008F7044"/>
    <w:rsid w:val="008F7066"/>
    <w:rsid w:val="008F74F9"/>
    <w:rsid w:val="008F796C"/>
    <w:rsid w:val="008F7AC1"/>
    <w:rsid w:val="009005FB"/>
    <w:rsid w:val="009011B3"/>
    <w:rsid w:val="00901605"/>
    <w:rsid w:val="009020B9"/>
    <w:rsid w:val="009034EC"/>
    <w:rsid w:val="009046C4"/>
    <w:rsid w:val="00904DE6"/>
    <w:rsid w:val="009062A5"/>
    <w:rsid w:val="00907E38"/>
    <w:rsid w:val="00910698"/>
    <w:rsid w:val="00911051"/>
    <w:rsid w:val="00911272"/>
    <w:rsid w:val="009114AB"/>
    <w:rsid w:val="009125BA"/>
    <w:rsid w:val="00912774"/>
    <w:rsid w:val="0091310B"/>
    <w:rsid w:val="009135D6"/>
    <w:rsid w:val="0091464B"/>
    <w:rsid w:val="00914B47"/>
    <w:rsid w:val="00914C77"/>
    <w:rsid w:val="0091509F"/>
    <w:rsid w:val="00916119"/>
    <w:rsid w:val="00916AF3"/>
    <w:rsid w:val="00916E03"/>
    <w:rsid w:val="00916F69"/>
    <w:rsid w:val="0091750A"/>
    <w:rsid w:val="009179AF"/>
    <w:rsid w:val="00917AC3"/>
    <w:rsid w:val="00917D7B"/>
    <w:rsid w:val="00920E9A"/>
    <w:rsid w:val="00921061"/>
    <w:rsid w:val="00921075"/>
    <w:rsid w:val="00921517"/>
    <w:rsid w:val="00921681"/>
    <w:rsid w:val="00921A9E"/>
    <w:rsid w:val="00923118"/>
    <w:rsid w:val="0092369B"/>
    <w:rsid w:val="009246A6"/>
    <w:rsid w:val="00924B50"/>
    <w:rsid w:val="00925000"/>
    <w:rsid w:val="00925670"/>
    <w:rsid w:val="00925B76"/>
    <w:rsid w:val="00926D03"/>
    <w:rsid w:val="00926E01"/>
    <w:rsid w:val="009271C6"/>
    <w:rsid w:val="009277BB"/>
    <w:rsid w:val="0093145A"/>
    <w:rsid w:val="00931D47"/>
    <w:rsid w:val="00931F48"/>
    <w:rsid w:val="0093245C"/>
    <w:rsid w:val="00933A72"/>
    <w:rsid w:val="009350BA"/>
    <w:rsid w:val="00936A1A"/>
    <w:rsid w:val="00936F24"/>
    <w:rsid w:val="009375C2"/>
    <w:rsid w:val="00937B44"/>
    <w:rsid w:val="0094102D"/>
    <w:rsid w:val="00942717"/>
    <w:rsid w:val="009428EE"/>
    <w:rsid w:val="00942A88"/>
    <w:rsid w:val="0094584E"/>
    <w:rsid w:val="00945C93"/>
    <w:rsid w:val="00946BC4"/>
    <w:rsid w:val="00947773"/>
    <w:rsid w:val="00947C2B"/>
    <w:rsid w:val="009504CD"/>
    <w:rsid w:val="009510A2"/>
    <w:rsid w:val="00951E80"/>
    <w:rsid w:val="0095242E"/>
    <w:rsid w:val="00952E5A"/>
    <w:rsid w:val="00952EF2"/>
    <w:rsid w:val="00953257"/>
    <w:rsid w:val="009533BC"/>
    <w:rsid w:val="009536B6"/>
    <w:rsid w:val="009536ED"/>
    <w:rsid w:val="00954430"/>
    <w:rsid w:val="009546F6"/>
    <w:rsid w:val="009547A4"/>
    <w:rsid w:val="00955967"/>
    <w:rsid w:val="00957121"/>
    <w:rsid w:val="009578C9"/>
    <w:rsid w:val="00960632"/>
    <w:rsid w:val="009609EF"/>
    <w:rsid w:val="00960AF1"/>
    <w:rsid w:val="0096120C"/>
    <w:rsid w:val="00961D02"/>
    <w:rsid w:val="0096221C"/>
    <w:rsid w:val="009625F5"/>
    <w:rsid w:val="00962CB9"/>
    <w:rsid w:val="009632F1"/>
    <w:rsid w:val="00963E76"/>
    <w:rsid w:val="00964312"/>
    <w:rsid w:val="00964C66"/>
    <w:rsid w:val="00965B8A"/>
    <w:rsid w:val="00966114"/>
    <w:rsid w:val="00966298"/>
    <w:rsid w:val="009663BA"/>
    <w:rsid w:val="00967775"/>
    <w:rsid w:val="00970089"/>
    <w:rsid w:val="00970B11"/>
    <w:rsid w:val="00970C75"/>
    <w:rsid w:val="00970EBA"/>
    <w:rsid w:val="00971364"/>
    <w:rsid w:val="009717AC"/>
    <w:rsid w:val="00971E91"/>
    <w:rsid w:val="00972155"/>
    <w:rsid w:val="009722B0"/>
    <w:rsid w:val="00975B6F"/>
    <w:rsid w:val="0097687A"/>
    <w:rsid w:val="00981498"/>
    <w:rsid w:val="00983298"/>
    <w:rsid w:val="00983B7F"/>
    <w:rsid w:val="00983E32"/>
    <w:rsid w:val="00983E57"/>
    <w:rsid w:val="00983FE5"/>
    <w:rsid w:val="00984241"/>
    <w:rsid w:val="009846B2"/>
    <w:rsid w:val="0098619C"/>
    <w:rsid w:val="0098627C"/>
    <w:rsid w:val="0098675D"/>
    <w:rsid w:val="0098683F"/>
    <w:rsid w:val="0098717E"/>
    <w:rsid w:val="0098720D"/>
    <w:rsid w:val="00987851"/>
    <w:rsid w:val="00987C18"/>
    <w:rsid w:val="00987C8A"/>
    <w:rsid w:val="00987EC2"/>
    <w:rsid w:val="00991723"/>
    <w:rsid w:val="00992C7E"/>
    <w:rsid w:val="00992DF0"/>
    <w:rsid w:val="009943A9"/>
    <w:rsid w:val="00995C83"/>
    <w:rsid w:val="00996B1A"/>
    <w:rsid w:val="00996BCE"/>
    <w:rsid w:val="00996DE3"/>
    <w:rsid w:val="009A0EA5"/>
    <w:rsid w:val="009A15B8"/>
    <w:rsid w:val="009A1EB5"/>
    <w:rsid w:val="009A30D2"/>
    <w:rsid w:val="009A49BF"/>
    <w:rsid w:val="009A560E"/>
    <w:rsid w:val="009A5615"/>
    <w:rsid w:val="009A63EE"/>
    <w:rsid w:val="009A7243"/>
    <w:rsid w:val="009A79C6"/>
    <w:rsid w:val="009A7F10"/>
    <w:rsid w:val="009B0001"/>
    <w:rsid w:val="009B0380"/>
    <w:rsid w:val="009B13D1"/>
    <w:rsid w:val="009B1DC1"/>
    <w:rsid w:val="009B3C26"/>
    <w:rsid w:val="009B3E26"/>
    <w:rsid w:val="009B3FE6"/>
    <w:rsid w:val="009B4163"/>
    <w:rsid w:val="009B41A4"/>
    <w:rsid w:val="009B428B"/>
    <w:rsid w:val="009B4B09"/>
    <w:rsid w:val="009B513C"/>
    <w:rsid w:val="009B54AD"/>
    <w:rsid w:val="009B556E"/>
    <w:rsid w:val="009B5FB3"/>
    <w:rsid w:val="009B6AF4"/>
    <w:rsid w:val="009C0800"/>
    <w:rsid w:val="009C0D0E"/>
    <w:rsid w:val="009C0D62"/>
    <w:rsid w:val="009C167C"/>
    <w:rsid w:val="009C27EC"/>
    <w:rsid w:val="009C3B66"/>
    <w:rsid w:val="009C407C"/>
    <w:rsid w:val="009C4D34"/>
    <w:rsid w:val="009C6C0C"/>
    <w:rsid w:val="009C6CEA"/>
    <w:rsid w:val="009C7AC3"/>
    <w:rsid w:val="009C7B85"/>
    <w:rsid w:val="009C7C09"/>
    <w:rsid w:val="009D2D9A"/>
    <w:rsid w:val="009D3485"/>
    <w:rsid w:val="009D38DA"/>
    <w:rsid w:val="009D3E58"/>
    <w:rsid w:val="009D41FF"/>
    <w:rsid w:val="009D473B"/>
    <w:rsid w:val="009D578D"/>
    <w:rsid w:val="009D5B91"/>
    <w:rsid w:val="009D73A6"/>
    <w:rsid w:val="009D792E"/>
    <w:rsid w:val="009E0DFE"/>
    <w:rsid w:val="009E1CB3"/>
    <w:rsid w:val="009E21B9"/>
    <w:rsid w:val="009E23DB"/>
    <w:rsid w:val="009E26F2"/>
    <w:rsid w:val="009E358D"/>
    <w:rsid w:val="009E369D"/>
    <w:rsid w:val="009E39B1"/>
    <w:rsid w:val="009E4191"/>
    <w:rsid w:val="009E41E8"/>
    <w:rsid w:val="009E499A"/>
    <w:rsid w:val="009E4A02"/>
    <w:rsid w:val="009E4C07"/>
    <w:rsid w:val="009E4C40"/>
    <w:rsid w:val="009E5801"/>
    <w:rsid w:val="009E651C"/>
    <w:rsid w:val="009E775F"/>
    <w:rsid w:val="009E7CC0"/>
    <w:rsid w:val="009F10A0"/>
    <w:rsid w:val="009F12FC"/>
    <w:rsid w:val="009F1AB1"/>
    <w:rsid w:val="009F1C7C"/>
    <w:rsid w:val="009F20E1"/>
    <w:rsid w:val="009F2EE6"/>
    <w:rsid w:val="009F39CD"/>
    <w:rsid w:val="009F3B6C"/>
    <w:rsid w:val="009F44E7"/>
    <w:rsid w:val="009F5687"/>
    <w:rsid w:val="009F574D"/>
    <w:rsid w:val="009F57FF"/>
    <w:rsid w:val="009F5A91"/>
    <w:rsid w:val="009F5EC2"/>
    <w:rsid w:val="009F7761"/>
    <w:rsid w:val="00A0046E"/>
    <w:rsid w:val="00A00FA0"/>
    <w:rsid w:val="00A01184"/>
    <w:rsid w:val="00A02666"/>
    <w:rsid w:val="00A026DC"/>
    <w:rsid w:val="00A029F4"/>
    <w:rsid w:val="00A032B5"/>
    <w:rsid w:val="00A03D43"/>
    <w:rsid w:val="00A04380"/>
    <w:rsid w:val="00A0441F"/>
    <w:rsid w:val="00A04694"/>
    <w:rsid w:val="00A04F9C"/>
    <w:rsid w:val="00A05363"/>
    <w:rsid w:val="00A06F87"/>
    <w:rsid w:val="00A0721A"/>
    <w:rsid w:val="00A079EE"/>
    <w:rsid w:val="00A10EF3"/>
    <w:rsid w:val="00A11174"/>
    <w:rsid w:val="00A11CB3"/>
    <w:rsid w:val="00A11CD0"/>
    <w:rsid w:val="00A127DA"/>
    <w:rsid w:val="00A13948"/>
    <w:rsid w:val="00A13B28"/>
    <w:rsid w:val="00A14709"/>
    <w:rsid w:val="00A14942"/>
    <w:rsid w:val="00A15402"/>
    <w:rsid w:val="00A1555B"/>
    <w:rsid w:val="00A155C5"/>
    <w:rsid w:val="00A16AD8"/>
    <w:rsid w:val="00A16C6F"/>
    <w:rsid w:val="00A16E3A"/>
    <w:rsid w:val="00A1720A"/>
    <w:rsid w:val="00A1734C"/>
    <w:rsid w:val="00A17E89"/>
    <w:rsid w:val="00A20387"/>
    <w:rsid w:val="00A21445"/>
    <w:rsid w:val="00A21C38"/>
    <w:rsid w:val="00A21CF3"/>
    <w:rsid w:val="00A22EC1"/>
    <w:rsid w:val="00A236FF"/>
    <w:rsid w:val="00A23CFF"/>
    <w:rsid w:val="00A241D8"/>
    <w:rsid w:val="00A253B4"/>
    <w:rsid w:val="00A25A19"/>
    <w:rsid w:val="00A261A8"/>
    <w:rsid w:val="00A26A7B"/>
    <w:rsid w:val="00A27AEC"/>
    <w:rsid w:val="00A27FC4"/>
    <w:rsid w:val="00A30514"/>
    <w:rsid w:val="00A309D2"/>
    <w:rsid w:val="00A316A7"/>
    <w:rsid w:val="00A320DB"/>
    <w:rsid w:val="00A320E2"/>
    <w:rsid w:val="00A32986"/>
    <w:rsid w:val="00A33136"/>
    <w:rsid w:val="00A33B6F"/>
    <w:rsid w:val="00A346BE"/>
    <w:rsid w:val="00A3546A"/>
    <w:rsid w:val="00A35D16"/>
    <w:rsid w:val="00A36C18"/>
    <w:rsid w:val="00A37BCD"/>
    <w:rsid w:val="00A37D8C"/>
    <w:rsid w:val="00A40FA8"/>
    <w:rsid w:val="00A40FB5"/>
    <w:rsid w:val="00A412AF"/>
    <w:rsid w:val="00A41484"/>
    <w:rsid w:val="00A426A6"/>
    <w:rsid w:val="00A42E63"/>
    <w:rsid w:val="00A4343C"/>
    <w:rsid w:val="00A43443"/>
    <w:rsid w:val="00A43897"/>
    <w:rsid w:val="00A43C59"/>
    <w:rsid w:val="00A43F37"/>
    <w:rsid w:val="00A44233"/>
    <w:rsid w:val="00A44922"/>
    <w:rsid w:val="00A455BB"/>
    <w:rsid w:val="00A46A4D"/>
    <w:rsid w:val="00A46A69"/>
    <w:rsid w:val="00A47EC4"/>
    <w:rsid w:val="00A50ECD"/>
    <w:rsid w:val="00A51620"/>
    <w:rsid w:val="00A518F3"/>
    <w:rsid w:val="00A526AC"/>
    <w:rsid w:val="00A52729"/>
    <w:rsid w:val="00A527F6"/>
    <w:rsid w:val="00A529E0"/>
    <w:rsid w:val="00A52FE4"/>
    <w:rsid w:val="00A53675"/>
    <w:rsid w:val="00A540DC"/>
    <w:rsid w:val="00A54586"/>
    <w:rsid w:val="00A54D35"/>
    <w:rsid w:val="00A5567B"/>
    <w:rsid w:val="00A55EDF"/>
    <w:rsid w:val="00A55FA9"/>
    <w:rsid w:val="00A56448"/>
    <w:rsid w:val="00A56499"/>
    <w:rsid w:val="00A564D7"/>
    <w:rsid w:val="00A56951"/>
    <w:rsid w:val="00A56B6A"/>
    <w:rsid w:val="00A573B3"/>
    <w:rsid w:val="00A578DC"/>
    <w:rsid w:val="00A60CBE"/>
    <w:rsid w:val="00A61A78"/>
    <w:rsid w:val="00A62A44"/>
    <w:rsid w:val="00A634C5"/>
    <w:rsid w:val="00A63E99"/>
    <w:rsid w:val="00A6516B"/>
    <w:rsid w:val="00A662DF"/>
    <w:rsid w:val="00A66476"/>
    <w:rsid w:val="00A664A0"/>
    <w:rsid w:val="00A66F38"/>
    <w:rsid w:val="00A6725B"/>
    <w:rsid w:val="00A678B7"/>
    <w:rsid w:val="00A70155"/>
    <w:rsid w:val="00A703CF"/>
    <w:rsid w:val="00A70532"/>
    <w:rsid w:val="00A70605"/>
    <w:rsid w:val="00A70A64"/>
    <w:rsid w:val="00A70D69"/>
    <w:rsid w:val="00A71BF4"/>
    <w:rsid w:val="00A72111"/>
    <w:rsid w:val="00A72963"/>
    <w:rsid w:val="00A72B06"/>
    <w:rsid w:val="00A72F34"/>
    <w:rsid w:val="00A73134"/>
    <w:rsid w:val="00A73CF3"/>
    <w:rsid w:val="00A74509"/>
    <w:rsid w:val="00A749B2"/>
    <w:rsid w:val="00A75282"/>
    <w:rsid w:val="00A752A9"/>
    <w:rsid w:val="00A7612C"/>
    <w:rsid w:val="00A76834"/>
    <w:rsid w:val="00A76CB8"/>
    <w:rsid w:val="00A76E65"/>
    <w:rsid w:val="00A777B2"/>
    <w:rsid w:val="00A77C61"/>
    <w:rsid w:val="00A8045A"/>
    <w:rsid w:val="00A81BFF"/>
    <w:rsid w:val="00A82172"/>
    <w:rsid w:val="00A82C42"/>
    <w:rsid w:val="00A835A3"/>
    <w:rsid w:val="00A86E8B"/>
    <w:rsid w:val="00A87164"/>
    <w:rsid w:val="00A900CE"/>
    <w:rsid w:val="00A904DF"/>
    <w:rsid w:val="00A91AA1"/>
    <w:rsid w:val="00A91C5B"/>
    <w:rsid w:val="00A929A0"/>
    <w:rsid w:val="00A93072"/>
    <w:rsid w:val="00A9323A"/>
    <w:rsid w:val="00A9362E"/>
    <w:rsid w:val="00A93953"/>
    <w:rsid w:val="00A9409D"/>
    <w:rsid w:val="00A95717"/>
    <w:rsid w:val="00A9588B"/>
    <w:rsid w:val="00A95994"/>
    <w:rsid w:val="00A959D6"/>
    <w:rsid w:val="00A959D8"/>
    <w:rsid w:val="00A95A44"/>
    <w:rsid w:val="00AA0385"/>
    <w:rsid w:val="00AA113D"/>
    <w:rsid w:val="00AA15E2"/>
    <w:rsid w:val="00AA28B9"/>
    <w:rsid w:val="00AA3302"/>
    <w:rsid w:val="00AA3614"/>
    <w:rsid w:val="00AA38D7"/>
    <w:rsid w:val="00AA431B"/>
    <w:rsid w:val="00AA493C"/>
    <w:rsid w:val="00AA5E83"/>
    <w:rsid w:val="00AA6C7D"/>
    <w:rsid w:val="00AA7A0C"/>
    <w:rsid w:val="00AA7FD6"/>
    <w:rsid w:val="00AB042A"/>
    <w:rsid w:val="00AB0518"/>
    <w:rsid w:val="00AB12B1"/>
    <w:rsid w:val="00AB1312"/>
    <w:rsid w:val="00AB2D34"/>
    <w:rsid w:val="00AB3430"/>
    <w:rsid w:val="00AB38B7"/>
    <w:rsid w:val="00AB4AD1"/>
    <w:rsid w:val="00AB5470"/>
    <w:rsid w:val="00AB5F6A"/>
    <w:rsid w:val="00AB674B"/>
    <w:rsid w:val="00AB7CFA"/>
    <w:rsid w:val="00AC0659"/>
    <w:rsid w:val="00AC2275"/>
    <w:rsid w:val="00AC2BC7"/>
    <w:rsid w:val="00AC2E09"/>
    <w:rsid w:val="00AC3431"/>
    <w:rsid w:val="00AC37E6"/>
    <w:rsid w:val="00AC53C3"/>
    <w:rsid w:val="00AC5B48"/>
    <w:rsid w:val="00AC64A6"/>
    <w:rsid w:val="00AC661A"/>
    <w:rsid w:val="00AC7A61"/>
    <w:rsid w:val="00AC7D95"/>
    <w:rsid w:val="00AD0495"/>
    <w:rsid w:val="00AD15D4"/>
    <w:rsid w:val="00AD19E2"/>
    <w:rsid w:val="00AD3917"/>
    <w:rsid w:val="00AD41BD"/>
    <w:rsid w:val="00AD4466"/>
    <w:rsid w:val="00AD4FAE"/>
    <w:rsid w:val="00AD50D3"/>
    <w:rsid w:val="00AD5164"/>
    <w:rsid w:val="00AD5745"/>
    <w:rsid w:val="00AD5B9E"/>
    <w:rsid w:val="00AD6502"/>
    <w:rsid w:val="00AD680A"/>
    <w:rsid w:val="00AD791E"/>
    <w:rsid w:val="00AE19EB"/>
    <w:rsid w:val="00AE340E"/>
    <w:rsid w:val="00AE4DA7"/>
    <w:rsid w:val="00AE4F92"/>
    <w:rsid w:val="00AE5ABD"/>
    <w:rsid w:val="00AE62D8"/>
    <w:rsid w:val="00AE6831"/>
    <w:rsid w:val="00AE6A21"/>
    <w:rsid w:val="00AE7003"/>
    <w:rsid w:val="00AE7908"/>
    <w:rsid w:val="00AE7DDC"/>
    <w:rsid w:val="00AE7F20"/>
    <w:rsid w:val="00AF0B87"/>
    <w:rsid w:val="00AF1315"/>
    <w:rsid w:val="00AF19BF"/>
    <w:rsid w:val="00AF20B2"/>
    <w:rsid w:val="00AF2DC3"/>
    <w:rsid w:val="00AF32E8"/>
    <w:rsid w:val="00AF3BB2"/>
    <w:rsid w:val="00AF4865"/>
    <w:rsid w:val="00AF4ABE"/>
    <w:rsid w:val="00AF5565"/>
    <w:rsid w:val="00AF60B0"/>
    <w:rsid w:val="00AF6506"/>
    <w:rsid w:val="00AF6894"/>
    <w:rsid w:val="00AF6F0A"/>
    <w:rsid w:val="00AF7284"/>
    <w:rsid w:val="00B00560"/>
    <w:rsid w:val="00B020DB"/>
    <w:rsid w:val="00B0245B"/>
    <w:rsid w:val="00B02B85"/>
    <w:rsid w:val="00B02CF8"/>
    <w:rsid w:val="00B02DBC"/>
    <w:rsid w:val="00B033E5"/>
    <w:rsid w:val="00B03477"/>
    <w:rsid w:val="00B03A63"/>
    <w:rsid w:val="00B048C1"/>
    <w:rsid w:val="00B055C8"/>
    <w:rsid w:val="00B0570B"/>
    <w:rsid w:val="00B05D27"/>
    <w:rsid w:val="00B06E24"/>
    <w:rsid w:val="00B07CE4"/>
    <w:rsid w:val="00B1031F"/>
    <w:rsid w:val="00B111C8"/>
    <w:rsid w:val="00B120C3"/>
    <w:rsid w:val="00B12807"/>
    <w:rsid w:val="00B12A3F"/>
    <w:rsid w:val="00B1490E"/>
    <w:rsid w:val="00B1544C"/>
    <w:rsid w:val="00B168FE"/>
    <w:rsid w:val="00B16B93"/>
    <w:rsid w:val="00B17A40"/>
    <w:rsid w:val="00B17DA9"/>
    <w:rsid w:val="00B201A4"/>
    <w:rsid w:val="00B20CFA"/>
    <w:rsid w:val="00B20DCA"/>
    <w:rsid w:val="00B213A6"/>
    <w:rsid w:val="00B233D8"/>
    <w:rsid w:val="00B2421E"/>
    <w:rsid w:val="00B24DF6"/>
    <w:rsid w:val="00B25928"/>
    <w:rsid w:val="00B2639F"/>
    <w:rsid w:val="00B26DE6"/>
    <w:rsid w:val="00B2792D"/>
    <w:rsid w:val="00B27B1D"/>
    <w:rsid w:val="00B27D58"/>
    <w:rsid w:val="00B3019D"/>
    <w:rsid w:val="00B30E58"/>
    <w:rsid w:val="00B3165E"/>
    <w:rsid w:val="00B323FB"/>
    <w:rsid w:val="00B32627"/>
    <w:rsid w:val="00B3339F"/>
    <w:rsid w:val="00B34FE2"/>
    <w:rsid w:val="00B352AE"/>
    <w:rsid w:val="00B357D8"/>
    <w:rsid w:val="00B36164"/>
    <w:rsid w:val="00B371C8"/>
    <w:rsid w:val="00B3722B"/>
    <w:rsid w:val="00B37BFC"/>
    <w:rsid w:val="00B40358"/>
    <w:rsid w:val="00B40ADD"/>
    <w:rsid w:val="00B41012"/>
    <w:rsid w:val="00B41614"/>
    <w:rsid w:val="00B417E1"/>
    <w:rsid w:val="00B4194B"/>
    <w:rsid w:val="00B41BE0"/>
    <w:rsid w:val="00B41C6B"/>
    <w:rsid w:val="00B42747"/>
    <w:rsid w:val="00B42851"/>
    <w:rsid w:val="00B42D2C"/>
    <w:rsid w:val="00B42F80"/>
    <w:rsid w:val="00B43497"/>
    <w:rsid w:val="00B434E9"/>
    <w:rsid w:val="00B435CB"/>
    <w:rsid w:val="00B448AD"/>
    <w:rsid w:val="00B44B4A"/>
    <w:rsid w:val="00B459D2"/>
    <w:rsid w:val="00B465C1"/>
    <w:rsid w:val="00B46A2D"/>
    <w:rsid w:val="00B50DB8"/>
    <w:rsid w:val="00B516BE"/>
    <w:rsid w:val="00B5301A"/>
    <w:rsid w:val="00B5305A"/>
    <w:rsid w:val="00B53654"/>
    <w:rsid w:val="00B53789"/>
    <w:rsid w:val="00B53905"/>
    <w:rsid w:val="00B53A1F"/>
    <w:rsid w:val="00B5466B"/>
    <w:rsid w:val="00B54B5B"/>
    <w:rsid w:val="00B5562E"/>
    <w:rsid w:val="00B57000"/>
    <w:rsid w:val="00B578E2"/>
    <w:rsid w:val="00B608E2"/>
    <w:rsid w:val="00B60939"/>
    <w:rsid w:val="00B60AFD"/>
    <w:rsid w:val="00B6107B"/>
    <w:rsid w:val="00B61913"/>
    <w:rsid w:val="00B620F0"/>
    <w:rsid w:val="00B62715"/>
    <w:rsid w:val="00B62BE7"/>
    <w:rsid w:val="00B62E67"/>
    <w:rsid w:val="00B65505"/>
    <w:rsid w:val="00B676C1"/>
    <w:rsid w:val="00B67C79"/>
    <w:rsid w:val="00B71685"/>
    <w:rsid w:val="00B71EDE"/>
    <w:rsid w:val="00B71F4C"/>
    <w:rsid w:val="00B72342"/>
    <w:rsid w:val="00B723B7"/>
    <w:rsid w:val="00B7241A"/>
    <w:rsid w:val="00B72EAF"/>
    <w:rsid w:val="00B74993"/>
    <w:rsid w:val="00B74CCF"/>
    <w:rsid w:val="00B764C9"/>
    <w:rsid w:val="00B76713"/>
    <w:rsid w:val="00B77255"/>
    <w:rsid w:val="00B77FA0"/>
    <w:rsid w:val="00B81504"/>
    <w:rsid w:val="00B818A4"/>
    <w:rsid w:val="00B8191A"/>
    <w:rsid w:val="00B820CB"/>
    <w:rsid w:val="00B82837"/>
    <w:rsid w:val="00B8306A"/>
    <w:rsid w:val="00B83F8B"/>
    <w:rsid w:val="00B84117"/>
    <w:rsid w:val="00B84291"/>
    <w:rsid w:val="00B845B5"/>
    <w:rsid w:val="00B85AA2"/>
    <w:rsid w:val="00B85C12"/>
    <w:rsid w:val="00B85C68"/>
    <w:rsid w:val="00B8649C"/>
    <w:rsid w:val="00B86559"/>
    <w:rsid w:val="00B879EF"/>
    <w:rsid w:val="00B87C2B"/>
    <w:rsid w:val="00B87DDD"/>
    <w:rsid w:val="00B87F0A"/>
    <w:rsid w:val="00B910E8"/>
    <w:rsid w:val="00B91192"/>
    <w:rsid w:val="00B91E9D"/>
    <w:rsid w:val="00B924A4"/>
    <w:rsid w:val="00B92D0B"/>
    <w:rsid w:val="00B92F60"/>
    <w:rsid w:val="00B93140"/>
    <w:rsid w:val="00B9374A"/>
    <w:rsid w:val="00B93911"/>
    <w:rsid w:val="00B94945"/>
    <w:rsid w:val="00B95CFF"/>
    <w:rsid w:val="00B9610C"/>
    <w:rsid w:val="00B965E5"/>
    <w:rsid w:val="00B979BE"/>
    <w:rsid w:val="00B97DD8"/>
    <w:rsid w:val="00BA037F"/>
    <w:rsid w:val="00BA03DA"/>
    <w:rsid w:val="00BA0C8A"/>
    <w:rsid w:val="00BA2575"/>
    <w:rsid w:val="00BA25EA"/>
    <w:rsid w:val="00BA322D"/>
    <w:rsid w:val="00BA4159"/>
    <w:rsid w:val="00BA4511"/>
    <w:rsid w:val="00BA6CF5"/>
    <w:rsid w:val="00BA78D7"/>
    <w:rsid w:val="00BB0BDD"/>
    <w:rsid w:val="00BB1A5C"/>
    <w:rsid w:val="00BB2A73"/>
    <w:rsid w:val="00BB4A5E"/>
    <w:rsid w:val="00BB4ACC"/>
    <w:rsid w:val="00BB533F"/>
    <w:rsid w:val="00BB56E9"/>
    <w:rsid w:val="00BB59E7"/>
    <w:rsid w:val="00BB665A"/>
    <w:rsid w:val="00BB6DA9"/>
    <w:rsid w:val="00BB703E"/>
    <w:rsid w:val="00BB7405"/>
    <w:rsid w:val="00BC1507"/>
    <w:rsid w:val="00BC22E2"/>
    <w:rsid w:val="00BC272B"/>
    <w:rsid w:val="00BC2E31"/>
    <w:rsid w:val="00BC3631"/>
    <w:rsid w:val="00BC41FB"/>
    <w:rsid w:val="00BC4377"/>
    <w:rsid w:val="00BC4A1A"/>
    <w:rsid w:val="00BC5349"/>
    <w:rsid w:val="00BC5D63"/>
    <w:rsid w:val="00BC6988"/>
    <w:rsid w:val="00BC69ED"/>
    <w:rsid w:val="00BC701A"/>
    <w:rsid w:val="00BC7381"/>
    <w:rsid w:val="00BC79D9"/>
    <w:rsid w:val="00BD10D0"/>
    <w:rsid w:val="00BD1481"/>
    <w:rsid w:val="00BD2165"/>
    <w:rsid w:val="00BD3D15"/>
    <w:rsid w:val="00BD41D1"/>
    <w:rsid w:val="00BD5AAA"/>
    <w:rsid w:val="00BD6141"/>
    <w:rsid w:val="00BD63DE"/>
    <w:rsid w:val="00BD68A3"/>
    <w:rsid w:val="00BD6938"/>
    <w:rsid w:val="00BD6CF3"/>
    <w:rsid w:val="00BD7250"/>
    <w:rsid w:val="00BD72D8"/>
    <w:rsid w:val="00BE00BF"/>
    <w:rsid w:val="00BE0F6D"/>
    <w:rsid w:val="00BE115C"/>
    <w:rsid w:val="00BE15B2"/>
    <w:rsid w:val="00BE2180"/>
    <w:rsid w:val="00BE21F2"/>
    <w:rsid w:val="00BE2676"/>
    <w:rsid w:val="00BE3B98"/>
    <w:rsid w:val="00BE4275"/>
    <w:rsid w:val="00BE5A01"/>
    <w:rsid w:val="00BE65AE"/>
    <w:rsid w:val="00BE7BA3"/>
    <w:rsid w:val="00BF060C"/>
    <w:rsid w:val="00BF0F95"/>
    <w:rsid w:val="00BF2433"/>
    <w:rsid w:val="00BF4D1B"/>
    <w:rsid w:val="00BF4D74"/>
    <w:rsid w:val="00BF53B7"/>
    <w:rsid w:val="00BF61C9"/>
    <w:rsid w:val="00BF6C94"/>
    <w:rsid w:val="00BF77A0"/>
    <w:rsid w:val="00C00424"/>
    <w:rsid w:val="00C00573"/>
    <w:rsid w:val="00C0073E"/>
    <w:rsid w:val="00C0083C"/>
    <w:rsid w:val="00C0118C"/>
    <w:rsid w:val="00C0149A"/>
    <w:rsid w:val="00C020F7"/>
    <w:rsid w:val="00C029B4"/>
    <w:rsid w:val="00C02E9E"/>
    <w:rsid w:val="00C03051"/>
    <w:rsid w:val="00C0319C"/>
    <w:rsid w:val="00C032FC"/>
    <w:rsid w:val="00C05982"/>
    <w:rsid w:val="00C065D9"/>
    <w:rsid w:val="00C06BC6"/>
    <w:rsid w:val="00C06BD6"/>
    <w:rsid w:val="00C06E11"/>
    <w:rsid w:val="00C1083E"/>
    <w:rsid w:val="00C11FF8"/>
    <w:rsid w:val="00C12054"/>
    <w:rsid w:val="00C1247A"/>
    <w:rsid w:val="00C12C14"/>
    <w:rsid w:val="00C12CF4"/>
    <w:rsid w:val="00C15233"/>
    <w:rsid w:val="00C15711"/>
    <w:rsid w:val="00C17544"/>
    <w:rsid w:val="00C1781C"/>
    <w:rsid w:val="00C200AA"/>
    <w:rsid w:val="00C201B1"/>
    <w:rsid w:val="00C20981"/>
    <w:rsid w:val="00C20B02"/>
    <w:rsid w:val="00C21209"/>
    <w:rsid w:val="00C21752"/>
    <w:rsid w:val="00C21F10"/>
    <w:rsid w:val="00C224BB"/>
    <w:rsid w:val="00C22557"/>
    <w:rsid w:val="00C2321D"/>
    <w:rsid w:val="00C23581"/>
    <w:rsid w:val="00C237ED"/>
    <w:rsid w:val="00C23846"/>
    <w:rsid w:val="00C24572"/>
    <w:rsid w:val="00C24632"/>
    <w:rsid w:val="00C24B2C"/>
    <w:rsid w:val="00C25418"/>
    <w:rsid w:val="00C25744"/>
    <w:rsid w:val="00C25D9C"/>
    <w:rsid w:val="00C26C64"/>
    <w:rsid w:val="00C26E7E"/>
    <w:rsid w:val="00C2778B"/>
    <w:rsid w:val="00C27D39"/>
    <w:rsid w:val="00C31241"/>
    <w:rsid w:val="00C3137D"/>
    <w:rsid w:val="00C31649"/>
    <w:rsid w:val="00C32D2D"/>
    <w:rsid w:val="00C338A8"/>
    <w:rsid w:val="00C342F3"/>
    <w:rsid w:val="00C3469D"/>
    <w:rsid w:val="00C35F1E"/>
    <w:rsid w:val="00C3614B"/>
    <w:rsid w:val="00C36167"/>
    <w:rsid w:val="00C40385"/>
    <w:rsid w:val="00C4094F"/>
    <w:rsid w:val="00C4098C"/>
    <w:rsid w:val="00C4127D"/>
    <w:rsid w:val="00C434B0"/>
    <w:rsid w:val="00C449F5"/>
    <w:rsid w:val="00C4554B"/>
    <w:rsid w:val="00C462AF"/>
    <w:rsid w:val="00C468F7"/>
    <w:rsid w:val="00C46BD8"/>
    <w:rsid w:val="00C475AA"/>
    <w:rsid w:val="00C47DA3"/>
    <w:rsid w:val="00C50521"/>
    <w:rsid w:val="00C509BE"/>
    <w:rsid w:val="00C50B8B"/>
    <w:rsid w:val="00C515A8"/>
    <w:rsid w:val="00C5219F"/>
    <w:rsid w:val="00C53820"/>
    <w:rsid w:val="00C57752"/>
    <w:rsid w:val="00C57C60"/>
    <w:rsid w:val="00C57E1F"/>
    <w:rsid w:val="00C6067A"/>
    <w:rsid w:val="00C60A0A"/>
    <w:rsid w:val="00C612B0"/>
    <w:rsid w:val="00C61754"/>
    <w:rsid w:val="00C619B7"/>
    <w:rsid w:val="00C61A87"/>
    <w:rsid w:val="00C62979"/>
    <w:rsid w:val="00C62B93"/>
    <w:rsid w:val="00C636CE"/>
    <w:rsid w:val="00C63E41"/>
    <w:rsid w:val="00C63E71"/>
    <w:rsid w:val="00C64F0F"/>
    <w:rsid w:val="00C65576"/>
    <w:rsid w:val="00C66165"/>
    <w:rsid w:val="00C66502"/>
    <w:rsid w:val="00C6762E"/>
    <w:rsid w:val="00C67D42"/>
    <w:rsid w:val="00C67E3E"/>
    <w:rsid w:val="00C67F5C"/>
    <w:rsid w:val="00C700E2"/>
    <w:rsid w:val="00C71241"/>
    <w:rsid w:val="00C7151A"/>
    <w:rsid w:val="00C71A8A"/>
    <w:rsid w:val="00C71F60"/>
    <w:rsid w:val="00C72241"/>
    <w:rsid w:val="00C722CE"/>
    <w:rsid w:val="00C72FF8"/>
    <w:rsid w:val="00C73DA5"/>
    <w:rsid w:val="00C750C8"/>
    <w:rsid w:val="00C7560F"/>
    <w:rsid w:val="00C75D69"/>
    <w:rsid w:val="00C7677B"/>
    <w:rsid w:val="00C770A0"/>
    <w:rsid w:val="00C77B15"/>
    <w:rsid w:val="00C8015F"/>
    <w:rsid w:val="00C801C3"/>
    <w:rsid w:val="00C80A0E"/>
    <w:rsid w:val="00C80D28"/>
    <w:rsid w:val="00C81302"/>
    <w:rsid w:val="00C8213F"/>
    <w:rsid w:val="00C82D2A"/>
    <w:rsid w:val="00C8405E"/>
    <w:rsid w:val="00C84E9D"/>
    <w:rsid w:val="00C85B09"/>
    <w:rsid w:val="00C87827"/>
    <w:rsid w:val="00C8797A"/>
    <w:rsid w:val="00C900B8"/>
    <w:rsid w:val="00C906B7"/>
    <w:rsid w:val="00C90782"/>
    <w:rsid w:val="00C90C71"/>
    <w:rsid w:val="00C91507"/>
    <w:rsid w:val="00C918D4"/>
    <w:rsid w:val="00C92D4A"/>
    <w:rsid w:val="00C92F12"/>
    <w:rsid w:val="00C931CF"/>
    <w:rsid w:val="00C938CF"/>
    <w:rsid w:val="00C9624D"/>
    <w:rsid w:val="00C969DA"/>
    <w:rsid w:val="00C96A24"/>
    <w:rsid w:val="00C96D98"/>
    <w:rsid w:val="00C96EDB"/>
    <w:rsid w:val="00C97CBF"/>
    <w:rsid w:val="00C97E9D"/>
    <w:rsid w:val="00CA0794"/>
    <w:rsid w:val="00CA10CC"/>
    <w:rsid w:val="00CA1D7D"/>
    <w:rsid w:val="00CA2C77"/>
    <w:rsid w:val="00CA3DEA"/>
    <w:rsid w:val="00CA404B"/>
    <w:rsid w:val="00CA444F"/>
    <w:rsid w:val="00CA4EC0"/>
    <w:rsid w:val="00CA5245"/>
    <w:rsid w:val="00CA5E6C"/>
    <w:rsid w:val="00CA5E83"/>
    <w:rsid w:val="00CA5FA5"/>
    <w:rsid w:val="00CA60F9"/>
    <w:rsid w:val="00CA6207"/>
    <w:rsid w:val="00CA6AAA"/>
    <w:rsid w:val="00CA71F4"/>
    <w:rsid w:val="00CA7B09"/>
    <w:rsid w:val="00CA7FB3"/>
    <w:rsid w:val="00CB016B"/>
    <w:rsid w:val="00CB0A5B"/>
    <w:rsid w:val="00CB198E"/>
    <w:rsid w:val="00CB2045"/>
    <w:rsid w:val="00CB2814"/>
    <w:rsid w:val="00CB2F2A"/>
    <w:rsid w:val="00CB368C"/>
    <w:rsid w:val="00CB39DA"/>
    <w:rsid w:val="00CB4D2D"/>
    <w:rsid w:val="00CB5054"/>
    <w:rsid w:val="00CB5997"/>
    <w:rsid w:val="00CB59EF"/>
    <w:rsid w:val="00CB5B1A"/>
    <w:rsid w:val="00CB6442"/>
    <w:rsid w:val="00CB6B22"/>
    <w:rsid w:val="00CB73CE"/>
    <w:rsid w:val="00CB7B68"/>
    <w:rsid w:val="00CB7B93"/>
    <w:rsid w:val="00CB7F5F"/>
    <w:rsid w:val="00CC0654"/>
    <w:rsid w:val="00CC10A5"/>
    <w:rsid w:val="00CC1B39"/>
    <w:rsid w:val="00CC2347"/>
    <w:rsid w:val="00CC270D"/>
    <w:rsid w:val="00CC2A61"/>
    <w:rsid w:val="00CC30E6"/>
    <w:rsid w:val="00CC38CE"/>
    <w:rsid w:val="00CC38F1"/>
    <w:rsid w:val="00CC3C22"/>
    <w:rsid w:val="00CC54AC"/>
    <w:rsid w:val="00CC71DE"/>
    <w:rsid w:val="00CD1232"/>
    <w:rsid w:val="00CD3476"/>
    <w:rsid w:val="00CD36DB"/>
    <w:rsid w:val="00CD4BB8"/>
    <w:rsid w:val="00CD579B"/>
    <w:rsid w:val="00CD67E3"/>
    <w:rsid w:val="00CD6ADC"/>
    <w:rsid w:val="00CD6B08"/>
    <w:rsid w:val="00CD79CA"/>
    <w:rsid w:val="00CE0D00"/>
    <w:rsid w:val="00CE1241"/>
    <w:rsid w:val="00CE19CD"/>
    <w:rsid w:val="00CE2228"/>
    <w:rsid w:val="00CE2276"/>
    <w:rsid w:val="00CE3293"/>
    <w:rsid w:val="00CE400B"/>
    <w:rsid w:val="00CE42CB"/>
    <w:rsid w:val="00CE42D8"/>
    <w:rsid w:val="00CE449C"/>
    <w:rsid w:val="00CE4518"/>
    <w:rsid w:val="00CE49A9"/>
    <w:rsid w:val="00CE545A"/>
    <w:rsid w:val="00CE5848"/>
    <w:rsid w:val="00CE5D4A"/>
    <w:rsid w:val="00CE5D62"/>
    <w:rsid w:val="00CE6274"/>
    <w:rsid w:val="00CE77E5"/>
    <w:rsid w:val="00CE7BF5"/>
    <w:rsid w:val="00CE7C73"/>
    <w:rsid w:val="00CE7ED4"/>
    <w:rsid w:val="00CF1EAD"/>
    <w:rsid w:val="00CF1FAD"/>
    <w:rsid w:val="00CF21F7"/>
    <w:rsid w:val="00CF254F"/>
    <w:rsid w:val="00CF2B48"/>
    <w:rsid w:val="00CF2B8D"/>
    <w:rsid w:val="00CF456B"/>
    <w:rsid w:val="00CF4DA1"/>
    <w:rsid w:val="00CF55D1"/>
    <w:rsid w:val="00CF5A22"/>
    <w:rsid w:val="00CF693E"/>
    <w:rsid w:val="00CF7AAE"/>
    <w:rsid w:val="00D00DA3"/>
    <w:rsid w:val="00D016A8"/>
    <w:rsid w:val="00D01D28"/>
    <w:rsid w:val="00D0262E"/>
    <w:rsid w:val="00D028C9"/>
    <w:rsid w:val="00D02D40"/>
    <w:rsid w:val="00D0360E"/>
    <w:rsid w:val="00D0363A"/>
    <w:rsid w:val="00D03D21"/>
    <w:rsid w:val="00D04290"/>
    <w:rsid w:val="00D04668"/>
    <w:rsid w:val="00D04A14"/>
    <w:rsid w:val="00D05BEE"/>
    <w:rsid w:val="00D0607A"/>
    <w:rsid w:val="00D06311"/>
    <w:rsid w:val="00D06698"/>
    <w:rsid w:val="00D066F7"/>
    <w:rsid w:val="00D06965"/>
    <w:rsid w:val="00D07822"/>
    <w:rsid w:val="00D079B0"/>
    <w:rsid w:val="00D110BD"/>
    <w:rsid w:val="00D11414"/>
    <w:rsid w:val="00D114CA"/>
    <w:rsid w:val="00D115F2"/>
    <w:rsid w:val="00D1292B"/>
    <w:rsid w:val="00D12DF8"/>
    <w:rsid w:val="00D13675"/>
    <w:rsid w:val="00D139B3"/>
    <w:rsid w:val="00D141E1"/>
    <w:rsid w:val="00D1591C"/>
    <w:rsid w:val="00D16F49"/>
    <w:rsid w:val="00D17833"/>
    <w:rsid w:val="00D17D6C"/>
    <w:rsid w:val="00D20C0F"/>
    <w:rsid w:val="00D20EDB"/>
    <w:rsid w:val="00D21B8D"/>
    <w:rsid w:val="00D21EDA"/>
    <w:rsid w:val="00D22277"/>
    <w:rsid w:val="00D229B2"/>
    <w:rsid w:val="00D233E3"/>
    <w:rsid w:val="00D25120"/>
    <w:rsid w:val="00D25F21"/>
    <w:rsid w:val="00D2676D"/>
    <w:rsid w:val="00D2726C"/>
    <w:rsid w:val="00D2754D"/>
    <w:rsid w:val="00D27B27"/>
    <w:rsid w:val="00D27CB0"/>
    <w:rsid w:val="00D27E13"/>
    <w:rsid w:val="00D31677"/>
    <w:rsid w:val="00D31EBD"/>
    <w:rsid w:val="00D32806"/>
    <w:rsid w:val="00D3285B"/>
    <w:rsid w:val="00D32C21"/>
    <w:rsid w:val="00D33123"/>
    <w:rsid w:val="00D33BE9"/>
    <w:rsid w:val="00D3552D"/>
    <w:rsid w:val="00D357FF"/>
    <w:rsid w:val="00D379C0"/>
    <w:rsid w:val="00D379EB"/>
    <w:rsid w:val="00D37CF1"/>
    <w:rsid w:val="00D37E4C"/>
    <w:rsid w:val="00D4073F"/>
    <w:rsid w:val="00D4121F"/>
    <w:rsid w:val="00D424C7"/>
    <w:rsid w:val="00D43AB4"/>
    <w:rsid w:val="00D43B2A"/>
    <w:rsid w:val="00D44A53"/>
    <w:rsid w:val="00D452CB"/>
    <w:rsid w:val="00D45C22"/>
    <w:rsid w:val="00D47575"/>
    <w:rsid w:val="00D5070E"/>
    <w:rsid w:val="00D51329"/>
    <w:rsid w:val="00D53057"/>
    <w:rsid w:val="00D53F00"/>
    <w:rsid w:val="00D547A6"/>
    <w:rsid w:val="00D56A91"/>
    <w:rsid w:val="00D57A99"/>
    <w:rsid w:val="00D57D3B"/>
    <w:rsid w:val="00D61B4C"/>
    <w:rsid w:val="00D6211C"/>
    <w:rsid w:val="00D62645"/>
    <w:rsid w:val="00D63EAB"/>
    <w:rsid w:val="00D64483"/>
    <w:rsid w:val="00D64D6E"/>
    <w:rsid w:val="00D6755D"/>
    <w:rsid w:val="00D67B20"/>
    <w:rsid w:val="00D67C0E"/>
    <w:rsid w:val="00D702CC"/>
    <w:rsid w:val="00D70644"/>
    <w:rsid w:val="00D70F16"/>
    <w:rsid w:val="00D71C21"/>
    <w:rsid w:val="00D72B94"/>
    <w:rsid w:val="00D73BDD"/>
    <w:rsid w:val="00D73F9C"/>
    <w:rsid w:val="00D75111"/>
    <w:rsid w:val="00D75113"/>
    <w:rsid w:val="00D76524"/>
    <w:rsid w:val="00D76616"/>
    <w:rsid w:val="00D76698"/>
    <w:rsid w:val="00D766C9"/>
    <w:rsid w:val="00D76A44"/>
    <w:rsid w:val="00D76C77"/>
    <w:rsid w:val="00D77CFA"/>
    <w:rsid w:val="00D77D6C"/>
    <w:rsid w:val="00D80F02"/>
    <w:rsid w:val="00D815EF"/>
    <w:rsid w:val="00D82EF9"/>
    <w:rsid w:val="00D84DBA"/>
    <w:rsid w:val="00D85215"/>
    <w:rsid w:val="00D85244"/>
    <w:rsid w:val="00D8658A"/>
    <w:rsid w:val="00D86D7C"/>
    <w:rsid w:val="00D86E2D"/>
    <w:rsid w:val="00D876E0"/>
    <w:rsid w:val="00D87CA7"/>
    <w:rsid w:val="00D90078"/>
    <w:rsid w:val="00D90AED"/>
    <w:rsid w:val="00D90AEE"/>
    <w:rsid w:val="00D90C17"/>
    <w:rsid w:val="00D90EA0"/>
    <w:rsid w:val="00D90F96"/>
    <w:rsid w:val="00D91408"/>
    <w:rsid w:val="00D914FA"/>
    <w:rsid w:val="00D915FD"/>
    <w:rsid w:val="00D91923"/>
    <w:rsid w:val="00D91EC5"/>
    <w:rsid w:val="00D9286F"/>
    <w:rsid w:val="00D92C66"/>
    <w:rsid w:val="00D93753"/>
    <w:rsid w:val="00D94AEC"/>
    <w:rsid w:val="00D95EB7"/>
    <w:rsid w:val="00D95F8D"/>
    <w:rsid w:val="00D97AF1"/>
    <w:rsid w:val="00D97BD1"/>
    <w:rsid w:val="00D97E91"/>
    <w:rsid w:val="00DA0BFF"/>
    <w:rsid w:val="00DA0FE1"/>
    <w:rsid w:val="00DA10B6"/>
    <w:rsid w:val="00DA1760"/>
    <w:rsid w:val="00DA2E05"/>
    <w:rsid w:val="00DA2E0D"/>
    <w:rsid w:val="00DA3167"/>
    <w:rsid w:val="00DA3220"/>
    <w:rsid w:val="00DA32D7"/>
    <w:rsid w:val="00DA438D"/>
    <w:rsid w:val="00DA47FD"/>
    <w:rsid w:val="00DA4DC3"/>
    <w:rsid w:val="00DA4E43"/>
    <w:rsid w:val="00DA5765"/>
    <w:rsid w:val="00DA6515"/>
    <w:rsid w:val="00DA7305"/>
    <w:rsid w:val="00DA77A5"/>
    <w:rsid w:val="00DA7DC3"/>
    <w:rsid w:val="00DB04A4"/>
    <w:rsid w:val="00DB18B5"/>
    <w:rsid w:val="00DB21DB"/>
    <w:rsid w:val="00DB2737"/>
    <w:rsid w:val="00DB2EBE"/>
    <w:rsid w:val="00DB3504"/>
    <w:rsid w:val="00DB484F"/>
    <w:rsid w:val="00DB4B7A"/>
    <w:rsid w:val="00DB4CFA"/>
    <w:rsid w:val="00DB7A4A"/>
    <w:rsid w:val="00DB7AF9"/>
    <w:rsid w:val="00DB7B35"/>
    <w:rsid w:val="00DC041A"/>
    <w:rsid w:val="00DC04F6"/>
    <w:rsid w:val="00DC0B2C"/>
    <w:rsid w:val="00DC0F9D"/>
    <w:rsid w:val="00DC15F3"/>
    <w:rsid w:val="00DC2A45"/>
    <w:rsid w:val="00DC2B1F"/>
    <w:rsid w:val="00DC3C57"/>
    <w:rsid w:val="00DC41B7"/>
    <w:rsid w:val="00DC5501"/>
    <w:rsid w:val="00DC5C77"/>
    <w:rsid w:val="00DC5F2B"/>
    <w:rsid w:val="00DC6692"/>
    <w:rsid w:val="00DC66B0"/>
    <w:rsid w:val="00DC7262"/>
    <w:rsid w:val="00DC7503"/>
    <w:rsid w:val="00DC79EB"/>
    <w:rsid w:val="00DC7A6A"/>
    <w:rsid w:val="00DD1B49"/>
    <w:rsid w:val="00DD273C"/>
    <w:rsid w:val="00DD2FA0"/>
    <w:rsid w:val="00DD3803"/>
    <w:rsid w:val="00DD3F28"/>
    <w:rsid w:val="00DD4235"/>
    <w:rsid w:val="00DD4537"/>
    <w:rsid w:val="00DD49E6"/>
    <w:rsid w:val="00DD4A70"/>
    <w:rsid w:val="00DD4E15"/>
    <w:rsid w:val="00DD4FDF"/>
    <w:rsid w:val="00DD5AEF"/>
    <w:rsid w:val="00DD6374"/>
    <w:rsid w:val="00DD739C"/>
    <w:rsid w:val="00DD78CC"/>
    <w:rsid w:val="00DE0B12"/>
    <w:rsid w:val="00DE0CCC"/>
    <w:rsid w:val="00DE1121"/>
    <w:rsid w:val="00DE1C5E"/>
    <w:rsid w:val="00DE2E0A"/>
    <w:rsid w:val="00DE3138"/>
    <w:rsid w:val="00DE37F8"/>
    <w:rsid w:val="00DE39FF"/>
    <w:rsid w:val="00DE4491"/>
    <w:rsid w:val="00DE4FCB"/>
    <w:rsid w:val="00DE52CA"/>
    <w:rsid w:val="00DE5BBC"/>
    <w:rsid w:val="00DE642F"/>
    <w:rsid w:val="00DE6833"/>
    <w:rsid w:val="00DE7832"/>
    <w:rsid w:val="00DF0BD8"/>
    <w:rsid w:val="00DF1897"/>
    <w:rsid w:val="00DF18FC"/>
    <w:rsid w:val="00DF1E60"/>
    <w:rsid w:val="00DF2F26"/>
    <w:rsid w:val="00DF38F8"/>
    <w:rsid w:val="00DF45C8"/>
    <w:rsid w:val="00DF4F9F"/>
    <w:rsid w:val="00DF50AF"/>
    <w:rsid w:val="00DF5D2B"/>
    <w:rsid w:val="00DF606C"/>
    <w:rsid w:val="00DF6328"/>
    <w:rsid w:val="00DF6A8C"/>
    <w:rsid w:val="00DF72B3"/>
    <w:rsid w:val="00DF77AB"/>
    <w:rsid w:val="00DF7D45"/>
    <w:rsid w:val="00E005D0"/>
    <w:rsid w:val="00E00921"/>
    <w:rsid w:val="00E00E8E"/>
    <w:rsid w:val="00E02BEB"/>
    <w:rsid w:val="00E04443"/>
    <w:rsid w:val="00E04CAF"/>
    <w:rsid w:val="00E054D1"/>
    <w:rsid w:val="00E05630"/>
    <w:rsid w:val="00E069AB"/>
    <w:rsid w:val="00E06DBB"/>
    <w:rsid w:val="00E072A6"/>
    <w:rsid w:val="00E073CD"/>
    <w:rsid w:val="00E0748A"/>
    <w:rsid w:val="00E07A6C"/>
    <w:rsid w:val="00E10149"/>
    <w:rsid w:val="00E1126D"/>
    <w:rsid w:val="00E115AE"/>
    <w:rsid w:val="00E11811"/>
    <w:rsid w:val="00E13003"/>
    <w:rsid w:val="00E1392B"/>
    <w:rsid w:val="00E14004"/>
    <w:rsid w:val="00E14258"/>
    <w:rsid w:val="00E14789"/>
    <w:rsid w:val="00E15732"/>
    <w:rsid w:val="00E16372"/>
    <w:rsid w:val="00E16C63"/>
    <w:rsid w:val="00E1753B"/>
    <w:rsid w:val="00E203AD"/>
    <w:rsid w:val="00E20463"/>
    <w:rsid w:val="00E20E4D"/>
    <w:rsid w:val="00E20ED6"/>
    <w:rsid w:val="00E21073"/>
    <w:rsid w:val="00E21358"/>
    <w:rsid w:val="00E2165A"/>
    <w:rsid w:val="00E223AE"/>
    <w:rsid w:val="00E2249B"/>
    <w:rsid w:val="00E22A0D"/>
    <w:rsid w:val="00E22E43"/>
    <w:rsid w:val="00E23C8B"/>
    <w:rsid w:val="00E24458"/>
    <w:rsid w:val="00E248FE"/>
    <w:rsid w:val="00E250FA"/>
    <w:rsid w:val="00E2587F"/>
    <w:rsid w:val="00E26BB3"/>
    <w:rsid w:val="00E2771E"/>
    <w:rsid w:val="00E27C3A"/>
    <w:rsid w:val="00E30DEB"/>
    <w:rsid w:val="00E30E22"/>
    <w:rsid w:val="00E31508"/>
    <w:rsid w:val="00E318D0"/>
    <w:rsid w:val="00E31D07"/>
    <w:rsid w:val="00E3288D"/>
    <w:rsid w:val="00E34948"/>
    <w:rsid w:val="00E34F4D"/>
    <w:rsid w:val="00E359AF"/>
    <w:rsid w:val="00E35D6F"/>
    <w:rsid w:val="00E37569"/>
    <w:rsid w:val="00E40450"/>
    <w:rsid w:val="00E40510"/>
    <w:rsid w:val="00E408EB"/>
    <w:rsid w:val="00E40951"/>
    <w:rsid w:val="00E40C97"/>
    <w:rsid w:val="00E40F31"/>
    <w:rsid w:val="00E4127D"/>
    <w:rsid w:val="00E419DB"/>
    <w:rsid w:val="00E41C6A"/>
    <w:rsid w:val="00E41E30"/>
    <w:rsid w:val="00E422FD"/>
    <w:rsid w:val="00E4253D"/>
    <w:rsid w:val="00E43D26"/>
    <w:rsid w:val="00E43D70"/>
    <w:rsid w:val="00E43ECA"/>
    <w:rsid w:val="00E45F2F"/>
    <w:rsid w:val="00E466F3"/>
    <w:rsid w:val="00E46A95"/>
    <w:rsid w:val="00E47B2C"/>
    <w:rsid w:val="00E47DF1"/>
    <w:rsid w:val="00E507FE"/>
    <w:rsid w:val="00E50EFA"/>
    <w:rsid w:val="00E513F2"/>
    <w:rsid w:val="00E51560"/>
    <w:rsid w:val="00E516D9"/>
    <w:rsid w:val="00E51E94"/>
    <w:rsid w:val="00E52A21"/>
    <w:rsid w:val="00E52C29"/>
    <w:rsid w:val="00E54347"/>
    <w:rsid w:val="00E54C2A"/>
    <w:rsid w:val="00E55424"/>
    <w:rsid w:val="00E55598"/>
    <w:rsid w:val="00E5560C"/>
    <w:rsid w:val="00E55BB5"/>
    <w:rsid w:val="00E561DB"/>
    <w:rsid w:val="00E56D76"/>
    <w:rsid w:val="00E56DF8"/>
    <w:rsid w:val="00E56F7A"/>
    <w:rsid w:val="00E60D91"/>
    <w:rsid w:val="00E616F4"/>
    <w:rsid w:val="00E61CCC"/>
    <w:rsid w:val="00E62105"/>
    <w:rsid w:val="00E62581"/>
    <w:rsid w:val="00E629C4"/>
    <w:rsid w:val="00E63094"/>
    <w:rsid w:val="00E63353"/>
    <w:rsid w:val="00E64394"/>
    <w:rsid w:val="00E64484"/>
    <w:rsid w:val="00E64AEC"/>
    <w:rsid w:val="00E659A6"/>
    <w:rsid w:val="00E65A81"/>
    <w:rsid w:val="00E65D55"/>
    <w:rsid w:val="00E65E79"/>
    <w:rsid w:val="00E669DA"/>
    <w:rsid w:val="00E66BA2"/>
    <w:rsid w:val="00E67416"/>
    <w:rsid w:val="00E67494"/>
    <w:rsid w:val="00E6774D"/>
    <w:rsid w:val="00E716B6"/>
    <w:rsid w:val="00E71749"/>
    <w:rsid w:val="00E718B6"/>
    <w:rsid w:val="00E723BA"/>
    <w:rsid w:val="00E72DDB"/>
    <w:rsid w:val="00E73581"/>
    <w:rsid w:val="00E739E1"/>
    <w:rsid w:val="00E73B9E"/>
    <w:rsid w:val="00E73D60"/>
    <w:rsid w:val="00E75257"/>
    <w:rsid w:val="00E758CE"/>
    <w:rsid w:val="00E75C0B"/>
    <w:rsid w:val="00E77F14"/>
    <w:rsid w:val="00E8003D"/>
    <w:rsid w:val="00E81F0D"/>
    <w:rsid w:val="00E82CDB"/>
    <w:rsid w:val="00E8313B"/>
    <w:rsid w:val="00E833F7"/>
    <w:rsid w:val="00E8352B"/>
    <w:rsid w:val="00E83BDF"/>
    <w:rsid w:val="00E8446C"/>
    <w:rsid w:val="00E85A55"/>
    <w:rsid w:val="00E8652A"/>
    <w:rsid w:val="00E866A4"/>
    <w:rsid w:val="00E876B5"/>
    <w:rsid w:val="00E87984"/>
    <w:rsid w:val="00E87A1D"/>
    <w:rsid w:val="00E91BEC"/>
    <w:rsid w:val="00E926A5"/>
    <w:rsid w:val="00E95957"/>
    <w:rsid w:val="00E95BC1"/>
    <w:rsid w:val="00E968AE"/>
    <w:rsid w:val="00E96BD7"/>
    <w:rsid w:val="00E96F01"/>
    <w:rsid w:val="00E973CA"/>
    <w:rsid w:val="00EA082E"/>
    <w:rsid w:val="00EA17C3"/>
    <w:rsid w:val="00EA1E4E"/>
    <w:rsid w:val="00EA2CAA"/>
    <w:rsid w:val="00EA2E15"/>
    <w:rsid w:val="00EA2E1A"/>
    <w:rsid w:val="00EA3864"/>
    <w:rsid w:val="00EA4406"/>
    <w:rsid w:val="00EA4D6A"/>
    <w:rsid w:val="00EA5895"/>
    <w:rsid w:val="00EA662A"/>
    <w:rsid w:val="00EA7DD4"/>
    <w:rsid w:val="00EB0E7D"/>
    <w:rsid w:val="00EB14F1"/>
    <w:rsid w:val="00EB15B6"/>
    <w:rsid w:val="00EB1E29"/>
    <w:rsid w:val="00EB2F66"/>
    <w:rsid w:val="00EB3229"/>
    <w:rsid w:val="00EB36B0"/>
    <w:rsid w:val="00EB3B8B"/>
    <w:rsid w:val="00EB3BE0"/>
    <w:rsid w:val="00EB419B"/>
    <w:rsid w:val="00EB4916"/>
    <w:rsid w:val="00EB4EC3"/>
    <w:rsid w:val="00EB5BA7"/>
    <w:rsid w:val="00EB5CF3"/>
    <w:rsid w:val="00EB6308"/>
    <w:rsid w:val="00EB78BD"/>
    <w:rsid w:val="00EB7A91"/>
    <w:rsid w:val="00EB7E09"/>
    <w:rsid w:val="00EC00C9"/>
    <w:rsid w:val="00EC2649"/>
    <w:rsid w:val="00EC26EC"/>
    <w:rsid w:val="00EC2DB0"/>
    <w:rsid w:val="00EC3E17"/>
    <w:rsid w:val="00EC3E3B"/>
    <w:rsid w:val="00EC6B7C"/>
    <w:rsid w:val="00EC741A"/>
    <w:rsid w:val="00ED0331"/>
    <w:rsid w:val="00ED1493"/>
    <w:rsid w:val="00ED16BA"/>
    <w:rsid w:val="00ED17E3"/>
    <w:rsid w:val="00ED39A7"/>
    <w:rsid w:val="00ED5466"/>
    <w:rsid w:val="00ED57EA"/>
    <w:rsid w:val="00ED6BC7"/>
    <w:rsid w:val="00ED6C94"/>
    <w:rsid w:val="00ED7C3D"/>
    <w:rsid w:val="00EE07D3"/>
    <w:rsid w:val="00EE16C2"/>
    <w:rsid w:val="00EE22AF"/>
    <w:rsid w:val="00EE2395"/>
    <w:rsid w:val="00EE2AF0"/>
    <w:rsid w:val="00EE3BDF"/>
    <w:rsid w:val="00EE40FB"/>
    <w:rsid w:val="00EE4378"/>
    <w:rsid w:val="00EE48DC"/>
    <w:rsid w:val="00EE4BBA"/>
    <w:rsid w:val="00EE5051"/>
    <w:rsid w:val="00EE5339"/>
    <w:rsid w:val="00EE5D3B"/>
    <w:rsid w:val="00EE638C"/>
    <w:rsid w:val="00EE64B2"/>
    <w:rsid w:val="00EE72AD"/>
    <w:rsid w:val="00EE7D1C"/>
    <w:rsid w:val="00EF0171"/>
    <w:rsid w:val="00EF1B25"/>
    <w:rsid w:val="00EF4747"/>
    <w:rsid w:val="00EF491E"/>
    <w:rsid w:val="00EF4BF8"/>
    <w:rsid w:val="00EF52C5"/>
    <w:rsid w:val="00EF5ACB"/>
    <w:rsid w:val="00EF6768"/>
    <w:rsid w:val="00EF6EF2"/>
    <w:rsid w:val="00EF6F20"/>
    <w:rsid w:val="00EF7326"/>
    <w:rsid w:val="00EF7D7D"/>
    <w:rsid w:val="00F00898"/>
    <w:rsid w:val="00F00FDC"/>
    <w:rsid w:val="00F02253"/>
    <w:rsid w:val="00F02AAE"/>
    <w:rsid w:val="00F03235"/>
    <w:rsid w:val="00F03A39"/>
    <w:rsid w:val="00F03A8A"/>
    <w:rsid w:val="00F03C2E"/>
    <w:rsid w:val="00F0400E"/>
    <w:rsid w:val="00F04077"/>
    <w:rsid w:val="00F04A66"/>
    <w:rsid w:val="00F04E21"/>
    <w:rsid w:val="00F0516C"/>
    <w:rsid w:val="00F05210"/>
    <w:rsid w:val="00F05AAA"/>
    <w:rsid w:val="00F067A2"/>
    <w:rsid w:val="00F06B76"/>
    <w:rsid w:val="00F110E1"/>
    <w:rsid w:val="00F11550"/>
    <w:rsid w:val="00F11CCC"/>
    <w:rsid w:val="00F11EA4"/>
    <w:rsid w:val="00F1263A"/>
    <w:rsid w:val="00F12C47"/>
    <w:rsid w:val="00F12D33"/>
    <w:rsid w:val="00F135E6"/>
    <w:rsid w:val="00F13862"/>
    <w:rsid w:val="00F145A1"/>
    <w:rsid w:val="00F1544F"/>
    <w:rsid w:val="00F158BA"/>
    <w:rsid w:val="00F15F8F"/>
    <w:rsid w:val="00F16AEF"/>
    <w:rsid w:val="00F2024B"/>
    <w:rsid w:val="00F20332"/>
    <w:rsid w:val="00F20603"/>
    <w:rsid w:val="00F21F4C"/>
    <w:rsid w:val="00F2474B"/>
    <w:rsid w:val="00F24837"/>
    <w:rsid w:val="00F2575F"/>
    <w:rsid w:val="00F261BF"/>
    <w:rsid w:val="00F27565"/>
    <w:rsid w:val="00F301E5"/>
    <w:rsid w:val="00F30F98"/>
    <w:rsid w:val="00F310D4"/>
    <w:rsid w:val="00F31D5A"/>
    <w:rsid w:val="00F32345"/>
    <w:rsid w:val="00F32C69"/>
    <w:rsid w:val="00F3313B"/>
    <w:rsid w:val="00F33A3C"/>
    <w:rsid w:val="00F33DE9"/>
    <w:rsid w:val="00F341B0"/>
    <w:rsid w:val="00F3449A"/>
    <w:rsid w:val="00F344EA"/>
    <w:rsid w:val="00F3534E"/>
    <w:rsid w:val="00F360A2"/>
    <w:rsid w:val="00F3619A"/>
    <w:rsid w:val="00F36B12"/>
    <w:rsid w:val="00F37B47"/>
    <w:rsid w:val="00F40266"/>
    <w:rsid w:val="00F4067C"/>
    <w:rsid w:val="00F40841"/>
    <w:rsid w:val="00F40AAA"/>
    <w:rsid w:val="00F40BA7"/>
    <w:rsid w:val="00F410FF"/>
    <w:rsid w:val="00F41A4A"/>
    <w:rsid w:val="00F42D47"/>
    <w:rsid w:val="00F43515"/>
    <w:rsid w:val="00F4356E"/>
    <w:rsid w:val="00F436EB"/>
    <w:rsid w:val="00F439F4"/>
    <w:rsid w:val="00F44079"/>
    <w:rsid w:val="00F44D4A"/>
    <w:rsid w:val="00F45097"/>
    <w:rsid w:val="00F46BED"/>
    <w:rsid w:val="00F46C38"/>
    <w:rsid w:val="00F46CB6"/>
    <w:rsid w:val="00F47513"/>
    <w:rsid w:val="00F47DE8"/>
    <w:rsid w:val="00F5048F"/>
    <w:rsid w:val="00F5069C"/>
    <w:rsid w:val="00F512F3"/>
    <w:rsid w:val="00F517B7"/>
    <w:rsid w:val="00F52A3F"/>
    <w:rsid w:val="00F539F9"/>
    <w:rsid w:val="00F53BB2"/>
    <w:rsid w:val="00F53C43"/>
    <w:rsid w:val="00F53DE3"/>
    <w:rsid w:val="00F542C1"/>
    <w:rsid w:val="00F5476D"/>
    <w:rsid w:val="00F552B7"/>
    <w:rsid w:val="00F55A09"/>
    <w:rsid w:val="00F55A45"/>
    <w:rsid w:val="00F55E73"/>
    <w:rsid w:val="00F55EDA"/>
    <w:rsid w:val="00F56A96"/>
    <w:rsid w:val="00F56D8C"/>
    <w:rsid w:val="00F5760E"/>
    <w:rsid w:val="00F60092"/>
    <w:rsid w:val="00F62483"/>
    <w:rsid w:val="00F625D3"/>
    <w:rsid w:val="00F62C9A"/>
    <w:rsid w:val="00F6533A"/>
    <w:rsid w:val="00F65F4B"/>
    <w:rsid w:val="00F66814"/>
    <w:rsid w:val="00F66D02"/>
    <w:rsid w:val="00F67341"/>
    <w:rsid w:val="00F7005E"/>
    <w:rsid w:val="00F700B2"/>
    <w:rsid w:val="00F70243"/>
    <w:rsid w:val="00F70A89"/>
    <w:rsid w:val="00F70C9D"/>
    <w:rsid w:val="00F71C73"/>
    <w:rsid w:val="00F723AD"/>
    <w:rsid w:val="00F724DE"/>
    <w:rsid w:val="00F7251D"/>
    <w:rsid w:val="00F72DF5"/>
    <w:rsid w:val="00F73145"/>
    <w:rsid w:val="00F737BD"/>
    <w:rsid w:val="00F73E97"/>
    <w:rsid w:val="00F74069"/>
    <w:rsid w:val="00F74406"/>
    <w:rsid w:val="00F74779"/>
    <w:rsid w:val="00F74CD9"/>
    <w:rsid w:val="00F75221"/>
    <w:rsid w:val="00F7524A"/>
    <w:rsid w:val="00F75800"/>
    <w:rsid w:val="00F7672C"/>
    <w:rsid w:val="00F76947"/>
    <w:rsid w:val="00F76963"/>
    <w:rsid w:val="00F77470"/>
    <w:rsid w:val="00F776DF"/>
    <w:rsid w:val="00F77939"/>
    <w:rsid w:val="00F779A5"/>
    <w:rsid w:val="00F8060F"/>
    <w:rsid w:val="00F806A8"/>
    <w:rsid w:val="00F80A7B"/>
    <w:rsid w:val="00F80CB4"/>
    <w:rsid w:val="00F80CC9"/>
    <w:rsid w:val="00F80E5D"/>
    <w:rsid w:val="00F81DC0"/>
    <w:rsid w:val="00F81FD9"/>
    <w:rsid w:val="00F84877"/>
    <w:rsid w:val="00F851CE"/>
    <w:rsid w:val="00F869EF"/>
    <w:rsid w:val="00F90390"/>
    <w:rsid w:val="00F90AC8"/>
    <w:rsid w:val="00F90CFE"/>
    <w:rsid w:val="00F91219"/>
    <w:rsid w:val="00F91860"/>
    <w:rsid w:val="00F91D00"/>
    <w:rsid w:val="00F9221F"/>
    <w:rsid w:val="00F92FDC"/>
    <w:rsid w:val="00F93E96"/>
    <w:rsid w:val="00F9401B"/>
    <w:rsid w:val="00F94E41"/>
    <w:rsid w:val="00F94EB9"/>
    <w:rsid w:val="00F96310"/>
    <w:rsid w:val="00F965FD"/>
    <w:rsid w:val="00F97A78"/>
    <w:rsid w:val="00FA0B20"/>
    <w:rsid w:val="00FA1353"/>
    <w:rsid w:val="00FA1A3F"/>
    <w:rsid w:val="00FA24E7"/>
    <w:rsid w:val="00FA3EC8"/>
    <w:rsid w:val="00FA4566"/>
    <w:rsid w:val="00FA49B5"/>
    <w:rsid w:val="00FA5230"/>
    <w:rsid w:val="00FA6A06"/>
    <w:rsid w:val="00FB0419"/>
    <w:rsid w:val="00FB17E1"/>
    <w:rsid w:val="00FB1AA8"/>
    <w:rsid w:val="00FB2FCB"/>
    <w:rsid w:val="00FB4B3B"/>
    <w:rsid w:val="00FB59DA"/>
    <w:rsid w:val="00FB5D9F"/>
    <w:rsid w:val="00FB5E3C"/>
    <w:rsid w:val="00FB699F"/>
    <w:rsid w:val="00FB7BBE"/>
    <w:rsid w:val="00FC1074"/>
    <w:rsid w:val="00FC14E9"/>
    <w:rsid w:val="00FC1884"/>
    <w:rsid w:val="00FC1B01"/>
    <w:rsid w:val="00FC1CA3"/>
    <w:rsid w:val="00FC20B4"/>
    <w:rsid w:val="00FC27BB"/>
    <w:rsid w:val="00FC2B45"/>
    <w:rsid w:val="00FC354D"/>
    <w:rsid w:val="00FC371D"/>
    <w:rsid w:val="00FC463B"/>
    <w:rsid w:val="00FC4C5A"/>
    <w:rsid w:val="00FC5F0B"/>
    <w:rsid w:val="00FC7129"/>
    <w:rsid w:val="00FD03DD"/>
    <w:rsid w:val="00FD053A"/>
    <w:rsid w:val="00FD0942"/>
    <w:rsid w:val="00FD0DC6"/>
    <w:rsid w:val="00FD2100"/>
    <w:rsid w:val="00FD25B4"/>
    <w:rsid w:val="00FD436C"/>
    <w:rsid w:val="00FD446D"/>
    <w:rsid w:val="00FD4C20"/>
    <w:rsid w:val="00FD6394"/>
    <w:rsid w:val="00FD63AC"/>
    <w:rsid w:val="00FD673D"/>
    <w:rsid w:val="00FD6D87"/>
    <w:rsid w:val="00FE0E3B"/>
    <w:rsid w:val="00FE0E6C"/>
    <w:rsid w:val="00FE13A8"/>
    <w:rsid w:val="00FE174E"/>
    <w:rsid w:val="00FE2B6C"/>
    <w:rsid w:val="00FE49C0"/>
    <w:rsid w:val="00FE5FA2"/>
    <w:rsid w:val="00FE70C3"/>
    <w:rsid w:val="00FE7A4F"/>
    <w:rsid w:val="00FF0221"/>
    <w:rsid w:val="00FF02EC"/>
    <w:rsid w:val="00FF198A"/>
    <w:rsid w:val="00FF3403"/>
    <w:rsid w:val="00FF3DCF"/>
    <w:rsid w:val="00FF4030"/>
    <w:rsid w:val="00FF492C"/>
    <w:rsid w:val="00FF4A21"/>
    <w:rsid w:val="00FF4D90"/>
    <w:rsid w:val="00FF59B1"/>
    <w:rsid w:val="00FF5AA3"/>
    <w:rsid w:val="00FF5AD8"/>
    <w:rsid w:val="00FF6B0F"/>
    <w:rsid w:val="00FF7C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FF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662207"/>
    <w:pPr>
      <w:pageBreakBefore/>
      <w:spacing w:after="240"/>
      <w:ind w:left="720" w:hanging="720"/>
      <w:outlineLvl w:val="0"/>
    </w:pPr>
    <w:rPr>
      <w:b/>
      <w:caps/>
      <w:sz w:val="32"/>
    </w:rPr>
  </w:style>
  <w:style w:type="paragraph" w:styleId="Heading2">
    <w:name w:val="heading 2"/>
    <w:basedOn w:val="Normal"/>
    <w:next w:val="Normal"/>
    <w:link w:val="Heading2Char"/>
    <w:qFormat/>
    <w:rsid w:val="008654D6"/>
    <w:pPr>
      <w:widowControl/>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54D6"/>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D4FAE"/>
    <w:pPr>
      <w:widowControl/>
      <w:jc w:val="left"/>
    </w:pPr>
    <w:rPr>
      <w:rFonts w:ascii="Arial Narrow" w:hAnsi="Arial Narrow" w:cs="Times New Roman"/>
      <w:snapToGrid/>
      <w:sz w:val="20"/>
    </w:rPr>
  </w:style>
  <w:style w:type="character" w:customStyle="1" w:styleId="TabletextChar">
    <w:name w:val="Table text Char"/>
    <w:link w:val="Tabletext"/>
    <w:uiPriority w:val="2"/>
    <w:rsid w:val="00AD4FAE"/>
    <w:rPr>
      <w:rFonts w:ascii="Arial Narrow" w:hAnsi="Arial Narrow"/>
      <w:szCs w:val="22"/>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8654D6"/>
    <w:pPr>
      <w:spacing w:after="240"/>
      <w:ind w:left="0"/>
      <w:contextualSpacing/>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117CD"/>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7C117A"/>
    <w:pPr>
      <w:keepNext/>
      <w:widowControl/>
      <w:spacing w:before="40" w:after="40"/>
      <w:jc w:val="left"/>
    </w:pPr>
    <w:rPr>
      <w:rFonts w:ascii="Arial Narrow" w:eastAsiaTheme="minorHAnsi" w:hAnsi="Arial Narrow" w:cstheme="minorBidi"/>
      <w:snapToGrid/>
      <w:sz w:val="20"/>
    </w:rPr>
  </w:style>
  <w:style w:type="paragraph" w:styleId="FootnoteText">
    <w:name w:val="footnote text"/>
    <w:aliases w:val="Footnote,Char Char Char Char,Char Char Char1 Char Char,Char Char Char1 Char Char Char,Char Char Char1 Char, Char1, Char Char Char Char, Char Char Char1 Char Char, Char Char Char1 Char Char Char, Char Char Char1 Char,Char1"/>
    <w:basedOn w:val="Normal"/>
    <w:link w:val="FootnoteTextChar"/>
    <w:unhideWhenUsed/>
    <w:qFormat/>
    <w:rsid w:val="00A11174"/>
    <w:rPr>
      <w:rFonts w:ascii="Arial Narrow" w:hAnsi="Arial Narrow"/>
      <w:sz w:val="18"/>
      <w:szCs w:val="20"/>
    </w:rPr>
  </w:style>
  <w:style w:type="character" w:customStyle="1" w:styleId="FootnoteTextChar">
    <w:name w:val="Footnote Text Char"/>
    <w:aliases w:val="Footnote Char,Char Char Char Char Char,Char Char Char1 Char Char Char1,Char Char Char1 Char Char Char Char,Char Char Char1 Char Char1, Char1 Char, Char Char Char Char Char, Char Char Char1 Char Char Char1, Char Char Char1 Char Char1"/>
    <w:basedOn w:val="DefaultParagraphFont"/>
    <w:link w:val="FootnoteText"/>
    <w:rsid w:val="00A11174"/>
    <w:rPr>
      <w:rFonts w:ascii="Arial Narrow" w:hAnsi="Arial Narrow" w:cs="Arial"/>
      <w:snapToGrid w:val="0"/>
      <w:sz w:val="18"/>
      <w:lang w:eastAsia="en-US"/>
    </w:rPr>
  </w:style>
  <w:style w:type="character" w:styleId="FootnoteReference">
    <w:name w:val="footnote reference"/>
    <w:basedOn w:val="DefaultParagraphFont"/>
    <w:unhideWhenUsed/>
    <w:rsid w:val="00703FB2"/>
    <w:rPr>
      <w:vertAlign w:val="superscript"/>
    </w:rPr>
  </w:style>
  <w:style w:type="paragraph" w:customStyle="1" w:styleId="TableHeading0">
    <w:name w:val="Table Heading"/>
    <w:basedOn w:val="Normal"/>
    <w:qFormat/>
    <w:rsid w:val="00703FB2"/>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basedOn w:val="DefaultParagraphFont"/>
    <w:link w:val="TableText0"/>
    <w:rsid w:val="00C20981"/>
    <w:rPr>
      <w:rFonts w:ascii="Arial Narrow" w:eastAsiaTheme="minorHAnsi" w:hAnsi="Arial Narrow" w:cstheme="minorBidi"/>
      <w:szCs w:val="22"/>
      <w:lang w:eastAsia="en-US"/>
    </w:rPr>
  </w:style>
  <w:style w:type="paragraph" w:customStyle="1" w:styleId="Default">
    <w:name w:val="Default"/>
    <w:link w:val="DefaultChar"/>
    <w:rsid w:val="00C20981"/>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C20981"/>
    <w:rPr>
      <w:rFonts w:ascii="Arial" w:hAnsi="Arial" w:cs="Arial"/>
      <w:color w:val="000000"/>
      <w:sz w:val="24"/>
      <w:szCs w:val="24"/>
    </w:rPr>
  </w:style>
  <w:style w:type="paragraph" w:customStyle="1" w:styleId="V50Instructions">
    <w:name w:val="V5.0 Instructions"/>
    <w:basedOn w:val="Normal"/>
    <w:link w:val="V50InstructionsChar"/>
    <w:qFormat/>
    <w:rsid w:val="005323F1"/>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5323F1"/>
    <w:rPr>
      <w:rFonts w:asciiTheme="minorHAnsi" w:eastAsiaTheme="minorHAnsi" w:hAnsiTheme="minorHAnsi" w:cstheme="minorBidi"/>
      <w:color w:val="4BACC6" w:themeColor="accent5"/>
      <w:sz w:val="24"/>
      <w:szCs w:val="22"/>
      <w:lang w:eastAsia="en-US"/>
    </w:rPr>
  </w:style>
  <w:style w:type="paragraph" w:customStyle="1" w:styleId="TableLeft">
    <w:name w:val="Table Left"/>
    <w:basedOn w:val="Normal"/>
    <w:link w:val="TableLeftChar"/>
    <w:uiPriority w:val="99"/>
    <w:qFormat/>
    <w:rsid w:val="005323F1"/>
    <w:pPr>
      <w:widowControl/>
      <w:jc w:val="left"/>
    </w:pPr>
    <w:rPr>
      <w:rFonts w:ascii="Arial Narrow" w:eastAsiaTheme="majorEastAsia" w:hAnsi="Arial Narrow" w:cstheme="majorBidi"/>
      <w:snapToGrid/>
      <w:sz w:val="20"/>
      <w:lang w:bidi="en-US"/>
    </w:rPr>
  </w:style>
  <w:style w:type="character" w:customStyle="1" w:styleId="TableLeftChar">
    <w:name w:val="Table Left Char"/>
    <w:basedOn w:val="DefaultParagraphFont"/>
    <w:link w:val="TableLeft"/>
    <w:uiPriority w:val="99"/>
    <w:locked/>
    <w:rsid w:val="005323F1"/>
    <w:rPr>
      <w:rFonts w:ascii="Arial Narrow" w:eastAsiaTheme="majorEastAsia" w:hAnsi="Arial Narrow" w:cstheme="majorBidi"/>
      <w:szCs w:val="22"/>
      <w:lang w:eastAsia="en-US" w:bidi="en-US"/>
    </w:rPr>
  </w:style>
  <w:style w:type="character" w:customStyle="1" w:styleId="Small">
    <w:name w:val="Small"/>
    <w:basedOn w:val="DefaultParagraphFont"/>
    <w:uiPriority w:val="4"/>
    <w:qFormat/>
    <w:rsid w:val="005323F1"/>
    <w:rPr>
      <w:rFonts w:ascii="Arial Narrow" w:hAnsi="Arial Narrow"/>
      <w:sz w:val="20"/>
    </w:rPr>
  </w:style>
  <w:style w:type="paragraph" w:customStyle="1" w:styleId="BodyText1">
    <w:name w:val="Body Text1"/>
    <w:basedOn w:val="Normal"/>
    <w:link w:val="BodytextChar0"/>
    <w:qFormat/>
    <w:rsid w:val="00516272"/>
    <w:pPr>
      <w:keepNext/>
      <w:keepLines/>
      <w:widowControl/>
      <w:spacing w:before="120" w:after="120" w:line="360" w:lineRule="auto"/>
    </w:pPr>
    <w:rPr>
      <w:rFonts w:asciiTheme="minorHAnsi" w:eastAsiaTheme="minorHAnsi" w:hAnsiTheme="minorHAnsi" w:cstheme="minorBidi"/>
      <w:snapToGrid/>
      <w:sz w:val="22"/>
    </w:rPr>
  </w:style>
  <w:style w:type="character" w:customStyle="1" w:styleId="BodytextChar0">
    <w:name w:val="Body text Char"/>
    <w:basedOn w:val="DefaultParagraphFont"/>
    <w:link w:val="BodyText1"/>
    <w:rsid w:val="00516272"/>
    <w:rPr>
      <w:rFonts w:asciiTheme="minorHAnsi" w:eastAsiaTheme="minorHAnsi" w:hAnsiTheme="minorHAnsi" w:cstheme="minorBidi"/>
      <w:sz w:val="22"/>
      <w:szCs w:val="22"/>
      <w:lang w:eastAsia="en-US"/>
    </w:rPr>
  </w:style>
  <w:style w:type="paragraph" w:customStyle="1" w:styleId="TableFigNoteLast">
    <w:name w:val="TableFigNote Last"/>
    <w:basedOn w:val="Normal"/>
    <w:next w:val="BodyText1"/>
    <w:qFormat/>
    <w:rsid w:val="009B41A4"/>
    <w:pPr>
      <w:widowControl/>
      <w:spacing w:after="120"/>
      <w:jc w:val="left"/>
    </w:pPr>
    <w:rPr>
      <w:rFonts w:asciiTheme="minorHAnsi" w:eastAsiaTheme="minorHAnsi" w:hAnsiTheme="minorHAnsi" w:cstheme="minorBidi"/>
      <w:snapToGrid/>
      <w:sz w:val="16"/>
    </w:rPr>
  </w:style>
  <w:style w:type="paragraph" w:customStyle="1" w:styleId="Tablecentred">
    <w:name w:val="Table centred"/>
    <w:basedOn w:val="TableText0"/>
    <w:qFormat/>
    <w:rsid w:val="009B41A4"/>
    <w:pPr>
      <w:keepNext w:val="0"/>
      <w:jc w:val="center"/>
    </w:pPr>
    <w:rPr>
      <w:rFonts w:asciiTheme="minorHAnsi" w:hAnsiTheme="minorHAnsi" w:cstheme="minorHAnsi"/>
      <w:sz w:val="18"/>
      <w:szCs w:val="18"/>
    </w:rPr>
  </w:style>
  <w:style w:type="paragraph" w:customStyle="1" w:styleId="NormalBullets">
    <w:name w:val="Normal Bullets"/>
    <w:basedOn w:val="Normal"/>
    <w:uiPriority w:val="3"/>
    <w:qFormat/>
    <w:rsid w:val="00550324"/>
    <w:pPr>
      <w:widowControl/>
      <w:numPr>
        <w:numId w:val="2"/>
      </w:numPr>
      <w:spacing w:after="240" w:line="276" w:lineRule="auto"/>
      <w:contextualSpacing/>
      <w:jc w:val="left"/>
    </w:pPr>
    <w:rPr>
      <w:rFonts w:ascii="Sabon" w:eastAsiaTheme="majorEastAsia" w:hAnsi="Sabon" w:cstheme="majorBidi"/>
      <w:snapToGrid/>
      <w:sz w:val="22"/>
      <w:lang w:bidi="en-US"/>
    </w:rPr>
  </w:style>
  <w:style w:type="character" w:customStyle="1" w:styleId="ref-journal">
    <w:name w:val="ref-journal"/>
    <w:basedOn w:val="DefaultParagraphFont"/>
    <w:rsid w:val="00ED39A7"/>
  </w:style>
  <w:style w:type="character" w:customStyle="1" w:styleId="nowrap">
    <w:name w:val="nowrap"/>
    <w:basedOn w:val="DefaultParagraphFont"/>
    <w:rsid w:val="00ED39A7"/>
  </w:style>
  <w:style w:type="character" w:customStyle="1" w:styleId="UnresolvedMention1">
    <w:name w:val="Unresolved Mention1"/>
    <w:basedOn w:val="DefaultParagraphFont"/>
    <w:uiPriority w:val="99"/>
    <w:semiHidden/>
    <w:unhideWhenUsed/>
    <w:rsid w:val="00ED39A7"/>
    <w:rPr>
      <w:color w:val="605E5C"/>
      <w:shd w:val="clear" w:color="auto" w:fill="E1DFDD"/>
    </w:rPr>
  </w:style>
  <w:style w:type="paragraph" w:styleId="EndnoteText">
    <w:name w:val="endnote text"/>
    <w:basedOn w:val="Normal"/>
    <w:link w:val="EndnoteTextChar"/>
    <w:semiHidden/>
    <w:unhideWhenUsed/>
    <w:rsid w:val="00AD50D3"/>
    <w:rPr>
      <w:sz w:val="20"/>
      <w:szCs w:val="20"/>
    </w:rPr>
  </w:style>
  <w:style w:type="character" w:customStyle="1" w:styleId="EndnoteTextChar">
    <w:name w:val="Endnote Text Char"/>
    <w:basedOn w:val="DefaultParagraphFont"/>
    <w:link w:val="EndnoteText"/>
    <w:semiHidden/>
    <w:rsid w:val="00AD50D3"/>
    <w:rPr>
      <w:rFonts w:ascii="Calibri" w:hAnsi="Calibri" w:cs="Arial"/>
      <w:snapToGrid w:val="0"/>
      <w:lang w:eastAsia="en-US"/>
    </w:rPr>
  </w:style>
  <w:style w:type="character" w:styleId="EndnoteReference">
    <w:name w:val="endnote reference"/>
    <w:basedOn w:val="DefaultParagraphFont"/>
    <w:semiHidden/>
    <w:unhideWhenUsed/>
    <w:rsid w:val="00AD50D3"/>
    <w:rPr>
      <w:vertAlign w:val="superscript"/>
    </w:rPr>
  </w:style>
  <w:style w:type="paragraph" w:customStyle="1" w:styleId="TableFigNote">
    <w:name w:val="TableFigNote"/>
    <w:basedOn w:val="Normal"/>
    <w:qFormat/>
    <w:rsid w:val="0010530E"/>
    <w:pPr>
      <w:widowControl/>
      <w:jc w:val="left"/>
    </w:pPr>
    <w:rPr>
      <w:rFonts w:asciiTheme="minorHAnsi" w:eastAsiaTheme="minorHAnsi" w:hAnsiTheme="minorHAnsi" w:cstheme="minorBidi"/>
      <w:snapToGrid/>
      <w:sz w:val="16"/>
    </w:rPr>
  </w:style>
  <w:style w:type="character" w:customStyle="1" w:styleId="st">
    <w:name w:val="st"/>
    <w:basedOn w:val="DefaultParagraphFont"/>
    <w:rsid w:val="006B4ED3"/>
  </w:style>
  <w:style w:type="table" w:customStyle="1" w:styleId="TableGridLight1">
    <w:name w:val="Table Grid Light1"/>
    <w:basedOn w:val="TableNormal"/>
    <w:uiPriority w:val="40"/>
    <w:rsid w:val="00CB0A5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Intextbulletpoints">
    <w:name w:val="In text bullet points"/>
    <w:basedOn w:val="Bulletpoints"/>
    <w:link w:val="IntextbulletpointsChar"/>
    <w:qFormat/>
    <w:rsid w:val="00373F52"/>
    <w:pPr>
      <w:numPr>
        <w:numId w:val="4"/>
      </w:numPr>
      <w:spacing w:after="120"/>
      <w:contextualSpacing w:val="0"/>
    </w:pPr>
    <w:rPr>
      <w:snapToGrid/>
      <w:lang w:val="en-US" w:eastAsia="en-AU"/>
    </w:rPr>
  </w:style>
  <w:style w:type="character" w:customStyle="1" w:styleId="BulletpointsChar">
    <w:name w:val="Bullet points Char"/>
    <w:basedOn w:val="ListParagraphChar"/>
    <w:link w:val="Bulletpoints"/>
    <w:rsid w:val="00373F52"/>
    <w:rPr>
      <w:rFonts w:ascii="Calibri" w:hAnsi="Calibri" w:cs="Arial"/>
      <w:snapToGrid w:val="0"/>
      <w:sz w:val="24"/>
      <w:szCs w:val="24"/>
      <w:lang w:eastAsia="en-US"/>
    </w:rPr>
  </w:style>
  <w:style w:type="character" w:customStyle="1" w:styleId="IntextbulletpointsChar">
    <w:name w:val="In text bullet points Char"/>
    <w:basedOn w:val="BulletpointsChar"/>
    <w:link w:val="Intextbulletpoints"/>
    <w:rsid w:val="00373F52"/>
    <w:rPr>
      <w:rFonts w:ascii="Calibri" w:hAnsi="Calibri" w:cs="Arial"/>
      <w:snapToGri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630">
      <w:bodyDiv w:val="1"/>
      <w:marLeft w:val="0"/>
      <w:marRight w:val="0"/>
      <w:marTop w:val="0"/>
      <w:marBottom w:val="0"/>
      <w:divBdr>
        <w:top w:val="none" w:sz="0" w:space="0" w:color="auto"/>
        <w:left w:val="none" w:sz="0" w:space="0" w:color="auto"/>
        <w:bottom w:val="none" w:sz="0" w:space="0" w:color="auto"/>
        <w:right w:val="none" w:sz="0" w:space="0" w:color="auto"/>
      </w:divBdr>
    </w:div>
    <w:div w:id="42369009">
      <w:bodyDiv w:val="1"/>
      <w:marLeft w:val="0"/>
      <w:marRight w:val="0"/>
      <w:marTop w:val="0"/>
      <w:marBottom w:val="0"/>
      <w:divBdr>
        <w:top w:val="none" w:sz="0" w:space="0" w:color="auto"/>
        <w:left w:val="none" w:sz="0" w:space="0" w:color="auto"/>
        <w:bottom w:val="none" w:sz="0" w:space="0" w:color="auto"/>
        <w:right w:val="none" w:sz="0" w:space="0" w:color="auto"/>
      </w:divBdr>
    </w:div>
    <w:div w:id="214047846">
      <w:bodyDiv w:val="1"/>
      <w:marLeft w:val="0"/>
      <w:marRight w:val="0"/>
      <w:marTop w:val="0"/>
      <w:marBottom w:val="0"/>
      <w:divBdr>
        <w:top w:val="none" w:sz="0" w:space="0" w:color="auto"/>
        <w:left w:val="none" w:sz="0" w:space="0" w:color="auto"/>
        <w:bottom w:val="none" w:sz="0" w:space="0" w:color="auto"/>
        <w:right w:val="none" w:sz="0" w:space="0" w:color="auto"/>
      </w:divBdr>
    </w:div>
    <w:div w:id="268662283">
      <w:bodyDiv w:val="1"/>
      <w:marLeft w:val="0"/>
      <w:marRight w:val="0"/>
      <w:marTop w:val="0"/>
      <w:marBottom w:val="0"/>
      <w:divBdr>
        <w:top w:val="none" w:sz="0" w:space="0" w:color="auto"/>
        <w:left w:val="none" w:sz="0" w:space="0" w:color="auto"/>
        <w:bottom w:val="none" w:sz="0" w:space="0" w:color="auto"/>
        <w:right w:val="none" w:sz="0" w:space="0" w:color="auto"/>
      </w:divBdr>
    </w:div>
    <w:div w:id="366293153">
      <w:bodyDiv w:val="1"/>
      <w:marLeft w:val="0"/>
      <w:marRight w:val="0"/>
      <w:marTop w:val="0"/>
      <w:marBottom w:val="0"/>
      <w:divBdr>
        <w:top w:val="none" w:sz="0" w:space="0" w:color="auto"/>
        <w:left w:val="none" w:sz="0" w:space="0" w:color="auto"/>
        <w:bottom w:val="none" w:sz="0" w:space="0" w:color="auto"/>
        <w:right w:val="none" w:sz="0" w:space="0" w:color="auto"/>
      </w:divBdr>
      <w:divsChild>
        <w:div w:id="1765876722">
          <w:marLeft w:val="360"/>
          <w:marRight w:val="0"/>
          <w:marTop w:val="200"/>
          <w:marBottom w:val="0"/>
          <w:divBdr>
            <w:top w:val="none" w:sz="0" w:space="0" w:color="auto"/>
            <w:left w:val="none" w:sz="0" w:space="0" w:color="auto"/>
            <w:bottom w:val="none" w:sz="0" w:space="0" w:color="auto"/>
            <w:right w:val="none" w:sz="0" w:space="0" w:color="auto"/>
          </w:divBdr>
        </w:div>
      </w:divsChild>
    </w:div>
    <w:div w:id="391081695">
      <w:bodyDiv w:val="1"/>
      <w:marLeft w:val="0"/>
      <w:marRight w:val="0"/>
      <w:marTop w:val="0"/>
      <w:marBottom w:val="0"/>
      <w:divBdr>
        <w:top w:val="none" w:sz="0" w:space="0" w:color="auto"/>
        <w:left w:val="none" w:sz="0" w:space="0" w:color="auto"/>
        <w:bottom w:val="none" w:sz="0" w:space="0" w:color="auto"/>
        <w:right w:val="none" w:sz="0" w:space="0" w:color="auto"/>
      </w:divBdr>
    </w:div>
    <w:div w:id="529033981">
      <w:bodyDiv w:val="1"/>
      <w:marLeft w:val="0"/>
      <w:marRight w:val="0"/>
      <w:marTop w:val="0"/>
      <w:marBottom w:val="0"/>
      <w:divBdr>
        <w:top w:val="none" w:sz="0" w:space="0" w:color="auto"/>
        <w:left w:val="none" w:sz="0" w:space="0" w:color="auto"/>
        <w:bottom w:val="none" w:sz="0" w:space="0" w:color="auto"/>
        <w:right w:val="none" w:sz="0" w:space="0" w:color="auto"/>
      </w:divBdr>
    </w:div>
    <w:div w:id="635837443">
      <w:bodyDiv w:val="1"/>
      <w:marLeft w:val="0"/>
      <w:marRight w:val="0"/>
      <w:marTop w:val="0"/>
      <w:marBottom w:val="0"/>
      <w:divBdr>
        <w:top w:val="none" w:sz="0" w:space="0" w:color="auto"/>
        <w:left w:val="none" w:sz="0" w:space="0" w:color="auto"/>
        <w:bottom w:val="none" w:sz="0" w:space="0" w:color="auto"/>
        <w:right w:val="none" w:sz="0" w:space="0" w:color="auto"/>
      </w:divBdr>
    </w:div>
    <w:div w:id="659577680">
      <w:bodyDiv w:val="1"/>
      <w:marLeft w:val="0"/>
      <w:marRight w:val="0"/>
      <w:marTop w:val="0"/>
      <w:marBottom w:val="0"/>
      <w:divBdr>
        <w:top w:val="none" w:sz="0" w:space="0" w:color="auto"/>
        <w:left w:val="none" w:sz="0" w:space="0" w:color="auto"/>
        <w:bottom w:val="none" w:sz="0" w:space="0" w:color="auto"/>
        <w:right w:val="none" w:sz="0" w:space="0" w:color="auto"/>
      </w:divBdr>
    </w:div>
    <w:div w:id="714308510">
      <w:bodyDiv w:val="1"/>
      <w:marLeft w:val="0"/>
      <w:marRight w:val="0"/>
      <w:marTop w:val="0"/>
      <w:marBottom w:val="0"/>
      <w:divBdr>
        <w:top w:val="none" w:sz="0" w:space="0" w:color="auto"/>
        <w:left w:val="none" w:sz="0" w:space="0" w:color="auto"/>
        <w:bottom w:val="none" w:sz="0" w:space="0" w:color="auto"/>
        <w:right w:val="none" w:sz="0" w:space="0" w:color="auto"/>
      </w:divBdr>
      <w:divsChild>
        <w:div w:id="798035590">
          <w:marLeft w:val="360"/>
          <w:marRight w:val="0"/>
          <w:marTop w:val="200"/>
          <w:marBottom w:val="0"/>
          <w:divBdr>
            <w:top w:val="none" w:sz="0" w:space="0" w:color="auto"/>
            <w:left w:val="none" w:sz="0" w:space="0" w:color="auto"/>
            <w:bottom w:val="none" w:sz="0" w:space="0" w:color="auto"/>
            <w:right w:val="none" w:sz="0" w:space="0" w:color="auto"/>
          </w:divBdr>
        </w:div>
      </w:divsChild>
    </w:div>
    <w:div w:id="730156016">
      <w:bodyDiv w:val="1"/>
      <w:marLeft w:val="0"/>
      <w:marRight w:val="0"/>
      <w:marTop w:val="0"/>
      <w:marBottom w:val="0"/>
      <w:divBdr>
        <w:top w:val="none" w:sz="0" w:space="0" w:color="auto"/>
        <w:left w:val="none" w:sz="0" w:space="0" w:color="auto"/>
        <w:bottom w:val="none" w:sz="0" w:space="0" w:color="auto"/>
        <w:right w:val="none" w:sz="0" w:space="0" w:color="auto"/>
      </w:divBdr>
    </w:div>
    <w:div w:id="837421307">
      <w:bodyDiv w:val="1"/>
      <w:marLeft w:val="0"/>
      <w:marRight w:val="0"/>
      <w:marTop w:val="0"/>
      <w:marBottom w:val="0"/>
      <w:divBdr>
        <w:top w:val="none" w:sz="0" w:space="0" w:color="auto"/>
        <w:left w:val="none" w:sz="0" w:space="0" w:color="auto"/>
        <w:bottom w:val="none" w:sz="0" w:space="0" w:color="auto"/>
        <w:right w:val="none" w:sz="0" w:space="0" w:color="auto"/>
      </w:divBdr>
      <w:divsChild>
        <w:div w:id="225923005">
          <w:marLeft w:val="360"/>
          <w:marRight w:val="0"/>
          <w:marTop w:val="200"/>
          <w:marBottom w:val="0"/>
          <w:divBdr>
            <w:top w:val="none" w:sz="0" w:space="0" w:color="auto"/>
            <w:left w:val="none" w:sz="0" w:space="0" w:color="auto"/>
            <w:bottom w:val="none" w:sz="0" w:space="0" w:color="auto"/>
            <w:right w:val="none" w:sz="0" w:space="0" w:color="auto"/>
          </w:divBdr>
        </w:div>
      </w:divsChild>
    </w:div>
    <w:div w:id="900023238">
      <w:bodyDiv w:val="1"/>
      <w:marLeft w:val="0"/>
      <w:marRight w:val="0"/>
      <w:marTop w:val="0"/>
      <w:marBottom w:val="0"/>
      <w:divBdr>
        <w:top w:val="none" w:sz="0" w:space="0" w:color="auto"/>
        <w:left w:val="none" w:sz="0" w:space="0" w:color="auto"/>
        <w:bottom w:val="none" w:sz="0" w:space="0" w:color="auto"/>
        <w:right w:val="none" w:sz="0" w:space="0" w:color="auto"/>
      </w:divBdr>
    </w:div>
    <w:div w:id="990447438">
      <w:bodyDiv w:val="1"/>
      <w:marLeft w:val="0"/>
      <w:marRight w:val="0"/>
      <w:marTop w:val="0"/>
      <w:marBottom w:val="0"/>
      <w:divBdr>
        <w:top w:val="none" w:sz="0" w:space="0" w:color="auto"/>
        <w:left w:val="none" w:sz="0" w:space="0" w:color="auto"/>
        <w:bottom w:val="none" w:sz="0" w:space="0" w:color="auto"/>
        <w:right w:val="none" w:sz="0" w:space="0" w:color="auto"/>
      </w:divBdr>
    </w:div>
    <w:div w:id="1019546769">
      <w:bodyDiv w:val="1"/>
      <w:marLeft w:val="0"/>
      <w:marRight w:val="0"/>
      <w:marTop w:val="0"/>
      <w:marBottom w:val="0"/>
      <w:divBdr>
        <w:top w:val="none" w:sz="0" w:space="0" w:color="auto"/>
        <w:left w:val="none" w:sz="0" w:space="0" w:color="auto"/>
        <w:bottom w:val="none" w:sz="0" w:space="0" w:color="auto"/>
        <w:right w:val="none" w:sz="0" w:space="0" w:color="auto"/>
      </w:divBdr>
      <w:divsChild>
        <w:div w:id="964458166">
          <w:marLeft w:val="360"/>
          <w:marRight w:val="0"/>
          <w:marTop w:val="200"/>
          <w:marBottom w:val="0"/>
          <w:divBdr>
            <w:top w:val="none" w:sz="0" w:space="0" w:color="auto"/>
            <w:left w:val="none" w:sz="0" w:space="0" w:color="auto"/>
            <w:bottom w:val="none" w:sz="0" w:space="0" w:color="auto"/>
            <w:right w:val="none" w:sz="0" w:space="0" w:color="auto"/>
          </w:divBdr>
        </w:div>
      </w:divsChild>
    </w:div>
    <w:div w:id="1022510176">
      <w:bodyDiv w:val="1"/>
      <w:marLeft w:val="0"/>
      <w:marRight w:val="0"/>
      <w:marTop w:val="0"/>
      <w:marBottom w:val="0"/>
      <w:divBdr>
        <w:top w:val="none" w:sz="0" w:space="0" w:color="auto"/>
        <w:left w:val="none" w:sz="0" w:space="0" w:color="auto"/>
        <w:bottom w:val="none" w:sz="0" w:space="0" w:color="auto"/>
        <w:right w:val="none" w:sz="0" w:space="0" w:color="auto"/>
      </w:divBdr>
      <w:divsChild>
        <w:div w:id="598877071">
          <w:marLeft w:val="360"/>
          <w:marRight w:val="0"/>
          <w:marTop w:val="200"/>
          <w:marBottom w:val="0"/>
          <w:divBdr>
            <w:top w:val="none" w:sz="0" w:space="0" w:color="auto"/>
            <w:left w:val="none" w:sz="0" w:space="0" w:color="auto"/>
            <w:bottom w:val="none" w:sz="0" w:space="0" w:color="auto"/>
            <w:right w:val="none" w:sz="0" w:space="0" w:color="auto"/>
          </w:divBdr>
        </w:div>
      </w:divsChild>
    </w:div>
    <w:div w:id="1133673718">
      <w:bodyDiv w:val="1"/>
      <w:marLeft w:val="0"/>
      <w:marRight w:val="0"/>
      <w:marTop w:val="0"/>
      <w:marBottom w:val="0"/>
      <w:divBdr>
        <w:top w:val="none" w:sz="0" w:space="0" w:color="auto"/>
        <w:left w:val="none" w:sz="0" w:space="0" w:color="auto"/>
        <w:bottom w:val="none" w:sz="0" w:space="0" w:color="auto"/>
        <w:right w:val="none" w:sz="0" w:space="0" w:color="auto"/>
      </w:divBdr>
    </w:div>
    <w:div w:id="1220093273">
      <w:bodyDiv w:val="1"/>
      <w:marLeft w:val="0"/>
      <w:marRight w:val="0"/>
      <w:marTop w:val="0"/>
      <w:marBottom w:val="0"/>
      <w:divBdr>
        <w:top w:val="none" w:sz="0" w:space="0" w:color="auto"/>
        <w:left w:val="none" w:sz="0" w:space="0" w:color="auto"/>
        <w:bottom w:val="none" w:sz="0" w:space="0" w:color="auto"/>
        <w:right w:val="none" w:sz="0" w:space="0" w:color="auto"/>
      </w:divBdr>
    </w:div>
    <w:div w:id="1229267312">
      <w:bodyDiv w:val="1"/>
      <w:marLeft w:val="0"/>
      <w:marRight w:val="0"/>
      <w:marTop w:val="0"/>
      <w:marBottom w:val="0"/>
      <w:divBdr>
        <w:top w:val="none" w:sz="0" w:space="0" w:color="auto"/>
        <w:left w:val="none" w:sz="0" w:space="0" w:color="auto"/>
        <w:bottom w:val="none" w:sz="0" w:space="0" w:color="auto"/>
        <w:right w:val="none" w:sz="0" w:space="0" w:color="auto"/>
      </w:divBdr>
    </w:div>
    <w:div w:id="1248461668">
      <w:bodyDiv w:val="1"/>
      <w:marLeft w:val="0"/>
      <w:marRight w:val="0"/>
      <w:marTop w:val="0"/>
      <w:marBottom w:val="0"/>
      <w:divBdr>
        <w:top w:val="none" w:sz="0" w:space="0" w:color="auto"/>
        <w:left w:val="none" w:sz="0" w:space="0" w:color="auto"/>
        <w:bottom w:val="none" w:sz="0" w:space="0" w:color="auto"/>
        <w:right w:val="none" w:sz="0" w:space="0" w:color="auto"/>
      </w:divBdr>
    </w:div>
    <w:div w:id="1284268550">
      <w:bodyDiv w:val="1"/>
      <w:marLeft w:val="0"/>
      <w:marRight w:val="0"/>
      <w:marTop w:val="0"/>
      <w:marBottom w:val="0"/>
      <w:divBdr>
        <w:top w:val="none" w:sz="0" w:space="0" w:color="auto"/>
        <w:left w:val="none" w:sz="0" w:space="0" w:color="auto"/>
        <w:bottom w:val="none" w:sz="0" w:space="0" w:color="auto"/>
        <w:right w:val="none" w:sz="0" w:space="0" w:color="auto"/>
      </w:divBdr>
      <w:divsChild>
        <w:div w:id="1594626181">
          <w:marLeft w:val="547"/>
          <w:marRight w:val="0"/>
          <w:marTop w:val="77"/>
          <w:marBottom w:val="0"/>
          <w:divBdr>
            <w:top w:val="none" w:sz="0" w:space="0" w:color="auto"/>
            <w:left w:val="none" w:sz="0" w:space="0" w:color="auto"/>
            <w:bottom w:val="none" w:sz="0" w:space="0" w:color="auto"/>
            <w:right w:val="none" w:sz="0" w:space="0" w:color="auto"/>
          </w:divBdr>
        </w:div>
      </w:divsChild>
    </w:div>
    <w:div w:id="1301378713">
      <w:bodyDiv w:val="1"/>
      <w:marLeft w:val="0"/>
      <w:marRight w:val="0"/>
      <w:marTop w:val="0"/>
      <w:marBottom w:val="0"/>
      <w:divBdr>
        <w:top w:val="none" w:sz="0" w:space="0" w:color="auto"/>
        <w:left w:val="none" w:sz="0" w:space="0" w:color="auto"/>
        <w:bottom w:val="none" w:sz="0" w:space="0" w:color="auto"/>
        <w:right w:val="none" w:sz="0" w:space="0" w:color="auto"/>
      </w:divBdr>
    </w:div>
    <w:div w:id="1361737969">
      <w:bodyDiv w:val="1"/>
      <w:marLeft w:val="0"/>
      <w:marRight w:val="0"/>
      <w:marTop w:val="0"/>
      <w:marBottom w:val="0"/>
      <w:divBdr>
        <w:top w:val="none" w:sz="0" w:space="0" w:color="auto"/>
        <w:left w:val="none" w:sz="0" w:space="0" w:color="auto"/>
        <w:bottom w:val="none" w:sz="0" w:space="0" w:color="auto"/>
        <w:right w:val="none" w:sz="0" w:space="0" w:color="auto"/>
      </w:divBdr>
    </w:div>
    <w:div w:id="1466194566">
      <w:bodyDiv w:val="1"/>
      <w:marLeft w:val="0"/>
      <w:marRight w:val="0"/>
      <w:marTop w:val="0"/>
      <w:marBottom w:val="0"/>
      <w:divBdr>
        <w:top w:val="none" w:sz="0" w:space="0" w:color="auto"/>
        <w:left w:val="none" w:sz="0" w:space="0" w:color="auto"/>
        <w:bottom w:val="none" w:sz="0" w:space="0" w:color="auto"/>
        <w:right w:val="none" w:sz="0" w:space="0" w:color="auto"/>
      </w:divBdr>
    </w:div>
    <w:div w:id="1507818769">
      <w:bodyDiv w:val="1"/>
      <w:marLeft w:val="0"/>
      <w:marRight w:val="0"/>
      <w:marTop w:val="0"/>
      <w:marBottom w:val="0"/>
      <w:divBdr>
        <w:top w:val="none" w:sz="0" w:space="0" w:color="auto"/>
        <w:left w:val="none" w:sz="0" w:space="0" w:color="auto"/>
        <w:bottom w:val="none" w:sz="0" w:space="0" w:color="auto"/>
        <w:right w:val="none" w:sz="0" w:space="0" w:color="auto"/>
      </w:divBdr>
      <w:divsChild>
        <w:div w:id="1309624457">
          <w:marLeft w:val="360"/>
          <w:marRight w:val="0"/>
          <w:marTop w:val="200"/>
          <w:marBottom w:val="0"/>
          <w:divBdr>
            <w:top w:val="none" w:sz="0" w:space="0" w:color="auto"/>
            <w:left w:val="none" w:sz="0" w:space="0" w:color="auto"/>
            <w:bottom w:val="none" w:sz="0" w:space="0" w:color="auto"/>
            <w:right w:val="none" w:sz="0" w:space="0" w:color="auto"/>
          </w:divBdr>
        </w:div>
      </w:divsChild>
    </w:div>
    <w:div w:id="1710108438">
      <w:bodyDiv w:val="1"/>
      <w:marLeft w:val="0"/>
      <w:marRight w:val="0"/>
      <w:marTop w:val="0"/>
      <w:marBottom w:val="0"/>
      <w:divBdr>
        <w:top w:val="none" w:sz="0" w:space="0" w:color="auto"/>
        <w:left w:val="none" w:sz="0" w:space="0" w:color="auto"/>
        <w:bottom w:val="none" w:sz="0" w:space="0" w:color="auto"/>
        <w:right w:val="none" w:sz="0" w:space="0" w:color="auto"/>
      </w:divBdr>
    </w:div>
    <w:div w:id="1764689277">
      <w:bodyDiv w:val="1"/>
      <w:marLeft w:val="0"/>
      <w:marRight w:val="0"/>
      <w:marTop w:val="0"/>
      <w:marBottom w:val="0"/>
      <w:divBdr>
        <w:top w:val="none" w:sz="0" w:space="0" w:color="auto"/>
        <w:left w:val="none" w:sz="0" w:space="0" w:color="auto"/>
        <w:bottom w:val="none" w:sz="0" w:space="0" w:color="auto"/>
        <w:right w:val="none" w:sz="0" w:space="0" w:color="auto"/>
      </w:divBdr>
    </w:div>
    <w:div w:id="19902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pbs.gov.au/info/industry/listing/elements/pbac-meetings/psd/2018-03/Inactivated-influenza-vaccine-psd-march-2018" TargetMode="External"/><Relationship Id="rId1" Type="http://schemas.openxmlformats.org/officeDocument/2006/relationships/hyperlink" Target="https://beta.health.gov.au/news/2019-influenza-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91F0-D8F8-4CFD-B10D-4004F98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12942</Words>
  <Characters>74796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2020-02-19T05:34:00Z</dcterms:created>
  <dcterms:modified xsi:type="dcterms:W3CDTF">2020-02-26T03:35:00Z</dcterms:modified>
</cp:coreProperties>
</file>